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66CC" w:rsidRPr="007D17E9" w:rsidRDefault="00B666CC" w:rsidP="00FC732F">
      <w:pPr>
        <w:spacing w:line="480" w:lineRule="auto"/>
      </w:pPr>
    </w:p>
    <w:p w:rsidR="007D17E9" w:rsidRDefault="007D17E9" w:rsidP="00B666CC">
      <w:pPr>
        <w:jc w:val="center"/>
        <w:rPr>
          <w:sz w:val="24"/>
          <w:szCs w:val="24"/>
        </w:rPr>
      </w:pPr>
    </w:p>
    <w:p w:rsidR="007D17E9" w:rsidRDefault="007D17E9" w:rsidP="00B666CC">
      <w:pPr>
        <w:jc w:val="center"/>
        <w:rPr>
          <w:sz w:val="24"/>
          <w:szCs w:val="24"/>
        </w:rPr>
      </w:pPr>
    </w:p>
    <w:p w:rsidR="007D17E9" w:rsidRDefault="007D17E9" w:rsidP="00B666CC">
      <w:pPr>
        <w:jc w:val="center"/>
        <w:rPr>
          <w:sz w:val="24"/>
          <w:szCs w:val="24"/>
        </w:rPr>
      </w:pPr>
    </w:p>
    <w:p w:rsidR="007D17E9" w:rsidRDefault="007D17E9" w:rsidP="00B666CC">
      <w:pPr>
        <w:jc w:val="center"/>
        <w:rPr>
          <w:sz w:val="24"/>
          <w:szCs w:val="24"/>
        </w:rPr>
      </w:pPr>
    </w:p>
    <w:p w:rsidR="007D17E9" w:rsidRDefault="007D17E9" w:rsidP="00B666CC">
      <w:pPr>
        <w:jc w:val="center"/>
        <w:rPr>
          <w:sz w:val="24"/>
          <w:szCs w:val="24"/>
        </w:rPr>
      </w:pPr>
    </w:p>
    <w:p w:rsidR="007D17E9" w:rsidRDefault="007D17E9" w:rsidP="00B666CC">
      <w:pPr>
        <w:jc w:val="center"/>
        <w:rPr>
          <w:sz w:val="24"/>
          <w:szCs w:val="24"/>
        </w:rPr>
      </w:pPr>
    </w:p>
    <w:p w:rsidR="007D17E9" w:rsidRDefault="007D17E9" w:rsidP="00B666CC">
      <w:pPr>
        <w:jc w:val="center"/>
        <w:rPr>
          <w:sz w:val="24"/>
          <w:szCs w:val="24"/>
        </w:rPr>
      </w:pPr>
    </w:p>
    <w:p w:rsidR="007D17E9" w:rsidRDefault="007D17E9" w:rsidP="00B666CC">
      <w:pPr>
        <w:jc w:val="center"/>
        <w:rPr>
          <w:sz w:val="24"/>
          <w:szCs w:val="24"/>
        </w:rPr>
      </w:pPr>
    </w:p>
    <w:p w:rsidR="007D17E9" w:rsidRDefault="007D17E9" w:rsidP="00B666CC">
      <w:pPr>
        <w:jc w:val="center"/>
        <w:rPr>
          <w:sz w:val="24"/>
          <w:szCs w:val="24"/>
        </w:rPr>
      </w:pPr>
    </w:p>
    <w:p w:rsidR="007D17E9" w:rsidRPr="007D17E9" w:rsidRDefault="007D17E9" w:rsidP="00B666CC">
      <w:pPr>
        <w:jc w:val="center"/>
        <w:rPr>
          <w:sz w:val="24"/>
          <w:szCs w:val="24"/>
        </w:rPr>
      </w:pPr>
      <w:r w:rsidRPr="007D17E9">
        <w:rPr>
          <w:sz w:val="24"/>
          <w:szCs w:val="24"/>
        </w:rPr>
        <w:t>Sam Gedrych, 1600772</w:t>
      </w:r>
    </w:p>
    <w:p w:rsidR="007D17E9" w:rsidRPr="007D17E9" w:rsidRDefault="007D17E9" w:rsidP="00B666CC">
      <w:pPr>
        <w:jc w:val="center"/>
        <w:rPr>
          <w:sz w:val="24"/>
          <w:szCs w:val="24"/>
        </w:rPr>
      </w:pPr>
      <w:r w:rsidRPr="007D17E9">
        <w:rPr>
          <w:sz w:val="24"/>
          <w:szCs w:val="24"/>
        </w:rPr>
        <w:t>CLCS500</w:t>
      </w:r>
      <w:r w:rsidRPr="007D17E9">
        <w:rPr>
          <w:sz w:val="24"/>
          <w:szCs w:val="24"/>
        </w:rPr>
        <w:t>1: The Muses' Playground: Epic in Antiquity.</w:t>
      </w:r>
    </w:p>
    <w:p w:rsidR="007D17E9" w:rsidRDefault="007D17E9" w:rsidP="00B666CC">
      <w:pPr>
        <w:jc w:val="center"/>
        <w:rPr>
          <w:sz w:val="24"/>
          <w:szCs w:val="24"/>
        </w:rPr>
      </w:pPr>
      <w:r w:rsidRPr="007D17E9">
        <w:rPr>
          <w:sz w:val="24"/>
          <w:szCs w:val="24"/>
        </w:rPr>
        <w:t>Coursework</w:t>
      </w:r>
      <w:r>
        <w:rPr>
          <w:sz w:val="24"/>
          <w:szCs w:val="24"/>
        </w:rPr>
        <w:t xml:space="preserve"> Gobbet, Excerpt 3</w:t>
      </w:r>
    </w:p>
    <w:p w:rsidR="007D17E9" w:rsidRDefault="007D17E9" w:rsidP="00B666CC">
      <w:pPr>
        <w:jc w:val="center"/>
        <w:rPr>
          <w:sz w:val="24"/>
          <w:szCs w:val="24"/>
        </w:rPr>
      </w:pPr>
      <w:r>
        <w:rPr>
          <w:sz w:val="24"/>
          <w:szCs w:val="24"/>
        </w:rPr>
        <w:t>31/10/2017</w:t>
      </w:r>
    </w:p>
    <w:p w:rsidR="007D17E9" w:rsidRPr="007D17E9" w:rsidRDefault="007D17E9" w:rsidP="00B666CC">
      <w:pPr>
        <w:jc w:val="center"/>
        <w:rPr>
          <w:sz w:val="24"/>
          <w:szCs w:val="24"/>
        </w:rPr>
      </w:pPr>
    </w:p>
    <w:p w:rsidR="00B666CC" w:rsidRPr="007D17E9" w:rsidRDefault="00B666CC" w:rsidP="007D17E9">
      <w:pPr>
        <w:rPr>
          <w:b/>
          <w:sz w:val="24"/>
          <w:szCs w:val="24"/>
        </w:rPr>
      </w:pPr>
      <w:r w:rsidRPr="007D17E9">
        <w:rPr>
          <w:sz w:val="24"/>
          <w:szCs w:val="24"/>
        </w:rPr>
        <w:br w:type="page"/>
      </w:r>
    </w:p>
    <w:p w:rsidR="00757826" w:rsidRDefault="00A20BBB" w:rsidP="00FC732F">
      <w:pPr>
        <w:spacing w:line="480" w:lineRule="auto"/>
      </w:pPr>
      <w:r>
        <w:lastRenderedPageBreak/>
        <w:t xml:space="preserve">This passage of the Odyssey is taken from Odysseus’s speech to the </w:t>
      </w:r>
      <w:proofErr w:type="spellStart"/>
      <w:r>
        <w:t>Phaeacian’s</w:t>
      </w:r>
      <w:proofErr w:type="spellEnd"/>
      <w:r>
        <w:t xml:space="preserve"> whereby </w:t>
      </w:r>
      <w:r w:rsidR="007A04A1">
        <w:t xml:space="preserve">the hero is relaying the tale of how he ended up in Scheria, the </w:t>
      </w:r>
      <w:proofErr w:type="spellStart"/>
      <w:r w:rsidR="004E0A8C">
        <w:t>P</w:t>
      </w:r>
      <w:r w:rsidR="007A04A1">
        <w:t>haeacian’s</w:t>
      </w:r>
      <w:proofErr w:type="spellEnd"/>
      <w:r w:rsidR="007A04A1">
        <w:t xml:space="preserve"> </w:t>
      </w:r>
      <w:r w:rsidR="004E0A8C">
        <w:t>homeland, via the island of Ogygia, home to the C</w:t>
      </w:r>
      <w:r w:rsidR="007A04A1">
        <w:t xml:space="preserve">yclopes. </w:t>
      </w:r>
      <w:r w:rsidR="004E0A8C">
        <w:t xml:space="preserve">In terms of the story the significance of Odysseus speaking about the cyclopes is clear as the disguised goddess Athene alludes to the </w:t>
      </w:r>
      <w:proofErr w:type="spellStart"/>
      <w:r w:rsidR="004E0A8C">
        <w:t>Phaeacian’s</w:t>
      </w:r>
      <w:proofErr w:type="spellEnd"/>
      <w:r w:rsidR="004E0A8C">
        <w:t xml:space="preserve"> ancestral distain for the ‘Giants’</w:t>
      </w:r>
      <w:r w:rsidR="004E0A8C">
        <w:rPr>
          <w:rStyle w:val="FootnoteReference"/>
        </w:rPr>
        <w:footnoteReference w:id="1"/>
      </w:r>
      <w:r>
        <w:t xml:space="preserve"> </w:t>
      </w:r>
      <w:r w:rsidR="00E95291">
        <w:t xml:space="preserve">through their current king </w:t>
      </w:r>
      <w:proofErr w:type="spellStart"/>
      <w:r w:rsidR="00E95291">
        <w:t>Alcinous</w:t>
      </w:r>
      <w:proofErr w:type="spellEnd"/>
      <w:r w:rsidR="00E95291">
        <w:t xml:space="preserve">’ links with the mythological king </w:t>
      </w:r>
      <w:proofErr w:type="spellStart"/>
      <w:r w:rsidR="00E95291">
        <w:t>Eurymedon</w:t>
      </w:r>
      <w:proofErr w:type="spellEnd"/>
      <w:r w:rsidR="00E95291">
        <w:t xml:space="preserve">. </w:t>
      </w:r>
    </w:p>
    <w:p w:rsidR="00E95291" w:rsidRDefault="00E95291" w:rsidP="00FC732F">
      <w:pPr>
        <w:spacing w:line="480" w:lineRule="auto"/>
      </w:pPr>
      <w:r>
        <w:t>Thematically this passage exhibits Odysseus</w:t>
      </w:r>
      <w:r w:rsidR="00562322">
        <w:t xml:space="preserve">’ key attribute of </w:t>
      </w:r>
      <w:proofErr w:type="spellStart"/>
      <w:r w:rsidR="00B666CC">
        <w:rPr>
          <w:i/>
        </w:rPr>
        <w:t>Mētis</w:t>
      </w:r>
      <w:proofErr w:type="spellEnd"/>
      <w:r w:rsidR="00562322">
        <w:t xml:space="preserve"> to overcome obstacles which prevent his return home</w:t>
      </w:r>
      <w:r w:rsidR="00FE2DE2">
        <w:t>;</w:t>
      </w:r>
      <w:r w:rsidR="00562322">
        <w:t xml:space="preserve"> instead of wildly lashing out at Polyphemus for devouring his men as wo</w:t>
      </w:r>
      <w:r w:rsidR="006E3EFC">
        <w:t>uld be the likely response of a more impetuous</w:t>
      </w:r>
      <w:r w:rsidR="001A7F45">
        <w:t xml:space="preserve"> </w:t>
      </w:r>
      <w:proofErr w:type="spellStart"/>
      <w:r w:rsidR="001A7F45">
        <w:t>Iliadic</w:t>
      </w:r>
      <w:proofErr w:type="spellEnd"/>
      <w:r w:rsidR="001A7F45">
        <w:t xml:space="preserve"> hero, Odysseus instead formulates a plan to deal with the monster. However this should not be taken as Odysseus being cowardly in the face </w:t>
      </w:r>
      <w:r w:rsidR="00FE2DE2">
        <w:t xml:space="preserve">of danger </w:t>
      </w:r>
      <w:r w:rsidR="001A7F45">
        <w:t>as he still proclaimed to have “murder in [his] heart”</w:t>
      </w:r>
      <w:r w:rsidR="001A7F45">
        <w:rPr>
          <w:rStyle w:val="FootnoteReference"/>
        </w:rPr>
        <w:footnoteReference w:id="2"/>
      </w:r>
      <w:r w:rsidR="001A7F45">
        <w:t xml:space="preserve"> </w:t>
      </w:r>
      <w:r w:rsidR="00FE2DE2">
        <w:t xml:space="preserve">thus </w:t>
      </w:r>
      <w:r w:rsidR="001A7F45">
        <w:t>proving that the idea of fighting Polyphemus must have crossed his mind, f</w:t>
      </w:r>
      <w:r w:rsidR="00B666CC">
        <w:t xml:space="preserve">urthermore Odysseus’ use of </w:t>
      </w:r>
      <w:proofErr w:type="spellStart"/>
      <w:r w:rsidR="001A7F45">
        <w:rPr>
          <w:i/>
        </w:rPr>
        <w:t>Mētis</w:t>
      </w:r>
      <w:proofErr w:type="spellEnd"/>
      <w:r w:rsidR="001A7F45">
        <w:t xml:space="preserve"> is signified to us as an audience by his prayer to Athene</w:t>
      </w:r>
      <w:r w:rsidR="00FE2DE2">
        <w:rPr>
          <w:rStyle w:val="FootnoteReference"/>
        </w:rPr>
        <w:footnoteReference w:id="3"/>
      </w:r>
      <w:r w:rsidR="001A7F45">
        <w:t xml:space="preserve"> who aids him throughout his journey. This </w:t>
      </w:r>
      <w:r w:rsidR="00FE2DE2">
        <w:t xml:space="preserve">leads on to a </w:t>
      </w:r>
      <w:r w:rsidR="00327FF7">
        <w:t xml:space="preserve"> point made by Segal that Odysseus seems surer of divine support later in the second half of the Odyssey</w:t>
      </w:r>
      <w:r w:rsidR="00327FF7">
        <w:rPr>
          <w:rStyle w:val="FootnoteReference"/>
        </w:rPr>
        <w:footnoteReference w:id="4"/>
      </w:r>
      <w:r w:rsidR="00327FF7">
        <w:t xml:space="preserve"> (when killing the suitors), and this is demonstrated in this passage by Odysseus wishing his prayer to Athene</w:t>
      </w:r>
      <w:r w:rsidR="003637D8">
        <w:rPr>
          <w:rStyle w:val="FootnoteReference"/>
        </w:rPr>
        <w:footnoteReference w:id="5"/>
      </w:r>
      <w:r w:rsidR="00327FF7">
        <w:t xml:space="preserve"> be answered and not simply expecting divine aid. </w:t>
      </w:r>
    </w:p>
    <w:p w:rsidR="001B21CB" w:rsidRDefault="001B21CB" w:rsidP="00FC732F">
      <w:pPr>
        <w:spacing w:line="480" w:lineRule="auto"/>
      </w:pPr>
      <w:r>
        <w:t xml:space="preserve">Moving on in the passage we come to the line: </w:t>
      </w:r>
    </w:p>
    <w:p w:rsidR="001B21CB" w:rsidRPr="001B21CB" w:rsidRDefault="001B21CB" w:rsidP="001B21CB">
      <w:pPr>
        <w:spacing w:line="480" w:lineRule="auto"/>
        <w:rPr>
          <w:i/>
        </w:rPr>
      </w:pPr>
      <w:r w:rsidRPr="001B21CB">
        <w:rPr>
          <w:i/>
        </w:rPr>
        <w:t>“Lying by the pen, the Cyclops had a huge staff of green olive-wood, which he had cut to carry in his</w:t>
      </w:r>
    </w:p>
    <w:p w:rsidR="001B21CB" w:rsidRDefault="001B21CB" w:rsidP="001B21CB">
      <w:pPr>
        <w:spacing w:line="480" w:lineRule="auto"/>
        <w:rPr>
          <w:i/>
        </w:rPr>
      </w:pPr>
      <w:r w:rsidRPr="001B21CB">
        <w:rPr>
          <w:i/>
        </w:rPr>
        <w:t>hand when it was seasoned.</w:t>
      </w:r>
      <w:r>
        <w:rPr>
          <w:i/>
        </w:rPr>
        <w:t>”</w:t>
      </w:r>
    </w:p>
    <w:p w:rsidR="001B21CB" w:rsidRDefault="00B666CC" w:rsidP="001B21CB">
      <w:pPr>
        <w:spacing w:line="480" w:lineRule="auto"/>
      </w:pPr>
      <w:r>
        <w:t>H</w:t>
      </w:r>
      <w:r w:rsidR="001B21CB">
        <w:t>ere the author uses the very subtle yet effective symbolism of the branch of ‘olive-wood’ in a situation in which Odysseus is savi</w:t>
      </w:r>
      <w:r w:rsidR="00314866">
        <w:t>ng himself; th</w:t>
      </w:r>
      <w:r w:rsidR="001B21CB">
        <w:t xml:space="preserve">e use of olive in these situations </w:t>
      </w:r>
      <w:r w:rsidR="00314866">
        <w:t xml:space="preserve">is a recurring theme throughout the Odyssey. As noted by Schein however, the use of the olive-wood does lead to a </w:t>
      </w:r>
      <w:r w:rsidR="00314866">
        <w:lastRenderedPageBreak/>
        <w:t xml:space="preserve">breakdown of narrative structure in this instance as </w:t>
      </w:r>
      <w:r>
        <w:t xml:space="preserve">he argues that as in any </w:t>
      </w:r>
      <w:proofErr w:type="spellStart"/>
      <w:r w:rsidR="00314866">
        <w:t>folklorish</w:t>
      </w:r>
      <w:proofErr w:type="spellEnd"/>
      <w:r w:rsidR="00314866">
        <w:t xml:space="preserve"> retelling of this scene Odys</w:t>
      </w:r>
      <w:r>
        <w:t xml:space="preserve">seus would always use the </w:t>
      </w:r>
      <w:r w:rsidR="00314866">
        <w:t>roasting spit used by Polyphemus in his cave to cook the hero’s crewmembers before devouring them to stab the cyclops in the eye</w:t>
      </w:r>
      <w:r w:rsidR="00400D56">
        <w:rPr>
          <w:rStyle w:val="FootnoteReference"/>
        </w:rPr>
        <w:footnoteReference w:id="6"/>
      </w:r>
      <w:r w:rsidR="00314866">
        <w:t>.</w:t>
      </w:r>
      <w:r>
        <w:t xml:space="preserve"> Thus by changing this one </w:t>
      </w:r>
      <w:r w:rsidR="00314866">
        <w:t xml:space="preserve">detail Homer must </w:t>
      </w:r>
      <w:r w:rsidR="00FA1123">
        <w:t>then also change the Cyclopes as a race to a much more savage breed of creatures that eat men raw</w:t>
      </w:r>
      <w:r w:rsidR="00FA1123">
        <w:rPr>
          <w:rStyle w:val="FootnoteReference"/>
        </w:rPr>
        <w:footnoteReference w:id="7"/>
      </w:r>
      <w:r w:rsidR="00FA1123">
        <w:t xml:space="preserve">. This is at odds with the common mythology of cyclopes such as the creatures mentioned by Hesiod in his </w:t>
      </w:r>
      <w:proofErr w:type="spellStart"/>
      <w:r w:rsidR="00FA1123">
        <w:t>Theogony</w:t>
      </w:r>
      <w:proofErr w:type="spellEnd"/>
      <w:r w:rsidR="00FA1123">
        <w:t>, who were an advanced race</w:t>
      </w:r>
      <w:r w:rsidR="003637D8">
        <w:rPr>
          <w:rStyle w:val="FootnoteReference"/>
        </w:rPr>
        <w:footnoteReference w:id="8"/>
      </w:r>
      <w:r w:rsidR="00FA1123">
        <w:t>, especially in blacksmithing thus this one slight change made by Homer can be seen to be “breaking the flow of action to action</w:t>
      </w:r>
      <w:r w:rsidR="00856710">
        <w:t>”</w:t>
      </w:r>
      <w:r w:rsidR="00856710">
        <w:rPr>
          <w:rStyle w:val="FootnoteReference"/>
        </w:rPr>
        <w:footnoteReference w:id="9"/>
      </w:r>
      <w:r w:rsidR="003637D8">
        <w:t>.</w:t>
      </w:r>
      <w:r w:rsidR="00856710">
        <w:t xml:space="preserve"> I must go on to further agree with Schein however that in terms of the story over all the epic this was done specifically as one of five times that Odysseus is saved whereby some sort of olive symbolism is present</w:t>
      </w:r>
      <w:r w:rsidR="003637D8">
        <w:rPr>
          <w:rStyle w:val="FootnoteReference"/>
        </w:rPr>
        <w:footnoteReference w:id="10"/>
      </w:r>
      <w:r>
        <w:t>,</w:t>
      </w:r>
      <w:r w:rsidR="00856710">
        <w:t xml:space="preserve"> this for me is an excellent example of a recurring theme wh</w:t>
      </w:r>
      <w:r>
        <w:t>ich runs throughout the O</w:t>
      </w:r>
      <w:r w:rsidR="00856710">
        <w:t>dyssey and is therefore conducive to the story.</w:t>
      </w:r>
    </w:p>
    <w:p w:rsidR="00B666CC" w:rsidRDefault="00B666CC" w:rsidP="001B21CB">
      <w:pPr>
        <w:spacing w:line="480" w:lineRule="auto"/>
      </w:pPr>
    </w:p>
    <w:p w:rsidR="00B666CC" w:rsidRDefault="00B666CC" w:rsidP="001B21CB">
      <w:pPr>
        <w:spacing w:line="480" w:lineRule="auto"/>
      </w:pPr>
    </w:p>
    <w:p w:rsidR="00B666CC" w:rsidRDefault="00B666CC" w:rsidP="001B21CB">
      <w:pPr>
        <w:spacing w:line="480" w:lineRule="auto"/>
      </w:pPr>
    </w:p>
    <w:p w:rsidR="00B666CC" w:rsidRDefault="00B666CC" w:rsidP="001B21CB">
      <w:pPr>
        <w:spacing w:line="480" w:lineRule="auto"/>
      </w:pPr>
    </w:p>
    <w:p w:rsidR="00B666CC" w:rsidRDefault="00B666CC" w:rsidP="001B21CB">
      <w:pPr>
        <w:spacing w:line="480" w:lineRule="auto"/>
      </w:pPr>
    </w:p>
    <w:p w:rsidR="00B666CC" w:rsidRDefault="00B666CC" w:rsidP="001B21CB">
      <w:pPr>
        <w:spacing w:line="480" w:lineRule="auto"/>
      </w:pPr>
    </w:p>
    <w:p w:rsidR="00B666CC" w:rsidRDefault="00B666CC" w:rsidP="001B21CB">
      <w:pPr>
        <w:spacing w:line="480" w:lineRule="auto"/>
      </w:pPr>
    </w:p>
    <w:p w:rsidR="00B666CC" w:rsidRDefault="00B666CC" w:rsidP="001B21CB">
      <w:pPr>
        <w:spacing w:line="480" w:lineRule="auto"/>
      </w:pPr>
    </w:p>
    <w:p w:rsidR="007D17E9" w:rsidRDefault="007D17E9" w:rsidP="001B21CB">
      <w:pPr>
        <w:spacing w:line="480" w:lineRule="auto"/>
      </w:pPr>
    </w:p>
    <w:p w:rsidR="00B666CC" w:rsidRDefault="00B666CC" w:rsidP="007D17E9">
      <w:pPr>
        <w:spacing w:line="480" w:lineRule="auto"/>
        <w:jc w:val="center"/>
      </w:pPr>
      <w:r>
        <w:lastRenderedPageBreak/>
        <w:t>Bibliography:</w:t>
      </w:r>
    </w:p>
    <w:p w:rsidR="007D17E9" w:rsidRDefault="00D67892" w:rsidP="007D17E9">
      <w:pPr>
        <w:spacing w:line="480" w:lineRule="auto"/>
      </w:pPr>
      <w:r>
        <w:t xml:space="preserve">Homer, Odyssey. Trans. E.V. </w:t>
      </w:r>
      <w:proofErr w:type="spellStart"/>
      <w:r>
        <w:t>Rieu</w:t>
      </w:r>
      <w:proofErr w:type="spellEnd"/>
      <w:r>
        <w:t>. 1946. London: Penguin Group.</w:t>
      </w:r>
    </w:p>
    <w:p w:rsidR="00D67892" w:rsidRDefault="00D67892" w:rsidP="007D17E9">
      <w:pPr>
        <w:spacing w:line="480" w:lineRule="auto"/>
      </w:pPr>
      <w:r>
        <w:t xml:space="preserve">Hesiod, </w:t>
      </w:r>
      <w:proofErr w:type="spellStart"/>
      <w:r>
        <w:t>Theogony</w:t>
      </w:r>
      <w:proofErr w:type="spellEnd"/>
      <w:r>
        <w:t>. Trans. Hugh G. Evelyn-White. 1914. London: Heinemann Ltd.</w:t>
      </w:r>
    </w:p>
    <w:p w:rsidR="00D67892" w:rsidRDefault="00D67892" w:rsidP="007D17E9">
      <w:pPr>
        <w:spacing w:line="480" w:lineRule="auto"/>
      </w:pPr>
      <w:r>
        <w:t>Segal, Charles, ‘Divine Justice in the Odyssey: Poseidon, Cyclops and Helios’. The American Journal of Philology, Vol.113, No.4 (Winter, 1992).</w:t>
      </w:r>
    </w:p>
    <w:p w:rsidR="00D67892" w:rsidRDefault="00D67892" w:rsidP="007D17E9">
      <w:pPr>
        <w:spacing w:line="480" w:lineRule="auto"/>
      </w:pPr>
      <w:r>
        <w:t xml:space="preserve">Schein, Seth </w:t>
      </w:r>
      <w:proofErr w:type="spellStart"/>
      <w:r>
        <w:t>L.,’Odysseus</w:t>
      </w:r>
      <w:proofErr w:type="spellEnd"/>
      <w:r>
        <w:t xml:space="preserve"> and Polyphemus in the Odyssey’. Greek, Roman and Byzantine studies 11, 1970</w:t>
      </w:r>
      <w:r w:rsidR="00F63B63">
        <w:t>.</w:t>
      </w:r>
      <w:bookmarkStart w:id="0" w:name="_GoBack"/>
      <w:bookmarkEnd w:id="0"/>
      <w:r>
        <w:t xml:space="preserve"> </w:t>
      </w:r>
    </w:p>
    <w:p w:rsidR="00D67892" w:rsidRDefault="00D67892" w:rsidP="007D17E9">
      <w:pPr>
        <w:spacing w:line="480" w:lineRule="auto"/>
      </w:pPr>
    </w:p>
    <w:p w:rsidR="00B666CC" w:rsidRPr="001B21CB" w:rsidRDefault="00B666CC" w:rsidP="00B666CC"/>
    <w:sectPr w:rsidR="00B666CC" w:rsidRPr="001B21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0A8C" w:rsidRDefault="004E0A8C" w:rsidP="004E0A8C">
      <w:pPr>
        <w:spacing w:after="0" w:line="240" w:lineRule="auto"/>
      </w:pPr>
      <w:r>
        <w:separator/>
      </w:r>
    </w:p>
  </w:endnote>
  <w:endnote w:type="continuationSeparator" w:id="0">
    <w:p w:rsidR="004E0A8C" w:rsidRDefault="004E0A8C" w:rsidP="004E0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0A8C" w:rsidRDefault="004E0A8C" w:rsidP="004E0A8C">
      <w:pPr>
        <w:spacing w:after="0" w:line="240" w:lineRule="auto"/>
      </w:pPr>
      <w:r>
        <w:separator/>
      </w:r>
    </w:p>
  </w:footnote>
  <w:footnote w:type="continuationSeparator" w:id="0">
    <w:p w:rsidR="004E0A8C" w:rsidRDefault="004E0A8C" w:rsidP="004E0A8C">
      <w:pPr>
        <w:spacing w:after="0" w:line="240" w:lineRule="auto"/>
      </w:pPr>
      <w:r>
        <w:continuationSeparator/>
      </w:r>
    </w:p>
  </w:footnote>
  <w:footnote w:id="1">
    <w:p w:rsidR="004E0A8C" w:rsidRDefault="004E0A8C">
      <w:pPr>
        <w:pStyle w:val="FootnoteText"/>
      </w:pPr>
      <w:r>
        <w:rPr>
          <w:rStyle w:val="FootnoteReference"/>
        </w:rPr>
        <w:footnoteRef/>
      </w:r>
      <w:r>
        <w:t xml:space="preserve"> Od</w:t>
      </w:r>
      <w:r w:rsidR="00400D56">
        <w:t>.</w:t>
      </w:r>
      <w:r>
        <w:t xml:space="preserve"> 7.55-60</w:t>
      </w:r>
    </w:p>
  </w:footnote>
  <w:footnote w:id="2">
    <w:p w:rsidR="001A7F45" w:rsidRDefault="001A7F45">
      <w:pPr>
        <w:pStyle w:val="FootnoteText"/>
      </w:pPr>
      <w:r>
        <w:rPr>
          <w:rStyle w:val="FootnoteReference"/>
        </w:rPr>
        <w:footnoteRef/>
      </w:r>
      <w:r>
        <w:t xml:space="preserve"> Od</w:t>
      </w:r>
      <w:r w:rsidR="00400D56">
        <w:t>.</w:t>
      </w:r>
      <w:r>
        <w:t xml:space="preserve"> 9.316</w:t>
      </w:r>
    </w:p>
  </w:footnote>
  <w:footnote w:id="3">
    <w:p w:rsidR="00FE2DE2" w:rsidRDefault="00FE2DE2">
      <w:pPr>
        <w:pStyle w:val="FootnoteText"/>
      </w:pPr>
      <w:r>
        <w:rPr>
          <w:rStyle w:val="FootnoteReference"/>
        </w:rPr>
        <w:footnoteRef/>
      </w:r>
      <w:r>
        <w:t xml:space="preserve"> Od</w:t>
      </w:r>
      <w:r w:rsidR="00400D56">
        <w:t>.</w:t>
      </w:r>
      <w:r>
        <w:t xml:space="preserve"> 9.317</w:t>
      </w:r>
    </w:p>
  </w:footnote>
  <w:footnote w:id="4">
    <w:p w:rsidR="00327FF7" w:rsidRDefault="00327FF7">
      <w:pPr>
        <w:pStyle w:val="FootnoteText"/>
      </w:pPr>
      <w:r>
        <w:rPr>
          <w:rStyle w:val="FootnoteReference"/>
        </w:rPr>
        <w:footnoteRef/>
      </w:r>
      <w:r>
        <w:t xml:space="preserve"> C. Segal, pg. 492</w:t>
      </w:r>
      <w:r w:rsidR="00400D56">
        <w:t>,</w:t>
      </w:r>
      <w:r>
        <w:t xml:space="preserve"> 1992</w:t>
      </w:r>
    </w:p>
  </w:footnote>
  <w:footnote w:id="5">
    <w:p w:rsidR="003637D8" w:rsidRDefault="003637D8">
      <w:pPr>
        <w:pStyle w:val="FootnoteText"/>
      </w:pPr>
    </w:p>
  </w:footnote>
  <w:footnote w:id="6">
    <w:p w:rsidR="00400D56" w:rsidRDefault="00400D56">
      <w:pPr>
        <w:pStyle w:val="FootnoteText"/>
      </w:pPr>
      <w:r>
        <w:rPr>
          <w:rStyle w:val="FootnoteReference"/>
        </w:rPr>
        <w:footnoteRef/>
      </w:r>
      <w:r>
        <w:t xml:space="preserve"> S.L. Schein, 1970</w:t>
      </w:r>
      <w:r w:rsidR="003637D8">
        <w:t>, pg. 75</w:t>
      </w:r>
      <w:r>
        <w:t xml:space="preserve"> </w:t>
      </w:r>
    </w:p>
  </w:footnote>
  <w:footnote w:id="7">
    <w:p w:rsidR="00FA1123" w:rsidRDefault="00FA1123" w:rsidP="007D17E9">
      <w:pPr>
        <w:spacing w:after="0" w:line="240" w:lineRule="auto"/>
      </w:pPr>
      <w:r>
        <w:rPr>
          <w:rStyle w:val="FootnoteReference"/>
        </w:rPr>
        <w:footnoteRef/>
      </w:r>
      <w:r>
        <w:t xml:space="preserve"> Od 9.292-293 </w:t>
      </w:r>
    </w:p>
  </w:footnote>
  <w:footnote w:id="8">
    <w:p w:rsidR="003637D8" w:rsidRDefault="003637D8" w:rsidP="007D17E9">
      <w:pPr>
        <w:pStyle w:val="FootnoteText"/>
      </w:pPr>
      <w:r>
        <w:rPr>
          <w:rStyle w:val="FootnoteReference"/>
        </w:rPr>
        <w:footnoteRef/>
      </w:r>
      <w:r w:rsidR="00B666CC">
        <w:t xml:space="preserve"> </w:t>
      </w:r>
      <w:proofErr w:type="spellStart"/>
      <w:r w:rsidR="00B666CC">
        <w:t>Hes</w:t>
      </w:r>
      <w:proofErr w:type="spellEnd"/>
      <w:r w:rsidR="00B666CC">
        <w:t>. Theo.</w:t>
      </w:r>
      <w:r w:rsidR="007D17E9">
        <w:t xml:space="preserve"> 139-149</w:t>
      </w:r>
    </w:p>
  </w:footnote>
  <w:footnote w:id="9">
    <w:p w:rsidR="00856710" w:rsidRPr="00856710" w:rsidRDefault="00856710" w:rsidP="00400D56">
      <w:pPr>
        <w:pStyle w:val="FootnoteText"/>
      </w:pPr>
      <w:r>
        <w:rPr>
          <w:rStyle w:val="FootnoteReference"/>
        </w:rPr>
        <w:footnoteRef/>
      </w:r>
      <w:r>
        <w:t xml:space="preserve"> S.L.</w:t>
      </w:r>
      <w:r w:rsidR="00400D56">
        <w:t xml:space="preserve"> Schein, 1970,</w:t>
      </w:r>
      <w:r>
        <w:rPr>
          <w:i/>
        </w:rPr>
        <w:t xml:space="preserve"> </w:t>
      </w:r>
      <w:r w:rsidR="00B666CC">
        <w:t>p</w:t>
      </w:r>
      <w:r>
        <w:t>g. 75</w:t>
      </w:r>
    </w:p>
  </w:footnote>
  <w:footnote w:id="10">
    <w:p w:rsidR="003637D8" w:rsidRDefault="003637D8">
      <w:pPr>
        <w:pStyle w:val="FootnoteText"/>
      </w:pPr>
      <w:r>
        <w:rPr>
          <w:rStyle w:val="FootnoteReference"/>
        </w:rPr>
        <w:footnoteRef/>
      </w:r>
      <w:r>
        <w:t xml:space="preserve"> </w:t>
      </w:r>
      <w:r w:rsidR="00B666CC">
        <w:t>S.L. Schein, 1970, pg. 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732F"/>
    <w:rsid w:val="001A7F45"/>
    <w:rsid w:val="001B21CB"/>
    <w:rsid w:val="00314866"/>
    <w:rsid w:val="00327FF7"/>
    <w:rsid w:val="003637D8"/>
    <w:rsid w:val="00400D56"/>
    <w:rsid w:val="004E0A8C"/>
    <w:rsid w:val="00562322"/>
    <w:rsid w:val="006E3EFC"/>
    <w:rsid w:val="00757826"/>
    <w:rsid w:val="007A04A1"/>
    <w:rsid w:val="007D17E9"/>
    <w:rsid w:val="00856710"/>
    <w:rsid w:val="00A20BBB"/>
    <w:rsid w:val="00B666CC"/>
    <w:rsid w:val="00D67892"/>
    <w:rsid w:val="00E95291"/>
    <w:rsid w:val="00F63B63"/>
    <w:rsid w:val="00FA1123"/>
    <w:rsid w:val="00FC732F"/>
    <w:rsid w:val="00FE2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01191"/>
  <w15:chartTrackingRefBased/>
  <w15:docId w15:val="{4E6FD48C-F6F5-4E18-8C05-7F086997A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0A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0A8C"/>
    <w:rPr>
      <w:sz w:val="20"/>
      <w:szCs w:val="20"/>
    </w:rPr>
  </w:style>
  <w:style w:type="character" w:styleId="FootnoteReference">
    <w:name w:val="footnote reference"/>
    <w:basedOn w:val="DefaultParagraphFont"/>
    <w:uiPriority w:val="99"/>
    <w:semiHidden/>
    <w:unhideWhenUsed/>
    <w:rsid w:val="004E0A8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B23EB6-4861-4CAF-9688-F1DD8E8A3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519</Words>
  <Characters>2961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Gedrych (1600772)</dc:creator>
  <cp:keywords/>
  <dc:description/>
  <cp:lastModifiedBy>Samuel Gedrych (1600772)</cp:lastModifiedBy>
  <cp:revision>2</cp:revision>
  <dcterms:created xsi:type="dcterms:W3CDTF">2017-10-31T15:54:00Z</dcterms:created>
  <dcterms:modified xsi:type="dcterms:W3CDTF">2017-10-31T15:54:00Z</dcterms:modified>
</cp:coreProperties>
</file>