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017" w:rsidRDefault="00180017" w:rsidP="00180017">
      <w:pPr>
        <w:rPr>
          <w:rStyle w:val="Strong"/>
          <w:b w:val="0"/>
          <w:sz w:val="36"/>
          <w:szCs w:val="36"/>
        </w:rPr>
      </w:pPr>
      <w:r>
        <w:rPr>
          <w:rStyle w:val="Strong"/>
          <w:b w:val="0"/>
          <w:sz w:val="36"/>
          <w:szCs w:val="36"/>
        </w:rPr>
        <w:t>Student name: Petru Vutcarau</w:t>
      </w:r>
    </w:p>
    <w:p w:rsidR="00180017" w:rsidRDefault="00180017" w:rsidP="00180017">
      <w:pPr>
        <w:rPr>
          <w:rStyle w:val="Strong"/>
          <w:b w:val="0"/>
          <w:sz w:val="36"/>
          <w:szCs w:val="36"/>
        </w:rPr>
      </w:pPr>
      <w:r>
        <w:rPr>
          <w:rStyle w:val="Strong"/>
          <w:b w:val="0"/>
          <w:sz w:val="36"/>
          <w:szCs w:val="36"/>
        </w:rPr>
        <w:t>Student ID: 2013037</w:t>
      </w:r>
    </w:p>
    <w:p w:rsidR="00180017" w:rsidRDefault="00180017" w:rsidP="00180017">
      <w:pPr>
        <w:rPr>
          <w:rStyle w:val="Strong"/>
          <w:b w:val="0"/>
          <w:sz w:val="36"/>
          <w:szCs w:val="36"/>
        </w:rPr>
      </w:pPr>
      <w:r>
        <w:rPr>
          <w:rStyle w:val="Strong"/>
          <w:b w:val="0"/>
          <w:sz w:val="36"/>
          <w:szCs w:val="36"/>
        </w:rPr>
        <w:t xml:space="preserve">Module name: LCBB4001 Accounting Fundamentals </w:t>
      </w:r>
    </w:p>
    <w:p w:rsidR="00180017" w:rsidRDefault="00180017" w:rsidP="00180017">
      <w:pPr>
        <w:rPr>
          <w:rStyle w:val="Strong"/>
          <w:b w:val="0"/>
          <w:sz w:val="36"/>
          <w:szCs w:val="36"/>
        </w:rPr>
      </w:pPr>
      <w:r>
        <w:rPr>
          <w:rStyle w:val="Strong"/>
          <w:b w:val="0"/>
          <w:sz w:val="36"/>
          <w:szCs w:val="36"/>
        </w:rPr>
        <w:t>Assignment Title: Accounting Fundamentals Assessment 1</w:t>
      </w:r>
    </w:p>
    <w:p w:rsidR="00180017" w:rsidRDefault="00180017" w:rsidP="00180017">
      <w:pPr>
        <w:rPr>
          <w:rStyle w:val="Strong"/>
          <w:b w:val="0"/>
          <w:sz w:val="36"/>
          <w:szCs w:val="36"/>
        </w:rPr>
      </w:pPr>
      <w:r>
        <w:rPr>
          <w:rStyle w:val="Strong"/>
          <w:b w:val="0"/>
          <w:sz w:val="36"/>
          <w:szCs w:val="36"/>
        </w:rPr>
        <w:t xml:space="preserve">Lecture’s name: </w:t>
      </w:r>
      <w:proofErr w:type="spellStart"/>
      <w:r>
        <w:rPr>
          <w:rStyle w:val="Strong"/>
          <w:b w:val="0"/>
          <w:sz w:val="36"/>
          <w:szCs w:val="36"/>
        </w:rPr>
        <w:t>Widin</w:t>
      </w:r>
      <w:proofErr w:type="spellEnd"/>
      <w:r>
        <w:rPr>
          <w:rStyle w:val="Strong"/>
          <w:b w:val="0"/>
          <w:sz w:val="36"/>
          <w:szCs w:val="36"/>
        </w:rPr>
        <w:t xml:space="preserve"> </w:t>
      </w:r>
      <w:proofErr w:type="spellStart"/>
      <w:r>
        <w:rPr>
          <w:rStyle w:val="Strong"/>
          <w:b w:val="0"/>
          <w:sz w:val="36"/>
          <w:szCs w:val="36"/>
        </w:rPr>
        <w:t>Bongasu</w:t>
      </w:r>
      <w:proofErr w:type="spellEnd"/>
      <w:r>
        <w:rPr>
          <w:rStyle w:val="Strong"/>
          <w:b w:val="0"/>
          <w:sz w:val="36"/>
          <w:szCs w:val="36"/>
        </w:rPr>
        <w:t xml:space="preserve"> </w:t>
      </w:r>
      <w:proofErr w:type="spellStart"/>
      <w:r>
        <w:rPr>
          <w:rStyle w:val="Strong"/>
          <w:b w:val="0"/>
          <w:sz w:val="36"/>
          <w:szCs w:val="36"/>
        </w:rPr>
        <w:t>Sha’ven</w:t>
      </w:r>
      <w:proofErr w:type="spellEnd"/>
    </w:p>
    <w:p w:rsidR="00180017" w:rsidRDefault="00180017" w:rsidP="00180017">
      <w:pPr>
        <w:rPr>
          <w:rFonts w:eastAsia="Calibri" w:cstheme="minorHAnsi"/>
          <w:sz w:val="24"/>
          <w:szCs w:val="24"/>
        </w:rPr>
      </w:pPr>
    </w:p>
    <w:p w:rsidR="00180017" w:rsidRDefault="00180017" w:rsidP="00180017">
      <w:pPr>
        <w:rPr>
          <w:rFonts w:eastAsia="Calibri" w:cstheme="minorHAnsi"/>
          <w:sz w:val="24"/>
          <w:szCs w:val="24"/>
        </w:rPr>
      </w:pPr>
    </w:p>
    <w:p w:rsidR="00180017" w:rsidRDefault="00180017" w:rsidP="00180017">
      <w:pPr>
        <w:rPr>
          <w:rFonts w:eastAsia="Calibri" w:cstheme="minorHAnsi"/>
          <w:sz w:val="24"/>
          <w:szCs w:val="24"/>
        </w:rPr>
      </w:pPr>
    </w:p>
    <w:p w:rsidR="00180017" w:rsidRDefault="00180017" w:rsidP="00180017">
      <w:pPr>
        <w:rPr>
          <w:rFonts w:eastAsia="Calibri" w:cstheme="minorHAnsi"/>
          <w:sz w:val="24"/>
          <w:szCs w:val="24"/>
        </w:rPr>
      </w:pPr>
    </w:p>
    <w:p w:rsidR="00180017" w:rsidRDefault="00180017" w:rsidP="00180017">
      <w:pPr>
        <w:rPr>
          <w:rFonts w:eastAsia="Calibri" w:cstheme="minorHAnsi"/>
          <w:sz w:val="24"/>
          <w:szCs w:val="24"/>
        </w:rPr>
      </w:pPr>
    </w:p>
    <w:p w:rsidR="00180017" w:rsidRDefault="00180017" w:rsidP="00180017">
      <w:pPr>
        <w:rPr>
          <w:rFonts w:eastAsia="Calibri" w:cstheme="minorHAnsi"/>
          <w:sz w:val="24"/>
          <w:szCs w:val="24"/>
        </w:rPr>
      </w:pPr>
    </w:p>
    <w:p w:rsidR="00180017" w:rsidRDefault="00180017" w:rsidP="00445247">
      <w:pPr>
        <w:jc w:val="both"/>
        <w:rPr>
          <w:rFonts w:eastAsia="Calibri" w:cstheme="minorHAnsi"/>
          <w:sz w:val="24"/>
          <w:szCs w:val="24"/>
        </w:rPr>
      </w:pPr>
    </w:p>
    <w:p w:rsidR="00180017" w:rsidRDefault="00180017" w:rsidP="00445247">
      <w:pPr>
        <w:jc w:val="both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  “In submitting this work, I affirm that my work adheres to the scholarly and intellectual standards of honesty and integrity. I affirm that this work is my work only and that in the preparation of this work I have not consulted any person. I affirm that I have not plagiarized or misrepresented the ideas or language of someone else as my own and that I have fully and accurately attributed any ideas or text of others to the sources and documented each source”.</w:t>
      </w:r>
    </w:p>
    <w:p w:rsidR="00180017" w:rsidRDefault="00180017" w:rsidP="00180017">
      <w:pPr>
        <w:jc w:val="center"/>
        <w:rPr>
          <w:rFonts w:eastAsia="Times New Roman" w:cstheme="minorHAnsi"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001C31" w:rsidRDefault="00001C31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Question 1</w:t>
      </w:r>
    </w:p>
    <w:p w:rsidR="00180017" w:rsidRPr="00180017" w:rsidRDefault="00180017" w:rsidP="00180017">
      <w:pPr>
        <w:rPr>
          <w:rFonts w:cstheme="minorHAnsi"/>
          <w:b/>
          <w:sz w:val="24"/>
          <w:szCs w:val="24"/>
          <w:u w:val="single"/>
        </w:rPr>
      </w:pPr>
      <w:r w:rsidRPr="00180017">
        <w:rPr>
          <w:rFonts w:cstheme="minorHAnsi"/>
          <w:b/>
          <w:sz w:val="24"/>
          <w:szCs w:val="24"/>
          <w:u w:val="single"/>
        </w:rPr>
        <w:t>a.</w:t>
      </w:r>
    </w:p>
    <w:p w:rsidR="00180017" w:rsidRPr="00445247" w:rsidRDefault="00180017" w:rsidP="00180017">
      <w:pPr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>Eccles Plc</w:t>
      </w:r>
      <w:r w:rsidR="00445247">
        <w:rPr>
          <w:rFonts w:cstheme="minorHAnsi"/>
          <w:sz w:val="24"/>
          <w:szCs w:val="24"/>
          <w:u w:val="single"/>
        </w:rPr>
        <w:t xml:space="preserve"> </w:t>
      </w:r>
      <w:r w:rsidRPr="00180017">
        <w:rPr>
          <w:rFonts w:cstheme="minorHAnsi"/>
          <w:b/>
          <w:sz w:val="24"/>
          <w:szCs w:val="24"/>
          <w:u w:val="single"/>
        </w:rPr>
        <w:t>Income statement as at 31</w:t>
      </w:r>
      <w:r w:rsidRPr="00180017">
        <w:rPr>
          <w:rFonts w:cstheme="minorHAnsi"/>
          <w:b/>
          <w:sz w:val="24"/>
          <w:szCs w:val="24"/>
          <w:u w:val="single"/>
          <w:vertAlign w:val="superscript"/>
        </w:rPr>
        <w:t>st</w:t>
      </w:r>
      <w:r w:rsidRPr="00180017">
        <w:rPr>
          <w:rFonts w:cstheme="minorHAnsi"/>
          <w:b/>
          <w:sz w:val="24"/>
          <w:szCs w:val="24"/>
          <w:u w:val="single"/>
        </w:rPr>
        <w:t xml:space="preserve"> December 2019</w:t>
      </w:r>
    </w:p>
    <w:p w:rsidR="00180017" w:rsidRDefault="00180017" w:rsidP="00180017">
      <w:pPr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Ledger                                            Account                                       Debit     </w:t>
      </w:r>
      <w:r w:rsidR="00D3195A">
        <w:rPr>
          <w:rFonts w:cstheme="minorHAnsi"/>
          <w:sz w:val="24"/>
          <w:szCs w:val="24"/>
        </w:rPr>
        <w:t xml:space="preserve">                              </w:t>
      </w:r>
      <w:r>
        <w:rPr>
          <w:rFonts w:cstheme="minorHAnsi"/>
          <w:sz w:val="24"/>
          <w:szCs w:val="24"/>
        </w:rPr>
        <w:t>Credit</w:t>
      </w:r>
    </w:p>
    <w:p w:rsidR="00D44D1D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Income                                         </w:t>
      </w:r>
    </w:p>
    <w:p w:rsidR="00180017" w:rsidRDefault="00446C15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</w:t>
      </w:r>
      <w:r w:rsidR="00180017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ales                </w:t>
      </w:r>
      <w:r w:rsidR="00180017">
        <w:rPr>
          <w:rFonts w:cstheme="minorHAnsi"/>
          <w:sz w:val="24"/>
          <w:szCs w:val="24"/>
        </w:rPr>
        <w:t xml:space="preserve">                                                             </w:t>
      </w:r>
      <w:r w:rsidR="00D44D1D">
        <w:rPr>
          <w:rFonts w:cstheme="minorHAnsi"/>
          <w:sz w:val="24"/>
          <w:szCs w:val="24"/>
        </w:rPr>
        <w:t xml:space="preserve">        </w:t>
      </w:r>
      <w:r w:rsidR="00180017">
        <w:rPr>
          <w:rFonts w:cstheme="minorHAnsi"/>
          <w:sz w:val="24"/>
          <w:szCs w:val="24"/>
        </w:rPr>
        <w:t>827,630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Cost of sales                                  Commissions payable</w:t>
      </w:r>
      <w:r w:rsidR="00B454C5">
        <w:rPr>
          <w:rFonts w:cstheme="minorHAnsi"/>
          <w:sz w:val="24"/>
          <w:szCs w:val="24"/>
        </w:rPr>
        <w:t xml:space="preserve">             </w:t>
      </w:r>
      <w:r>
        <w:rPr>
          <w:rFonts w:cstheme="minorHAnsi"/>
          <w:sz w:val="24"/>
          <w:szCs w:val="24"/>
        </w:rPr>
        <w:t xml:space="preserve">  3,000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Other                                         28,000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Purchases                               578,650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Expenses                                        Administrative Expenses        30,000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Directors salaries                       5,000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Interest – bank                           2,000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Non-equity dividends              50,000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Taxation                                          Corporation tax                        68,000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FA – plant and machinery           Cost                                           632,730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Stocks                                              Finished goods                       330,600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Debtors                                           Trade debtors                         171,105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Bank                                                 Current account                      12,900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Creditors                                         Accruals                                                           </w:t>
      </w:r>
      <w:r w:rsidR="00B454C5">
        <w:rPr>
          <w:rFonts w:cstheme="minorHAnsi"/>
          <w:sz w:val="24"/>
          <w:szCs w:val="24"/>
        </w:rPr>
        <w:t xml:space="preserve">      </w:t>
      </w:r>
      <w:r w:rsidR="00446C15">
        <w:rPr>
          <w:rFonts w:cstheme="minorHAnsi"/>
          <w:sz w:val="24"/>
          <w:szCs w:val="24"/>
        </w:rPr>
        <w:t xml:space="preserve">      </w:t>
      </w:r>
      <w:r w:rsidR="00B454C5">
        <w:rPr>
          <w:rFonts w:cstheme="minorHAnsi"/>
          <w:sz w:val="24"/>
          <w:szCs w:val="24"/>
        </w:rPr>
        <w:t xml:space="preserve">    </w:t>
      </w:r>
      <w:r w:rsidR="00446C15">
        <w:rPr>
          <w:rFonts w:cstheme="minorHAnsi"/>
          <w:sz w:val="24"/>
          <w:szCs w:val="24"/>
        </w:rPr>
        <w:t>3,000</w:t>
      </w:r>
      <w:r w:rsidR="00B454C5">
        <w:rPr>
          <w:rFonts w:cstheme="minorHAnsi"/>
          <w:sz w:val="24"/>
          <w:szCs w:val="24"/>
        </w:rPr>
        <w:t xml:space="preserve">                 </w:t>
      </w:r>
      <w:r>
        <w:rPr>
          <w:rFonts w:cstheme="minorHAnsi"/>
          <w:sz w:val="24"/>
          <w:szCs w:val="24"/>
        </w:rPr>
        <w:t xml:space="preserve">                                         </w:t>
      </w:r>
      <w:r w:rsidR="00B454C5">
        <w:rPr>
          <w:rFonts w:cstheme="minorHAnsi"/>
          <w:sz w:val="24"/>
          <w:szCs w:val="24"/>
        </w:rPr>
        <w:t xml:space="preserve">            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</w:t>
      </w:r>
      <w:r w:rsidR="00446C15">
        <w:rPr>
          <w:rFonts w:cstheme="minorHAnsi"/>
          <w:sz w:val="24"/>
          <w:szCs w:val="24"/>
        </w:rPr>
        <w:t>Corporation tax</w:t>
      </w:r>
      <w:r>
        <w:rPr>
          <w:rFonts w:cstheme="minorHAnsi"/>
          <w:sz w:val="24"/>
          <w:szCs w:val="24"/>
        </w:rPr>
        <w:t xml:space="preserve">             </w:t>
      </w:r>
      <w:r w:rsidR="00446C15">
        <w:rPr>
          <w:rFonts w:cstheme="minorHAnsi"/>
          <w:sz w:val="24"/>
          <w:szCs w:val="24"/>
        </w:rPr>
        <w:t xml:space="preserve">                                                68,000</w:t>
      </w:r>
    </w:p>
    <w:p w:rsidR="00446C15" w:rsidRDefault="00446C15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</w:t>
      </w:r>
      <w:r w:rsidR="00B454C5">
        <w:rPr>
          <w:rFonts w:cstheme="minorHAnsi"/>
          <w:sz w:val="24"/>
          <w:szCs w:val="24"/>
        </w:rPr>
        <w:t xml:space="preserve">Debentures    </w:t>
      </w:r>
      <w:r w:rsidR="00180017">
        <w:rPr>
          <w:rFonts w:cstheme="minorHAnsi"/>
          <w:sz w:val="24"/>
          <w:szCs w:val="24"/>
        </w:rPr>
        <w:t xml:space="preserve">         </w:t>
      </w:r>
      <w:r w:rsidR="00B454C5">
        <w:rPr>
          <w:rFonts w:cstheme="minorHAnsi"/>
          <w:sz w:val="24"/>
          <w:szCs w:val="24"/>
        </w:rPr>
        <w:t xml:space="preserve">              </w:t>
      </w:r>
      <w:r w:rsidR="00180017"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sz w:val="24"/>
          <w:szCs w:val="24"/>
        </w:rPr>
        <w:t xml:space="preserve">                                   100,000</w:t>
      </w:r>
      <w:r w:rsidR="00180017">
        <w:rPr>
          <w:rFonts w:cstheme="minorHAnsi"/>
          <w:sz w:val="24"/>
          <w:szCs w:val="24"/>
        </w:rPr>
        <w:t xml:space="preserve">                         </w:t>
      </w:r>
      <w:r w:rsidR="00D3195A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 xml:space="preserve">               </w:t>
      </w:r>
    </w:p>
    <w:p w:rsidR="00180017" w:rsidRDefault="00446C15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</w:t>
      </w:r>
      <w:r w:rsidR="00180017">
        <w:rPr>
          <w:rFonts w:cstheme="minorHAnsi"/>
          <w:sz w:val="24"/>
          <w:szCs w:val="24"/>
        </w:rPr>
        <w:t xml:space="preserve">Trade creditors                                                   </w:t>
      </w:r>
      <w:r>
        <w:rPr>
          <w:rFonts w:cstheme="minorHAnsi"/>
          <w:sz w:val="24"/>
          <w:szCs w:val="24"/>
        </w:rPr>
        <w:t xml:space="preserve">      </w:t>
      </w:r>
      <w:r w:rsidR="00180017">
        <w:rPr>
          <w:rFonts w:cstheme="minorHAnsi"/>
          <w:sz w:val="24"/>
          <w:szCs w:val="24"/>
        </w:rPr>
        <w:t xml:space="preserve">   </w:t>
      </w:r>
      <w:r w:rsidR="00B454C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171,355</w:t>
      </w:r>
      <w:r w:rsidR="00B454C5">
        <w:rPr>
          <w:rFonts w:cstheme="minorHAnsi"/>
          <w:sz w:val="24"/>
          <w:szCs w:val="24"/>
        </w:rPr>
        <w:t xml:space="preserve">            </w:t>
      </w:r>
      <w:r w:rsidR="00180017">
        <w:rPr>
          <w:rFonts w:cstheme="minorHAnsi"/>
          <w:sz w:val="24"/>
          <w:szCs w:val="24"/>
        </w:rPr>
        <w:t xml:space="preserve">               </w:t>
      </w:r>
      <w:r w:rsidR="00D3195A">
        <w:rPr>
          <w:rFonts w:cstheme="minorHAnsi"/>
          <w:sz w:val="24"/>
          <w:szCs w:val="24"/>
        </w:rPr>
        <w:t xml:space="preserve">                                    </w:t>
      </w:r>
      <w:r>
        <w:rPr>
          <w:rFonts w:cstheme="minorHAnsi"/>
          <w:sz w:val="24"/>
          <w:szCs w:val="24"/>
        </w:rPr>
        <w:t xml:space="preserve"> 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Share capital                                  Ordinary shares                      </w:t>
      </w:r>
      <w:r w:rsidR="00B454C5">
        <w:rPr>
          <w:rFonts w:cstheme="minorHAnsi"/>
          <w:sz w:val="24"/>
          <w:szCs w:val="24"/>
        </w:rPr>
        <w:t xml:space="preserve">   </w:t>
      </w:r>
      <w:r w:rsidR="00D3195A">
        <w:rPr>
          <w:rFonts w:cstheme="minorHAnsi"/>
          <w:sz w:val="24"/>
          <w:szCs w:val="24"/>
        </w:rPr>
        <w:t xml:space="preserve">   </w:t>
      </w:r>
      <w:r w:rsidR="00446C15">
        <w:rPr>
          <w:rFonts w:cstheme="minorHAnsi"/>
          <w:sz w:val="24"/>
          <w:szCs w:val="24"/>
        </w:rPr>
        <w:t xml:space="preserve">                               </w:t>
      </w:r>
      <w:r w:rsidR="00B454C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310,000</w:t>
      </w:r>
    </w:p>
    <w:p w:rsidR="00180017" w:rsidRDefault="00446C15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</w:t>
      </w:r>
      <w:r w:rsidR="00180017">
        <w:rPr>
          <w:rFonts w:cstheme="minorHAnsi"/>
          <w:sz w:val="24"/>
          <w:szCs w:val="24"/>
        </w:rPr>
        <w:t xml:space="preserve">Preference shares             </w:t>
      </w:r>
      <w:r w:rsidR="00B454C5">
        <w:rPr>
          <w:rFonts w:cstheme="minorHAnsi"/>
          <w:sz w:val="24"/>
          <w:szCs w:val="24"/>
        </w:rPr>
        <w:t xml:space="preserve">     </w:t>
      </w:r>
      <w:r w:rsidR="00180017">
        <w:rPr>
          <w:rFonts w:cstheme="minorHAnsi"/>
          <w:sz w:val="24"/>
          <w:szCs w:val="24"/>
        </w:rPr>
        <w:t xml:space="preserve">                              </w:t>
      </w:r>
      <w:r>
        <w:rPr>
          <w:rFonts w:cstheme="minorHAnsi"/>
          <w:sz w:val="24"/>
          <w:szCs w:val="24"/>
        </w:rPr>
        <w:t xml:space="preserve">     </w:t>
      </w:r>
      <w:r w:rsidR="00180017">
        <w:rPr>
          <w:rFonts w:cstheme="minorHAnsi"/>
          <w:sz w:val="24"/>
          <w:szCs w:val="24"/>
        </w:rPr>
        <w:t xml:space="preserve"> </w:t>
      </w:r>
      <w:r w:rsidR="00B454C5">
        <w:rPr>
          <w:rFonts w:cstheme="minorHAnsi"/>
          <w:sz w:val="24"/>
          <w:szCs w:val="24"/>
        </w:rPr>
        <w:t xml:space="preserve">  </w:t>
      </w:r>
      <w:r>
        <w:rPr>
          <w:rFonts w:cstheme="minorHAnsi"/>
          <w:sz w:val="24"/>
          <w:szCs w:val="24"/>
        </w:rPr>
        <w:t>300,000</w:t>
      </w:r>
      <w:r w:rsidR="00B454C5">
        <w:rPr>
          <w:rFonts w:cstheme="minorHAnsi"/>
          <w:sz w:val="24"/>
          <w:szCs w:val="24"/>
        </w:rPr>
        <w:t xml:space="preserve">       </w:t>
      </w:r>
      <w:r w:rsidR="00180017">
        <w:rPr>
          <w:rFonts w:cstheme="minorHAnsi"/>
          <w:sz w:val="24"/>
          <w:szCs w:val="24"/>
        </w:rPr>
        <w:t xml:space="preserve">                  </w:t>
      </w:r>
      <w:r w:rsidR="00D3195A">
        <w:rPr>
          <w:rFonts w:cstheme="minorHAnsi"/>
          <w:sz w:val="24"/>
          <w:szCs w:val="24"/>
        </w:rPr>
        <w:t xml:space="preserve">                                    </w:t>
      </w:r>
      <w:r>
        <w:rPr>
          <w:rFonts w:cstheme="minorHAnsi"/>
          <w:sz w:val="24"/>
          <w:szCs w:val="24"/>
        </w:rPr>
        <w:t xml:space="preserve">   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Profit and loss account                Brought forward    </w:t>
      </w:r>
      <w:r w:rsidR="00B454C5">
        <w:rPr>
          <w:rFonts w:cstheme="minorHAnsi"/>
          <w:sz w:val="24"/>
          <w:szCs w:val="24"/>
        </w:rPr>
        <w:t xml:space="preserve">                 </w:t>
      </w:r>
      <w:r w:rsidR="00D3195A">
        <w:rPr>
          <w:rFonts w:cstheme="minorHAnsi"/>
          <w:sz w:val="24"/>
          <w:szCs w:val="24"/>
        </w:rPr>
        <w:t xml:space="preserve">   </w:t>
      </w:r>
      <w:r w:rsidR="00446C15">
        <w:rPr>
          <w:rFonts w:cstheme="minorHAnsi"/>
          <w:sz w:val="24"/>
          <w:szCs w:val="24"/>
        </w:rPr>
        <w:t xml:space="preserve">                                   </w:t>
      </w:r>
      <w:r>
        <w:rPr>
          <w:rFonts w:cstheme="minorHAnsi"/>
          <w:sz w:val="24"/>
          <w:szCs w:val="24"/>
        </w:rPr>
        <w:t>132,000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 w:rsidRPr="00180017">
        <w:rPr>
          <w:rFonts w:cstheme="minorHAnsi"/>
          <w:b/>
          <w:sz w:val="24"/>
          <w:szCs w:val="24"/>
          <w:u w:val="single"/>
        </w:rPr>
        <w:t xml:space="preserve">Total  </w:t>
      </w:r>
      <w:r w:rsidRPr="00180017">
        <w:rPr>
          <w:rFonts w:cstheme="minorHAnsi"/>
          <w:sz w:val="24"/>
          <w:szCs w:val="24"/>
          <w:u w:val="single"/>
        </w:rPr>
        <w:t xml:space="preserve"> </w:t>
      </w:r>
      <w:r>
        <w:rPr>
          <w:rFonts w:cstheme="minorHAnsi"/>
          <w:sz w:val="24"/>
          <w:szCs w:val="24"/>
        </w:rPr>
        <w:t xml:space="preserve">                                                                                     </w:t>
      </w:r>
      <w:r w:rsidR="00B454C5">
        <w:rPr>
          <w:rFonts w:cstheme="minorHAnsi"/>
          <w:sz w:val="24"/>
          <w:szCs w:val="24"/>
        </w:rPr>
        <w:t xml:space="preserve">       </w:t>
      </w:r>
      <w:r w:rsidR="00D3195A">
        <w:rPr>
          <w:rFonts w:cstheme="minorHAnsi"/>
          <w:sz w:val="24"/>
          <w:szCs w:val="24"/>
        </w:rPr>
        <w:t xml:space="preserve">   </w:t>
      </w:r>
      <w:r w:rsidR="00446C15">
        <w:rPr>
          <w:rFonts w:cstheme="minorHAnsi"/>
          <w:sz w:val="24"/>
          <w:szCs w:val="24"/>
        </w:rPr>
        <w:t xml:space="preserve">                          </w:t>
      </w:r>
      <w:r w:rsidR="00B454C5">
        <w:rPr>
          <w:rFonts w:cstheme="minorHAnsi"/>
          <w:sz w:val="24"/>
          <w:szCs w:val="24"/>
        </w:rPr>
        <w:t xml:space="preserve"> </w:t>
      </w:r>
      <w:r w:rsidR="00446C15">
        <w:rPr>
          <w:rFonts w:cstheme="minorHAnsi"/>
          <w:sz w:val="24"/>
          <w:szCs w:val="24"/>
        </w:rPr>
        <w:t xml:space="preserve">       </w:t>
      </w:r>
      <w:r w:rsidR="00B454C5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 xml:space="preserve">1,918,985              </w:t>
      </w:r>
      <w:r w:rsidR="00B454C5">
        <w:rPr>
          <w:rFonts w:cstheme="minorHAnsi"/>
          <w:sz w:val="24"/>
          <w:szCs w:val="24"/>
        </w:rPr>
        <w:t xml:space="preserve">                       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Net profit for the year                                                       </w:t>
      </w:r>
      <w:r w:rsidR="00445247">
        <w:rPr>
          <w:rFonts w:cstheme="minorHAnsi"/>
          <w:sz w:val="24"/>
          <w:szCs w:val="24"/>
        </w:rPr>
        <w:t xml:space="preserve">             </w:t>
      </w:r>
      <w:r w:rsidR="00B454C5">
        <w:rPr>
          <w:rFonts w:cstheme="minorHAnsi"/>
          <w:sz w:val="24"/>
          <w:szCs w:val="24"/>
        </w:rPr>
        <w:t xml:space="preserve">   </w:t>
      </w:r>
      <w:r w:rsidR="00D3195A">
        <w:rPr>
          <w:rFonts w:cstheme="minorHAnsi"/>
          <w:sz w:val="24"/>
          <w:szCs w:val="24"/>
        </w:rPr>
        <w:t xml:space="preserve">   </w:t>
      </w:r>
      <w:r w:rsidR="00446C15">
        <w:rPr>
          <w:rFonts w:cstheme="minorHAnsi"/>
          <w:sz w:val="24"/>
          <w:szCs w:val="24"/>
        </w:rPr>
        <w:t xml:space="preserve">                                  -</w:t>
      </w:r>
      <w:r>
        <w:rPr>
          <w:rFonts w:cstheme="minorHAnsi"/>
          <w:sz w:val="24"/>
          <w:szCs w:val="24"/>
        </w:rPr>
        <w:t>62,980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Pr="00445247" w:rsidRDefault="00180017" w:rsidP="00180017">
      <w:pPr>
        <w:pStyle w:val="Title"/>
        <w:rPr>
          <w:rStyle w:val="IntenseEmphasis"/>
          <w:b/>
          <w:i w:val="0"/>
          <w:sz w:val="28"/>
          <w:szCs w:val="28"/>
        </w:rPr>
      </w:pPr>
      <w:r w:rsidRPr="00445247">
        <w:rPr>
          <w:rStyle w:val="IntenseEmphasis"/>
          <w:b/>
          <w:i w:val="0"/>
          <w:sz w:val="28"/>
          <w:szCs w:val="28"/>
        </w:rPr>
        <w:t>Assets + Equity = Liabilities</w:t>
      </w:r>
    </w:p>
    <w:p w:rsidR="00180017" w:rsidRPr="00445247" w:rsidRDefault="00180017" w:rsidP="00180017">
      <w:pPr>
        <w:pStyle w:val="Title"/>
        <w:rPr>
          <w:rStyle w:val="IntenseEmphasis"/>
          <w:b/>
          <w:i w:val="0"/>
          <w:sz w:val="28"/>
          <w:szCs w:val="28"/>
        </w:rPr>
      </w:pPr>
      <w:r w:rsidRPr="00445247">
        <w:rPr>
          <w:rStyle w:val="IntenseEmphasis"/>
          <w:b/>
          <w:i w:val="0"/>
          <w:sz w:val="28"/>
          <w:szCs w:val="28"/>
        </w:rPr>
        <w:t xml:space="preserve">Equity = Total assets – Total Liabilities </w:t>
      </w:r>
    </w:p>
    <w:p w:rsidR="00180017" w:rsidRPr="00445247" w:rsidRDefault="00180017" w:rsidP="00180017">
      <w:pPr>
        <w:pStyle w:val="Title"/>
        <w:rPr>
          <w:rStyle w:val="IntenseEmphasis"/>
          <w:b/>
          <w:i w:val="0"/>
          <w:sz w:val="28"/>
          <w:szCs w:val="28"/>
        </w:rPr>
      </w:pPr>
      <w:r w:rsidRPr="00445247">
        <w:rPr>
          <w:rStyle w:val="IntenseEmphasis"/>
          <w:b/>
          <w:i w:val="0"/>
          <w:sz w:val="28"/>
          <w:szCs w:val="28"/>
        </w:rPr>
        <w:t>Capital + Liabilities = Assets</w:t>
      </w:r>
    </w:p>
    <w:p w:rsidR="00180017" w:rsidRDefault="00180017" w:rsidP="00180017">
      <w:pPr>
        <w:spacing w:before="240"/>
        <w:rPr>
          <w:rFonts w:cstheme="minorHAnsi"/>
          <w:sz w:val="24"/>
          <w:szCs w:val="24"/>
        </w:rPr>
      </w:pPr>
    </w:p>
    <w:p w:rsidR="00180017" w:rsidRDefault="00180017" w:rsidP="00180017">
      <w:pPr>
        <w:spacing w:before="240"/>
        <w:rPr>
          <w:rFonts w:cstheme="minorHAnsi"/>
          <w:sz w:val="24"/>
          <w:szCs w:val="24"/>
        </w:rPr>
      </w:pPr>
    </w:p>
    <w:p w:rsidR="00180017" w:rsidRDefault="00180017" w:rsidP="00180017">
      <w:pPr>
        <w:spacing w:before="240"/>
        <w:rPr>
          <w:rFonts w:cstheme="minorHAnsi"/>
          <w:sz w:val="24"/>
          <w:szCs w:val="24"/>
        </w:rPr>
      </w:pPr>
    </w:p>
    <w:p w:rsidR="00ED07F1" w:rsidRDefault="00ED07F1" w:rsidP="00180017">
      <w:pPr>
        <w:spacing w:before="240"/>
        <w:rPr>
          <w:rFonts w:cstheme="minorHAnsi"/>
          <w:sz w:val="24"/>
          <w:szCs w:val="24"/>
        </w:rPr>
      </w:pPr>
    </w:p>
    <w:p w:rsidR="00180017" w:rsidRPr="00001C31" w:rsidRDefault="00180017" w:rsidP="00180017">
      <w:pPr>
        <w:spacing w:before="240"/>
        <w:rPr>
          <w:rFonts w:cstheme="minorHAnsi"/>
          <w:b/>
          <w:sz w:val="24"/>
          <w:szCs w:val="24"/>
          <w:u w:val="single"/>
        </w:rPr>
      </w:pPr>
      <w:r w:rsidRPr="00001C31">
        <w:rPr>
          <w:rFonts w:cstheme="minorHAnsi"/>
          <w:sz w:val="24"/>
          <w:szCs w:val="24"/>
        </w:rPr>
        <w:lastRenderedPageBreak/>
        <w:t>E</w:t>
      </w:r>
      <w:r w:rsidR="00001C31" w:rsidRPr="00001C31">
        <w:rPr>
          <w:rFonts w:cstheme="minorHAnsi"/>
          <w:sz w:val="24"/>
          <w:szCs w:val="24"/>
        </w:rPr>
        <w:t>c</w:t>
      </w:r>
      <w:r w:rsidRPr="00001C31">
        <w:rPr>
          <w:rFonts w:cstheme="minorHAnsi"/>
          <w:sz w:val="24"/>
          <w:szCs w:val="24"/>
        </w:rPr>
        <w:t>cles plc</w:t>
      </w:r>
      <w:r w:rsidR="00B454C5" w:rsidRPr="00001C31">
        <w:rPr>
          <w:rFonts w:cstheme="minorHAnsi"/>
          <w:b/>
          <w:sz w:val="24"/>
          <w:szCs w:val="24"/>
          <w:u w:val="single"/>
        </w:rPr>
        <w:t xml:space="preserve"> </w:t>
      </w:r>
      <w:r w:rsidRPr="00001C31">
        <w:rPr>
          <w:rFonts w:cstheme="minorHAnsi"/>
          <w:b/>
          <w:sz w:val="24"/>
          <w:szCs w:val="24"/>
          <w:u w:val="single"/>
        </w:rPr>
        <w:t>Balance sheet as at 31</w:t>
      </w:r>
      <w:r w:rsidRPr="00001C31">
        <w:rPr>
          <w:rFonts w:cstheme="minorHAnsi"/>
          <w:b/>
          <w:sz w:val="24"/>
          <w:szCs w:val="24"/>
          <w:u w:val="single"/>
          <w:vertAlign w:val="superscript"/>
        </w:rPr>
        <w:t>st</w:t>
      </w:r>
      <w:r w:rsidRPr="00001C31">
        <w:rPr>
          <w:rFonts w:cstheme="minorHAnsi"/>
          <w:b/>
          <w:sz w:val="24"/>
          <w:szCs w:val="24"/>
          <w:u w:val="single"/>
        </w:rPr>
        <w:t xml:space="preserve"> December 2019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2019                       </w:t>
      </w:r>
      <w:r w:rsidR="00D44D1D">
        <w:rPr>
          <w:rFonts w:cstheme="minorHAnsi"/>
          <w:sz w:val="24"/>
          <w:szCs w:val="24"/>
        </w:rPr>
        <w:t xml:space="preserve">    </w:t>
      </w:r>
      <w:r>
        <w:rPr>
          <w:rFonts w:cstheme="minorHAnsi"/>
          <w:sz w:val="24"/>
          <w:szCs w:val="24"/>
        </w:rPr>
        <w:t xml:space="preserve">      2018                                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£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FA – plant and machinery           Cost- b                     </w:t>
      </w:r>
      <w:r w:rsidR="00D44D1D"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</w:rPr>
        <w:t xml:space="preserve">  632,730                           632,730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</w:t>
      </w:r>
      <w:r w:rsidR="00B454C5">
        <w:rPr>
          <w:rFonts w:cstheme="minorHAnsi"/>
          <w:sz w:val="24"/>
          <w:szCs w:val="24"/>
        </w:rPr>
        <w:t xml:space="preserve">             </w:t>
      </w:r>
      <w:r>
        <w:rPr>
          <w:rFonts w:cstheme="minorHAnsi"/>
          <w:sz w:val="24"/>
          <w:szCs w:val="24"/>
        </w:rPr>
        <w:t>63</w:t>
      </w:r>
      <w:r w:rsidR="00B454C5">
        <w:rPr>
          <w:rFonts w:cstheme="minorHAnsi"/>
          <w:sz w:val="24"/>
          <w:szCs w:val="24"/>
        </w:rPr>
        <w:t xml:space="preserve">2,730    </w:t>
      </w:r>
      <w:r w:rsidR="00D44D1D">
        <w:rPr>
          <w:rFonts w:cstheme="minorHAnsi"/>
          <w:sz w:val="24"/>
          <w:szCs w:val="24"/>
        </w:rPr>
        <w:t xml:space="preserve">  </w:t>
      </w:r>
      <w:r w:rsidR="00B454C5">
        <w:rPr>
          <w:rFonts w:cstheme="minorHAnsi"/>
          <w:sz w:val="24"/>
          <w:szCs w:val="24"/>
        </w:rPr>
        <w:t xml:space="preserve">                    </w:t>
      </w:r>
      <w:r>
        <w:rPr>
          <w:rFonts w:cstheme="minorHAnsi"/>
          <w:sz w:val="24"/>
          <w:szCs w:val="24"/>
        </w:rPr>
        <w:t>632,730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Stocks                                              Finished goods          330,600                            330,660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Debtors                                           Trade debtors            170,125                            171,105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Bank                                                 Current account          10,880                              12,900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</w:t>
      </w:r>
      <w:r w:rsidR="00B454C5">
        <w:rPr>
          <w:rFonts w:cstheme="minorHAnsi"/>
          <w:sz w:val="24"/>
          <w:szCs w:val="24"/>
        </w:rPr>
        <w:t xml:space="preserve">               </w:t>
      </w:r>
      <w:r>
        <w:rPr>
          <w:rFonts w:cstheme="minorHAnsi"/>
          <w:sz w:val="24"/>
          <w:szCs w:val="24"/>
        </w:rPr>
        <w:t xml:space="preserve">  51</w:t>
      </w:r>
      <w:r w:rsidR="00B454C5">
        <w:rPr>
          <w:rFonts w:cstheme="minorHAnsi"/>
          <w:sz w:val="24"/>
          <w:szCs w:val="24"/>
        </w:rPr>
        <w:t xml:space="preserve">1,605                         </w:t>
      </w:r>
      <w:r>
        <w:rPr>
          <w:rFonts w:cstheme="minorHAnsi"/>
          <w:sz w:val="24"/>
          <w:szCs w:val="24"/>
        </w:rPr>
        <w:t>514,605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Creditors                                         Accruals                                         0                                -3,000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Corporation tax                  -68,000                             -68,000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Long term contracts        -100,000                           -100,000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Trade creditors                 -171,355                           -171,355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</w:t>
      </w:r>
      <w:r w:rsidR="00B454C5">
        <w:rPr>
          <w:rFonts w:cstheme="minorHAnsi"/>
          <w:sz w:val="24"/>
          <w:szCs w:val="24"/>
        </w:rPr>
        <w:t xml:space="preserve">                    </w:t>
      </w:r>
      <w:r>
        <w:rPr>
          <w:rFonts w:cstheme="minorHAnsi"/>
          <w:sz w:val="24"/>
          <w:szCs w:val="24"/>
        </w:rPr>
        <w:t xml:space="preserve">   -339,355                         -342,355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Net Assets                                                             </w:t>
      </w:r>
      <w:r w:rsidR="00B454C5">
        <w:rPr>
          <w:rFonts w:cstheme="minorHAnsi"/>
          <w:sz w:val="24"/>
          <w:szCs w:val="24"/>
        </w:rPr>
        <w:t xml:space="preserve">                     </w:t>
      </w:r>
      <w:r>
        <w:rPr>
          <w:rFonts w:cstheme="minorHAnsi"/>
          <w:sz w:val="24"/>
          <w:szCs w:val="24"/>
        </w:rPr>
        <w:t xml:space="preserve">    804,980                           804,980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£                                      £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Share capital                                  Ordinary shares                 310,000                            310,000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Preference shares             300,000                            300,000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610,000                           610,000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Profit and loss account                Brought forward                194,980                            132,000</w:t>
      </w:r>
    </w:p>
    <w:p w:rsidR="00180017" w:rsidRDefault="00180017" w:rsidP="00180017">
      <w:pPr>
        <w:spacing w:before="24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Net profit                                        0                               62,980</w:t>
      </w:r>
    </w:p>
    <w:p w:rsidR="00180017" w:rsidRDefault="00180017" w:rsidP="00180017">
      <w:pPr>
        <w:spacing w:before="24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194,980                           194,980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Total funds                                                               </w:t>
      </w:r>
      <w:r w:rsidR="00D44D1D">
        <w:rPr>
          <w:rFonts w:cstheme="minorHAnsi"/>
          <w:b/>
          <w:sz w:val="24"/>
          <w:szCs w:val="24"/>
        </w:rPr>
        <w:t xml:space="preserve">                </w:t>
      </w:r>
      <w:r w:rsidR="00B454C5">
        <w:rPr>
          <w:rFonts w:cstheme="minorHAnsi"/>
          <w:b/>
          <w:sz w:val="24"/>
          <w:szCs w:val="24"/>
        </w:rPr>
        <w:t xml:space="preserve">    </w:t>
      </w:r>
      <w:r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804,980                          804,980</w:t>
      </w: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sz w:val="24"/>
          <w:szCs w:val="24"/>
        </w:rPr>
      </w:pPr>
    </w:p>
    <w:p w:rsidR="00180017" w:rsidRDefault="00180017" w:rsidP="00180017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b/>
          <w:bCs/>
        </w:rPr>
      </w:pPr>
      <w:r>
        <w:rPr>
          <w:rFonts w:ascii="Times New Roman" w:hAnsi="Times New Roman" w:cs="Times New Roman"/>
        </w:rPr>
        <w:t>Explain why the statement of financial position balances.</w:t>
      </w:r>
    </w:p>
    <w:p w:rsidR="00180017" w:rsidRDefault="00180017" w:rsidP="001800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reason the financial statement is balancing is that the financial year have been recorded correctly in the accounts. All payments took place through the bank and this brought a loss for the bank. </w:t>
      </w:r>
      <w:r w:rsidR="00FF5FB1" w:rsidRPr="00FF5FB1">
        <w:rPr>
          <w:rFonts w:ascii="Times New Roman" w:hAnsi="Times New Roman" w:cs="Times New Roman"/>
          <w:sz w:val="24"/>
          <w:szCs w:val="24"/>
        </w:rPr>
        <w:t xml:space="preserve">This will helps </w:t>
      </w:r>
      <w:r w:rsidR="00FF5FB1" w:rsidRPr="00FF5FB1">
        <w:rPr>
          <w:rStyle w:val="Strong"/>
          <w:rFonts w:ascii="Times New Roman" w:hAnsi="Times New Roman" w:cs="Times New Roman"/>
          <w:b w:val="0"/>
          <w:sz w:val="24"/>
          <w:szCs w:val="24"/>
        </w:rPr>
        <w:t>determining the state of the entity’s liquidity risk, financial risk, credit risk and business risk.</w:t>
      </w:r>
      <w:r w:rsidR="00FF5FB1" w:rsidRPr="00FF5FB1">
        <w:rPr>
          <w:rStyle w:val="Strong"/>
          <w:b w:val="0"/>
        </w:rPr>
        <w:t> </w:t>
      </w:r>
    </w:p>
    <w:p w:rsidR="00446C15" w:rsidRDefault="00446C15" w:rsidP="00180017">
      <w:pPr>
        <w:spacing w:after="0" w:line="276" w:lineRule="auto"/>
        <w:rPr>
          <w:rFonts w:eastAsiaTheme="minorEastAsia"/>
          <w:bCs/>
        </w:rPr>
      </w:pPr>
    </w:p>
    <w:p w:rsidR="001618F4" w:rsidRDefault="001618F4" w:rsidP="00180017">
      <w:pPr>
        <w:spacing w:after="0" w:line="276" w:lineRule="auto"/>
        <w:rPr>
          <w:rFonts w:eastAsiaTheme="minorEastAsia"/>
          <w:bCs/>
        </w:rPr>
      </w:pPr>
    </w:p>
    <w:p w:rsidR="001618F4" w:rsidRDefault="001618F4" w:rsidP="00180017">
      <w:pPr>
        <w:spacing w:after="0" w:line="276" w:lineRule="auto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446C15" w:rsidRDefault="00446C15" w:rsidP="00180017">
      <w:pPr>
        <w:spacing w:after="0" w:line="276" w:lineRule="auto"/>
        <w:rPr>
          <w:rFonts w:cstheme="minorHAnsi"/>
          <w:b/>
          <w:sz w:val="24"/>
          <w:szCs w:val="24"/>
        </w:rPr>
      </w:pPr>
    </w:p>
    <w:p w:rsidR="00180017" w:rsidRDefault="00180017" w:rsidP="00180017">
      <w:pPr>
        <w:spacing w:after="0" w:line="276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Question 2</w:t>
      </w:r>
    </w:p>
    <w:p w:rsidR="00180017" w:rsidRDefault="00180017" w:rsidP="00180017">
      <w:pPr>
        <w:pStyle w:val="ListParagraph"/>
        <w:numPr>
          <w:ilvl w:val="0"/>
          <w:numId w:val="2"/>
        </w:numPr>
        <w:rPr>
          <w:rFonts w:eastAsiaTheme="minorEastAsia" w:cstheme="minorHAnsi"/>
        </w:rPr>
      </w:pPr>
      <w:r>
        <w:rPr>
          <w:rFonts w:eastAsia="Calibri" w:cstheme="minorHAnsi"/>
        </w:rPr>
        <w:t xml:space="preserve">Prepare a schedule of ratios for </w:t>
      </w:r>
      <w:proofErr w:type="spellStart"/>
      <w:r>
        <w:rPr>
          <w:rFonts w:eastAsia="Calibri" w:cstheme="minorHAnsi"/>
        </w:rPr>
        <w:t>Chocco</w:t>
      </w:r>
      <w:proofErr w:type="spellEnd"/>
      <w:r>
        <w:rPr>
          <w:rFonts w:eastAsia="Calibri" w:cstheme="minorHAnsi"/>
        </w:rPr>
        <w:t xml:space="preserve"> plc for 2019 and 2018. </w:t>
      </w:r>
    </w:p>
    <w:tbl>
      <w:tblPr>
        <w:tblW w:w="5941" w:type="dxa"/>
        <w:tblLook w:val="04A0" w:firstRow="1" w:lastRow="0" w:firstColumn="1" w:lastColumn="0" w:noHBand="0" w:noVBand="1"/>
      </w:tblPr>
      <w:tblGrid>
        <w:gridCol w:w="2127"/>
        <w:gridCol w:w="2439"/>
        <w:gridCol w:w="1375"/>
      </w:tblGrid>
      <w:tr w:rsidR="00180017" w:rsidTr="00180017">
        <w:trPr>
          <w:trHeight w:val="313"/>
        </w:trPr>
        <w:tc>
          <w:tcPr>
            <w:tcW w:w="2127" w:type="dxa"/>
            <w:shd w:val="clear" w:color="auto" w:fill="FFFF00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Liquidity Ratio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2019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2018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Current ratio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0,917164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0,773145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Current asset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2303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2355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Current liabilities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2511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3046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quick ratio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0,635205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0,556796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current assets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2303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2355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inventories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708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659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Current liabilities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2511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3046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cash ratio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0,088809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0,066645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cash and cash equivalent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201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177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short term investment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22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26</w:t>
            </w:r>
          </w:p>
        </w:tc>
      </w:tr>
      <w:tr w:rsidR="00180017" w:rsidTr="00180017">
        <w:trPr>
          <w:trHeight w:val="313"/>
        </w:trPr>
        <w:tc>
          <w:tcPr>
            <w:tcW w:w="2127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current liabilities</w:t>
            </w:r>
          </w:p>
        </w:tc>
        <w:tc>
          <w:tcPr>
            <w:tcW w:w="2439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2511</w:t>
            </w:r>
          </w:p>
        </w:tc>
        <w:tc>
          <w:tcPr>
            <w:tcW w:w="1375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3046</w:t>
            </w:r>
          </w:p>
        </w:tc>
      </w:tr>
    </w:tbl>
    <w:p w:rsidR="00180017" w:rsidRDefault="00180017" w:rsidP="00180017">
      <w:pPr>
        <w:rPr>
          <w:rFonts w:eastAsiaTheme="minorEastAsia" w:cstheme="minorHAnsi"/>
        </w:rPr>
      </w:pPr>
    </w:p>
    <w:tbl>
      <w:tblPr>
        <w:tblW w:w="6327" w:type="dxa"/>
        <w:tblLook w:val="04A0" w:firstRow="1" w:lastRow="0" w:firstColumn="1" w:lastColumn="0" w:noHBand="0" w:noVBand="1"/>
      </w:tblPr>
      <w:tblGrid>
        <w:gridCol w:w="2832"/>
        <w:gridCol w:w="258"/>
        <w:gridCol w:w="1197"/>
        <w:gridCol w:w="203"/>
        <w:gridCol w:w="849"/>
        <w:gridCol w:w="708"/>
        <w:gridCol w:w="344"/>
      </w:tblGrid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shd w:val="clear" w:color="auto" w:fill="FFFF00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Profitability ratio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2019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2018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/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gross profit margin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108,2844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108,0426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gross profit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3503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3345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Sales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3235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3096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/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/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operating profit margin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24,88408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22,57752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operating profit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805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699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Sales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3235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3096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/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/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net profit margin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13,32303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11,82171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net income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431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366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Sales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3235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3096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/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/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return on assets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446C15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  </w:t>
            </w:r>
            <w:r w:rsidR="00180017">
              <w:rPr>
                <w:rFonts w:eastAsia="Times New Roman" w:cstheme="minorHAnsi"/>
                <w:color w:val="000000"/>
              </w:rPr>
              <w:t>5,798466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4,733575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net income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431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366</w:t>
            </w:r>
          </w:p>
        </w:tc>
      </w:tr>
      <w:tr w:rsidR="00180017" w:rsidTr="00180017">
        <w:trPr>
          <w:gridAfter w:val="1"/>
          <w:wAfter w:w="334" w:type="dxa"/>
          <w:trHeight w:val="299"/>
        </w:trPr>
        <w:tc>
          <w:tcPr>
            <w:tcW w:w="309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Assets</w:t>
            </w:r>
          </w:p>
        </w:tc>
        <w:tc>
          <w:tcPr>
            <w:tcW w:w="1394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7433</w:t>
            </w:r>
          </w:p>
        </w:tc>
        <w:tc>
          <w:tcPr>
            <w:tcW w:w="1509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7732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shd w:val="clear" w:color="auto" w:fill="FFFF00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Efficiency ratio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2019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2018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 xml:space="preserve">inventory </w:t>
            </w:r>
            <w:proofErr w:type="spellStart"/>
            <w:r>
              <w:rPr>
                <w:rFonts w:eastAsia="Times New Roman" w:cstheme="minorHAnsi"/>
                <w:b/>
                <w:bCs/>
                <w:color w:val="000000"/>
              </w:rPr>
              <w:t>turn over</w:t>
            </w:r>
            <w:proofErr w:type="spellEnd"/>
            <w:r>
              <w:rPr>
                <w:rFonts w:eastAsia="Times New Roman" w:cstheme="minorHAnsi"/>
                <w:b/>
                <w:bCs/>
                <w:color w:val="000000"/>
              </w:rPr>
              <w:t xml:space="preserve"> ratio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4,569209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4,698027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cost of goods sold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3235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3096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>
              <w:rPr>
                <w:rFonts w:eastAsia="Times New Roman" w:cstheme="minorHAnsi"/>
                <w:color w:val="000000"/>
              </w:rPr>
              <w:t>avarage</w:t>
            </w:r>
            <w:proofErr w:type="spellEnd"/>
            <w:r>
              <w:rPr>
                <w:rFonts w:eastAsia="Times New Roman" w:cstheme="minorHAnsi"/>
                <w:color w:val="000000"/>
              </w:rPr>
              <w:t xml:space="preserve"> inventory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708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659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Asset Turnover ratio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170,2632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619,2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Sales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3235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3096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>
              <w:rPr>
                <w:rFonts w:eastAsia="Times New Roman" w:cstheme="minorHAnsi"/>
                <w:color w:val="000000"/>
              </w:rPr>
              <w:t>avarage</w:t>
            </w:r>
            <w:proofErr w:type="spellEnd"/>
            <w:r>
              <w:rPr>
                <w:rFonts w:eastAsia="Times New Roman" w:cstheme="minorHAnsi"/>
                <w:color w:val="000000"/>
              </w:rPr>
              <w:t xml:space="preserve"> total Assets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19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5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</w:rPr>
            </w:pPr>
            <w:r>
              <w:rPr>
                <w:rFonts w:eastAsia="Times New Roman" w:cstheme="minorHAnsi"/>
                <w:b/>
                <w:bCs/>
                <w:color w:val="000000"/>
              </w:rPr>
              <w:t>Receivable turnover ratio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b/>
                <w:bCs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2,590072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2,405594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credit sales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3235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3096</w:t>
            </w:r>
          </w:p>
        </w:tc>
      </w:tr>
      <w:tr w:rsidR="00180017" w:rsidTr="00180017">
        <w:trPr>
          <w:trHeight w:val="302"/>
        </w:trPr>
        <w:tc>
          <w:tcPr>
            <w:tcW w:w="2832" w:type="dxa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spellStart"/>
            <w:r>
              <w:rPr>
                <w:rFonts w:eastAsia="Times New Roman" w:cstheme="minorHAnsi"/>
                <w:color w:val="000000"/>
              </w:rPr>
              <w:t>avarage</w:t>
            </w:r>
            <w:proofErr w:type="spellEnd"/>
            <w:r>
              <w:rPr>
                <w:rFonts w:eastAsia="Times New Roman" w:cstheme="minorHAnsi"/>
                <w:color w:val="000000"/>
              </w:rPr>
              <w:t xml:space="preserve"> accounts Receivable</w:t>
            </w:r>
          </w:p>
        </w:tc>
        <w:tc>
          <w:tcPr>
            <w:tcW w:w="1455" w:type="dxa"/>
            <w:gridSpan w:val="2"/>
            <w:noWrap/>
            <w:vAlign w:val="bottom"/>
            <w:hideMark/>
          </w:tcPr>
          <w:p w:rsidR="00180017" w:rsidRDefault="00180017">
            <w:pPr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1249</w:t>
            </w:r>
          </w:p>
        </w:tc>
        <w:tc>
          <w:tcPr>
            <w:tcW w:w="1020" w:type="dxa"/>
            <w:gridSpan w:val="2"/>
            <w:noWrap/>
            <w:vAlign w:val="bottom"/>
            <w:hideMark/>
          </w:tcPr>
          <w:p w:rsidR="00180017" w:rsidRDefault="00180017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1287</w:t>
            </w:r>
          </w:p>
        </w:tc>
      </w:tr>
    </w:tbl>
    <w:p w:rsidR="00180017" w:rsidRDefault="00180017" w:rsidP="00180017">
      <w:pPr>
        <w:spacing w:after="0" w:line="276" w:lineRule="auto"/>
        <w:rPr>
          <w:rFonts w:cstheme="minorHAnsi"/>
          <w:b/>
        </w:rPr>
      </w:pPr>
    </w:p>
    <w:p w:rsidR="00180017" w:rsidRDefault="00180017" w:rsidP="00180017">
      <w:pPr>
        <w:spacing w:after="0" w:line="276" w:lineRule="auto"/>
        <w:rPr>
          <w:rFonts w:cstheme="minorHAnsi"/>
          <w:b/>
        </w:rPr>
      </w:pPr>
    </w:p>
    <w:tbl>
      <w:tblPr>
        <w:tblW w:w="6358" w:type="dxa"/>
        <w:tblLook w:val="04A0" w:firstRow="1" w:lastRow="0" w:firstColumn="1" w:lastColumn="0" w:noHBand="0" w:noVBand="1"/>
      </w:tblPr>
      <w:tblGrid>
        <w:gridCol w:w="3393"/>
        <w:gridCol w:w="1743"/>
        <w:gridCol w:w="1222"/>
      </w:tblGrid>
      <w:tr w:rsidR="00180017" w:rsidTr="00180017">
        <w:trPr>
          <w:trHeight w:val="300"/>
        </w:trPr>
        <w:tc>
          <w:tcPr>
            <w:tcW w:w="2920" w:type="dxa"/>
            <w:shd w:val="clear" w:color="auto" w:fill="FFFF00"/>
            <w:noWrap/>
            <w:vAlign w:val="bottom"/>
            <w:hideMark/>
          </w:tcPr>
          <w:p w:rsidR="00180017" w:rsidRDefault="00180017">
            <w:pPr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>Leverage ratio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rPr>
                <w:rFonts w:cstheme="minorHAnsi"/>
                <w:b/>
                <w:bCs/>
                <w:color w:val="000000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Debt Ratio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2,152849741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2,463942</w:t>
            </w: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total debt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6648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7175</w:t>
            </w: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total equity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3088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2912</w:t>
            </w: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rPr>
                <w:rFonts w:cstheme="minorHAns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debt capital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0,682826623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0,699113</w:t>
            </w: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total debt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6648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7175</w:t>
            </w: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total equity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3088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3088</w:t>
            </w: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rPr>
                <w:rFonts w:cstheme="minorHAnsi"/>
                <w:color w:val="000000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/>
              <w:rPr>
                <w:sz w:val="20"/>
                <w:szCs w:val="20"/>
                <w:lang w:val="en-GB" w:eastAsia="en-GB"/>
              </w:rPr>
            </w:pP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debt assets ratio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0,894389883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0,927602</w:t>
            </w: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total debt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6648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7175</w:t>
            </w:r>
          </w:p>
        </w:tc>
      </w:tr>
      <w:tr w:rsidR="00180017" w:rsidTr="00180017">
        <w:trPr>
          <w:trHeight w:val="300"/>
        </w:trPr>
        <w:tc>
          <w:tcPr>
            <w:tcW w:w="292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assets</w:t>
            </w:r>
          </w:p>
        </w:tc>
        <w:tc>
          <w:tcPr>
            <w:tcW w:w="150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7433</w:t>
            </w:r>
          </w:p>
        </w:tc>
        <w:tc>
          <w:tcPr>
            <w:tcW w:w="960" w:type="dxa"/>
            <w:noWrap/>
            <w:vAlign w:val="bottom"/>
            <w:hideMark/>
          </w:tcPr>
          <w:p w:rsidR="00180017" w:rsidRDefault="00180017">
            <w:pPr>
              <w:spacing w:after="0" w:line="276" w:lineRule="auto"/>
              <w:jc w:val="right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7735</w:t>
            </w:r>
          </w:p>
        </w:tc>
      </w:tr>
    </w:tbl>
    <w:p w:rsidR="00D44D1D" w:rsidRDefault="00D44D1D" w:rsidP="00180017">
      <w:pPr>
        <w:spacing w:after="0" w:line="276" w:lineRule="auto"/>
        <w:rPr>
          <w:rFonts w:cstheme="minorHAnsi"/>
          <w:b/>
        </w:rPr>
      </w:pPr>
    </w:p>
    <w:p w:rsidR="00180017" w:rsidRDefault="00180017" w:rsidP="00180017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</w:rPr>
        <w:lastRenderedPageBreak/>
        <w:t xml:space="preserve">References </w:t>
      </w:r>
    </w:p>
    <w:p w:rsidR="00445247" w:rsidRPr="00445247" w:rsidRDefault="00445247" w:rsidP="0044524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Arial" w:eastAsia="Times New Roman" w:hAnsi="Arial" w:cs="Arial"/>
          <w:color w:val="202122"/>
          <w:sz w:val="19"/>
          <w:szCs w:val="19"/>
          <w:lang w:val="en-GB" w:eastAsia="en-GB"/>
        </w:rPr>
      </w:pPr>
      <w:r w:rsidRPr="00445247">
        <w:rPr>
          <w:rFonts w:ascii="Arial" w:eastAsia="Times New Roman" w:hAnsi="Arial" w:cs="Arial"/>
          <w:color w:val="202122"/>
          <w:sz w:val="19"/>
          <w:szCs w:val="19"/>
          <w:lang w:val="en-GB" w:eastAsia="en-GB"/>
        </w:rPr>
        <w:t> </w:t>
      </w:r>
      <w:hyperlink r:id="rId5" w:history="1">
        <w:r w:rsidRPr="00445247">
          <w:rPr>
            <w:rFonts w:ascii="Arial" w:eastAsia="Times New Roman" w:hAnsi="Arial" w:cs="Arial"/>
            <w:i/>
            <w:iCs/>
            <w:color w:val="663366"/>
            <w:sz w:val="19"/>
            <w:szCs w:val="19"/>
            <w:u w:val="single"/>
            <w:lang w:val="en-GB" w:eastAsia="en-GB"/>
          </w:rPr>
          <w:t>Accounting Research Bulletins No. 7 Reports of Committee on Terminology</w:t>
        </w:r>
      </w:hyperlink>
      <w:r w:rsidRPr="00445247">
        <w:rPr>
          <w:rFonts w:ascii="Arial" w:eastAsia="Times New Roman" w:hAnsi="Arial" w:cs="Arial"/>
          <w:i/>
          <w:iCs/>
          <w:color w:val="202122"/>
          <w:sz w:val="19"/>
          <w:szCs w:val="19"/>
          <w:lang w:val="en-GB" w:eastAsia="en-GB"/>
        </w:rPr>
        <w:t> (Report). Committee on Accounting Procedure, American Institute of Accountants. November 1940. Retrieved 31 December 2013.</w:t>
      </w:r>
    </w:p>
    <w:p w:rsidR="00445247" w:rsidRPr="00445247" w:rsidRDefault="00445247" w:rsidP="0044524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Arial" w:eastAsia="Times New Roman" w:hAnsi="Arial" w:cs="Arial"/>
          <w:color w:val="202122"/>
          <w:sz w:val="19"/>
          <w:szCs w:val="19"/>
          <w:lang w:val="en-GB" w:eastAsia="en-GB"/>
        </w:rPr>
      </w:pPr>
      <w:r w:rsidRPr="00445247">
        <w:rPr>
          <w:rFonts w:ascii="Arial" w:eastAsia="Times New Roman" w:hAnsi="Arial" w:cs="Arial"/>
          <w:b/>
          <w:bCs/>
          <w:color w:val="0B0080"/>
          <w:sz w:val="19"/>
          <w:szCs w:val="19"/>
          <w:u w:val="single"/>
          <w:lang w:val="en-GB" w:eastAsia="en-GB"/>
        </w:rPr>
        <w:t>^</w:t>
      </w:r>
      <w:r w:rsidRPr="00445247">
        <w:rPr>
          <w:rFonts w:ascii="Arial" w:eastAsia="Times New Roman" w:hAnsi="Arial" w:cs="Arial"/>
          <w:i/>
          <w:iCs/>
          <w:color w:val="663366"/>
          <w:sz w:val="19"/>
          <w:szCs w:val="19"/>
          <w:u w:val="single"/>
          <w:lang w:val="en-GB" w:eastAsia="en-GB"/>
        </w:rPr>
        <w:t>Peggy Bishop Lane on Why Accounting Is the Language of Business</w:t>
      </w:r>
      <w:r w:rsidRPr="00445247">
        <w:rPr>
          <w:rFonts w:ascii="Arial" w:eastAsia="Times New Roman" w:hAnsi="Arial" w:cs="Arial"/>
          <w:i/>
          <w:iCs/>
          <w:color w:val="202122"/>
          <w:sz w:val="19"/>
          <w:szCs w:val="19"/>
          <w:lang w:val="en-GB" w:eastAsia="en-GB"/>
        </w:rPr>
        <w:t>, Knowledge @ Wharton High School, September 23, 2013, retrieved 25 December 2013</w:t>
      </w:r>
    </w:p>
    <w:p w:rsidR="00445247" w:rsidRPr="00445247" w:rsidRDefault="00445247" w:rsidP="0044524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Arial" w:eastAsia="Times New Roman" w:hAnsi="Arial" w:cs="Arial"/>
          <w:color w:val="202122"/>
          <w:sz w:val="19"/>
          <w:szCs w:val="19"/>
          <w:lang w:val="en-GB" w:eastAsia="en-GB"/>
        </w:rPr>
      </w:pPr>
      <w:r w:rsidRPr="00445247">
        <w:rPr>
          <w:rFonts w:ascii="Arial" w:eastAsia="Times New Roman" w:hAnsi="Arial" w:cs="Arial"/>
          <w:b/>
          <w:bCs/>
          <w:color w:val="0B0080"/>
          <w:sz w:val="19"/>
          <w:szCs w:val="19"/>
          <w:u w:val="single"/>
          <w:lang w:val="en-GB" w:eastAsia="en-GB"/>
        </w:rPr>
        <w:t>^</w:t>
      </w:r>
      <w:r w:rsidRPr="00445247">
        <w:rPr>
          <w:rFonts w:ascii="Arial" w:eastAsia="Times New Roman" w:hAnsi="Arial" w:cs="Arial"/>
          <w:i/>
          <w:iCs/>
          <w:color w:val="663366"/>
          <w:sz w:val="19"/>
          <w:szCs w:val="19"/>
          <w:u w:val="single"/>
          <w:lang w:val="en-GB" w:eastAsia="en-GB"/>
        </w:rPr>
        <w:t>"Department of Accounting"</w:t>
      </w:r>
      <w:r w:rsidRPr="00445247">
        <w:rPr>
          <w:rFonts w:ascii="Arial" w:eastAsia="Times New Roman" w:hAnsi="Arial" w:cs="Arial"/>
          <w:i/>
          <w:iCs/>
          <w:color w:val="202122"/>
          <w:sz w:val="19"/>
          <w:szCs w:val="19"/>
          <w:lang w:val="en-GB" w:eastAsia="en-GB"/>
        </w:rPr>
        <w:t> Foster School of Business. Foster School of Business. 2013. Retrieved 31 December 2013.</w:t>
      </w:r>
    </w:p>
    <w:p w:rsidR="00445247" w:rsidRPr="00445247" w:rsidRDefault="001618F4" w:rsidP="0044524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Arial" w:eastAsia="Times New Roman" w:hAnsi="Arial" w:cs="Arial"/>
          <w:color w:val="202122"/>
          <w:sz w:val="19"/>
          <w:szCs w:val="19"/>
          <w:lang w:val="en-GB" w:eastAsia="en-GB"/>
        </w:rPr>
      </w:pPr>
      <w:hyperlink r:id="rId6" w:history="1">
        <w:r w:rsidR="00445247" w:rsidRPr="00445247">
          <w:rPr>
            <w:rFonts w:ascii="Arial" w:eastAsia="Times New Roman" w:hAnsi="Arial" w:cs="Arial"/>
            <w:i/>
            <w:iCs/>
            <w:color w:val="663366"/>
            <w:sz w:val="19"/>
            <w:szCs w:val="19"/>
            <w:u w:val="single"/>
            <w:lang w:val="en-GB" w:eastAsia="en-GB"/>
          </w:rPr>
          <w:t>"Accounting Software"</w:t>
        </w:r>
      </w:hyperlink>
      <w:r w:rsidR="00445247" w:rsidRPr="00445247">
        <w:rPr>
          <w:rFonts w:ascii="Arial" w:eastAsia="Times New Roman" w:hAnsi="Arial" w:cs="Arial"/>
          <w:i/>
          <w:iCs/>
          <w:color w:val="202122"/>
          <w:sz w:val="19"/>
          <w:szCs w:val="19"/>
          <w:lang w:val="en-GB" w:eastAsia="en-GB"/>
        </w:rPr>
        <w:t>.</w:t>
      </w:r>
    </w:p>
    <w:p w:rsidR="00445247" w:rsidRPr="00445247" w:rsidRDefault="00445247" w:rsidP="0044524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Arial" w:eastAsia="Times New Roman" w:hAnsi="Arial" w:cs="Arial"/>
          <w:color w:val="202122"/>
          <w:sz w:val="19"/>
          <w:szCs w:val="19"/>
          <w:lang w:val="en-GB" w:eastAsia="en-GB"/>
        </w:rPr>
      </w:pPr>
      <w:proofErr w:type="spellStart"/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Tredinnick</w:t>
      </w:r>
      <w:proofErr w:type="spellEnd"/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, Luke (March 2017). </w:t>
      </w:r>
      <w:hyperlink r:id="rId7" w:history="1">
        <w:r>
          <w:rPr>
            <w:rStyle w:val="Hyperlink"/>
            <w:rFonts w:ascii="Arial" w:hAnsi="Arial" w:cs="Arial"/>
            <w:color w:val="663366"/>
            <w:sz w:val="19"/>
            <w:szCs w:val="19"/>
            <w:shd w:val="clear" w:color="auto" w:fill="FFFFFF"/>
          </w:rPr>
          <w:t>"Artificial intelligence and professional roles"</w:t>
        </w:r>
      </w:hyperlink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 </w:t>
      </w:r>
      <w:r>
        <w:rPr>
          <w:rStyle w:val="cs1-format"/>
          <w:rFonts w:ascii="Arial" w:hAnsi="Arial" w:cs="Arial"/>
          <w:color w:val="202122"/>
          <w:sz w:val="18"/>
          <w:szCs w:val="18"/>
          <w:shd w:val="clear" w:color="auto" w:fill="FFFFFF"/>
        </w:rPr>
        <w:t>(PDF)</w:t>
      </w:r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. </w:t>
      </w:r>
      <w:r>
        <w:rPr>
          <w:rFonts w:ascii="Arial" w:hAnsi="Arial" w:cs="Arial"/>
          <w:i/>
          <w:iCs/>
          <w:color w:val="202122"/>
          <w:sz w:val="19"/>
          <w:szCs w:val="19"/>
          <w:shd w:val="clear" w:color="auto" w:fill="FFFFFF"/>
        </w:rPr>
        <w:t>Business Information Review</w:t>
      </w:r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. </w:t>
      </w:r>
      <w:r>
        <w:rPr>
          <w:rFonts w:ascii="Arial" w:hAnsi="Arial" w:cs="Arial"/>
          <w:b/>
          <w:bCs/>
          <w:color w:val="202122"/>
          <w:sz w:val="19"/>
          <w:szCs w:val="19"/>
          <w:shd w:val="clear" w:color="auto" w:fill="FFFFFF"/>
        </w:rPr>
        <w:t>34</w:t>
      </w:r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 (1): 37–41</w:t>
      </w:r>
    </w:p>
    <w:p w:rsidR="00445247" w:rsidRPr="00445247" w:rsidRDefault="00445247" w:rsidP="00445247">
      <w:pPr>
        <w:numPr>
          <w:ilvl w:val="0"/>
          <w:numId w:val="3"/>
        </w:numPr>
        <w:shd w:val="clear" w:color="auto" w:fill="FFFFFF"/>
        <w:spacing w:before="100" w:beforeAutospacing="1" w:after="24" w:line="240" w:lineRule="auto"/>
        <w:ind w:left="768"/>
        <w:rPr>
          <w:rFonts w:ascii="Arial" w:eastAsia="Times New Roman" w:hAnsi="Arial" w:cs="Arial"/>
          <w:color w:val="202122"/>
          <w:sz w:val="19"/>
          <w:szCs w:val="19"/>
          <w:lang w:val="en-GB" w:eastAsia="en-GB"/>
        </w:rPr>
      </w:pPr>
      <w:proofErr w:type="spellStart"/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Oldroyd</w:t>
      </w:r>
      <w:proofErr w:type="spellEnd"/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, David: </w:t>
      </w:r>
      <w:r>
        <w:rPr>
          <w:rFonts w:ascii="Arial" w:hAnsi="Arial" w:cs="Arial"/>
          <w:i/>
          <w:iCs/>
          <w:color w:val="202122"/>
          <w:sz w:val="19"/>
          <w:szCs w:val="19"/>
          <w:shd w:val="clear" w:color="auto" w:fill="FFFFFF"/>
        </w:rPr>
        <w:t>The role of accounting in public expenditure and monetary policy in the first century AD Roman Empire</w:t>
      </w:r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, Accounting Historians Journal, Volume 22, Number 2, </w:t>
      </w:r>
      <w:hyperlink r:id="rId8" w:tooltip="Birmingham, Alabama" w:history="1">
        <w:r>
          <w:rPr>
            <w:rStyle w:val="Hyperlink"/>
            <w:rFonts w:ascii="Arial" w:hAnsi="Arial" w:cs="Arial"/>
            <w:color w:val="0B0080"/>
            <w:sz w:val="19"/>
            <w:szCs w:val="19"/>
            <w:shd w:val="clear" w:color="auto" w:fill="FFFFFF"/>
          </w:rPr>
          <w:t>Birmingham, Alabama</w:t>
        </w:r>
      </w:hyperlink>
      <w:r>
        <w:rPr>
          <w:rFonts w:ascii="Arial" w:hAnsi="Arial" w:cs="Arial"/>
          <w:color w:val="202122"/>
          <w:sz w:val="19"/>
          <w:szCs w:val="19"/>
          <w:shd w:val="clear" w:color="auto" w:fill="FFFFFF"/>
        </w:rPr>
        <w:t>, December 1995, p.124</w:t>
      </w:r>
    </w:p>
    <w:p w:rsidR="00445247" w:rsidRDefault="00445247" w:rsidP="00180017">
      <w:pPr>
        <w:spacing w:after="0" w:line="276" w:lineRule="auto"/>
        <w:rPr>
          <w:rFonts w:cstheme="minorHAnsi"/>
          <w:b/>
        </w:rPr>
      </w:pPr>
    </w:p>
    <w:p w:rsidR="00180017" w:rsidRDefault="00180017" w:rsidP="00180017">
      <w:pPr>
        <w:spacing w:after="0" w:line="276" w:lineRule="auto"/>
        <w:rPr>
          <w:rFonts w:cstheme="minorHAnsi"/>
          <w:b/>
        </w:rPr>
      </w:pPr>
    </w:p>
    <w:p w:rsidR="004A29D4" w:rsidRDefault="004A29D4"/>
    <w:sectPr w:rsidR="004A2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42A1B"/>
    <w:multiLevelType w:val="hybridMultilevel"/>
    <w:tmpl w:val="630AD66C"/>
    <w:lvl w:ilvl="0" w:tplc="9C54E090">
      <w:start w:val="1"/>
      <w:numFmt w:val="lowerLetter"/>
      <w:lvlText w:val="%1."/>
      <w:lvlJc w:val="left"/>
      <w:pPr>
        <w:ind w:left="927" w:hanging="360"/>
      </w:pPr>
      <w:rPr>
        <w:rFonts w:eastAsiaTheme="minorHAnsi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E7E418A"/>
    <w:multiLevelType w:val="hybridMultilevel"/>
    <w:tmpl w:val="E9142FD8"/>
    <w:lvl w:ilvl="0" w:tplc="DD6AEAB4">
      <w:start w:val="1"/>
      <w:numFmt w:val="lowerLetter"/>
      <w:lvlText w:val="%1."/>
      <w:lvlJc w:val="left"/>
      <w:pPr>
        <w:ind w:left="502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ind w:left="1222" w:hanging="360"/>
      </w:pPr>
    </w:lvl>
    <w:lvl w:ilvl="2" w:tplc="65F608B4">
      <w:start w:val="1"/>
      <w:numFmt w:val="lowerRoman"/>
      <w:lvlText w:val="%3."/>
      <w:lvlJc w:val="right"/>
      <w:pPr>
        <w:ind w:left="1942" w:hanging="180"/>
      </w:pPr>
    </w:lvl>
    <w:lvl w:ilvl="3" w:tplc="1B54D29A">
      <w:start w:val="1"/>
      <w:numFmt w:val="lowerLetter"/>
      <w:lvlText w:val="%4."/>
      <w:lvlJc w:val="left"/>
      <w:pPr>
        <w:ind w:left="2662" w:hanging="360"/>
      </w:pPr>
    </w:lvl>
    <w:lvl w:ilvl="4" w:tplc="5D4241BC">
      <w:start w:val="1"/>
      <w:numFmt w:val="lowerLetter"/>
      <w:lvlText w:val="%5."/>
      <w:lvlJc w:val="left"/>
      <w:pPr>
        <w:ind w:left="3382" w:hanging="360"/>
      </w:pPr>
    </w:lvl>
    <w:lvl w:ilvl="5" w:tplc="564061A4">
      <w:start w:val="1"/>
      <w:numFmt w:val="lowerRoman"/>
      <w:lvlText w:val="%6."/>
      <w:lvlJc w:val="right"/>
      <w:pPr>
        <w:ind w:left="4102" w:hanging="180"/>
      </w:pPr>
    </w:lvl>
    <w:lvl w:ilvl="6" w:tplc="2F7AB414">
      <w:start w:val="1"/>
      <w:numFmt w:val="decimal"/>
      <w:lvlText w:val="%7."/>
      <w:lvlJc w:val="left"/>
      <w:pPr>
        <w:ind w:left="4822" w:hanging="360"/>
      </w:pPr>
    </w:lvl>
    <w:lvl w:ilvl="7" w:tplc="F4527E26">
      <w:start w:val="1"/>
      <w:numFmt w:val="lowerLetter"/>
      <w:lvlText w:val="%8."/>
      <w:lvlJc w:val="left"/>
      <w:pPr>
        <w:ind w:left="5542" w:hanging="360"/>
      </w:pPr>
    </w:lvl>
    <w:lvl w:ilvl="8" w:tplc="EAE29804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CAA039B"/>
    <w:multiLevelType w:val="multilevel"/>
    <w:tmpl w:val="0A12A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017"/>
    <w:rsid w:val="00001C31"/>
    <w:rsid w:val="001618F4"/>
    <w:rsid w:val="00180017"/>
    <w:rsid w:val="00445247"/>
    <w:rsid w:val="00446C15"/>
    <w:rsid w:val="004A29D4"/>
    <w:rsid w:val="00B454C5"/>
    <w:rsid w:val="00D3195A"/>
    <w:rsid w:val="00D44D1D"/>
    <w:rsid w:val="00ED07F1"/>
    <w:rsid w:val="00FF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7549E"/>
  <w15:chartTrackingRefBased/>
  <w15:docId w15:val="{E0FDE3AC-42B2-419D-8B3D-3D189AC60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017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017"/>
    <w:pPr>
      <w:spacing w:line="254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0017"/>
    <w:rPr>
      <w:b/>
      <w:bCs/>
    </w:rPr>
  </w:style>
  <w:style w:type="paragraph" w:styleId="NoSpacing">
    <w:name w:val="No Spacing"/>
    <w:uiPriority w:val="1"/>
    <w:qFormat/>
    <w:rsid w:val="00180017"/>
    <w:pPr>
      <w:spacing w:after="0" w:line="240" w:lineRule="auto"/>
    </w:pPr>
    <w:rPr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18001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001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styleId="IntenseEmphasis">
    <w:name w:val="Intense Emphasis"/>
    <w:basedOn w:val="DefaultParagraphFont"/>
    <w:uiPriority w:val="21"/>
    <w:qFormat/>
    <w:rsid w:val="00445247"/>
    <w:rPr>
      <w:i/>
      <w:iCs/>
      <w:color w:val="5B9BD5" w:themeColor="accent1"/>
    </w:rPr>
  </w:style>
  <w:style w:type="character" w:customStyle="1" w:styleId="reference-text">
    <w:name w:val="reference-text"/>
    <w:basedOn w:val="DefaultParagraphFont"/>
    <w:rsid w:val="00445247"/>
  </w:style>
  <w:style w:type="character" w:styleId="HTMLCite">
    <w:name w:val="HTML Cite"/>
    <w:basedOn w:val="DefaultParagraphFont"/>
    <w:uiPriority w:val="99"/>
    <w:semiHidden/>
    <w:unhideWhenUsed/>
    <w:rsid w:val="0044524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45247"/>
    <w:rPr>
      <w:color w:val="0000FF"/>
      <w:u w:val="single"/>
    </w:rPr>
  </w:style>
  <w:style w:type="character" w:customStyle="1" w:styleId="reference-accessdate">
    <w:name w:val="reference-accessdate"/>
    <w:basedOn w:val="DefaultParagraphFont"/>
    <w:rsid w:val="00445247"/>
  </w:style>
  <w:style w:type="character" w:customStyle="1" w:styleId="nowrap">
    <w:name w:val="nowrap"/>
    <w:basedOn w:val="DefaultParagraphFont"/>
    <w:rsid w:val="00445247"/>
  </w:style>
  <w:style w:type="character" w:customStyle="1" w:styleId="mw-cite-backlink">
    <w:name w:val="mw-cite-backlink"/>
    <w:basedOn w:val="DefaultParagraphFont"/>
    <w:rsid w:val="00445247"/>
  </w:style>
  <w:style w:type="character" w:customStyle="1" w:styleId="cite-accessibility-label">
    <w:name w:val="cite-accessibility-label"/>
    <w:basedOn w:val="DefaultParagraphFont"/>
    <w:rsid w:val="00445247"/>
  </w:style>
  <w:style w:type="character" w:customStyle="1" w:styleId="cs1-format">
    <w:name w:val="cs1-format"/>
    <w:basedOn w:val="DefaultParagraphFont"/>
    <w:rsid w:val="00445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93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Birmingham,_Alabam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epository.londonmet.ac.uk/3812/3/OOTB-AI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361dc.com/accounting-software.php" TargetMode="External"/><Relationship Id="rId5" Type="http://schemas.openxmlformats.org/officeDocument/2006/relationships/hyperlink" Target="http://clio.lib.olemiss.edu/cdm/ref/collection/deloitte/id/9342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1472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Vutcarau</dc:creator>
  <cp:keywords/>
  <dc:description/>
  <cp:lastModifiedBy>Petru Vutcarau</cp:lastModifiedBy>
  <cp:revision>12</cp:revision>
  <dcterms:created xsi:type="dcterms:W3CDTF">2020-11-12T18:10:00Z</dcterms:created>
  <dcterms:modified xsi:type="dcterms:W3CDTF">2020-11-13T19:04:00Z</dcterms:modified>
</cp:coreProperties>
</file>