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B1BB6" w14:textId="77777777" w:rsidR="0025207C" w:rsidRDefault="0025207C" w:rsidP="0025207C">
      <w:pPr>
        <w:jc w:val="center"/>
        <w:rPr>
          <w:rFonts w:ascii="Times New Roman" w:hAnsi="Times New Roman"/>
          <w:b/>
          <w:bCs/>
          <w:sz w:val="48"/>
          <w:szCs w:val="48"/>
        </w:rPr>
      </w:pPr>
      <w:r>
        <w:rPr>
          <w:b/>
          <w:bCs/>
          <w:sz w:val="48"/>
          <w:szCs w:val="48"/>
        </w:rPr>
        <w:t xml:space="preserve">University of Wales Trinity Saint David </w:t>
      </w:r>
    </w:p>
    <w:p w14:paraId="7D02FBD7" w14:textId="77777777" w:rsidR="0025207C" w:rsidRDefault="0025207C" w:rsidP="0025207C">
      <w:pPr>
        <w:jc w:val="center"/>
        <w:rPr>
          <w:b/>
          <w:bCs/>
          <w:sz w:val="44"/>
          <w:szCs w:val="44"/>
        </w:rPr>
      </w:pPr>
    </w:p>
    <w:p w14:paraId="76846881" w14:textId="77777777" w:rsidR="0025207C" w:rsidRDefault="0025207C" w:rsidP="0025207C">
      <w:pPr>
        <w:jc w:val="center"/>
        <w:rPr>
          <w:b/>
          <w:bCs/>
          <w:sz w:val="44"/>
          <w:szCs w:val="44"/>
        </w:rPr>
      </w:pPr>
      <w:r>
        <w:rPr>
          <w:b/>
          <w:bCs/>
          <w:sz w:val="44"/>
          <w:szCs w:val="44"/>
        </w:rPr>
        <w:t>Managing People</w:t>
      </w:r>
    </w:p>
    <w:p w14:paraId="50AA1160" w14:textId="77777777" w:rsidR="0025207C" w:rsidRDefault="0025207C" w:rsidP="0025207C">
      <w:pPr>
        <w:jc w:val="center"/>
        <w:rPr>
          <w:b/>
          <w:bCs/>
          <w:sz w:val="44"/>
          <w:szCs w:val="44"/>
        </w:rPr>
      </w:pPr>
      <w:r>
        <w:rPr>
          <w:b/>
          <w:bCs/>
          <w:sz w:val="44"/>
          <w:szCs w:val="44"/>
        </w:rPr>
        <w:t>(LCBB5004)</w:t>
      </w:r>
    </w:p>
    <w:p w14:paraId="27697B19" w14:textId="77777777" w:rsidR="0025207C" w:rsidRDefault="0025207C" w:rsidP="0025207C">
      <w:pPr>
        <w:jc w:val="center"/>
        <w:rPr>
          <w:b/>
          <w:bCs/>
          <w:sz w:val="44"/>
          <w:szCs w:val="44"/>
        </w:rPr>
      </w:pPr>
    </w:p>
    <w:p w14:paraId="14A44527" w14:textId="2B7DAADB" w:rsidR="0025207C" w:rsidRDefault="0025207C" w:rsidP="0025207C">
      <w:pPr>
        <w:jc w:val="center"/>
        <w:rPr>
          <w:b/>
          <w:bCs/>
          <w:sz w:val="44"/>
          <w:szCs w:val="44"/>
        </w:rPr>
      </w:pPr>
      <w:r>
        <w:rPr>
          <w:b/>
          <w:bCs/>
          <w:sz w:val="44"/>
          <w:szCs w:val="44"/>
        </w:rPr>
        <w:t xml:space="preserve">Assessment </w:t>
      </w:r>
      <w:r w:rsidR="006F5FFD">
        <w:rPr>
          <w:b/>
          <w:bCs/>
          <w:sz w:val="44"/>
          <w:szCs w:val="44"/>
        </w:rPr>
        <w:t>2</w:t>
      </w:r>
      <w:r>
        <w:rPr>
          <w:b/>
          <w:bCs/>
          <w:sz w:val="44"/>
          <w:szCs w:val="44"/>
        </w:rPr>
        <w:t>- FEB 2022</w:t>
      </w:r>
    </w:p>
    <w:p w14:paraId="7CFD9F30" w14:textId="77777777" w:rsidR="0025207C" w:rsidRPr="0025207C" w:rsidRDefault="0025207C" w:rsidP="0025207C">
      <w:pPr>
        <w:jc w:val="center"/>
        <w:rPr>
          <w:b/>
          <w:bCs/>
          <w:color w:val="FF0000"/>
          <w:sz w:val="48"/>
          <w:szCs w:val="48"/>
        </w:rPr>
      </w:pPr>
    </w:p>
    <w:p w14:paraId="28D0F338" w14:textId="77777777" w:rsidR="0025207C" w:rsidRDefault="0025207C" w:rsidP="0025207C">
      <w:pPr>
        <w:jc w:val="center"/>
        <w:rPr>
          <w:b/>
          <w:bCs/>
          <w:color w:val="FF0000"/>
          <w:sz w:val="48"/>
          <w:szCs w:val="48"/>
        </w:rPr>
      </w:pPr>
      <w:r>
        <w:rPr>
          <w:b/>
          <w:bCs/>
          <w:color w:val="FF0000"/>
          <w:sz w:val="48"/>
          <w:szCs w:val="48"/>
        </w:rPr>
        <w:t>‘’Sainsbury’s Company ‘’</w:t>
      </w:r>
    </w:p>
    <w:p w14:paraId="730F6BB4" w14:textId="77777777" w:rsidR="0025207C" w:rsidRDefault="0025207C" w:rsidP="0025207C">
      <w:pPr>
        <w:jc w:val="center"/>
        <w:rPr>
          <w:b/>
          <w:bCs/>
          <w:sz w:val="44"/>
          <w:szCs w:val="44"/>
        </w:rPr>
      </w:pPr>
    </w:p>
    <w:p w14:paraId="31A3D9B8" w14:textId="77777777" w:rsidR="0025207C" w:rsidRDefault="0025207C" w:rsidP="0025207C">
      <w:pPr>
        <w:jc w:val="center"/>
        <w:rPr>
          <w:b/>
          <w:bCs/>
          <w:sz w:val="44"/>
          <w:szCs w:val="44"/>
        </w:rPr>
      </w:pPr>
      <w:r>
        <w:rPr>
          <w:b/>
          <w:bCs/>
          <w:sz w:val="44"/>
          <w:szCs w:val="44"/>
        </w:rPr>
        <w:t>Student’s Name: Miss Svetlomira Nedyalkova</w:t>
      </w:r>
    </w:p>
    <w:p w14:paraId="75E42F19" w14:textId="77777777" w:rsidR="0025207C" w:rsidRDefault="0025207C" w:rsidP="0025207C">
      <w:pPr>
        <w:jc w:val="center"/>
        <w:rPr>
          <w:b/>
          <w:bCs/>
          <w:sz w:val="44"/>
          <w:szCs w:val="44"/>
        </w:rPr>
      </w:pPr>
      <w:r>
        <w:rPr>
          <w:b/>
          <w:bCs/>
          <w:sz w:val="44"/>
          <w:szCs w:val="44"/>
        </w:rPr>
        <w:t>Student Number: 2010796</w:t>
      </w:r>
    </w:p>
    <w:p w14:paraId="4DEFC852" w14:textId="77777777" w:rsidR="0025207C" w:rsidRDefault="0025207C" w:rsidP="0025207C">
      <w:pPr>
        <w:jc w:val="center"/>
        <w:rPr>
          <w:b/>
          <w:bCs/>
          <w:sz w:val="44"/>
          <w:szCs w:val="44"/>
        </w:rPr>
      </w:pPr>
    </w:p>
    <w:p w14:paraId="02E4BD8C" w14:textId="77777777" w:rsidR="0025207C" w:rsidRDefault="0025207C" w:rsidP="0025207C">
      <w:pPr>
        <w:jc w:val="center"/>
        <w:rPr>
          <w:b/>
          <w:bCs/>
          <w:sz w:val="44"/>
          <w:szCs w:val="44"/>
        </w:rPr>
      </w:pPr>
      <w:r>
        <w:rPr>
          <w:b/>
          <w:bCs/>
          <w:sz w:val="44"/>
          <w:szCs w:val="44"/>
        </w:rPr>
        <w:t xml:space="preserve">Professor’s Name: </w:t>
      </w:r>
      <w:r>
        <w:rPr>
          <w:rFonts w:cs="Times New Roman"/>
          <w:b/>
          <w:bCs/>
          <w:color w:val="373A3C"/>
          <w:sz w:val="44"/>
          <w:szCs w:val="44"/>
          <w:shd w:val="clear" w:color="auto" w:fill="F9F9F9"/>
        </w:rPr>
        <w:t>Charles Oham</w:t>
      </w:r>
    </w:p>
    <w:p w14:paraId="51529E50" w14:textId="77777777" w:rsidR="0025207C" w:rsidRDefault="0025207C" w:rsidP="0025207C">
      <w:pPr>
        <w:spacing w:line="256" w:lineRule="auto"/>
        <w:jc w:val="left"/>
        <w:rPr>
          <w:rFonts w:eastAsiaTheme="majorEastAsia" w:cstheme="majorBidi"/>
          <w:b/>
          <w:spacing w:val="-10"/>
          <w:kern w:val="28"/>
          <w:szCs w:val="22"/>
        </w:rPr>
      </w:pPr>
    </w:p>
    <w:p w14:paraId="1C48497A" w14:textId="7DDAE365" w:rsidR="0025207C" w:rsidRPr="0025207C" w:rsidRDefault="0025207C" w:rsidP="0025207C">
      <w:pPr>
        <w:spacing w:line="256" w:lineRule="auto"/>
        <w:jc w:val="center"/>
        <w:rPr>
          <w:rFonts w:eastAsiaTheme="majorEastAsia" w:cstheme="majorBidi"/>
          <w:b/>
          <w:spacing w:val="-10"/>
          <w:kern w:val="28"/>
          <w:szCs w:val="22"/>
        </w:rPr>
      </w:pPr>
      <w:r w:rsidRPr="0025207C">
        <w:rPr>
          <w:rFonts w:eastAsiaTheme="majorEastAsia" w:cstheme="majorBidi"/>
          <w:b/>
          <w:spacing w:val="-10"/>
          <w:kern w:val="28"/>
          <w:szCs w:val="22"/>
        </w:rPr>
        <w:lastRenderedPageBreak/>
        <w:t>Table of Contents</w:t>
      </w:r>
    </w:p>
    <w:p w14:paraId="1C3787D8" w14:textId="77777777" w:rsidR="0025207C" w:rsidRDefault="0025207C" w:rsidP="0025207C">
      <w:pPr>
        <w:jc w:val="center"/>
        <w:rPr>
          <w:b/>
          <w:bCs/>
          <w:sz w:val="24"/>
        </w:rPr>
      </w:pPr>
    </w:p>
    <w:p w14:paraId="3E44BEDF" w14:textId="77777777" w:rsidR="0025207C" w:rsidRPr="00D146A3" w:rsidRDefault="0025207C" w:rsidP="0025207C">
      <w:pPr>
        <w:pStyle w:val="12"/>
        <w:tabs>
          <w:tab w:val="right" w:leader="dot" w:pos="8268"/>
        </w:tabs>
        <w:spacing w:line="240" w:lineRule="auto"/>
        <w:rPr>
          <w:rFonts w:eastAsiaTheme="minorEastAsia" w:cs="Arial"/>
          <w:color w:val="auto"/>
          <w:szCs w:val="22"/>
          <w:lang w:val="en-US" w:bidi="ar-SA"/>
        </w:rPr>
      </w:pPr>
      <w:hyperlink w:anchor="_Toc102274633" w:history="1">
        <w:r w:rsidRPr="00D146A3">
          <w:rPr>
            <w:rStyle w:val="a9"/>
            <w:rFonts w:cs="Arial"/>
            <w:szCs w:val="22"/>
          </w:rPr>
          <w:t>Introduction</w:t>
        </w:r>
        <w:r w:rsidRPr="00D146A3">
          <w:rPr>
            <w:rFonts w:cs="Arial"/>
            <w:webHidden/>
            <w:szCs w:val="22"/>
          </w:rPr>
          <w:tab/>
        </w:r>
        <w:r w:rsidRPr="00D146A3">
          <w:rPr>
            <w:rFonts w:cs="Arial"/>
            <w:webHidden/>
            <w:szCs w:val="22"/>
          </w:rPr>
          <w:fldChar w:fldCharType="begin"/>
        </w:r>
        <w:r w:rsidRPr="00D146A3">
          <w:rPr>
            <w:rFonts w:cs="Arial"/>
            <w:webHidden/>
            <w:szCs w:val="22"/>
          </w:rPr>
          <w:instrText xml:space="preserve"> PAGEREF _Toc102274633 \h </w:instrText>
        </w:r>
        <w:r w:rsidRPr="00D146A3">
          <w:rPr>
            <w:rFonts w:cs="Arial"/>
            <w:webHidden/>
            <w:szCs w:val="22"/>
          </w:rPr>
        </w:r>
        <w:r w:rsidRPr="00D146A3">
          <w:rPr>
            <w:rFonts w:cs="Arial"/>
            <w:webHidden/>
            <w:szCs w:val="22"/>
          </w:rPr>
          <w:fldChar w:fldCharType="separate"/>
        </w:r>
        <w:r w:rsidRPr="00D146A3">
          <w:rPr>
            <w:rFonts w:cs="Arial"/>
            <w:webHidden/>
            <w:szCs w:val="22"/>
          </w:rPr>
          <w:t>3</w:t>
        </w:r>
        <w:r w:rsidRPr="00D146A3">
          <w:rPr>
            <w:rFonts w:cs="Arial"/>
            <w:webHidden/>
            <w:szCs w:val="22"/>
          </w:rPr>
          <w:fldChar w:fldCharType="end"/>
        </w:r>
      </w:hyperlink>
    </w:p>
    <w:p w14:paraId="6E5B3B43" w14:textId="77777777" w:rsidR="0025207C" w:rsidRPr="00D146A3" w:rsidRDefault="0025207C" w:rsidP="0025207C">
      <w:pPr>
        <w:pStyle w:val="12"/>
        <w:tabs>
          <w:tab w:val="right" w:leader="dot" w:pos="8268"/>
        </w:tabs>
        <w:spacing w:line="240" w:lineRule="auto"/>
        <w:rPr>
          <w:rFonts w:eastAsiaTheme="minorEastAsia" w:cs="Arial"/>
          <w:color w:val="auto"/>
          <w:szCs w:val="22"/>
          <w:lang w:val="en-US" w:bidi="ar-SA"/>
        </w:rPr>
      </w:pPr>
      <w:hyperlink w:anchor="_Toc102274634" w:history="1">
        <w:r w:rsidRPr="00D146A3">
          <w:rPr>
            <w:rStyle w:val="a9"/>
            <w:rFonts w:cs="Arial"/>
            <w:szCs w:val="22"/>
          </w:rPr>
          <w:t>Reviewing the concepts and drivers of employee engagement</w:t>
        </w:r>
        <w:r w:rsidRPr="00D146A3">
          <w:rPr>
            <w:rFonts w:cs="Arial"/>
            <w:webHidden/>
            <w:szCs w:val="22"/>
          </w:rPr>
          <w:tab/>
        </w:r>
        <w:r w:rsidRPr="00D146A3">
          <w:rPr>
            <w:rFonts w:cs="Arial"/>
            <w:webHidden/>
            <w:szCs w:val="22"/>
          </w:rPr>
          <w:fldChar w:fldCharType="begin"/>
        </w:r>
        <w:r w:rsidRPr="00D146A3">
          <w:rPr>
            <w:rFonts w:cs="Arial"/>
            <w:webHidden/>
            <w:szCs w:val="22"/>
          </w:rPr>
          <w:instrText xml:space="preserve"> PAGEREF _Toc102274634 \h </w:instrText>
        </w:r>
        <w:r w:rsidRPr="00D146A3">
          <w:rPr>
            <w:rFonts w:cs="Arial"/>
            <w:webHidden/>
            <w:szCs w:val="22"/>
          </w:rPr>
        </w:r>
        <w:r w:rsidRPr="00D146A3">
          <w:rPr>
            <w:rFonts w:cs="Arial"/>
            <w:webHidden/>
            <w:szCs w:val="22"/>
          </w:rPr>
          <w:fldChar w:fldCharType="separate"/>
        </w:r>
        <w:r w:rsidRPr="00D146A3">
          <w:rPr>
            <w:rFonts w:cs="Arial"/>
            <w:webHidden/>
            <w:szCs w:val="22"/>
          </w:rPr>
          <w:t>4</w:t>
        </w:r>
        <w:r w:rsidRPr="00D146A3">
          <w:rPr>
            <w:rFonts w:cs="Arial"/>
            <w:webHidden/>
            <w:szCs w:val="22"/>
          </w:rPr>
          <w:fldChar w:fldCharType="end"/>
        </w:r>
      </w:hyperlink>
    </w:p>
    <w:p w14:paraId="3CFD79C4" w14:textId="77777777" w:rsidR="0025207C" w:rsidRPr="00D146A3" w:rsidRDefault="0025207C" w:rsidP="0025207C">
      <w:pPr>
        <w:pStyle w:val="21"/>
        <w:tabs>
          <w:tab w:val="right" w:leader="dot" w:pos="8268"/>
        </w:tabs>
        <w:spacing w:line="240" w:lineRule="auto"/>
        <w:rPr>
          <w:rFonts w:eastAsiaTheme="minorEastAsia" w:cs="Arial"/>
          <w:color w:val="auto"/>
          <w:szCs w:val="22"/>
          <w:lang w:val="en-US" w:bidi="ar-SA"/>
        </w:rPr>
      </w:pPr>
      <w:hyperlink w:anchor="_Toc102274635" w:history="1">
        <w:r w:rsidRPr="00D146A3">
          <w:rPr>
            <w:rStyle w:val="a9"/>
            <w:rFonts w:cs="Arial"/>
            <w:szCs w:val="22"/>
          </w:rPr>
          <w:t>Main Drivers of Employee Engagement</w:t>
        </w:r>
        <w:r w:rsidRPr="00D146A3">
          <w:rPr>
            <w:rFonts w:cs="Arial"/>
            <w:webHidden/>
            <w:szCs w:val="22"/>
          </w:rPr>
          <w:tab/>
        </w:r>
        <w:r w:rsidRPr="00D146A3">
          <w:rPr>
            <w:rFonts w:cs="Arial"/>
            <w:webHidden/>
            <w:szCs w:val="22"/>
          </w:rPr>
          <w:fldChar w:fldCharType="begin"/>
        </w:r>
        <w:r w:rsidRPr="00D146A3">
          <w:rPr>
            <w:rFonts w:cs="Arial"/>
            <w:webHidden/>
            <w:szCs w:val="22"/>
          </w:rPr>
          <w:instrText xml:space="preserve"> PAGEREF _Toc102274635 \h </w:instrText>
        </w:r>
        <w:r w:rsidRPr="00D146A3">
          <w:rPr>
            <w:rFonts w:cs="Arial"/>
            <w:webHidden/>
            <w:szCs w:val="22"/>
          </w:rPr>
        </w:r>
        <w:r w:rsidRPr="00D146A3">
          <w:rPr>
            <w:rFonts w:cs="Arial"/>
            <w:webHidden/>
            <w:szCs w:val="22"/>
          </w:rPr>
          <w:fldChar w:fldCharType="separate"/>
        </w:r>
        <w:r w:rsidRPr="00D146A3">
          <w:rPr>
            <w:rFonts w:cs="Arial"/>
            <w:webHidden/>
            <w:szCs w:val="22"/>
          </w:rPr>
          <w:t>4</w:t>
        </w:r>
        <w:r w:rsidRPr="00D146A3">
          <w:rPr>
            <w:rFonts w:cs="Arial"/>
            <w:webHidden/>
            <w:szCs w:val="22"/>
          </w:rPr>
          <w:fldChar w:fldCharType="end"/>
        </w:r>
      </w:hyperlink>
    </w:p>
    <w:p w14:paraId="63353AEE" w14:textId="77777777" w:rsidR="0025207C" w:rsidRPr="00D146A3" w:rsidRDefault="0025207C" w:rsidP="0025207C">
      <w:pPr>
        <w:pStyle w:val="12"/>
        <w:tabs>
          <w:tab w:val="right" w:leader="dot" w:pos="8268"/>
        </w:tabs>
        <w:spacing w:line="240" w:lineRule="auto"/>
        <w:rPr>
          <w:rFonts w:eastAsiaTheme="minorEastAsia" w:cs="Arial"/>
          <w:color w:val="auto"/>
          <w:szCs w:val="22"/>
          <w:lang w:val="en-US" w:bidi="ar-SA"/>
        </w:rPr>
      </w:pPr>
      <w:hyperlink w:anchor="_Toc102274636" w:history="1">
        <w:r w:rsidRPr="00D146A3">
          <w:rPr>
            <w:rStyle w:val="a9"/>
            <w:rFonts w:cs="Arial"/>
            <w:szCs w:val="22"/>
          </w:rPr>
          <w:t>Evaluating the diagnostic tools to measure the engagement of employees</w:t>
        </w:r>
        <w:r w:rsidRPr="00D146A3">
          <w:rPr>
            <w:rFonts w:cs="Arial"/>
            <w:webHidden/>
            <w:szCs w:val="22"/>
          </w:rPr>
          <w:tab/>
        </w:r>
        <w:r w:rsidRPr="00D146A3">
          <w:rPr>
            <w:rFonts w:cs="Arial"/>
            <w:webHidden/>
            <w:szCs w:val="22"/>
          </w:rPr>
          <w:fldChar w:fldCharType="begin"/>
        </w:r>
        <w:r w:rsidRPr="00D146A3">
          <w:rPr>
            <w:rFonts w:cs="Arial"/>
            <w:webHidden/>
            <w:szCs w:val="22"/>
          </w:rPr>
          <w:instrText xml:space="preserve"> PAGEREF _Toc102274636 \h </w:instrText>
        </w:r>
        <w:r w:rsidRPr="00D146A3">
          <w:rPr>
            <w:rFonts w:cs="Arial"/>
            <w:webHidden/>
            <w:szCs w:val="22"/>
          </w:rPr>
        </w:r>
        <w:r w:rsidRPr="00D146A3">
          <w:rPr>
            <w:rFonts w:cs="Arial"/>
            <w:webHidden/>
            <w:szCs w:val="22"/>
          </w:rPr>
          <w:fldChar w:fldCharType="separate"/>
        </w:r>
        <w:r w:rsidRPr="00D146A3">
          <w:rPr>
            <w:rFonts w:cs="Arial"/>
            <w:webHidden/>
            <w:szCs w:val="22"/>
          </w:rPr>
          <w:t>7</w:t>
        </w:r>
        <w:r w:rsidRPr="00D146A3">
          <w:rPr>
            <w:rFonts w:cs="Arial"/>
            <w:webHidden/>
            <w:szCs w:val="22"/>
          </w:rPr>
          <w:fldChar w:fldCharType="end"/>
        </w:r>
      </w:hyperlink>
    </w:p>
    <w:p w14:paraId="0C22976D" w14:textId="77777777" w:rsidR="0025207C" w:rsidRPr="00D146A3" w:rsidRDefault="0025207C" w:rsidP="0025207C">
      <w:pPr>
        <w:pStyle w:val="12"/>
        <w:tabs>
          <w:tab w:val="right" w:leader="dot" w:pos="8268"/>
        </w:tabs>
        <w:spacing w:line="240" w:lineRule="auto"/>
        <w:rPr>
          <w:rFonts w:eastAsiaTheme="minorEastAsia" w:cs="Arial"/>
          <w:color w:val="auto"/>
          <w:szCs w:val="22"/>
          <w:lang w:val="en-US" w:bidi="ar-SA"/>
        </w:rPr>
      </w:pPr>
      <w:hyperlink w:anchor="_Toc102274637" w:history="1">
        <w:r w:rsidRPr="00D146A3">
          <w:rPr>
            <w:rStyle w:val="a9"/>
            <w:rFonts w:cs="Arial"/>
            <w:szCs w:val="22"/>
          </w:rPr>
          <w:t>Constructing an employee value proposition by analysing the ideas covered previously, including strategies to raise the engagement level</w:t>
        </w:r>
        <w:r w:rsidRPr="00D146A3">
          <w:rPr>
            <w:rFonts w:cs="Arial"/>
            <w:webHidden/>
            <w:szCs w:val="22"/>
          </w:rPr>
          <w:tab/>
        </w:r>
        <w:r w:rsidRPr="00D146A3">
          <w:rPr>
            <w:rFonts w:cs="Arial"/>
            <w:webHidden/>
            <w:szCs w:val="22"/>
          </w:rPr>
          <w:fldChar w:fldCharType="begin"/>
        </w:r>
        <w:r w:rsidRPr="00D146A3">
          <w:rPr>
            <w:rFonts w:cs="Arial"/>
            <w:webHidden/>
            <w:szCs w:val="22"/>
          </w:rPr>
          <w:instrText xml:space="preserve"> PAGEREF _Toc102274637 \h </w:instrText>
        </w:r>
        <w:r w:rsidRPr="00D146A3">
          <w:rPr>
            <w:rFonts w:cs="Arial"/>
            <w:webHidden/>
            <w:szCs w:val="22"/>
          </w:rPr>
        </w:r>
        <w:r w:rsidRPr="00D146A3">
          <w:rPr>
            <w:rFonts w:cs="Arial"/>
            <w:webHidden/>
            <w:szCs w:val="22"/>
          </w:rPr>
          <w:fldChar w:fldCharType="separate"/>
        </w:r>
        <w:r w:rsidRPr="00D146A3">
          <w:rPr>
            <w:rFonts w:cs="Arial"/>
            <w:webHidden/>
            <w:szCs w:val="22"/>
          </w:rPr>
          <w:t>8</w:t>
        </w:r>
        <w:r w:rsidRPr="00D146A3">
          <w:rPr>
            <w:rFonts w:cs="Arial"/>
            <w:webHidden/>
            <w:szCs w:val="22"/>
          </w:rPr>
          <w:fldChar w:fldCharType="end"/>
        </w:r>
      </w:hyperlink>
    </w:p>
    <w:p w14:paraId="2617F7B5" w14:textId="77777777" w:rsidR="0025207C" w:rsidRPr="00D146A3" w:rsidRDefault="0025207C" w:rsidP="0025207C">
      <w:pPr>
        <w:pStyle w:val="12"/>
        <w:tabs>
          <w:tab w:val="right" w:leader="dot" w:pos="8268"/>
        </w:tabs>
        <w:spacing w:line="240" w:lineRule="auto"/>
        <w:rPr>
          <w:rFonts w:eastAsiaTheme="minorEastAsia" w:cs="Arial"/>
          <w:color w:val="auto"/>
          <w:szCs w:val="22"/>
          <w:lang w:val="en-US" w:bidi="ar-SA"/>
        </w:rPr>
      </w:pPr>
      <w:hyperlink w:anchor="_Toc102274638" w:history="1">
        <w:r w:rsidRPr="00D146A3">
          <w:rPr>
            <w:rStyle w:val="a9"/>
            <w:rFonts w:cs="Arial"/>
            <w:szCs w:val="22"/>
          </w:rPr>
          <w:t>Conclusion</w:t>
        </w:r>
        <w:r w:rsidRPr="00D146A3">
          <w:rPr>
            <w:rFonts w:cs="Arial"/>
            <w:webHidden/>
            <w:szCs w:val="22"/>
          </w:rPr>
          <w:tab/>
        </w:r>
        <w:r w:rsidRPr="00D146A3">
          <w:rPr>
            <w:rFonts w:cs="Arial"/>
            <w:webHidden/>
            <w:szCs w:val="22"/>
          </w:rPr>
          <w:fldChar w:fldCharType="begin"/>
        </w:r>
        <w:r w:rsidRPr="00D146A3">
          <w:rPr>
            <w:rFonts w:cs="Arial"/>
            <w:webHidden/>
            <w:szCs w:val="22"/>
          </w:rPr>
          <w:instrText xml:space="preserve"> PAGEREF _Toc102274638 \h </w:instrText>
        </w:r>
        <w:r w:rsidRPr="00D146A3">
          <w:rPr>
            <w:rFonts w:cs="Arial"/>
            <w:webHidden/>
            <w:szCs w:val="22"/>
          </w:rPr>
        </w:r>
        <w:r w:rsidRPr="00D146A3">
          <w:rPr>
            <w:rFonts w:cs="Arial"/>
            <w:webHidden/>
            <w:szCs w:val="22"/>
          </w:rPr>
          <w:fldChar w:fldCharType="separate"/>
        </w:r>
        <w:r w:rsidRPr="00D146A3">
          <w:rPr>
            <w:rFonts w:cs="Arial"/>
            <w:webHidden/>
            <w:szCs w:val="22"/>
          </w:rPr>
          <w:t>10</w:t>
        </w:r>
        <w:r w:rsidRPr="00D146A3">
          <w:rPr>
            <w:rFonts w:cs="Arial"/>
            <w:webHidden/>
            <w:szCs w:val="22"/>
          </w:rPr>
          <w:fldChar w:fldCharType="end"/>
        </w:r>
      </w:hyperlink>
    </w:p>
    <w:p w14:paraId="00869CB2" w14:textId="77777777" w:rsidR="0025207C" w:rsidRPr="00D146A3" w:rsidRDefault="0025207C" w:rsidP="0025207C">
      <w:pPr>
        <w:pStyle w:val="12"/>
        <w:tabs>
          <w:tab w:val="right" w:leader="dot" w:pos="8268"/>
        </w:tabs>
        <w:spacing w:line="240" w:lineRule="auto"/>
        <w:rPr>
          <w:rFonts w:eastAsiaTheme="minorEastAsia" w:cs="Arial"/>
          <w:color w:val="auto"/>
          <w:szCs w:val="22"/>
          <w:lang w:val="en-US" w:bidi="ar-SA"/>
        </w:rPr>
      </w:pPr>
      <w:hyperlink w:anchor="_Toc102274639" w:history="1">
        <w:r w:rsidRPr="00D146A3">
          <w:rPr>
            <w:rStyle w:val="a9"/>
            <w:rFonts w:cs="Arial"/>
            <w:szCs w:val="22"/>
          </w:rPr>
          <w:t>References</w:t>
        </w:r>
        <w:r w:rsidRPr="00D146A3">
          <w:rPr>
            <w:rFonts w:cs="Arial"/>
            <w:webHidden/>
            <w:szCs w:val="22"/>
          </w:rPr>
          <w:tab/>
        </w:r>
        <w:r w:rsidRPr="00D146A3">
          <w:rPr>
            <w:rFonts w:cs="Arial"/>
            <w:webHidden/>
            <w:szCs w:val="22"/>
          </w:rPr>
          <w:fldChar w:fldCharType="begin"/>
        </w:r>
        <w:r w:rsidRPr="00D146A3">
          <w:rPr>
            <w:rFonts w:cs="Arial"/>
            <w:webHidden/>
            <w:szCs w:val="22"/>
          </w:rPr>
          <w:instrText xml:space="preserve"> PAGEREF _Toc102274639 \h </w:instrText>
        </w:r>
        <w:r w:rsidRPr="00D146A3">
          <w:rPr>
            <w:rFonts w:cs="Arial"/>
            <w:webHidden/>
            <w:szCs w:val="22"/>
          </w:rPr>
        </w:r>
        <w:r w:rsidRPr="00D146A3">
          <w:rPr>
            <w:rFonts w:cs="Arial"/>
            <w:webHidden/>
            <w:szCs w:val="22"/>
          </w:rPr>
          <w:fldChar w:fldCharType="separate"/>
        </w:r>
        <w:r w:rsidRPr="00D146A3">
          <w:rPr>
            <w:rFonts w:cs="Arial"/>
            <w:webHidden/>
            <w:szCs w:val="22"/>
          </w:rPr>
          <w:t>11</w:t>
        </w:r>
        <w:r w:rsidRPr="00D146A3">
          <w:rPr>
            <w:rFonts w:cs="Arial"/>
            <w:webHidden/>
            <w:szCs w:val="22"/>
          </w:rPr>
          <w:fldChar w:fldCharType="end"/>
        </w:r>
      </w:hyperlink>
    </w:p>
    <w:p w14:paraId="71863CAE" w14:textId="5F181AAB" w:rsidR="0025207C" w:rsidRDefault="0025207C" w:rsidP="0025207C">
      <w:pPr>
        <w:spacing w:line="259" w:lineRule="auto"/>
        <w:jc w:val="center"/>
        <w:rPr>
          <w:rFonts w:eastAsiaTheme="majorEastAsia" w:cs="Arial"/>
          <w:b/>
          <w:spacing w:val="-10"/>
          <w:kern w:val="28"/>
          <w:szCs w:val="22"/>
        </w:rPr>
      </w:pPr>
    </w:p>
    <w:p w14:paraId="3AC408E2" w14:textId="77777777" w:rsidR="0025207C" w:rsidRDefault="0025207C">
      <w:pPr>
        <w:spacing w:line="259" w:lineRule="auto"/>
        <w:jc w:val="left"/>
        <w:rPr>
          <w:rFonts w:eastAsiaTheme="majorEastAsia" w:cs="Arial"/>
          <w:b/>
          <w:spacing w:val="-10"/>
          <w:kern w:val="28"/>
          <w:szCs w:val="22"/>
        </w:rPr>
      </w:pPr>
      <w:r>
        <w:rPr>
          <w:rFonts w:eastAsiaTheme="majorEastAsia" w:cs="Arial"/>
          <w:b/>
          <w:spacing w:val="-10"/>
          <w:kern w:val="28"/>
          <w:szCs w:val="22"/>
        </w:rPr>
        <w:br w:type="page"/>
      </w:r>
    </w:p>
    <w:p w14:paraId="7DD03D38" w14:textId="77777777" w:rsidR="00E36910" w:rsidRPr="00D146A3" w:rsidRDefault="00D4539D" w:rsidP="00D146A3">
      <w:pPr>
        <w:pStyle w:val="1"/>
        <w:spacing w:line="240" w:lineRule="auto"/>
        <w:rPr>
          <w:rFonts w:cs="Arial"/>
          <w:szCs w:val="22"/>
        </w:rPr>
      </w:pPr>
      <w:bookmarkStart w:id="0" w:name="_Toc102274633"/>
      <w:r w:rsidRPr="00D146A3">
        <w:rPr>
          <w:rFonts w:cs="Arial"/>
          <w:szCs w:val="22"/>
        </w:rPr>
        <w:lastRenderedPageBreak/>
        <w:t>Introduction</w:t>
      </w:r>
      <w:bookmarkEnd w:id="0"/>
    </w:p>
    <w:p w14:paraId="38C98920" w14:textId="77777777" w:rsidR="00E36910" w:rsidRPr="00D146A3" w:rsidRDefault="00FB2321" w:rsidP="00D146A3">
      <w:pPr>
        <w:spacing w:line="240" w:lineRule="auto"/>
        <w:rPr>
          <w:rFonts w:cs="Arial"/>
          <w:szCs w:val="22"/>
        </w:rPr>
      </w:pPr>
      <w:r w:rsidRPr="00D146A3">
        <w:rPr>
          <w:rFonts w:cs="Arial"/>
          <w:szCs w:val="22"/>
        </w:rPr>
        <w:t>Business in the contemporary situation needs to manage their workforce with an effective vision to gain success and avoid uncertainty, which requires the appropriate engagement of employees.</w:t>
      </w:r>
      <w:r w:rsidR="000E6D89" w:rsidRPr="00D146A3">
        <w:rPr>
          <w:rFonts w:cs="Arial"/>
          <w:szCs w:val="22"/>
        </w:rPr>
        <w:t xml:space="preserve"> </w:t>
      </w:r>
      <w:r w:rsidR="000E6D89" w:rsidRPr="00D146A3">
        <w:rPr>
          <w:rFonts w:cs="Arial"/>
          <w:b/>
          <w:bCs/>
          <w:i/>
          <w:iCs/>
          <w:szCs w:val="22"/>
        </w:rPr>
        <w:t>Managing people</w:t>
      </w:r>
      <w:r w:rsidR="000E6D89" w:rsidRPr="00D146A3">
        <w:rPr>
          <w:rFonts w:cs="Arial"/>
          <w:szCs w:val="22"/>
        </w:rPr>
        <w:t xml:space="preserve"> within the organisation refers to the process of organising and controlling the work process and employees within the business or organisation (</w:t>
      </w:r>
      <w:r w:rsidR="009665B0" w:rsidRPr="00D146A3">
        <w:rPr>
          <w:rFonts w:cs="Arial"/>
          <w:szCs w:val="22"/>
        </w:rPr>
        <w:t>Armstrong, 2020</w:t>
      </w:r>
      <w:r w:rsidR="000E6D89" w:rsidRPr="00D146A3">
        <w:rPr>
          <w:rFonts w:cs="Arial"/>
          <w:szCs w:val="22"/>
        </w:rPr>
        <w:t xml:space="preserve">). People management within the corporation can provide the idea of organising and attracting the best talent in the company and support desired aims and objectives of the company. The report will provide the details about engaging the employees in Sainsbury’s and effective diagnostic tools for employee engagement. Moreover, </w:t>
      </w:r>
      <w:r w:rsidR="003047D7" w:rsidRPr="00D146A3">
        <w:rPr>
          <w:rFonts w:cs="Arial"/>
          <w:szCs w:val="22"/>
        </w:rPr>
        <w:t xml:space="preserve">it will construct the right employee value proposition with strategies to increase the </w:t>
      </w:r>
      <w:r w:rsidR="0099150B" w:rsidRPr="00D146A3">
        <w:rPr>
          <w:rFonts w:cs="Arial"/>
          <w:szCs w:val="22"/>
        </w:rPr>
        <w:t>engagement</w:t>
      </w:r>
      <w:r w:rsidR="003047D7" w:rsidRPr="00D146A3">
        <w:rPr>
          <w:rFonts w:cs="Arial"/>
          <w:szCs w:val="22"/>
        </w:rPr>
        <w:t xml:space="preserve"> tier.</w:t>
      </w:r>
      <w:r w:rsidR="00E36910" w:rsidRPr="00D146A3">
        <w:rPr>
          <w:rFonts w:cs="Arial"/>
          <w:szCs w:val="22"/>
        </w:rPr>
        <w:br w:type="page"/>
      </w:r>
    </w:p>
    <w:p w14:paraId="269E6D2A" w14:textId="77777777" w:rsidR="00304CE9" w:rsidRPr="00D146A3" w:rsidRDefault="00E36910" w:rsidP="00D146A3">
      <w:pPr>
        <w:pStyle w:val="1"/>
        <w:spacing w:line="240" w:lineRule="auto"/>
        <w:rPr>
          <w:rFonts w:cs="Arial"/>
          <w:szCs w:val="22"/>
        </w:rPr>
      </w:pPr>
      <w:bookmarkStart w:id="1" w:name="_Toc102274634"/>
      <w:r w:rsidRPr="00D146A3">
        <w:rPr>
          <w:rFonts w:cs="Arial"/>
          <w:szCs w:val="22"/>
        </w:rPr>
        <w:lastRenderedPageBreak/>
        <w:t>Reviewing the concepts and drivers of employee engagement</w:t>
      </w:r>
      <w:bookmarkEnd w:id="1"/>
    </w:p>
    <w:p w14:paraId="26CEA440" w14:textId="77777777" w:rsidR="008E7FAA" w:rsidRPr="00D146A3" w:rsidRDefault="00304CE9" w:rsidP="00D146A3">
      <w:pPr>
        <w:spacing w:line="240" w:lineRule="auto"/>
        <w:rPr>
          <w:rFonts w:cs="Arial"/>
          <w:szCs w:val="22"/>
        </w:rPr>
      </w:pPr>
      <w:r w:rsidRPr="00D146A3">
        <w:rPr>
          <w:rFonts w:cs="Arial"/>
          <w:szCs w:val="22"/>
        </w:rPr>
        <w:t xml:space="preserve">With a drastic change in the business environment after the situation of COVID-19, the Human Resource Management of the company should </w:t>
      </w:r>
      <w:r w:rsidR="008D1E73" w:rsidRPr="00D146A3">
        <w:rPr>
          <w:rFonts w:cs="Arial"/>
          <w:szCs w:val="22"/>
        </w:rPr>
        <w:t xml:space="preserve">emphasise including strategies in the corporation for engaging employees. It is an extensive process to maximise the opportunities to gain a high competitive advantage in the market. </w:t>
      </w:r>
      <w:r w:rsidR="008D1E73" w:rsidRPr="00D146A3">
        <w:rPr>
          <w:rFonts w:cs="Arial"/>
          <w:b/>
          <w:bCs/>
          <w:i/>
          <w:iCs/>
          <w:szCs w:val="22"/>
        </w:rPr>
        <w:t>Employee Engagement</w:t>
      </w:r>
      <w:r w:rsidR="008D1E73" w:rsidRPr="00D146A3">
        <w:rPr>
          <w:rFonts w:cs="Arial"/>
          <w:szCs w:val="22"/>
        </w:rPr>
        <w:t xml:space="preserve"> in a firm refers to the process that </w:t>
      </w:r>
      <w:r w:rsidR="008D1E73" w:rsidRPr="00D146A3">
        <w:rPr>
          <w:rFonts w:cs="Arial"/>
          <w:b/>
          <w:bCs/>
          <w:i/>
          <w:iCs/>
          <w:szCs w:val="22"/>
        </w:rPr>
        <w:t>Human Resource Management</w:t>
      </w:r>
      <w:r w:rsidR="008D1E73" w:rsidRPr="00D146A3">
        <w:rPr>
          <w:rFonts w:cs="Arial"/>
          <w:szCs w:val="22"/>
        </w:rPr>
        <w:t xml:space="preserve"> oversees to include in order to increase the dedication level and enthusiasm of the workers towards their provided job roles (</w:t>
      </w:r>
      <w:r w:rsidR="006A36D2" w:rsidRPr="00D146A3">
        <w:rPr>
          <w:rFonts w:cs="Arial"/>
          <w:szCs w:val="22"/>
        </w:rPr>
        <w:t>Motyka, 2018</w:t>
      </w:r>
      <w:r w:rsidR="008D1E73" w:rsidRPr="00D146A3">
        <w:rPr>
          <w:rFonts w:cs="Arial"/>
          <w:szCs w:val="22"/>
        </w:rPr>
        <w:t>). It is an intense process of capturing the market with the help of efficient work culture, that reduces the burnout rate of staff and strategies to enhance the productivity level.</w:t>
      </w:r>
      <w:r w:rsidR="008E7FAA" w:rsidRPr="00D146A3">
        <w:rPr>
          <w:rFonts w:cs="Arial"/>
          <w:szCs w:val="22"/>
        </w:rPr>
        <w:t xml:space="preserve"> With the apropos strategies for employee engagement, Sainsbury’s oversees to work smarter, which is applicable by use of innovative technology to cut down the Carbon usage dramatically to improve the reputation of the company. Whereas, in accordance with the application of this approach Sainsbury’s made an increased profit of 60 million British Pounds in its annual sales for the fiscal year of 2021 (Butler, 2022).</w:t>
      </w:r>
    </w:p>
    <w:p w14:paraId="607FE35F" w14:textId="77777777" w:rsidR="00185BEC" w:rsidRPr="00D146A3" w:rsidRDefault="00185BEC" w:rsidP="00D146A3">
      <w:pPr>
        <w:spacing w:line="240" w:lineRule="auto"/>
        <w:rPr>
          <w:rFonts w:cs="Arial"/>
          <w:szCs w:val="22"/>
        </w:rPr>
      </w:pPr>
      <w:r w:rsidRPr="00D146A3">
        <w:rPr>
          <w:rFonts w:cs="Arial"/>
          <w:szCs w:val="22"/>
        </w:rPr>
        <w:t xml:space="preserve">In order to acquire high success in the future, Sainsbury’s managers and leaders should oversee to accelerate the innovative approach </w:t>
      </w:r>
      <w:r w:rsidR="006A36D2" w:rsidRPr="00D146A3">
        <w:rPr>
          <w:rFonts w:cs="Arial"/>
          <w:szCs w:val="22"/>
        </w:rPr>
        <w:t>to</w:t>
      </w:r>
      <w:r w:rsidRPr="00D146A3">
        <w:rPr>
          <w:rFonts w:cs="Arial"/>
          <w:szCs w:val="22"/>
        </w:rPr>
        <w:t xml:space="preserve"> employee engagement, which can be accomplished by addressing the key drivers of employee engagement.</w:t>
      </w:r>
    </w:p>
    <w:p w14:paraId="25428F3A" w14:textId="77777777" w:rsidR="006A36D2" w:rsidRPr="00D146A3" w:rsidRDefault="006A36D2" w:rsidP="00D146A3">
      <w:pPr>
        <w:pStyle w:val="2"/>
        <w:spacing w:line="240" w:lineRule="auto"/>
        <w:rPr>
          <w:rFonts w:cs="Arial"/>
          <w:szCs w:val="22"/>
        </w:rPr>
      </w:pPr>
      <w:bookmarkStart w:id="2" w:name="_Toc102274635"/>
      <w:r w:rsidRPr="00D146A3">
        <w:rPr>
          <w:rFonts w:cs="Arial"/>
          <w:szCs w:val="22"/>
        </w:rPr>
        <w:t>Main Drivers of Employee Engagement</w:t>
      </w:r>
      <w:bookmarkEnd w:id="2"/>
    </w:p>
    <w:p w14:paraId="057D6423" w14:textId="77777777" w:rsidR="006A36D2" w:rsidRPr="00D146A3" w:rsidRDefault="00C60801" w:rsidP="00D146A3">
      <w:pPr>
        <w:spacing w:line="240" w:lineRule="auto"/>
        <w:rPr>
          <w:rFonts w:cs="Arial"/>
          <w:szCs w:val="22"/>
        </w:rPr>
      </w:pPr>
      <w:r w:rsidRPr="00D146A3">
        <w:rPr>
          <w:rFonts w:cs="Arial"/>
          <w:szCs w:val="22"/>
        </w:rPr>
        <w:t>Employee Engagement is necessary for the organisational context as it assists a firm to develop an enhanced working culture.</w:t>
      </w:r>
      <w:r w:rsidR="00AD5F5E" w:rsidRPr="00D146A3">
        <w:rPr>
          <w:rFonts w:cs="Arial"/>
          <w:szCs w:val="22"/>
        </w:rPr>
        <w:t xml:space="preserve"> Several drivers that can effectively encourage the process of employee motivation in the enterprise are employee motivation and organisational culture. According to</w:t>
      </w:r>
      <w:r w:rsidR="009665B0" w:rsidRPr="00D146A3">
        <w:rPr>
          <w:rFonts w:cs="Arial"/>
          <w:szCs w:val="22"/>
        </w:rPr>
        <w:t xml:space="preserve"> Nawaz </w:t>
      </w:r>
      <w:r w:rsidR="009665B0" w:rsidRPr="00D146A3">
        <w:rPr>
          <w:rFonts w:cs="Arial"/>
          <w:i/>
          <w:iCs/>
          <w:szCs w:val="22"/>
        </w:rPr>
        <w:t>et al</w:t>
      </w:r>
      <w:r w:rsidR="009665B0" w:rsidRPr="00D146A3">
        <w:rPr>
          <w:rFonts w:cs="Arial"/>
          <w:szCs w:val="22"/>
        </w:rPr>
        <w:t>.</w:t>
      </w:r>
      <w:r w:rsidR="00AD5F5E" w:rsidRPr="00D146A3">
        <w:rPr>
          <w:rFonts w:cs="Arial"/>
          <w:szCs w:val="22"/>
        </w:rPr>
        <w:t xml:space="preserve"> (</w:t>
      </w:r>
      <w:r w:rsidR="009665B0" w:rsidRPr="00D146A3">
        <w:rPr>
          <w:rFonts w:cs="Arial"/>
          <w:szCs w:val="22"/>
        </w:rPr>
        <w:t>2020</w:t>
      </w:r>
      <w:r w:rsidR="00AD5F5E" w:rsidRPr="00D146A3">
        <w:rPr>
          <w:rFonts w:cs="Arial"/>
          <w:szCs w:val="22"/>
        </w:rPr>
        <w:t xml:space="preserve">), </w:t>
      </w:r>
      <w:r w:rsidR="00AD5F5E" w:rsidRPr="00D146A3">
        <w:rPr>
          <w:rFonts w:cs="Arial"/>
          <w:b/>
          <w:bCs/>
          <w:i/>
          <w:iCs/>
          <w:szCs w:val="22"/>
        </w:rPr>
        <w:t>Employee Motivation</w:t>
      </w:r>
      <w:r w:rsidR="00AD5F5E" w:rsidRPr="00D146A3">
        <w:rPr>
          <w:rFonts w:cs="Arial"/>
          <w:szCs w:val="22"/>
        </w:rPr>
        <w:t xml:space="preserve"> is defined as the creative approaches and their commitment to the work processes in their job roles. The leaders of an organisation should focus on motivating their employees to improve the process of working hard and attracting and retaining employees</w:t>
      </w:r>
      <w:r w:rsidR="00370021" w:rsidRPr="00D146A3">
        <w:rPr>
          <w:rFonts w:cs="Arial"/>
          <w:szCs w:val="22"/>
        </w:rPr>
        <w:t xml:space="preserve"> to enable a general level of productivity in business. Whereas, with the implementation of Maslow’s Hierarchy of needs the managers and leaders in the company can address the level of motivation. </w:t>
      </w:r>
      <w:r w:rsidR="00370021" w:rsidRPr="00D146A3">
        <w:rPr>
          <w:rFonts w:cs="Arial"/>
          <w:b/>
          <w:bCs/>
          <w:i/>
          <w:iCs/>
          <w:szCs w:val="22"/>
        </w:rPr>
        <w:t>Maslow’s Hierarchy of Needs</w:t>
      </w:r>
      <w:r w:rsidR="00370021" w:rsidRPr="00D146A3">
        <w:rPr>
          <w:rFonts w:cs="Arial"/>
          <w:szCs w:val="22"/>
        </w:rPr>
        <w:t xml:space="preserve"> is defined by the employee requirements that are necessary for them to achieve in order to function properly within the organisation (</w:t>
      </w:r>
      <w:r w:rsidR="009665B0" w:rsidRPr="00D146A3">
        <w:rPr>
          <w:rFonts w:cs="Arial"/>
          <w:szCs w:val="22"/>
        </w:rPr>
        <w:t>Hopper, 2020</w:t>
      </w:r>
      <w:r w:rsidR="00370021" w:rsidRPr="00D146A3">
        <w:rPr>
          <w:rFonts w:cs="Arial"/>
          <w:szCs w:val="22"/>
        </w:rPr>
        <w:t>).</w:t>
      </w:r>
      <w:r w:rsidR="00D75793" w:rsidRPr="00D146A3">
        <w:rPr>
          <w:rFonts w:cs="Arial"/>
          <w:szCs w:val="22"/>
        </w:rPr>
        <w:t xml:space="preserve"> This is the motivational theory that is necessary for comprehending the workforce and their needs to increase the motivational approach in the corporation.</w:t>
      </w:r>
      <w:r w:rsidR="00F8143D" w:rsidRPr="00D146A3">
        <w:rPr>
          <w:rFonts w:cs="Arial"/>
          <w:szCs w:val="22"/>
        </w:rPr>
        <w:t xml:space="preserve"> It is an organisational process that concentrates on effective management with five stages in a pyramid.</w:t>
      </w:r>
      <w:r w:rsidR="001073E8" w:rsidRPr="00D146A3">
        <w:rPr>
          <w:rFonts w:cs="Arial"/>
          <w:szCs w:val="22"/>
        </w:rPr>
        <w:t xml:space="preserve"> There are five elements in Maslow’s Hierarchy of Needs: </w:t>
      </w:r>
    </w:p>
    <w:p w14:paraId="367751CE" w14:textId="77777777" w:rsidR="001073E8" w:rsidRPr="00D146A3" w:rsidRDefault="001073E8" w:rsidP="00D146A3">
      <w:pPr>
        <w:spacing w:line="240" w:lineRule="auto"/>
        <w:rPr>
          <w:rFonts w:cs="Arial"/>
          <w:szCs w:val="22"/>
        </w:rPr>
      </w:pPr>
      <w:r w:rsidRPr="00D146A3">
        <w:rPr>
          <w:rFonts w:cs="Arial"/>
          <w:b/>
          <w:bCs/>
          <w:i/>
          <w:iCs/>
          <w:szCs w:val="22"/>
        </w:rPr>
        <w:t xml:space="preserve">Physiological Needs </w:t>
      </w:r>
      <w:r w:rsidRPr="00D146A3">
        <w:rPr>
          <w:rFonts w:cs="Arial"/>
          <w:szCs w:val="22"/>
        </w:rPr>
        <w:t xml:space="preserve">are conceptualised as the basic needs of employees such as </w:t>
      </w:r>
      <w:r w:rsidR="00C6597D" w:rsidRPr="00D146A3">
        <w:rPr>
          <w:rFonts w:cs="Arial"/>
          <w:szCs w:val="22"/>
        </w:rPr>
        <w:t xml:space="preserve">water, food, shelter, sleep, rest and many more to function appropriately within the organisation. With the implementation of </w:t>
      </w:r>
      <w:r w:rsidR="00C6597D" w:rsidRPr="00D146A3">
        <w:rPr>
          <w:rFonts w:cs="Arial"/>
          <w:b/>
          <w:bCs/>
          <w:i/>
          <w:iCs/>
          <w:szCs w:val="22"/>
        </w:rPr>
        <w:t>flexible working</w:t>
      </w:r>
      <w:r w:rsidR="004A0CA5" w:rsidRPr="00D146A3">
        <w:rPr>
          <w:rFonts w:cs="Arial"/>
          <w:b/>
          <w:bCs/>
          <w:i/>
          <w:iCs/>
          <w:szCs w:val="22"/>
        </w:rPr>
        <w:t xml:space="preserve"> time</w:t>
      </w:r>
      <w:r w:rsidR="00C6597D" w:rsidRPr="00D146A3">
        <w:rPr>
          <w:rFonts w:cs="Arial"/>
          <w:szCs w:val="22"/>
        </w:rPr>
        <w:t xml:space="preserve"> after the period of the coronavirus pandemic, Sainsbury’s provided its employees with a work-life balance approach that focused on their wellbeing and mental health (about.sainsburys.co.uk, 2022). This fulfilled their basic needs in an innovative approach to technological advancement and increased the chances of employee engagement.</w:t>
      </w:r>
      <w:r w:rsidR="00154FFA" w:rsidRPr="00D146A3">
        <w:rPr>
          <w:rFonts w:cs="Arial"/>
          <w:szCs w:val="22"/>
        </w:rPr>
        <w:t xml:space="preserve"> </w:t>
      </w:r>
      <w:r w:rsidR="00154FFA" w:rsidRPr="00D146A3">
        <w:rPr>
          <w:rFonts w:cs="Arial"/>
          <w:b/>
          <w:bCs/>
          <w:i/>
          <w:iCs/>
          <w:szCs w:val="22"/>
        </w:rPr>
        <w:t>Safety Needs</w:t>
      </w:r>
      <w:r w:rsidR="00154FFA" w:rsidRPr="00D146A3">
        <w:rPr>
          <w:rFonts w:cs="Arial"/>
          <w:szCs w:val="22"/>
        </w:rPr>
        <w:t xml:space="preserve"> is the second stage of needs that provides an idea that the workforce in an organisation requires a safe environment that can develop a feeling of working effectively. In order to develop the appropriate work environment and culture with the employee</w:t>
      </w:r>
      <w:r w:rsidR="001E029C" w:rsidRPr="00D146A3">
        <w:rPr>
          <w:rFonts w:cs="Arial"/>
          <w:szCs w:val="22"/>
        </w:rPr>
        <w:t xml:space="preserve"> engagement,</w:t>
      </w:r>
      <w:r w:rsidR="00154FFA" w:rsidRPr="00D146A3">
        <w:rPr>
          <w:rFonts w:cs="Arial"/>
          <w:szCs w:val="22"/>
        </w:rPr>
        <w:t xml:space="preserve"> the HR managers </w:t>
      </w:r>
      <w:r w:rsidR="001E029C" w:rsidRPr="00D146A3">
        <w:rPr>
          <w:rFonts w:cs="Arial"/>
          <w:szCs w:val="22"/>
        </w:rPr>
        <w:t>of Sainsbury’s oversee include the right policies.</w:t>
      </w:r>
      <w:r w:rsidR="00375C00" w:rsidRPr="00D146A3">
        <w:rPr>
          <w:rFonts w:cs="Arial"/>
          <w:szCs w:val="22"/>
        </w:rPr>
        <w:t xml:space="preserve"> Sainsbury’s looks after its employees and focuses on their mental health with their awareness training and policies (about.sainsburys.co.uk, 2022). Moreover</w:t>
      </w:r>
      <w:r w:rsidR="001E029C" w:rsidRPr="00D146A3">
        <w:rPr>
          <w:rFonts w:cs="Arial"/>
          <w:szCs w:val="22"/>
        </w:rPr>
        <w:t xml:space="preserve">, </w:t>
      </w:r>
      <w:r w:rsidR="001E029C" w:rsidRPr="00D146A3">
        <w:rPr>
          <w:rFonts w:cs="Arial"/>
          <w:b/>
          <w:bCs/>
          <w:i/>
          <w:iCs/>
          <w:szCs w:val="22"/>
        </w:rPr>
        <w:t>Love and Belonging</w:t>
      </w:r>
      <w:r w:rsidR="001E029C" w:rsidRPr="00D146A3">
        <w:rPr>
          <w:rFonts w:cs="Arial"/>
          <w:szCs w:val="22"/>
        </w:rPr>
        <w:t xml:space="preserve"> </w:t>
      </w:r>
      <w:r w:rsidR="00375C00" w:rsidRPr="00D146A3">
        <w:rPr>
          <w:rFonts w:cs="Arial"/>
          <w:szCs w:val="22"/>
        </w:rPr>
        <w:t xml:space="preserve">is the third stage of needs that includes information that every </w:t>
      </w:r>
      <w:r w:rsidR="00481CFD" w:rsidRPr="00D146A3">
        <w:rPr>
          <w:rFonts w:cs="Arial"/>
          <w:szCs w:val="22"/>
        </w:rPr>
        <w:t>employee</w:t>
      </w:r>
      <w:r w:rsidR="00375C00" w:rsidRPr="00D146A3">
        <w:rPr>
          <w:rFonts w:cs="Arial"/>
          <w:szCs w:val="22"/>
        </w:rPr>
        <w:t xml:space="preserve"> in the organisation needs to have a feeling of acceptance in order to engage efficiently. Sainsbury’s provides its </w:t>
      </w:r>
      <w:r w:rsidR="00375C00" w:rsidRPr="00D146A3">
        <w:rPr>
          <w:rFonts w:cs="Arial"/>
          <w:szCs w:val="22"/>
        </w:rPr>
        <w:lastRenderedPageBreak/>
        <w:t>employees with an inclusive work environment to work and has a diverse workforce that engages employees with a flexible working environment (about.sainsburys.co.uk, 2022).</w:t>
      </w:r>
    </w:p>
    <w:p w14:paraId="1A8A236E" w14:textId="77777777" w:rsidR="00C763BD" w:rsidRPr="00D146A3" w:rsidRDefault="00375C00" w:rsidP="00D146A3">
      <w:pPr>
        <w:spacing w:line="240" w:lineRule="auto"/>
        <w:rPr>
          <w:rFonts w:cs="Arial"/>
          <w:szCs w:val="22"/>
        </w:rPr>
      </w:pPr>
      <w:r w:rsidRPr="00D146A3">
        <w:rPr>
          <w:rFonts w:cs="Arial"/>
          <w:szCs w:val="22"/>
        </w:rPr>
        <w:t xml:space="preserve">Whereas, one of the important </w:t>
      </w:r>
      <w:r w:rsidR="00481CFD" w:rsidRPr="00D146A3">
        <w:rPr>
          <w:rFonts w:cs="Arial"/>
          <w:szCs w:val="22"/>
        </w:rPr>
        <w:t>processes</w:t>
      </w:r>
      <w:r w:rsidRPr="00D146A3">
        <w:rPr>
          <w:rFonts w:cs="Arial"/>
          <w:szCs w:val="22"/>
        </w:rPr>
        <w:t xml:space="preserve"> of employee engagement is </w:t>
      </w:r>
      <w:r w:rsidR="00481CFD" w:rsidRPr="00D146A3">
        <w:rPr>
          <w:rFonts w:cs="Arial"/>
          <w:szCs w:val="22"/>
        </w:rPr>
        <w:t>enhancing</w:t>
      </w:r>
      <w:r w:rsidRPr="00D146A3">
        <w:rPr>
          <w:rFonts w:cs="Arial"/>
          <w:szCs w:val="22"/>
        </w:rPr>
        <w:t xml:space="preserve"> their knowledge and skills to appropriately operate in the business. </w:t>
      </w:r>
      <w:r w:rsidRPr="00D146A3">
        <w:rPr>
          <w:rFonts w:cs="Arial"/>
          <w:b/>
          <w:bCs/>
          <w:i/>
          <w:iCs/>
          <w:szCs w:val="22"/>
        </w:rPr>
        <w:t>Esteem</w:t>
      </w:r>
      <w:r w:rsidRPr="00D146A3">
        <w:rPr>
          <w:rFonts w:cs="Arial"/>
          <w:szCs w:val="22"/>
        </w:rPr>
        <w:t xml:space="preserve"> is the motivational stage that includes the concepts </w:t>
      </w:r>
      <w:r w:rsidR="00481CFD" w:rsidRPr="00D146A3">
        <w:rPr>
          <w:rFonts w:cs="Arial"/>
          <w:szCs w:val="22"/>
        </w:rPr>
        <w:t>that oversee the component of feeling good with immense contribution to the workplace. Sainsbury’s concentrates on the incorporation of the policies to provide its employees with advanced training and development to intensify their knowledge and expertise (sainsburysbank.co.uk, 2022). Whereas, it increases the employee engagement process by allowing the company to escalate its business processes and productivity.</w:t>
      </w:r>
      <w:r w:rsidR="00F230EA" w:rsidRPr="00D146A3">
        <w:rPr>
          <w:rFonts w:cs="Arial"/>
          <w:szCs w:val="22"/>
        </w:rPr>
        <w:t xml:space="preserve"> Moreover, </w:t>
      </w:r>
      <w:r w:rsidR="00F230EA" w:rsidRPr="00D146A3">
        <w:rPr>
          <w:rFonts w:cs="Arial"/>
          <w:b/>
          <w:bCs/>
          <w:i/>
          <w:iCs/>
          <w:szCs w:val="22"/>
        </w:rPr>
        <w:t>Self-Actualisation</w:t>
      </w:r>
      <w:r w:rsidR="00F230EA" w:rsidRPr="00D146A3">
        <w:rPr>
          <w:rFonts w:cs="Arial"/>
          <w:szCs w:val="22"/>
        </w:rPr>
        <w:t xml:space="preserve"> is the stage that fulfils the feeling of having unique features within the employees to involve the achievements of an artistic and creative field.</w:t>
      </w:r>
    </w:p>
    <w:p w14:paraId="407DF366" w14:textId="77777777" w:rsidR="00275543" w:rsidRPr="00D146A3" w:rsidRDefault="00275543" w:rsidP="00D146A3">
      <w:pPr>
        <w:spacing w:line="240" w:lineRule="auto"/>
        <w:jc w:val="center"/>
        <w:rPr>
          <w:rFonts w:cs="Arial"/>
          <w:szCs w:val="22"/>
        </w:rPr>
      </w:pPr>
      <w:r w:rsidRPr="00D146A3">
        <w:rPr>
          <w:rFonts w:cs="Arial"/>
          <w:szCs w:val="22"/>
          <w:lang w:val="en-US" w:bidi="ar-SA"/>
        </w:rPr>
        <w:drawing>
          <wp:inline distT="0" distB="0" distL="0" distR="0" wp14:anchorId="1117B41A" wp14:editId="55650084">
            <wp:extent cx="5256530" cy="2616200"/>
            <wp:effectExtent l="76200" t="76200" r="134620" b="127000"/>
            <wp:docPr id="2" name="Picture 2"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Explain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b="11512"/>
                    <a:stretch/>
                  </pic:blipFill>
                  <pic:spPr bwMode="auto">
                    <a:xfrm>
                      <a:off x="0" y="0"/>
                      <a:ext cx="5256530" cy="2616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AEF71FD" w14:textId="77777777" w:rsidR="00275543" w:rsidRPr="00D146A3" w:rsidRDefault="00275543" w:rsidP="00D146A3">
      <w:pPr>
        <w:spacing w:line="240" w:lineRule="auto"/>
        <w:jc w:val="center"/>
        <w:rPr>
          <w:rFonts w:cs="Arial"/>
          <w:b/>
          <w:bCs/>
          <w:szCs w:val="22"/>
        </w:rPr>
      </w:pPr>
      <w:r w:rsidRPr="00D146A3">
        <w:rPr>
          <w:rFonts w:cs="Arial"/>
          <w:b/>
          <w:bCs/>
          <w:szCs w:val="22"/>
        </w:rPr>
        <w:t>Figure No. 1: Maslow’s Hierarchy of Needs</w:t>
      </w:r>
    </w:p>
    <w:p w14:paraId="0EF4B9E6" w14:textId="77777777" w:rsidR="00275543" w:rsidRPr="00D146A3" w:rsidRDefault="00275543" w:rsidP="00D146A3">
      <w:pPr>
        <w:spacing w:line="240" w:lineRule="auto"/>
        <w:jc w:val="center"/>
        <w:rPr>
          <w:rFonts w:cs="Arial"/>
          <w:szCs w:val="22"/>
        </w:rPr>
      </w:pPr>
      <w:r w:rsidRPr="00D146A3">
        <w:rPr>
          <w:rFonts w:cs="Arial"/>
          <w:szCs w:val="22"/>
        </w:rPr>
        <w:t>(Source: Inspired by Hopper, 2020)</w:t>
      </w:r>
    </w:p>
    <w:p w14:paraId="5D8C6EDD" w14:textId="77777777" w:rsidR="009D5908" w:rsidRPr="00D146A3" w:rsidRDefault="000810C0" w:rsidP="00D146A3">
      <w:pPr>
        <w:spacing w:line="240" w:lineRule="auto"/>
        <w:rPr>
          <w:rFonts w:cs="Arial"/>
          <w:szCs w:val="22"/>
        </w:rPr>
      </w:pPr>
      <w:r w:rsidRPr="00D146A3">
        <w:rPr>
          <w:rFonts w:cs="Arial"/>
          <w:b/>
          <w:bCs/>
          <w:i/>
          <w:iCs/>
          <w:szCs w:val="22"/>
        </w:rPr>
        <w:t>Organisational Culture</w:t>
      </w:r>
      <w:r w:rsidRPr="00D146A3">
        <w:rPr>
          <w:rFonts w:cs="Arial"/>
          <w:szCs w:val="22"/>
        </w:rPr>
        <w:t xml:space="preserve"> is considered the other driver of Employee Engagement that plays an essential role to help the corporation achieve its objectives and goals in order to access success. This assists in decreasing the employee turnover rate and increase the strong brand identity for effective onboarding and strong identity of the brand.</w:t>
      </w:r>
      <w:r w:rsidR="003950AE" w:rsidRPr="00D146A3">
        <w:rPr>
          <w:rFonts w:cs="Arial"/>
          <w:szCs w:val="22"/>
        </w:rPr>
        <w:t xml:space="preserve"> </w:t>
      </w:r>
      <w:r w:rsidR="003950AE" w:rsidRPr="00D146A3">
        <w:rPr>
          <w:rFonts w:cs="Arial"/>
          <w:b/>
          <w:bCs/>
          <w:i/>
          <w:iCs/>
          <w:szCs w:val="22"/>
        </w:rPr>
        <w:t>Organisational Culture</w:t>
      </w:r>
      <w:r w:rsidR="003950AE" w:rsidRPr="00D146A3">
        <w:rPr>
          <w:rFonts w:cs="Arial"/>
          <w:szCs w:val="22"/>
        </w:rPr>
        <w:t xml:space="preserve"> is defined as the appropriate way of determining the behaviour of the workforce in business that comprises values, beliefs, and values to shape employees’ perception and understanding (</w:t>
      </w:r>
      <w:r w:rsidR="009665B0" w:rsidRPr="00D146A3">
        <w:rPr>
          <w:rFonts w:cs="Arial"/>
          <w:szCs w:val="22"/>
        </w:rPr>
        <w:t>Wagstaff and Burton-Wylie, 2018</w:t>
      </w:r>
      <w:r w:rsidR="003950AE" w:rsidRPr="00D146A3">
        <w:rPr>
          <w:rFonts w:cs="Arial"/>
          <w:szCs w:val="22"/>
        </w:rPr>
        <w:t>). An organisation that has the appropriate working culture and drive the right expectations and vision motivate the worker more and engage them to interact effectively even during the flexible working approaches.</w:t>
      </w:r>
    </w:p>
    <w:p w14:paraId="6F860AF8" w14:textId="77777777" w:rsidR="009D5908" w:rsidRPr="00D146A3" w:rsidRDefault="003950AE" w:rsidP="00D146A3">
      <w:pPr>
        <w:spacing w:line="240" w:lineRule="auto"/>
        <w:rPr>
          <w:rFonts w:cs="Arial"/>
          <w:szCs w:val="22"/>
        </w:rPr>
      </w:pPr>
      <w:r w:rsidRPr="00D146A3">
        <w:rPr>
          <w:rFonts w:cs="Arial"/>
          <w:szCs w:val="22"/>
        </w:rPr>
        <w:t xml:space="preserve">This can be addressed by </w:t>
      </w:r>
      <w:r w:rsidRPr="00D146A3">
        <w:rPr>
          <w:rFonts w:cs="Arial"/>
          <w:b/>
          <w:bCs/>
          <w:i/>
          <w:iCs/>
          <w:szCs w:val="22"/>
        </w:rPr>
        <w:t>Hofstede’s Cultural Dimensions Theory</w:t>
      </w:r>
      <w:r w:rsidRPr="00D146A3">
        <w:rPr>
          <w:rFonts w:cs="Arial"/>
          <w:szCs w:val="22"/>
        </w:rPr>
        <w:t>, which is defined as the process of identifying the behaviour of labourers with the concept of employee engagement and their psychological aspects (</w:t>
      </w:r>
      <w:r w:rsidR="009665B0" w:rsidRPr="00D146A3">
        <w:rPr>
          <w:rFonts w:cs="Arial"/>
          <w:szCs w:val="22"/>
        </w:rPr>
        <w:t>Gallego-Álvarez and Pucheta-Martínez, 2021</w:t>
      </w:r>
      <w:r w:rsidRPr="00D146A3">
        <w:rPr>
          <w:rFonts w:cs="Arial"/>
          <w:szCs w:val="22"/>
        </w:rPr>
        <w:t>).</w:t>
      </w:r>
      <w:r w:rsidR="00703713" w:rsidRPr="00D146A3">
        <w:rPr>
          <w:rFonts w:cs="Arial"/>
          <w:szCs w:val="22"/>
        </w:rPr>
        <w:t xml:space="preserve"> The </w:t>
      </w:r>
      <w:r w:rsidR="00703713" w:rsidRPr="00D146A3">
        <w:rPr>
          <w:rFonts w:cs="Arial"/>
          <w:b/>
          <w:bCs/>
          <w:i/>
          <w:iCs/>
          <w:szCs w:val="22"/>
        </w:rPr>
        <w:t>Power Distance</w:t>
      </w:r>
      <w:r w:rsidR="00703713" w:rsidRPr="00D146A3">
        <w:rPr>
          <w:rFonts w:cs="Arial"/>
          <w:szCs w:val="22"/>
        </w:rPr>
        <w:t xml:space="preserve"> Score of the United Kingdom in Hofstede’s Cultural Dimensions is about 35 (</w:t>
      </w:r>
      <w:r w:rsidR="009665B0" w:rsidRPr="00D146A3">
        <w:rPr>
          <w:rFonts w:cs="Arial"/>
          <w:szCs w:val="22"/>
        </w:rPr>
        <w:t>hofstede-insights.com, 2022</w:t>
      </w:r>
      <w:r w:rsidR="00703713" w:rsidRPr="00D146A3">
        <w:rPr>
          <w:rFonts w:cs="Arial"/>
          <w:szCs w:val="22"/>
        </w:rPr>
        <w:t xml:space="preserve">). This indicates that in the United Kingdom there is low acceptance of inequality and hierarchical positioning. Hence, Sainsbury’s provides its employees with a diverse and inclusive work </w:t>
      </w:r>
      <w:r w:rsidR="00183A84" w:rsidRPr="00D146A3">
        <w:rPr>
          <w:rFonts w:cs="Arial"/>
          <w:szCs w:val="22"/>
        </w:rPr>
        <w:t>environment that can effectively engage the employee and increase the productivity of the corporation.</w:t>
      </w:r>
      <w:r w:rsidR="009D5908" w:rsidRPr="00D146A3">
        <w:rPr>
          <w:rFonts w:cs="Arial"/>
          <w:szCs w:val="22"/>
        </w:rPr>
        <w:t xml:space="preserve"> This factor also includes that the </w:t>
      </w:r>
      <w:r w:rsidR="009D5908" w:rsidRPr="00D146A3">
        <w:rPr>
          <w:rFonts w:cs="Arial"/>
          <w:szCs w:val="22"/>
        </w:rPr>
        <w:lastRenderedPageBreak/>
        <w:t xml:space="preserve">company should focus on </w:t>
      </w:r>
      <w:r w:rsidR="009D5908" w:rsidRPr="00D146A3">
        <w:rPr>
          <w:rFonts w:cs="Arial"/>
          <w:b/>
          <w:bCs/>
          <w:i/>
          <w:iCs/>
          <w:szCs w:val="22"/>
        </w:rPr>
        <w:t>designing and restructuring the job roles</w:t>
      </w:r>
      <w:r w:rsidR="009D5908" w:rsidRPr="00D146A3">
        <w:rPr>
          <w:rFonts w:cs="Arial"/>
          <w:szCs w:val="22"/>
        </w:rPr>
        <w:t xml:space="preserve"> according to the ideology of </w:t>
      </w:r>
      <w:r w:rsidR="004A0CA5" w:rsidRPr="00D146A3">
        <w:rPr>
          <w:rFonts w:cs="Arial"/>
          <w:szCs w:val="22"/>
        </w:rPr>
        <w:t>national culture.</w:t>
      </w:r>
      <w:r w:rsidR="00183A84" w:rsidRPr="00D146A3">
        <w:rPr>
          <w:rFonts w:cs="Arial"/>
          <w:szCs w:val="22"/>
        </w:rPr>
        <w:t xml:space="preserve"> Whereas, </w:t>
      </w:r>
      <w:r w:rsidR="00183A84" w:rsidRPr="00D146A3">
        <w:rPr>
          <w:rFonts w:cs="Arial"/>
          <w:b/>
          <w:bCs/>
          <w:i/>
          <w:iCs/>
          <w:szCs w:val="22"/>
        </w:rPr>
        <w:t>Long Term Orientation</w:t>
      </w:r>
      <w:r w:rsidR="00183A84" w:rsidRPr="00D146A3">
        <w:rPr>
          <w:rFonts w:cs="Arial"/>
          <w:szCs w:val="22"/>
        </w:rPr>
        <w:t xml:space="preserve"> in the United Kingdom is scored at 51, which indicates the country has </w:t>
      </w:r>
      <w:r w:rsidR="009D5908" w:rsidRPr="00D146A3">
        <w:rPr>
          <w:rFonts w:cs="Arial"/>
          <w:szCs w:val="22"/>
        </w:rPr>
        <w:t xml:space="preserve">a </w:t>
      </w:r>
      <w:r w:rsidR="00183A84" w:rsidRPr="00D146A3">
        <w:rPr>
          <w:rFonts w:cs="Arial"/>
          <w:szCs w:val="22"/>
        </w:rPr>
        <w:t>high vision for maintaining the strategies to tackle future uncertainty</w:t>
      </w:r>
      <w:r w:rsidR="009D5908" w:rsidRPr="00D146A3">
        <w:rPr>
          <w:rFonts w:cs="Arial"/>
          <w:szCs w:val="22"/>
        </w:rPr>
        <w:t xml:space="preserve"> (</w:t>
      </w:r>
      <w:r w:rsidR="009665B0" w:rsidRPr="00D146A3">
        <w:rPr>
          <w:rFonts w:cs="Arial"/>
          <w:szCs w:val="22"/>
        </w:rPr>
        <w:t>hofstede-insights.com, 2022</w:t>
      </w:r>
      <w:r w:rsidR="009D5908" w:rsidRPr="00D146A3">
        <w:rPr>
          <w:rFonts w:cs="Arial"/>
          <w:szCs w:val="22"/>
        </w:rPr>
        <w:t>)</w:t>
      </w:r>
      <w:r w:rsidR="00183A84" w:rsidRPr="00D146A3">
        <w:rPr>
          <w:rFonts w:cs="Arial"/>
          <w:szCs w:val="22"/>
        </w:rPr>
        <w:t>.</w:t>
      </w:r>
      <w:r w:rsidR="009D5908" w:rsidRPr="00D146A3">
        <w:rPr>
          <w:rFonts w:cs="Arial"/>
          <w:szCs w:val="22"/>
        </w:rPr>
        <w:t xml:space="preserve"> In accordance with the analysis of this aspect, Sainsbury’s generated a high revenue with the proper strategies even during the COVID-19 situation. In 2020, the company generated a revenue of about 28. 4 billion British Pounds (statista.com, 2022). Whereas, this indicates that these factors within an organisation can become key drivers for employee engagement.</w:t>
      </w:r>
    </w:p>
    <w:p w14:paraId="045FC183" w14:textId="77777777" w:rsidR="00383369" w:rsidRPr="00D146A3" w:rsidRDefault="00383369" w:rsidP="00D146A3">
      <w:pPr>
        <w:spacing w:line="240" w:lineRule="auto"/>
        <w:jc w:val="center"/>
        <w:rPr>
          <w:rFonts w:cs="Arial"/>
          <w:szCs w:val="22"/>
        </w:rPr>
      </w:pPr>
      <w:r w:rsidRPr="00D146A3">
        <w:rPr>
          <w:rFonts w:cs="Arial"/>
          <w:szCs w:val="22"/>
          <w:lang w:val="en-US" w:bidi="ar-SA"/>
        </w:rPr>
        <w:drawing>
          <wp:inline distT="0" distB="0" distL="0" distR="0" wp14:anchorId="1ED1B533" wp14:editId="6E2138EC">
            <wp:extent cx="3924300" cy="2358399"/>
            <wp:effectExtent l="76200" t="76200" r="133350" b="137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4643" t="30498" r="25707" b="16452"/>
                    <a:stretch/>
                  </pic:blipFill>
                  <pic:spPr bwMode="auto">
                    <a:xfrm>
                      <a:off x="0" y="0"/>
                      <a:ext cx="3934264" cy="23643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88F63FA" w14:textId="77777777" w:rsidR="009665B0" w:rsidRPr="00D146A3" w:rsidRDefault="009665B0" w:rsidP="00D146A3">
      <w:pPr>
        <w:spacing w:line="240" w:lineRule="auto"/>
        <w:jc w:val="center"/>
        <w:rPr>
          <w:rFonts w:cs="Arial"/>
          <w:b/>
          <w:bCs/>
          <w:szCs w:val="22"/>
        </w:rPr>
      </w:pPr>
      <w:r w:rsidRPr="00D146A3">
        <w:rPr>
          <w:rFonts w:cs="Arial"/>
          <w:b/>
          <w:bCs/>
          <w:szCs w:val="22"/>
        </w:rPr>
        <w:t>Figure No. 2: Hofstede’s Cultural Dimensions Theory</w:t>
      </w:r>
    </w:p>
    <w:p w14:paraId="5FFB6029" w14:textId="77777777" w:rsidR="009665B0" w:rsidRPr="00D146A3" w:rsidRDefault="009665B0" w:rsidP="00D146A3">
      <w:pPr>
        <w:spacing w:line="240" w:lineRule="auto"/>
        <w:jc w:val="center"/>
        <w:rPr>
          <w:rFonts w:cs="Arial"/>
          <w:szCs w:val="22"/>
        </w:rPr>
      </w:pPr>
      <w:r w:rsidRPr="00D146A3">
        <w:rPr>
          <w:rFonts w:cs="Arial"/>
          <w:szCs w:val="22"/>
        </w:rPr>
        <w:t>(Source: hofstede-insights.com, 2022)</w:t>
      </w:r>
    </w:p>
    <w:p w14:paraId="49A4E5C7" w14:textId="77777777" w:rsidR="00E36910" w:rsidRPr="00D146A3" w:rsidRDefault="00606054" w:rsidP="00D146A3">
      <w:pPr>
        <w:spacing w:line="240" w:lineRule="auto"/>
        <w:rPr>
          <w:rFonts w:cs="Arial"/>
          <w:szCs w:val="22"/>
        </w:rPr>
      </w:pPr>
      <w:r w:rsidRPr="00D146A3">
        <w:rPr>
          <w:rFonts w:cs="Arial"/>
          <w:szCs w:val="22"/>
        </w:rPr>
        <w:t xml:space="preserve">Moreover, the Employee engagement drivers and approaches can be improved with the help of the implementation of appropriate theory. </w:t>
      </w:r>
      <w:r w:rsidRPr="00D146A3">
        <w:rPr>
          <w:rFonts w:cs="Arial"/>
          <w:b/>
          <w:bCs/>
          <w:i/>
          <w:iCs/>
          <w:szCs w:val="22"/>
        </w:rPr>
        <w:t>William Kahn’s Employee Engagement Theory</w:t>
      </w:r>
      <w:r w:rsidRPr="00D146A3">
        <w:rPr>
          <w:rFonts w:cs="Arial"/>
          <w:szCs w:val="22"/>
        </w:rPr>
        <w:t xml:space="preserve"> has defined </w:t>
      </w:r>
      <w:r w:rsidR="00B56768" w:rsidRPr="00D146A3">
        <w:rPr>
          <w:rFonts w:cs="Arial"/>
          <w:szCs w:val="22"/>
        </w:rPr>
        <w:t xml:space="preserve">it </w:t>
      </w:r>
      <w:r w:rsidRPr="00D146A3">
        <w:rPr>
          <w:rFonts w:cs="Arial"/>
          <w:szCs w:val="22"/>
        </w:rPr>
        <w:t xml:space="preserve">as the process that the HR managers of the company imply </w:t>
      </w:r>
      <w:r w:rsidR="00B56768" w:rsidRPr="00D146A3">
        <w:rPr>
          <w:rFonts w:cs="Arial"/>
          <w:szCs w:val="22"/>
        </w:rPr>
        <w:t>in</w:t>
      </w:r>
      <w:r w:rsidRPr="00D146A3">
        <w:rPr>
          <w:rFonts w:cs="Arial"/>
          <w:szCs w:val="22"/>
        </w:rPr>
        <w:t xml:space="preserve"> the corporation for harnessing the workforce inspiration towards their work and job roles (</w:t>
      </w:r>
      <w:r w:rsidR="00B56768" w:rsidRPr="00D146A3">
        <w:rPr>
          <w:rFonts w:cs="Arial"/>
          <w:szCs w:val="22"/>
        </w:rPr>
        <w:t xml:space="preserve">AKOB </w:t>
      </w:r>
      <w:r w:rsidR="00B56768" w:rsidRPr="00D146A3">
        <w:rPr>
          <w:rFonts w:cs="Arial"/>
          <w:i/>
          <w:iCs/>
          <w:szCs w:val="22"/>
        </w:rPr>
        <w:t>et al</w:t>
      </w:r>
      <w:r w:rsidR="00B56768" w:rsidRPr="00D146A3">
        <w:rPr>
          <w:rFonts w:cs="Arial"/>
          <w:szCs w:val="22"/>
        </w:rPr>
        <w:t>., 2020</w:t>
      </w:r>
      <w:r w:rsidRPr="00D146A3">
        <w:rPr>
          <w:rFonts w:cs="Arial"/>
          <w:szCs w:val="22"/>
        </w:rPr>
        <w:t>). It includes a principle that the leaders operating in the market should put effort to engage the workers and increase their process of productivity as well as performance.</w:t>
      </w:r>
      <w:r w:rsidR="00383369" w:rsidRPr="00D146A3">
        <w:rPr>
          <w:rFonts w:cs="Arial"/>
          <w:szCs w:val="22"/>
        </w:rPr>
        <w:t xml:space="preserve"> After the COVID-19, employees working in the enterprises are concerned about their health. Sainsbury’s provides its employees with a safe working environment that avoids contamination with the coronavirus (sainsburys.co.uk, 2022). They focus on guidance to cover the face with masks, maintain social distance and use sanitisers. Hence, this can encourage the workers to work actively and increase the Employee Engagement processes.</w:t>
      </w:r>
    </w:p>
    <w:p w14:paraId="560FD7D0" w14:textId="77777777" w:rsidR="00E36910" w:rsidRPr="00D146A3" w:rsidRDefault="00E36910" w:rsidP="00D146A3">
      <w:pPr>
        <w:pStyle w:val="1"/>
        <w:spacing w:line="240" w:lineRule="auto"/>
        <w:rPr>
          <w:rFonts w:cs="Arial"/>
          <w:szCs w:val="22"/>
        </w:rPr>
      </w:pPr>
      <w:bookmarkStart w:id="3" w:name="_Toc102274636"/>
      <w:r w:rsidRPr="00D146A3">
        <w:rPr>
          <w:rFonts w:cs="Arial"/>
          <w:szCs w:val="22"/>
        </w:rPr>
        <w:t>Evaluating the diagnostic tools to measure the engagement of employees</w:t>
      </w:r>
      <w:bookmarkEnd w:id="3"/>
    </w:p>
    <w:p w14:paraId="38D71C35" w14:textId="77777777" w:rsidR="0054592D" w:rsidRPr="00D146A3" w:rsidRDefault="004701E5" w:rsidP="00D146A3">
      <w:pPr>
        <w:spacing w:line="240" w:lineRule="auto"/>
        <w:rPr>
          <w:rFonts w:cs="Arial"/>
          <w:szCs w:val="22"/>
        </w:rPr>
      </w:pPr>
      <w:r w:rsidRPr="00D146A3">
        <w:rPr>
          <w:rFonts w:cs="Arial"/>
          <w:szCs w:val="22"/>
        </w:rPr>
        <w:t xml:space="preserve">People management and their engagement in a firm are regarded as one of the essential approaches that the HR manager of the company should focus on to improve organisational competitiveness in the market. Whereas, measuring the employee engagement rate within the enterprise is vital as well because it provides an idea to the HR managers in which area they have to work smarter. They should carry out this process with </w:t>
      </w:r>
      <w:r w:rsidR="007B7231" w:rsidRPr="00D146A3">
        <w:rPr>
          <w:rFonts w:cs="Arial"/>
          <w:szCs w:val="22"/>
        </w:rPr>
        <w:t xml:space="preserve">relevant strategies and approaches to measure the employee efficiency rate within the workplace. Moreover, in order to measure the employee engagement rate, there are several tools that can help in effective strategies to achieve the objectives and aims. </w:t>
      </w:r>
      <w:r w:rsidR="007B7231" w:rsidRPr="00D146A3">
        <w:rPr>
          <w:rFonts w:cs="Arial"/>
          <w:b/>
          <w:bCs/>
          <w:i/>
          <w:iCs/>
          <w:szCs w:val="22"/>
        </w:rPr>
        <w:t>Social media</w:t>
      </w:r>
      <w:r w:rsidR="007B7231" w:rsidRPr="00D146A3">
        <w:rPr>
          <w:rFonts w:cs="Arial"/>
          <w:szCs w:val="22"/>
        </w:rPr>
        <w:t xml:space="preserve"> is an active platform that the HR managers of the company can use to get reviews from its employees and measure their engagement rate. As of the year 2022, the </w:t>
      </w:r>
      <w:r w:rsidR="0054592D" w:rsidRPr="00D146A3">
        <w:rPr>
          <w:rFonts w:cs="Arial"/>
          <w:szCs w:val="22"/>
        </w:rPr>
        <w:t xml:space="preserve">number of </w:t>
      </w:r>
      <w:r w:rsidR="007B7231" w:rsidRPr="00D146A3">
        <w:rPr>
          <w:rFonts w:cs="Arial"/>
          <w:szCs w:val="22"/>
        </w:rPr>
        <w:t xml:space="preserve">active social </w:t>
      </w:r>
      <w:r w:rsidR="007B7231" w:rsidRPr="00D146A3">
        <w:rPr>
          <w:rFonts w:cs="Arial"/>
          <w:szCs w:val="22"/>
        </w:rPr>
        <w:lastRenderedPageBreak/>
        <w:t xml:space="preserve">media users in the United Kingdom </w:t>
      </w:r>
      <w:r w:rsidR="0054592D" w:rsidRPr="00D146A3">
        <w:rPr>
          <w:rFonts w:cs="Arial"/>
          <w:szCs w:val="22"/>
        </w:rPr>
        <w:t>amounted to 57.6 million (statista.com, 2022). Hence, Sainsbury’s can use this tool to measure the employee engagement rate in its workplace.</w:t>
      </w:r>
    </w:p>
    <w:p w14:paraId="2F61E855" w14:textId="77777777" w:rsidR="0054592D" w:rsidRPr="00D146A3" w:rsidRDefault="0054592D" w:rsidP="00D146A3">
      <w:pPr>
        <w:spacing w:line="240" w:lineRule="auto"/>
        <w:rPr>
          <w:rFonts w:cs="Arial"/>
          <w:szCs w:val="22"/>
        </w:rPr>
      </w:pPr>
      <w:r w:rsidRPr="00D146A3">
        <w:rPr>
          <w:rFonts w:cs="Arial"/>
          <w:b/>
          <w:bCs/>
          <w:i/>
          <w:iCs/>
          <w:szCs w:val="22"/>
        </w:rPr>
        <w:t>Reward and Recognition programs</w:t>
      </w:r>
      <w:r w:rsidRPr="00D146A3">
        <w:rPr>
          <w:rFonts w:cs="Arial"/>
          <w:szCs w:val="22"/>
        </w:rPr>
        <w:t xml:space="preserve"> can enhance employee engagement and assist in analysing its rate within the organisation to actively operate in the competitive market. This is defined as a strategy that HR managers of a firm oversee to include in the business in order to acknowledge the performance rate (</w:t>
      </w:r>
      <w:r w:rsidR="00B56768" w:rsidRPr="00D146A3">
        <w:rPr>
          <w:rFonts w:cs="Arial"/>
          <w:szCs w:val="22"/>
        </w:rPr>
        <w:t xml:space="preserve">Coffie </w:t>
      </w:r>
      <w:r w:rsidR="00B56768" w:rsidRPr="00D146A3">
        <w:rPr>
          <w:rFonts w:cs="Arial"/>
          <w:i/>
          <w:iCs/>
          <w:szCs w:val="22"/>
        </w:rPr>
        <w:t>et al</w:t>
      </w:r>
      <w:r w:rsidR="00B56768" w:rsidRPr="00D146A3">
        <w:rPr>
          <w:rFonts w:cs="Arial"/>
          <w:szCs w:val="22"/>
        </w:rPr>
        <w:t>., 2018</w:t>
      </w:r>
      <w:r w:rsidRPr="00D146A3">
        <w:rPr>
          <w:rFonts w:cs="Arial"/>
          <w:szCs w:val="22"/>
        </w:rPr>
        <w:t xml:space="preserve">). Sainsbury’s provides its employees with </w:t>
      </w:r>
      <w:r w:rsidR="00B56768" w:rsidRPr="00D146A3">
        <w:rPr>
          <w:rFonts w:cs="Arial"/>
          <w:szCs w:val="22"/>
        </w:rPr>
        <w:t xml:space="preserve">a </w:t>
      </w:r>
      <w:r w:rsidRPr="00D146A3">
        <w:rPr>
          <w:rFonts w:cs="Arial"/>
          <w:szCs w:val="22"/>
        </w:rPr>
        <w:t>discount card, pensions, annual bonuses, holidays, work from home, and many more that helps its managers to analyse employee engagement (sainsburys.jobs, 2022).</w:t>
      </w:r>
    </w:p>
    <w:p w14:paraId="5A1ADEDE" w14:textId="77777777" w:rsidR="00E36910" w:rsidRPr="00D146A3" w:rsidRDefault="0054592D" w:rsidP="00D146A3">
      <w:pPr>
        <w:spacing w:line="240" w:lineRule="auto"/>
        <w:rPr>
          <w:rFonts w:cs="Arial"/>
          <w:szCs w:val="22"/>
        </w:rPr>
      </w:pPr>
      <w:r w:rsidRPr="00D146A3">
        <w:rPr>
          <w:rFonts w:cs="Arial"/>
          <w:szCs w:val="22"/>
        </w:rPr>
        <w:t xml:space="preserve">Hence, these diagnostic tools can be conceptualised as the best approaches from the leaders and managers of Sainsbury’s to actively measure the employee engagement rate. This process will help them to </w:t>
      </w:r>
      <w:r w:rsidR="007D474C" w:rsidRPr="00D146A3">
        <w:rPr>
          <w:rFonts w:cs="Arial"/>
          <w:szCs w:val="22"/>
        </w:rPr>
        <w:t>enhance</w:t>
      </w:r>
      <w:r w:rsidRPr="00D146A3">
        <w:rPr>
          <w:rFonts w:cs="Arial"/>
          <w:szCs w:val="22"/>
        </w:rPr>
        <w:t xml:space="preserve"> their work culture and inspect employees’ needs to increase the work processes </w:t>
      </w:r>
      <w:r w:rsidR="007D474C" w:rsidRPr="00D146A3">
        <w:rPr>
          <w:rFonts w:cs="Arial"/>
          <w:szCs w:val="22"/>
        </w:rPr>
        <w:t>to gain success.</w:t>
      </w:r>
    </w:p>
    <w:p w14:paraId="53E4CA42" w14:textId="77777777" w:rsidR="00E36910" w:rsidRPr="00D146A3" w:rsidRDefault="00E36910" w:rsidP="00D146A3">
      <w:pPr>
        <w:pStyle w:val="1"/>
        <w:spacing w:line="240" w:lineRule="auto"/>
        <w:rPr>
          <w:rFonts w:cs="Arial"/>
          <w:szCs w:val="22"/>
        </w:rPr>
      </w:pPr>
      <w:bookmarkStart w:id="4" w:name="_Toc102274637"/>
      <w:r w:rsidRPr="00D146A3">
        <w:rPr>
          <w:rFonts w:cs="Arial"/>
          <w:szCs w:val="22"/>
        </w:rPr>
        <w:t>Constructing an employee value proposition by analysing the ideas covered previously, including strategies to raise the engagement level</w:t>
      </w:r>
      <w:bookmarkEnd w:id="4"/>
    </w:p>
    <w:p w14:paraId="0B301721" w14:textId="77777777" w:rsidR="000D1BB1" w:rsidRDefault="007D474C" w:rsidP="00D146A3">
      <w:pPr>
        <w:spacing w:line="240" w:lineRule="auto"/>
        <w:rPr>
          <w:rFonts w:cs="Arial"/>
          <w:szCs w:val="22"/>
        </w:rPr>
      </w:pPr>
      <w:r w:rsidRPr="00D146A3">
        <w:rPr>
          <w:rFonts w:cs="Arial"/>
          <w:szCs w:val="22"/>
        </w:rPr>
        <w:t xml:space="preserve">With the emergence of high competitiveness in the market, the HR managers of an organisation should oversee to include the right strategies and provide appropriate </w:t>
      </w:r>
      <w:r w:rsidRPr="00D146A3">
        <w:rPr>
          <w:rFonts w:cs="Arial"/>
          <w:b/>
          <w:bCs/>
          <w:i/>
          <w:iCs/>
          <w:szCs w:val="22"/>
        </w:rPr>
        <w:t>Employee Value Proposition</w:t>
      </w:r>
      <w:r w:rsidRPr="00D146A3">
        <w:rPr>
          <w:rFonts w:cs="Arial"/>
          <w:szCs w:val="22"/>
        </w:rPr>
        <w:t>. This concept in an organisation refers to the collected benefits that the HR managers of the company provide to its workforce in an exchange for their skills, knowledge and expertise (</w:t>
      </w:r>
      <w:r w:rsidR="00B56768" w:rsidRPr="00D146A3">
        <w:rPr>
          <w:rFonts w:cs="Arial"/>
          <w:szCs w:val="22"/>
        </w:rPr>
        <w:t xml:space="preserve">Hussein </w:t>
      </w:r>
      <w:r w:rsidR="00B56768" w:rsidRPr="00D146A3">
        <w:rPr>
          <w:rFonts w:cs="Arial"/>
          <w:i/>
          <w:iCs/>
          <w:szCs w:val="22"/>
        </w:rPr>
        <w:t>et al</w:t>
      </w:r>
      <w:r w:rsidR="00B56768" w:rsidRPr="00D146A3">
        <w:rPr>
          <w:rFonts w:cs="Arial"/>
          <w:szCs w:val="22"/>
        </w:rPr>
        <w:t>., 2022</w:t>
      </w:r>
      <w:r w:rsidRPr="00D146A3">
        <w:rPr>
          <w:rFonts w:cs="Arial"/>
          <w:szCs w:val="22"/>
        </w:rPr>
        <w:t>).</w:t>
      </w:r>
      <w:r w:rsidR="00DE4693" w:rsidRPr="00D146A3">
        <w:rPr>
          <w:rFonts w:cs="Arial"/>
          <w:szCs w:val="22"/>
        </w:rPr>
        <w:t xml:space="preserve"> It is necessary for enterprises to hire, attract and retain the best talent within the industry. </w:t>
      </w:r>
      <w:r w:rsidR="00D35A92" w:rsidRPr="00D146A3">
        <w:rPr>
          <w:rFonts w:cs="Arial"/>
          <w:szCs w:val="22"/>
        </w:rPr>
        <w:t>Since</w:t>
      </w:r>
      <w:r w:rsidR="00DE4693" w:rsidRPr="00D146A3">
        <w:rPr>
          <w:rFonts w:cs="Arial"/>
          <w:szCs w:val="22"/>
        </w:rPr>
        <w:t xml:space="preserve"> the emergence of </w:t>
      </w:r>
      <w:r w:rsidR="00D35A92" w:rsidRPr="00D146A3">
        <w:rPr>
          <w:rFonts w:cs="Arial"/>
          <w:szCs w:val="22"/>
        </w:rPr>
        <w:t xml:space="preserve">the </w:t>
      </w:r>
      <w:r w:rsidR="00DE4693" w:rsidRPr="00D146A3">
        <w:rPr>
          <w:rFonts w:cs="Arial"/>
          <w:szCs w:val="22"/>
        </w:rPr>
        <w:t xml:space="preserve">COVID-19 pandemic, companies all over the United Kingdom </w:t>
      </w:r>
      <w:r w:rsidR="00D35A92" w:rsidRPr="00D146A3">
        <w:rPr>
          <w:rFonts w:cs="Arial"/>
          <w:szCs w:val="22"/>
        </w:rPr>
        <w:t>have</w:t>
      </w:r>
      <w:r w:rsidR="00DE4693" w:rsidRPr="00D146A3">
        <w:rPr>
          <w:rFonts w:cs="Arial"/>
          <w:szCs w:val="22"/>
        </w:rPr>
        <w:t xml:space="preserve"> overseen to apply </w:t>
      </w:r>
      <w:r w:rsidR="00D35A92" w:rsidRPr="00D146A3">
        <w:rPr>
          <w:rFonts w:cs="Arial"/>
          <w:szCs w:val="22"/>
        </w:rPr>
        <w:t xml:space="preserve">of </w:t>
      </w:r>
      <w:r w:rsidR="00DE4693" w:rsidRPr="00D146A3">
        <w:rPr>
          <w:rFonts w:cs="Arial"/>
          <w:szCs w:val="22"/>
        </w:rPr>
        <w:t xml:space="preserve">flexible working culture and provide employees with </w:t>
      </w:r>
      <w:r w:rsidR="00D35A92" w:rsidRPr="00D146A3">
        <w:rPr>
          <w:rFonts w:cs="Arial"/>
          <w:szCs w:val="22"/>
        </w:rPr>
        <w:t>a</w:t>
      </w:r>
      <w:r w:rsidR="00DE4693" w:rsidRPr="00D146A3">
        <w:rPr>
          <w:rFonts w:cs="Arial"/>
          <w:szCs w:val="22"/>
        </w:rPr>
        <w:t xml:space="preserve"> safe environment. </w:t>
      </w:r>
    </w:p>
    <w:p w14:paraId="4EF3F599" w14:textId="77777777" w:rsidR="00D35A92" w:rsidRPr="00D146A3" w:rsidRDefault="00DE4693" w:rsidP="00D146A3">
      <w:pPr>
        <w:spacing w:line="240" w:lineRule="auto"/>
        <w:rPr>
          <w:rFonts w:cs="Arial"/>
          <w:szCs w:val="22"/>
        </w:rPr>
      </w:pPr>
      <w:r w:rsidRPr="00D146A3">
        <w:rPr>
          <w:rFonts w:cs="Arial"/>
          <w:szCs w:val="22"/>
        </w:rPr>
        <w:t xml:space="preserve">This became one of the potential </w:t>
      </w:r>
      <w:r w:rsidR="00D35A92" w:rsidRPr="00D146A3">
        <w:rPr>
          <w:rFonts w:cs="Arial"/>
          <w:szCs w:val="22"/>
        </w:rPr>
        <w:t>reasons</w:t>
      </w:r>
      <w:r w:rsidRPr="00D146A3">
        <w:rPr>
          <w:rFonts w:cs="Arial"/>
          <w:szCs w:val="22"/>
        </w:rPr>
        <w:t xml:space="preserve"> </w:t>
      </w:r>
      <w:r w:rsidR="00D35A92" w:rsidRPr="00D146A3">
        <w:rPr>
          <w:rFonts w:cs="Arial"/>
          <w:szCs w:val="22"/>
        </w:rPr>
        <w:t>for</w:t>
      </w:r>
      <w:r w:rsidRPr="00D146A3">
        <w:rPr>
          <w:rFonts w:cs="Arial"/>
          <w:szCs w:val="22"/>
        </w:rPr>
        <w:t xml:space="preserve"> inequality </w:t>
      </w:r>
      <w:r w:rsidR="00D35A92" w:rsidRPr="00D146A3">
        <w:rPr>
          <w:rFonts w:cs="Arial"/>
          <w:szCs w:val="22"/>
        </w:rPr>
        <w:t>in</w:t>
      </w:r>
      <w:r w:rsidRPr="00D146A3">
        <w:rPr>
          <w:rFonts w:cs="Arial"/>
          <w:szCs w:val="22"/>
        </w:rPr>
        <w:t xml:space="preserve"> the workplace as about 8.2 million </w:t>
      </w:r>
      <w:r w:rsidR="00D35A92" w:rsidRPr="00D146A3">
        <w:rPr>
          <w:rFonts w:cs="Arial"/>
          <w:szCs w:val="22"/>
        </w:rPr>
        <w:t>employees</w:t>
      </w:r>
      <w:r w:rsidRPr="00D146A3">
        <w:rPr>
          <w:rFonts w:cs="Arial"/>
          <w:szCs w:val="22"/>
        </w:rPr>
        <w:t xml:space="preserve"> faced workplace discrimination in the United Kingdom as of the year 2021, which was due to their gender (smeloans.co.uk, 2021). Hence, in order to address this aspect</w:t>
      </w:r>
      <w:r w:rsidR="00D35A92" w:rsidRPr="00D146A3">
        <w:rPr>
          <w:rFonts w:cs="Arial"/>
          <w:szCs w:val="22"/>
        </w:rPr>
        <w:t>,</w:t>
      </w:r>
      <w:r w:rsidRPr="00D146A3">
        <w:rPr>
          <w:rFonts w:cs="Arial"/>
          <w:szCs w:val="22"/>
        </w:rPr>
        <w:t xml:space="preserve"> the HR manager of Sainsbury’s has included an Employee Value Proportion that is </w:t>
      </w:r>
      <w:r w:rsidR="00D35A92" w:rsidRPr="00D146A3">
        <w:rPr>
          <w:rFonts w:cs="Arial"/>
          <w:szCs w:val="22"/>
        </w:rPr>
        <w:t xml:space="preserve">the </w:t>
      </w:r>
      <w:r w:rsidRPr="00D146A3">
        <w:rPr>
          <w:rFonts w:cs="Arial"/>
          <w:szCs w:val="22"/>
        </w:rPr>
        <w:t>incorporation of Diversity and Inclusion</w:t>
      </w:r>
      <w:r w:rsidR="00D35A92" w:rsidRPr="00D146A3">
        <w:rPr>
          <w:rFonts w:cs="Arial"/>
          <w:szCs w:val="22"/>
        </w:rPr>
        <w:t>. This oversees to provide every employee with an inclusive work to function and focus on employee wellbeing (about.sainsburys.co.uk, 2022). Moreover, this oversees enhances communication among the employees can increase the employee engagement rate and allow the company to experience success in the future.</w:t>
      </w:r>
    </w:p>
    <w:p w14:paraId="0021D9A9" w14:textId="77777777" w:rsidR="00E36910" w:rsidRPr="00D146A3" w:rsidRDefault="00D35A92" w:rsidP="00D146A3">
      <w:pPr>
        <w:spacing w:line="240" w:lineRule="auto"/>
        <w:rPr>
          <w:rFonts w:cs="Arial"/>
          <w:szCs w:val="22"/>
        </w:rPr>
      </w:pPr>
      <w:r w:rsidRPr="00D146A3">
        <w:rPr>
          <w:rFonts w:cs="Arial"/>
          <w:szCs w:val="22"/>
        </w:rPr>
        <w:t>Furthermore, in order to address the inequality at the workplace due to flexible working the HR managers of Sainsbury’s have overseen following the Equaliy Act (2010) that provides an idea of avoiding discrimination based on their caste, culture, colour, ethnicity and many more (</w:t>
      </w:r>
      <w:r w:rsidR="00B56768" w:rsidRPr="00D146A3">
        <w:rPr>
          <w:rFonts w:cs="Arial"/>
          <w:szCs w:val="22"/>
        </w:rPr>
        <w:t>legislation.gov.uk, 2022</w:t>
      </w:r>
      <w:r w:rsidRPr="00D146A3">
        <w:rPr>
          <w:rFonts w:cs="Arial"/>
          <w:szCs w:val="22"/>
        </w:rPr>
        <w:t xml:space="preserve">). This can help Sainsbury’s to escalate the employee engagement process and cover all the implications that can affect the success and growth of the company. Whereas, it can also be </w:t>
      </w:r>
      <w:r w:rsidR="00C467E8" w:rsidRPr="00D146A3">
        <w:rPr>
          <w:rFonts w:cs="Arial"/>
          <w:szCs w:val="22"/>
        </w:rPr>
        <w:t xml:space="preserve">an </w:t>
      </w:r>
      <w:r w:rsidRPr="00D146A3">
        <w:rPr>
          <w:rFonts w:cs="Arial"/>
          <w:szCs w:val="22"/>
        </w:rPr>
        <w:t>effective approach during the process of organisational change</w:t>
      </w:r>
      <w:r w:rsidR="00C467E8" w:rsidRPr="00D146A3">
        <w:rPr>
          <w:rFonts w:cs="Arial"/>
          <w:szCs w:val="22"/>
        </w:rPr>
        <w:t xml:space="preserve"> that can become a potential reason for decreasing the reputation of the company.</w:t>
      </w:r>
      <w:r w:rsidR="00E36910" w:rsidRPr="00D146A3">
        <w:rPr>
          <w:rFonts w:cs="Arial"/>
          <w:szCs w:val="22"/>
        </w:rPr>
        <w:br w:type="page"/>
      </w:r>
    </w:p>
    <w:p w14:paraId="2DA7CB2A" w14:textId="77777777" w:rsidR="00E36910" w:rsidRPr="00D146A3" w:rsidRDefault="00E36910" w:rsidP="00D146A3">
      <w:pPr>
        <w:pStyle w:val="1"/>
        <w:spacing w:line="240" w:lineRule="auto"/>
        <w:rPr>
          <w:rFonts w:cs="Arial"/>
          <w:szCs w:val="22"/>
        </w:rPr>
      </w:pPr>
      <w:bookmarkStart w:id="5" w:name="_Toc102274638"/>
      <w:r w:rsidRPr="00D146A3">
        <w:rPr>
          <w:rFonts w:cs="Arial"/>
          <w:szCs w:val="22"/>
        </w:rPr>
        <w:lastRenderedPageBreak/>
        <w:t>Conclusion</w:t>
      </w:r>
      <w:bookmarkEnd w:id="5"/>
    </w:p>
    <w:p w14:paraId="1929C887" w14:textId="77777777" w:rsidR="00E36910" w:rsidRPr="00D146A3" w:rsidRDefault="00244C75" w:rsidP="00D146A3">
      <w:pPr>
        <w:spacing w:line="240" w:lineRule="auto"/>
        <w:rPr>
          <w:rFonts w:cs="Arial"/>
          <w:szCs w:val="22"/>
        </w:rPr>
      </w:pPr>
      <w:r w:rsidRPr="00D146A3">
        <w:rPr>
          <w:rFonts w:cs="Arial"/>
          <w:szCs w:val="22"/>
        </w:rPr>
        <w:t>The report has highlighted the importance of managing people in a corporation and its effect on the employee engagement processes. Concepts of employee engagement were included in the report to analyse the key drivers of employee engagement such as organisational culture and employee motivation. In order to address the employee motivation, Maslow’s Hierarchy of needs was included and Hofstede’s Cultural Dimensions Theory was included to conceptualise the organisational culture. Several diagnostic tools for employee engagement were discussed in the report as well as an employee value proportion to address the inequality due to flexible working was constructed.</w:t>
      </w:r>
      <w:r w:rsidR="00E36910" w:rsidRPr="00D146A3">
        <w:rPr>
          <w:rFonts w:cs="Arial"/>
          <w:szCs w:val="22"/>
        </w:rPr>
        <w:br w:type="page"/>
      </w:r>
    </w:p>
    <w:p w14:paraId="72FEA2BB" w14:textId="77777777" w:rsidR="004E32FF" w:rsidRPr="00D146A3" w:rsidRDefault="00E36910" w:rsidP="00D146A3">
      <w:pPr>
        <w:pStyle w:val="1"/>
        <w:spacing w:line="240" w:lineRule="auto"/>
        <w:rPr>
          <w:rFonts w:cs="Arial"/>
          <w:szCs w:val="22"/>
        </w:rPr>
      </w:pPr>
      <w:bookmarkStart w:id="6" w:name="_Toc102274639"/>
      <w:r w:rsidRPr="00D146A3">
        <w:rPr>
          <w:rFonts w:cs="Arial"/>
          <w:szCs w:val="22"/>
        </w:rPr>
        <w:lastRenderedPageBreak/>
        <w:t>References</w:t>
      </w:r>
      <w:bookmarkEnd w:id="6"/>
    </w:p>
    <w:p w14:paraId="2DB5C8E9" w14:textId="77777777" w:rsidR="005B1990" w:rsidRPr="00D146A3" w:rsidRDefault="005B1990" w:rsidP="00D146A3">
      <w:pPr>
        <w:spacing w:line="240" w:lineRule="auto"/>
        <w:rPr>
          <w:rFonts w:cs="Arial"/>
          <w:szCs w:val="22"/>
        </w:rPr>
      </w:pPr>
      <w:r w:rsidRPr="00D146A3">
        <w:rPr>
          <w:rFonts w:cs="Arial"/>
          <w:szCs w:val="22"/>
        </w:rPr>
        <w:t xml:space="preserve">about.sainsburys.co.uk, 2022. </w:t>
      </w:r>
      <w:r w:rsidRPr="00D146A3">
        <w:rPr>
          <w:rFonts w:cs="Arial"/>
          <w:i/>
          <w:iCs/>
          <w:szCs w:val="22"/>
        </w:rPr>
        <w:t>An inclusive place to work and shop</w:t>
      </w:r>
      <w:r w:rsidRPr="00D146A3">
        <w:rPr>
          <w:rFonts w:cs="Arial"/>
          <w:szCs w:val="22"/>
        </w:rPr>
        <w:t xml:space="preserve"> [Online] Available at: https://www.about.sainsburys.co.uk/sustainability/better-for-everyone/diversity-and-inclusion [Accessed 30 April 2022]</w:t>
      </w:r>
    </w:p>
    <w:p w14:paraId="31E9588E" w14:textId="77777777" w:rsidR="005B1990" w:rsidRPr="00D146A3" w:rsidRDefault="005B1990" w:rsidP="00D146A3">
      <w:pPr>
        <w:spacing w:line="240" w:lineRule="auto"/>
        <w:rPr>
          <w:rFonts w:cs="Arial"/>
          <w:szCs w:val="22"/>
        </w:rPr>
      </w:pPr>
      <w:r w:rsidRPr="00D146A3">
        <w:rPr>
          <w:rFonts w:cs="Arial"/>
          <w:szCs w:val="22"/>
        </w:rPr>
        <w:t xml:space="preserve">about.sainsburys.co.uk, 2022. </w:t>
      </w:r>
      <w:r w:rsidRPr="00D146A3">
        <w:rPr>
          <w:rFonts w:cs="Arial"/>
          <w:i/>
          <w:iCs/>
          <w:szCs w:val="22"/>
        </w:rPr>
        <w:t>Colleague mental health and wellbeing</w:t>
      </w:r>
      <w:r w:rsidRPr="00D146A3">
        <w:rPr>
          <w:rFonts w:cs="Arial"/>
          <w:szCs w:val="22"/>
        </w:rPr>
        <w:t xml:space="preserve"> [Online] Available at: https://www.about.sainsburys.co.uk/sustainability/plan-for-better/our-stories/2022/colleague-mental-health-and-wellbeing [Accessed 30 April 2022]</w:t>
      </w:r>
    </w:p>
    <w:p w14:paraId="5FF7051E" w14:textId="77777777" w:rsidR="005B1990" w:rsidRPr="00D146A3" w:rsidRDefault="005B1990" w:rsidP="00D146A3">
      <w:pPr>
        <w:spacing w:line="240" w:lineRule="auto"/>
        <w:rPr>
          <w:rFonts w:cs="Arial"/>
          <w:szCs w:val="22"/>
        </w:rPr>
      </w:pPr>
      <w:r w:rsidRPr="00D146A3">
        <w:rPr>
          <w:rFonts w:cs="Arial"/>
          <w:szCs w:val="22"/>
        </w:rPr>
        <w:t xml:space="preserve">about.sainsburys.co.uk, 2022. </w:t>
      </w:r>
      <w:r w:rsidRPr="00D146A3">
        <w:rPr>
          <w:rFonts w:cs="Arial"/>
          <w:i/>
          <w:iCs/>
          <w:szCs w:val="22"/>
        </w:rPr>
        <w:t>Colleague mental health and wellbeing</w:t>
      </w:r>
      <w:r w:rsidRPr="00D146A3">
        <w:rPr>
          <w:rFonts w:cs="Arial"/>
          <w:szCs w:val="22"/>
        </w:rPr>
        <w:t xml:space="preserve"> [Online] Available at: https://www.about.sainsburys.co.uk/sustainability/plan-for-better/our-stories/2022/colleague-mental-health-and-wellbeing [Accessed 30 April 2022]</w:t>
      </w:r>
    </w:p>
    <w:p w14:paraId="228C3F52" w14:textId="77777777" w:rsidR="005B1990" w:rsidRPr="00D146A3" w:rsidRDefault="005B1990" w:rsidP="00D146A3">
      <w:pPr>
        <w:spacing w:line="240" w:lineRule="auto"/>
        <w:rPr>
          <w:rFonts w:cs="Arial"/>
          <w:szCs w:val="22"/>
        </w:rPr>
      </w:pPr>
      <w:r w:rsidRPr="00D146A3">
        <w:rPr>
          <w:rFonts w:cs="Arial"/>
          <w:szCs w:val="22"/>
          <w:shd w:val="clear" w:color="auto" w:fill="FFFFFF"/>
        </w:rPr>
        <w:t>AKOB, M., ARIANTY, R. and Putra, A.H.P.K., 2020. The mediating role of distribution Kahn's engagement: An empirical evidence of salesforce in Indonesia. </w:t>
      </w:r>
      <w:r w:rsidRPr="00D146A3">
        <w:rPr>
          <w:rFonts w:cs="Arial"/>
          <w:i/>
          <w:iCs/>
          <w:szCs w:val="22"/>
          <w:shd w:val="clear" w:color="auto" w:fill="FFFFFF"/>
        </w:rPr>
        <w:t>The Journal of Asian Finance, Economics and Business</w:t>
      </w:r>
      <w:r w:rsidRPr="00D146A3">
        <w:rPr>
          <w:rFonts w:cs="Arial"/>
          <w:szCs w:val="22"/>
          <w:shd w:val="clear" w:color="auto" w:fill="FFFFFF"/>
        </w:rPr>
        <w:t>, </w:t>
      </w:r>
      <w:r w:rsidRPr="00D146A3">
        <w:rPr>
          <w:rFonts w:cs="Arial"/>
          <w:i/>
          <w:iCs/>
          <w:szCs w:val="22"/>
          <w:shd w:val="clear" w:color="auto" w:fill="FFFFFF"/>
        </w:rPr>
        <w:t>7</w:t>
      </w:r>
      <w:r w:rsidRPr="00D146A3">
        <w:rPr>
          <w:rFonts w:cs="Arial"/>
          <w:szCs w:val="22"/>
          <w:shd w:val="clear" w:color="auto" w:fill="FFFFFF"/>
        </w:rPr>
        <w:t>(2), pp.249-260.</w:t>
      </w:r>
    </w:p>
    <w:p w14:paraId="7965E415" w14:textId="77777777" w:rsidR="005B1990" w:rsidRPr="00D146A3" w:rsidRDefault="005B1990" w:rsidP="00D146A3">
      <w:pPr>
        <w:spacing w:line="240" w:lineRule="auto"/>
        <w:rPr>
          <w:rFonts w:cs="Arial"/>
          <w:szCs w:val="22"/>
        </w:rPr>
      </w:pPr>
      <w:r w:rsidRPr="00D146A3">
        <w:rPr>
          <w:rFonts w:cs="Arial"/>
          <w:szCs w:val="22"/>
          <w:shd w:val="clear" w:color="auto" w:fill="FFFFFF"/>
        </w:rPr>
        <w:t>Armstrong, M., 2020. </w:t>
      </w:r>
      <w:r w:rsidRPr="00D146A3">
        <w:rPr>
          <w:rFonts w:cs="Arial"/>
          <w:i/>
          <w:iCs/>
          <w:szCs w:val="22"/>
          <w:shd w:val="clear" w:color="auto" w:fill="FFFFFF"/>
        </w:rPr>
        <w:t>Armstrong's Handbook of Strategic Human Resource Management: Improve Business Performance Through Strategic People Management</w:t>
      </w:r>
      <w:r w:rsidRPr="00D146A3">
        <w:rPr>
          <w:rFonts w:cs="Arial"/>
          <w:szCs w:val="22"/>
          <w:shd w:val="clear" w:color="auto" w:fill="FFFFFF"/>
        </w:rPr>
        <w:t>. Kogan Page Publishers.</w:t>
      </w:r>
    </w:p>
    <w:p w14:paraId="54EBFBC7" w14:textId="77777777" w:rsidR="005B1990" w:rsidRPr="00D146A3" w:rsidRDefault="005B1990" w:rsidP="00D146A3">
      <w:pPr>
        <w:spacing w:line="240" w:lineRule="auto"/>
        <w:rPr>
          <w:rFonts w:cs="Arial"/>
          <w:szCs w:val="22"/>
        </w:rPr>
      </w:pPr>
      <w:r w:rsidRPr="00D146A3">
        <w:rPr>
          <w:rFonts w:cs="Arial"/>
          <w:szCs w:val="22"/>
        </w:rPr>
        <w:t xml:space="preserve">Butler. S., 2022. </w:t>
      </w:r>
      <w:r w:rsidRPr="00D146A3">
        <w:rPr>
          <w:rFonts w:cs="Arial"/>
          <w:i/>
          <w:iCs/>
          <w:szCs w:val="22"/>
        </w:rPr>
        <w:t>Sainsbury’s toasts £60m more profits as champagne sales soar</w:t>
      </w:r>
      <w:r w:rsidRPr="00D146A3">
        <w:rPr>
          <w:rFonts w:cs="Arial"/>
          <w:szCs w:val="22"/>
        </w:rPr>
        <w:t xml:space="preserve"> [Online] Available at: https://www.theguardian.com/business/2022/jan/12/sainsburys-toasts-more-profits-champagne-sales-soar [Accessed 30 April 2022]</w:t>
      </w:r>
    </w:p>
    <w:p w14:paraId="7C26EEC3" w14:textId="77777777" w:rsidR="005B1990" w:rsidRPr="00D146A3" w:rsidRDefault="005B1990" w:rsidP="00D146A3">
      <w:pPr>
        <w:spacing w:line="240" w:lineRule="auto"/>
        <w:rPr>
          <w:rFonts w:cs="Arial"/>
          <w:szCs w:val="22"/>
        </w:rPr>
      </w:pPr>
      <w:r w:rsidRPr="00D146A3">
        <w:rPr>
          <w:rFonts w:cs="Arial"/>
          <w:szCs w:val="22"/>
          <w:shd w:val="clear" w:color="auto" w:fill="FFFFFF"/>
        </w:rPr>
        <w:t>Coffie, R.B., Boateng, K.A. and Coffie, F., 2018. Achieving organizational commitment through HRM practices: The Ghanaian banking sector experience. </w:t>
      </w:r>
      <w:r w:rsidRPr="00D146A3">
        <w:rPr>
          <w:rFonts w:cs="Arial"/>
          <w:i/>
          <w:iCs/>
          <w:szCs w:val="22"/>
          <w:shd w:val="clear" w:color="auto" w:fill="FFFFFF"/>
        </w:rPr>
        <w:t>International Journal of Business and Management</w:t>
      </w:r>
      <w:r w:rsidRPr="00D146A3">
        <w:rPr>
          <w:rFonts w:cs="Arial"/>
          <w:szCs w:val="22"/>
          <w:shd w:val="clear" w:color="auto" w:fill="FFFFFF"/>
        </w:rPr>
        <w:t>, </w:t>
      </w:r>
      <w:r w:rsidRPr="00D146A3">
        <w:rPr>
          <w:rFonts w:cs="Arial"/>
          <w:i/>
          <w:iCs/>
          <w:szCs w:val="22"/>
          <w:shd w:val="clear" w:color="auto" w:fill="FFFFFF"/>
        </w:rPr>
        <w:t>13</w:t>
      </w:r>
      <w:r w:rsidRPr="00D146A3">
        <w:rPr>
          <w:rFonts w:cs="Arial"/>
          <w:szCs w:val="22"/>
          <w:shd w:val="clear" w:color="auto" w:fill="FFFFFF"/>
        </w:rPr>
        <w:t>(5), pp.171-184.</w:t>
      </w:r>
    </w:p>
    <w:p w14:paraId="7CA29723" w14:textId="77777777" w:rsidR="005B1990" w:rsidRPr="00D146A3" w:rsidRDefault="005B1990" w:rsidP="00D146A3">
      <w:pPr>
        <w:spacing w:line="240" w:lineRule="auto"/>
        <w:rPr>
          <w:rFonts w:cs="Arial"/>
          <w:szCs w:val="22"/>
          <w:shd w:val="clear" w:color="auto" w:fill="FFFFFF"/>
        </w:rPr>
      </w:pPr>
      <w:r w:rsidRPr="00D146A3">
        <w:rPr>
          <w:rFonts w:cs="Arial"/>
          <w:szCs w:val="22"/>
          <w:shd w:val="clear" w:color="auto" w:fill="FFFFFF"/>
        </w:rPr>
        <w:t>Gallego-Álvarez, I. and Pucheta-Martínez, M.C., 2021. Hofstede’s cultural dimensions and R&amp;D intensity as an innovation strategy: a view from different institutional contexts. </w:t>
      </w:r>
      <w:r w:rsidRPr="00D146A3">
        <w:rPr>
          <w:rFonts w:cs="Arial"/>
          <w:i/>
          <w:iCs/>
          <w:szCs w:val="22"/>
          <w:shd w:val="clear" w:color="auto" w:fill="FFFFFF"/>
        </w:rPr>
        <w:t>Eurasian Business Review</w:t>
      </w:r>
      <w:r w:rsidRPr="00D146A3">
        <w:rPr>
          <w:rFonts w:cs="Arial"/>
          <w:szCs w:val="22"/>
          <w:shd w:val="clear" w:color="auto" w:fill="FFFFFF"/>
        </w:rPr>
        <w:t>, </w:t>
      </w:r>
      <w:r w:rsidRPr="00D146A3">
        <w:rPr>
          <w:rFonts w:cs="Arial"/>
          <w:i/>
          <w:iCs/>
          <w:szCs w:val="22"/>
          <w:shd w:val="clear" w:color="auto" w:fill="FFFFFF"/>
        </w:rPr>
        <w:t>11</w:t>
      </w:r>
      <w:r w:rsidRPr="00D146A3">
        <w:rPr>
          <w:rFonts w:cs="Arial"/>
          <w:szCs w:val="22"/>
          <w:shd w:val="clear" w:color="auto" w:fill="FFFFFF"/>
        </w:rPr>
        <w:t>(2), pp.191-220.</w:t>
      </w:r>
    </w:p>
    <w:p w14:paraId="048D13ED" w14:textId="77777777" w:rsidR="005B1990" w:rsidRPr="00D146A3" w:rsidRDefault="005B1990" w:rsidP="00D146A3">
      <w:pPr>
        <w:spacing w:line="240" w:lineRule="auto"/>
        <w:rPr>
          <w:rFonts w:cs="Arial"/>
          <w:szCs w:val="22"/>
        </w:rPr>
      </w:pPr>
      <w:r w:rsidRPr="00D146A3">
        <w:rPr>
          <w:rFonts w:cs="Arial"/>
          <w:szCs w:val="22"/>
        </w:rPr>
        <w:t xml:space="preserve">hofstede-insights.com, 2022. </w:t>
      </w:r>
      <w:r w:rsidRPr="00D146A3">
        <w:rPr>
          <w:rFonts w:cs="Arial"/>
          <w:i/>
          <w:iCs/>
          <w:szCs w:val="22"/>
        </w:rPr>
        <w:t>COUNTRY COMPARISON TOOL</w:t>
      </w:r>
      <w:r w:rsidRPr="00D146A3">
        <w:rPr>
          <w:rFonts w:cs="Arial"/>
          <w:szCs w:val="22"/>
        </w:rPr>
        <w:t xml:space="preserve"> [Online] Available at: https://www.hofstede-insights.com/ [Accessed 30 April 2022]</w:t>
      </w:r>
    </w:p>
    <w:p w14:paraId="33422877" w14:textId="77777777" w:rsidR="005B1990" w:rsidRPr="00D146A3" w:rsidRDefault="005B1990" w:rsidP="00D146A3">
      <w:pPr>
        <w:spacing w:line="240" w:lineRule="auto"/>
        <w:rPr>
          <w:rFonts w:cs="Arial"/>
          <w:szCs w:val="22"/>
        </w:rPr>
      </w:pPr>
      <w:r w:rsidRPr="00D146A3">
        <w:rPr>
          <w:rFonts w:cs="Arial"/>
          <w:szCs w:val="22"/>
          <w:shd w:val="clear" w:color="auto" w:fill="FFFFFF"/>
        </w:rPr>
        <w:t>Hopper, E., 2020. Maslow's hierarchy of needs explained. </w:t>
      </w:r>
      <w:r w:rsidRPr="00D146A3">
        <w:rPr>
          <w:rFonts w:cs="Arial"/>
          <w:i/>
          <w:iCs/>
          <w:szCs w:val="22"/>
          <w:shd w:val="clear" w:color="auto" w:fill="FFFFFF"/>
        </w:rPr>
        <w:t>ThoughtCo, ThoughtCo</w:t>
      </w:r>
      <w:r w:rsidRPr="00D146A3">
        <w:rPr>
          <w:rFonts w:cs="Arial"/>
          <w:szCs w:val="22"/>
          <w:shd w:val="clear" w:color="auto" w:fill="FFFFFF"/>
        </w:rPr>
        <w:t>, </w:t>
      </w:r>
      <w:r w:rsidRPr="00D146A3">
        <w:rPr>
          <w:rFonts w:cs="Arial"/>
          <w:i/>
          <w:iCs/>
          <w:szCs w:val="22"/>
          <w:shd w:val="clear" w:color="auto" w:fill="FFFFFF"/>
        </w:rPr>
        <w:t>24</w:t>
      </w:r>
      <w:r w:rsidRPr="00D146A3">
        <w:rPr>
          <w:rFonts w:cs="Arial"/>
          <w:szCs w:val="22"/>
          <w:shd w:val="clear" w:color="auto" w:fill="FFFFFF"/>
        </w:rPr>
        <w:t>.</w:t>
      </w:r>
    </w:p>
    <w:p w14:paraId="0C172E02" w14:textId="77777777" w:rsidR="005B1990" w:rsidRPr="00D146A3" w:rsidRDefault="005B1990" w:rsidP="00D146A3">
      <w:pPr>
        <w:spacing w:line="240" w:lineRule="auto"/>
        <w:rPr>
          <w:rFonts w:cs="Arial"/>
          <w:szCs w:val="22"/>
          <w:shd w:val="clear" w:color="auto" w:fill="FFFFFF"/>
        </w:rPr>
      </w:pPr>
      <w:r w:rsidRPr="00D146A3">
        <w:rPr>
          <w:rFonts w:cs="Arial"/>
          <w:szCs w:val="22"/>
          <w:shd w:val="clear" w:color="auto" w:fill="FFFFFF"/>
        </w:rPr>
        <w:t>Hussein, A.M., Al-Jubori, I.A.M. and Mahdi, A.A.K., 2022. The Mediating Role of Organizational Reputation in Promoting the impact of Employee Value Proposition on Organizational Commitment. </w:t>
      </w:r>
      <w:r w:rsidRPr="00D146A3">
        <w:rPr>
          <w:rFonts w:cs="Arial"/>
          <w:i/>
          <w:iCs/>
          <w:szCs w:val="22"/>
          <w:shd w:val="clear" w:color="auto" w:fill="FFFFFF"/>
        </w:rPr>
        <w:t>Webology</w:t>
      </w:r>
      <w:r w:rsidRPr="00D146A3">
        <w:rPr>
          <w:rFonts w:cs="Arial"/>
          <w:szCs w:val="22"/>
          <w:shd w:val="clear" w:color="auto" w:fill="FFFFFF"/>
        </w:rPr>
        <w:t>, </w:t>
      </w:r>
      <w:r w:rsidRPr="00D146A3">
        <w:rPr>
          <w:rFonts w:cs="Arial"/>
          <w:i/>
          <w:iCs/>
          <w:szCs w:val="22"/>
          <w:shd w:val="clear" w:color="auto" w:fill="FFFFFF"/>
        </w:rPr>
        <w:t>19</w:t>
      </w:r>
      <w:r w:rsidRPr="00D146A3">
        <w:rPr>
          <w:rFonts w:cs="Arial"/>
          <w:szCs w:val="22"/>
          <w:shd w:val="clear" w:color="auto" w:fill="FFFFFF"/>
        </w:rPr>
        <w:t>(1).</w:t>
      </w:r>
    </w:p>
    <w:p w14:paraId="704CAEDB" w14:textId="77777777" w:rsidR="005B1990" w:rsidRPr="00D146A3" w:rsidRDefault="005B1990" w:rsidP="00D146A3">
      <w:pPr>
        <w:spacing w:line="240" w:lineRule="auto"/>
        <w:rPr>
          <w:rFonts w:cs="Arial"/>
          <w:szCs w:val="22"/>
        </w:rPr>
      </w:pPr>
      <w:r w:rsidRPr="00D146A3">
        <w:rPr>
          <w:rFonts w:cs="Arial"/>
          <w:szCs w:val="22"/>
        </w:rPr>
        <w:t xml:space="preserve">legislation.gov.uk, 2022. </w:t>
      </w:r>
      <w:r w:rsidRPr="00D146A3">
        <w:rPr>
          <w:rFonts w:cs="Arial"/>
          <w:i/>
          <w:iCs/>
          <w:szCs w:val="22"/>
        </w:rPr>
        <w:t xml:space="preserve">Equality Act 2010 </w:t>
      </w:r>
      <w:r w:rsidRPr="00D146A3">
        <w:rPr>
          <w:rFonts w:cs="Arial"/>
          <w:szCs w:val="22"/>
        </w:rPr>
        <w:t>[Online] Available at: https://www.legislation.gov.uk/ukpga/2010/15/contents [Accessed 30 April 2022]</w:t>
      </w:r>
    </w:p>
    <w:p w14:paraId="48DD073C" w14:textId="77777777" w:rsidR="005B1990" w:rsidRPr="00D146A3" w:rsidRDefault="005B1990" w:rsidP="00D146A3">
      <w:pPr>
        <w:spacing w:line="240" w:lineRule="auto"/>
        <w:rPr>
          <w:rFonts w:cs="Arial"/>
          <w:szCs w:val="22"/>
        </w:rPr>
      </w:pPr>
      <w:r w:rsidRPr="00D146A3">
        <w:rPr>
          <w:rFonts w:cs="Arial"/>
          <w:szCs w:val="22"/>
          <w:shd w:val="clear" w:color="auto" w:fill="FFFFFF"/>
        </w:rPr>
        <w:t>Motyka, B., 2018. Employee engagement and performance: a systematic literature review. </w:t>
      </w:r>
      <w:r w:rsidRPr="00D146A3">
        <w:rPr>
          <w:rFonts w:cs="Arial"/>
          <w:i/>
          <w:iCs/>
          <w:szCs w:val="22"/>
          <w:shd w:val="clear" w:color="auto" w:fill="FFFFFF"/>
        </w:rPr>
        <w:t>International Journal of Management and Economics</w:t>
      </w:r>
      <w:r w:rsidRPr="00D146A3">
        <w:rPr>
          <w:rFonts w:cs="Arial"/>
          <w:szCs w:val="22"/>
          <w:shd w:val="clear" w:color="auto" w:fill="FFFFFF"/>
        </w:rPr>
        <w:t>, </w:t>
      </w:r>
      <w:r w:rsidRPr="00D146A3">
        <w:rPr>
          <w:rFonts w:cs="Arial"/>
          <w:i/>
          <w:iCs/>
          <w:szCs w:val="22"/>
          <w:shd w:val="clear" w:color="auto" w:fill="FFFFFF"/>
        </w:rPr>
        <w:t>54</w:t>
      </w:r>
      <w:r w:rsidRPr="00D146A3">
        <w:rPr>
          <w:rFonts w:cs="Arial"/>
          <w:szCs w:val="22"/>
          <w:shd w:val="clear" w:color="auto" w:fill="FFFFFF"/>
        </w:rPr>
        <w:t>(3), pp.227-244.</w:t>
      </w:r>
    </w:p>
    <w:p w14:paraId="626B766A" w14:textId="77777777" w:rsidR="005B1990" w:rsidRPr="00D146A3" w:rsidRDefault="005B1990" w:rsidP="00D146A3">
      <w:pPr>
        <w:spacing w:line="240" w:lineRule="auto"/>
        <w:rPr>
          <w:rFonts w:cs="Arial"/>
          <w:szCs w:val="22"/>
        </w:rPr>
      </w:pPr>
      <w:r w:rsidRPr="00D146A3">
        <w:rPr>
          <w:rFonts w:cs="Arial"/>
          <w:szCs w:val="22"/>
          <w:shd w:val="clear" w:color="auto" w:fill="FFFFFF"/>
        </w:rPr>
        <w:t>Nawaz, M., Abid, G., Arya, B., Bhatti, G.A. and Farooqi, S., 2020. Understanding employee thriving: The role of workplace context, personality and individual resources. </w:t>
      </w:r>
      <w:r w:rsidRPr="00D146A3">
        <w:rPr>
          <w:rFonts w:cs="Arial"/>
          <w:i/>
          <w:iCs/>
          <w:szCs w:val="22"/>
          <w:shd w:val="clear" w:color="auto" w:fill="FFFFFF"/>
        </w:rPr>
        <w:t>Total Quality Management &amp; Business Excellence</w:t>
      </w:r>
      <w:r w:rsidRPr="00D146A3">
        <w:rPr>
          <w:rFonts w:cs="Arial"/>
          <w:szCs w:val="22"/>
          <w:shd w:val="clear" w:color="auto" w:fill="FFFFFF"/>
        </w:rPr>
        <w:t>, </w:t>
      </w:r>
      <w:r w:rsidRPr="00D146A3">
        <w:rPr>
          <w:rFonts w:cs="Arial"/>
          <w:i/>
          <w:iCs/>
          <w:szCs w:val="22"/>
          <w:shd w:val="clear" w:color="auto" w:fill="FFFFFF"/>
        </w:rPr>
        <w:t>31</w:t>
      </w:r>
      <w:r w:rsidRPr="00D146A3">
        <w:rPr>
          <w:rFonts w:cs="Arial"/>
          <w:szCs w:val="22"/>
          <w:shd w:val="clear" w:color="auto" w:fill="FFFFFF"/>
        </w:rPr>
        <w:t>(11-12), pp.1345-1362.</w:t>
      </w:r>
    </w:p>
    <w:p w14:paraId="4FAAB6BE" w14:textId="77777777" w:rsidR="005B1990" w:rsidRPr="00D146A3" w:rsidRDefault="005B1990" w:rsidP="00D146A3">
      <w:pPr>
        <w:spacing w:line="240" w:lineRule="auto"/>
        <w:rPr>
          <w:rFonts w:cs="Arial"/>
          <w:szCs w:val="22"/>
        </w:rPr>
      </w:pPr>
      <w:r w:rsidRPr="00D146A3">
        <w:rPr>
          <w:rFonts w:cs="Arial"/>
          <w:szCs w:val="22"/>
        </w:rPr>
        <w:t xml:space="preserve">sainsburys.co.uk, 2022. </w:t>
      </w:r>
      <w:r w:rsidRPr="00D146A3">
        <w:rPr>
          <w:rFonts w:cs="Arial"/>
          <w:i/>
          <w:iCs/>
          <w:szCs w:val="22"/>
        </w:rPr>
        <w:t>Latest updates</w:t>
      </w:r>
      <w:r w:rsidRPr="00D146A3">
        <w:rPr>
          <w:rFonts w:cs="Arial"/>
          <w:szCs w:val="22"/>
        </w:rPr>
        <w:t xml:space="preserve"> [Online] Available at: https://www.sainsburys.co.uk/webapp/wcs/stores/servlet/gb/groceries/working-to-feed-the-nation-/latest-information--?storeId=10151&amp;langId=44&amp;krypto=JOQwqf7vI4ZFArF1WWIo%2BMHdsTIsd6UupO</w:t>
      </w:r>
      <w:r w:rsidRPr="00D146A3">
        <w:rPr>
          <w:rFonts w:cs="Arial"/>
          <w:szCs w:val="22"/>
        </w:rPr>
        <w:lastRenderedPageBreak/>
        <w:t>YTGLe4ulufPli9ZV2BsKeL1qwnMRPbJJzKMZbe6BrPsphIq2DTYEs1sUT8WAK08UCjXev8prrSrIisWlo5qx%2FqgIXbAaxK&amp;ddkey=https%3Agb%2Fgroceries%2Fworking-to-feed-the-nation-%2Flatest-information--#langId=44&amp;storeId=10151&amp;catalogId=10241&amp;categoryId=473272&amp;parent_category_rn=473117&amp;top_category=473117&amp;pageSize=60&amp;orderBy=FAVOURITES_FIRST&amp;searchTerm=&amp;beginIndex=0&amp;hideFilters=true [Accessed 30 April 2022]</w:t>
      </w:r>
    </w:p>
    <w:p w14:paraId="633188FD" w14:textId="77777777" w:rsidR="005B1990" w:rsidRPr="00D146A3" w:rsidRDefault="005B1990" w:rsidP="00D146A3">
      <w:pPr>
        <w:spacing w:line="240" w:lineRule="auto"/>
        <w:rPr>
          <w:rFonts w:cs="Arial"/>
          <w:szCs w:val="22"/>
        </w:rPr>
      </w:pPr>
      <w:r w:rsidRPr="00D146A3">
        <w:rPr>
          <w:rFonts w:cs="Arial"/>
          <w:szCs w:val="22"/>
        </w:rPr>
        <w:t xml:space="preserve">sainsburys.jobs, 2022. </w:t>
      </w:r>
      <w:r w:rsidRPr="00D146A3">
        <w:rPr>
          <w:rFonts w:cs="Arial"/>
          <w:i/>
          <w:iCs/>
          <w:szCs w:val="22"/>
        </w:rPr>
        <w:t>Benefits</w:t>
      </w:r>
      <w:r w:rsidRPr="00D146A3">
        <w:rPr>
          <w:rFonts w:cs="Arial"/>
          <w:szCs w:val="22"/>
        </w:rPr>
        <w:t xml:space="preserve"> [Online] Available at: https://sainsburys.jobs/working-for-us/benefits/#:~:text=12%20weeks%20into%20your%20role,live%20at%20the%20same%20address [Accessed 30 April 2022]</w:t>
      </w:r>
    </w:p>
    <w:p w14:paraId="7E613650" w14:textId="77777777" w:rsidR="005B1990" w:rsidRPr="00D146A3" w:rsidRDefault="005B1990" w:rsidP="00D146A3">
      <w:pPr>
        <w:spacing w:line="240" w:lineRule="auto"/>
        <w:rPr>
          <w:rFonts w:cs="Arial"/>
          <w:szCs w:val="22"/>
        </w:rPr>
      </w:pPr>
      <w:r w:rsidRPr="00D146A3">
        <w:rPr>
          <w:rFonts w:cs="Arial"/>
          <w:szCs w:val="22"/>
        </w:rPr>
        <w:t xml:space="preserve">sainsburysbank.co.uk, 2022. </w:t>
      </w:r>
      <w:r w:rsidRPr="00D146A3">
        <w:rPr>
          <w:rFonts w:cs="Arial"/>
          <w:i/>
          <w:iCs/>
          <w:szCs w:val="22"/>
        </w:rPr>
        <w:t>Learning and Development</w:t>
      </w:r>
      <w:r w:rsidRPr="00D146A3">
        <w:rPr>
          <w:rFonts w:cs="Arial"/>
          <w:szCs w:val="22"/>
        </w:rPr>
        <w:t xml:space="preserve"> [Online] Available at: https://www.sainsburysbank.co.uk/jobs/learninganddevelopment [Accessed 30 April 2022]</w:t>
      </w:r>
    </w:p>
    <w:p w14:paraId="726D842F" w14:textId="77777777" w:rsidR="005B1990" w:rsidRPr="00D146A3" w:rsidRDefault="005B1990" w:rsidP="00D146A3">
      <w:pPr>
        <w:spacing w:line="240" w:lineRule="auto"/>
        <w:rPr>
          <w:rFonts w:cs="Arial"/>
          <w:szCs w:val="22"/>
        </w:rPr>
      </w:pPr>
      <w:r w:rsidRPr="00D146A3">
        <w:rPr>
          <w:rFonts w:cs="Arial"/>
          <w:szCs w:val="22"/>
        </w:rPr>
        <w:t xml:space="preserve">statista.com, 2022. </w:t>
      </w:r>
      <w:r w:rsidRPr="00D146A3">
        <w:rPr>
          <w:rFonts w:cs="Arial"/>
          <w:i/>
          <w:iCs/>
          <w:szCs w:val="22"/>
        </w:rPr>
        <w:t xml:space="preserve">Active social media audience in the United Kingdom (UK) in February 2022 </w:t>
      </w:r>
      <w:r w:rsidRPr="00D146A3">
        <w:rPr>
          <w:rFonts w:cs="Arial"/>
          <w:szCs w:val="22"/>
        </w:rPr>
        <w:t>[Online] Available at: https://www.statista.com/statistics/507405/uk-active-social-media-and-mobile-social-media-users/ [Accessed 30 April 2022]</w:t>
      </w:r>
    </w:p>
    <w:p w14:paraId="6E74F948" w14:textId="77777777" w:rsidR="005B1990" w:rsidRPr="00D146A3" w:rsidRDefault="005B1990" w:rsidP="00D146A3">
      <w:pPr>
        <w:spacing w:line="240" w:lineRule="auto"/>
        <w:rPr>
          <w:rFonts w:cs="Arial"/>
          <w:szCs w:val="22"/>
        </w:rPr>
      </w:pPr>
      <w:r w:rsidRPr="00D146A3">
        <w:rPr>
          <w:rFonts w:cs="Arial"/>
          <w:szCs w:val="22"/>
        </w:rPr>
        <w:t xml:space="preserve">statista.com, 2022. </w:t>
      </w:r>
      <w:r w:rsidRPr="00D146A3">
        <w:rPr>
          <w:rFonts w:cs="Arial"/>
          <w:i/>
          <w:iCs/>
          <w:szCs w:val="22"/>
        </w:rPr>
        <w:t>Annual retail sales of Sainsbury's in the United Kingdom (UK) from financial year 2008/09 to 2020/21</w:t>
      </w:r>
      <w:r w:rsidRPr="00D146A3">
        <w:rPr>
          <w:rFonts w:cs="Arial"/>
          <w:szCs w:val="22"/>
        </w:rPr>
        <w:t xml:space="preserve"> [Online] Available at: https://www.statista.com/statistics/386342/sainsburys-retail-sales-united-kingdom-uk/ [Accessed 30 April 2022]</w:t>
      </w:r>
    </w:p>
    <w:p w14:paraId="188C22E3" w14:textId="77777777" w:rsidR="005B1990" w:rsidRPr="00D146A3" w:rsidRDefault="005B1990" w:rsidP="00D146A3">
      <w:pPr>
        <w:spacing w:line="240" w:lineRule="auto"/>
        <w:rPr>
          <w:rFonts w:cs="Arial"/>
          <w:szCs w:val="22"/>
          <w:shd w:val="clear" w:color="auto" w:fill="FFFFFF"/>
          <w:lang w:val="en-US"/>
        </w:rPr>
      </w:pPr>
      <w:r w:rsidRPr="00D146A3">
        <w:rPr>
          <w:rFonts w:cs="Arial"/>
          <w:szCs w:val="22"/>
          <w:shd w:val="clear" w:color="auto" w:fill="FFFFFF"/>
        </w:rPr>
        <w:t>Wagstaff, C.R. and Burton-Wylie, S., 2018. Organisational culture in sport: A conceptual, definitional and methodological review. </w:t>
      </w:r>
      <w:r w:rsidRPr="00D146A3">
        <w:rPr>
          <w:rFonts w:cs="Arial"/>
          <w:i/>
          <w:iCs/>
          <w:szCs w:val="22"/>
          <w:shd w:val="clear" w:color="auto" w:fill="FFFFFF"/>
        </w:rPr>
        <w:t>Sport &amp; Exercise Psychology Review</w:t>
      </w:r>
      <w:r w:rsidRPr="00D146A3">
        <w:rPr>
          <w:rFonts w:cs="Arial"/>
          <w:szCs w:val="22"/>
          <w:shd w:val="clear" w:color="auto" w:fill="FFFFFF"/>
        </w:rPr>
        <w:t>, </w:t>
      </w:r>
      <w:r w:rsidRPr="00D146A3">
        <w:rPr>
          <w:rFonts w:cs="Arial"/>
          <w:i/>
          <w:iCs/>
          <w:szCs w:val="22"/>
          <w:shd w:val="clear" w:color="auto" w:fill="FFFFFF"/>
        </w:rPr>
        <w:t>14</w:t>
      </w:r>
      <w:r w:rsidRPr="00D146A3">
        <w:rPr>
          <w:rFonts w:cs="Arial"/>
          <w:szCs w:val="22"/>
          <w:shd w:val="clear" w:color="auto" w:fill="FFFFFF"/>
        </w:rPr>
        <w:t>(2), pp.32-52.</w:t>
      </w:r>
    </w:p>
    <w:sectPr w:rsidR="005B1990" w:rsidRPr="00D146A3" w:rsidSect="000953A3">
      <w:footerReference w:type="default" r:id="rId9"/>
      <w:pgSz w:w="11906" w:h="16838"/>
      <w:pgMar w:top="1418" w:right="1814" w:bottom="1418" w:left="181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05A12" w14:textId="77777777" w:rsidR="004C16D9" w:rsidRDefault="004C16D9" w:rsidP="000953A3">
      <w:pPr>
        <w:spacing w:after="0" w:line="240" w:lineRule="auto"/>
      </w:pPr>
      <w:r>
        <w:separator/>
      </w:r>
    </w:p>
  </w:endnote>
  <w:endnote w:type="continuationSeparator" w:id="0">
    <w:p w14:paraId="2CA972F6" w14:textId="77777777" w:rsidR="004C16D9" w:rsidRDefault="004C16D9" w:rsidP="00095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772355035"/>
      <w:docPartObj>
        <w:docPartGallery w:val="Page Numbers (Bottom of Page)"/>
        <w:docPartUnique/>
      </w:docPartObj>
    </w:sdtPr>
    <w:sdtEndPr>
      <w:rPr>
        <w:noProof/>
      </w:rPr>
    </w:sdtEndPr>
    <w:sdtContent>
      <w:p w14:paraId="6B1AC1DE" w14:textId="77777777" w:rsidR="000953A3" w:rsidRDefault="00D66E3D">
        <w:pPr>
          <w:pStyle w:val="a7"/>
          <w:jc w:val="right"/>
        </w:pPr>
        <w:r>
          <w:rPr>
            <w:noProof w:val="0"/>
          </w:rPr>
          <w:fldChar w:fldCharType="begin"/>
        </w:r>
        <w:r w:rsidR="000953A3">
          <w:instrText xml:space="preserve"> PAGE   \* MERGEFORMAT </w:instrText>
        </w:r>
        <w:r>
          <w:rPr>
            <w:noProof w:val="0"/>
          </w:rPr>
          <w:fldChar w:fldCharType="separate"/>
        </w:r>
        <w:r w:rsidR="003B318D">
          <w:t>2</w:t>
        </w:r>
        <w:r>
          <w:fldChar w:fldCharType="end"/>
        </w:r>
      </w:p>
    </w:sdtContent>
  </w:sdt>
  <w:p w14:paraId="7C8C5F13" w14:textId="77777777" w:rsidR="000953A3" w:rsidRDefault="000953A3">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DED27" w14:textId="77777777" w:rsidR="004C16D9" w:rsidRDefault="004C16D9" w:rsidP="000953A3">
      <w:pPr>
        <w:spacing w:after="0" w:line="240" w:lineRule="auto"/>
      </w:pPr>
      <w:r>
        <w:separator/>
      </w:r>
    </w:p>
  </w:footnote>
  <w:footnote w:type="continuationSeparator" w:id="0">
    <w:p w14:paraId="0879E17C" w14:textId="77777777" w:rsidR="004C16D9" w:rsidRDefault="004C16D9" w:rsidP="000953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718CE"/>
    <w:rsid w:val="000810C0"/>
    <w:rsid w:val="000953A3"/>
    <w:rsid w:val="000D1BB1"/>
    <w:rsid w:val="000E6D89"/>
    <w:rsid w:val="001073E8"/>
    <w:rsid w:val="00154FFA"/>
    <w:rsid w:val="00183A84"/>
    <w:rsid w:val="00185BEC"/>
    <w:rsid w:val="001E029C"/>
    <w:rsid w:val="00240620"/>
    <w:rsid w:val="00244C75"/>
    <w:rsid w:val="00251C72"/>
    <w:rsid w:val="0025207C"/>
    <w:rsid w:val="00275543"/>
    <w:rsid w:val="002872C0"/>
    <w:rsid w:val="003047D7"/>
    <w:rsid w:val="00304CE9"/>
    <w:rsid w:val="00370021"/>
    <w:rsid w:val="00375C00"/>
    <w:rsid w:val="00383369"/>
    <w:rsid w:val="003950AE"/>
    <w:rsid w:val="003B318D"/>
    <w:rsid w:val="004701E5"/>
    <w:rsid w:val="00481CFD"/>
    <w:rsid w:val="004A0CA5"/>
    <w:rsid w:val="004C16D9"/>
    <w:rsid w:val="004E32FF"/>
    <w:rsid w:val="0054592D"/>
    <w:rsid w:val="005B1990"/>
    <w:rsid w:val="00606054"/>
    <w:rsid w:val="006A025A"/>
    <w:rsid w:val="006A36D2"/>
    <w:rsid w:val="006F5FFD"/>
    <w:rsid w:val="00703713"/>
    <w:rsid w:val="007B6751"/>
    <w:rsid w:val="007B7231"/>
    <w:rsid w:val="007D474C"/>
    <w:rsid w:val="008D1E73"/>
    <w:rsid w:val="008E7FAA"/>
    <w:rsid w:val="009665B0"/>
    <w:rsid w:val="0099150B"/>
    <w:rsid w:val="009D5908"/>
    <w:rsid w:val="00AD5F5E"/>
    <w:rsid w:val="00B56768"/>
    <w:rsid w:val="00C467E8"/>
    <w:rsid w:val="00C60801"/>
    <w:rsid w:val="00C6597D"/>
    <w:rsid w:val="00C763BD"/>
    <w:rsid w:val="00D146A3"/>
    <w:rsid w:val="00D35A92"/>
    <w:rsid w:val="00D4539D"/>
    <w:rsid w:val="00D66E3D"/>
    <w:rsid w:val="00D75793"/>
    <w:rsid w:val="00DE4693"/>
    <w:rsid w:val="00E36910"/>
    <w:rsid w:val="00E718CE"/>
    <w:rsid w:val="00F230EA"/>
    <w:rsid w:val="00F8143D"/>
    <w:rsid w:val="00FB23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ED151"/>
  <w15:docId w15:val="{0C6459F3-898F-4AA5-85DD-2A6AEEFD2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GB"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B1990"/>
    <w:pPr>
      <w:spacing w:line="360" w:lineRule="auto"/>
      <w:jc w:val="both"/>
    </w:pPr>
    <w:rPr>
      <w:rFonts w:ascii="Arial" w:hAnsi="Arial"/>
      <w:noProof/>
      <w:color w:val="000000" w:themeColor="text1"/>
    </w:rPr>
  </w:style>
  <w:style w:type="paragraph" w:styleId="1">
    <w:name w:val="heading 1"/>
    <w:basedOn w:val="a"/>
    <w:next w:val="a"/>
    <w:link w:val="10"/>
    <w:uiPriority w:val="9"/>
    <w:qFormat/>
    <w:rsid w:val="00E718CE"/>
    <w:pPr>
      <w:outlineLvl w:val="0"/>
    </w:pPr>
    <w:rPr>
      <w:b/>
    </w:rPr>
  </w:style>
  <w:style w:type="paragraph" w:styleId="2">
    <w:name w:val="heading 2"/>
    <w:basedOn w:val="1"/>
    <w:next w:val="a"/>
    <w:link w:val="20"/>
    <w:uiPriority w:val="9"/>
    <w:unhideWhenUsed/>
    <w:qFormat/>
    <w:rsid w:val="00E718CE"/>
    <w:pPr>
      <w:outlineLvl w:val="1"/>
    </w:pPr>
  </w:style>
  <w:style w:type="paragraph" w:styleId="3">
    <w:name w:val="heading 3"/>
    <w:basedOn w:val="a"/>
    <w:next w:val="a"/>
    <w:link w:val="30"/>
    <w:uiPriority w:val="9"/>
    <w:semiHidden/>
    <w:unhideWhenUsed/>
    <w:qFormat/>
    <w:rsid w:val="00383369"/>
    <w:pPr>
      <w:keepNext/>
      <w:keepLines/>
      <w:spacing w:before="40" w:after="0"/>
      <w:outlineLvl w:val="2"/>
    </w:pPr>
    <w:rPr>
      <w:rFonts w:asciiTheme="majorHAnsi" w:eastAsiaTheme="majorEastAsia" w:hAnsiTheme="majorHAnsi" w:cstheme="majorBidi"/>
      <w:color w:val="1F3763" w:themeColor="accent1" w:themeShade="7F"/>
      <w:sz w:val="24"/>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718CE"/>
    <w:rPr>
      <w:rFonts w:ascii="Times New Roman" w:hAnsi="Times New Roman"/>
      <w:b/>
      <w:noProof/>
      <w:color w:val="000000" w:themeColor="text1"/>
    </w:rPr>
  </w:style>
  <w:style w:type="character" w:customStyle="1" w:styleId="20">
    <w:name w:val="Заглавие 2 Знак"/>
    <w:basedOn w:val="a0"/>
    <w:link w:val="2"/>
    <w:uiPriority w:val="9"/>
    <w:rsid w:val="00E718CE"/>
    <w:rPr>
      <w:rFonts w:ascii="Times New Roman" w:hAnsi="Times New Roman"/>
      <w:b/>
      <w:noProof/>
      <w:color w:val="000000" w:themeColor="text1"/>
    </w:rPr>
  </w:style>
  <w:style w:type="paragraph" w:styleId="a3">
    <w:name w:val="Title"/>
    <w:basedOn w:val="a"/>
    <w:next w:val="a"/>
    <w:link w:val="a4"/>
    <w:uiPriority w:val="10"/>
    <w:qFormat/>
    <w:rsid w:val="00E718CE"/>
    <w:pPr>
      <w:spacing w:after="0"/>
      <w:contextualSpacing/>
      <w:jc w:val="center"/>
    </w:pPr>
    <w:rPr>
      <w:rFonts w:eastAsiaTheme="majorEastAsia" w:cstheme="majorBidi"/>
      <w:b/>
      <w:spacing w:val="-10"/>
      <w:kern w:val="28"/>
      <w:sz w:val="36"/>
      <w:szCs w:val="50"/>
    </w:rPr>
  </w:style>
  <w:style w:type="character" w:customStyle="1" w:styleId="a4">
    <w:name w:val="Заглавие Знак"/>
    <w:basedOn w:val="a0"/>
    <w:link w:val="a3"/>
    <w:uiPriority w:val="10"/>
    <w:rsid w:val="00E718CE"/>
    <w:rPr>
      <w:rFonts w:ascii="Times New Roman" w:eastAsiaTheme="majorEastAsia" w:hAnsi="Times New Roman" w:cstheme="majorBidi"/>
      <w:b/>
      <w:noProof/>
      <w:color w:val="000000" w:themeColor="text1"/>
      <w:spacing w:val="-10"/>
      <w:kern w:val="28"/>
      <w:sz w:val="36"/>
      <w:szCs w:val="50"/>
    </w:rPr>
  </w:style>
  <w:style w:type="paragraph" w:styleId="a5">
    <w:name w:val="header"/>
    <w:basedOn w:val="a"/>
    <w:link w:val="a6"/>
    <w:uiPriority w:val="99"/>
    <w:unhideWhenUsed/>
    <w:rsid w:val="000953A3"/>
    <w:pPr>
      <w:tabs>
        <w:tab w:val="center" w:pos="4513"/>
        <w:tab w:val="right" w:pos="9026"/>
      </w:tabs>
      <w:spacing w:after="0" w:line="240" w:lineRule="auto"/>
    </w:pPr>
  </w:style>
  <w:style w:type="character" w:customStyle="1" w:styleId="a6">
    <w:name w:val="Горен колонтитул Знак"/>
    <w:basedOn w:val="a0"/>
    <w:link w:val="a5"/>
    <w:uiPriority w:val="99"/>
    <w:rsid w:val="000953A3"/>
    <w:rPr>
      <w:rFonts w:ascii="Times New Roman" w:hAnsi="Times New Roman"/>
      <w:noProof/>
      <w:color w:val="000000" w:themeColor="text1"/>
    </w:rPr>
  </w:style>
  <w:style w:type="paragraph" w:styleId="a7">
    <w:name w:val="footer"/>
    <w:basedOn w:val="a"/>
    <w:link w:val="a8"/>
    <w:uiPriority w:val="99"/>
    <w:unhideWhenUsed/>
    <w:rsid w:val="000953A3"/>
    <w:pPr>
      <w:tabs>
        <w:tab w:val="center" w:pos="4513"/>
        <w:tab w:val="right" w:pos="9026"/>
      </w:tabs>
      <w:spacing w:after="0" w:line="240" w:lineRule="auto"/>
    </w:pPr>
  </w:style>
  <w:style w:type="character" w:customStyle="1" w:styleId="a8">
    <w:name w:val="Долен колонтитул Знак"/>
    <w:basedOn w:val="a0"/>
    <w:link w:val="a7"/>
    <w:uiPriority w:val="99"/>
    <w:rsid w:val="000953A3"/>
    <w:rPr>
      <w:rFonts w:ascii="Times New Roman" w:hAnsi="Times New Roman"/>
      <w:noProof/>
      <w:color w:val="000000" w:themeColor="text1"/>
    </w:rPr>
  </w:style>
  <w:style w:type="character" w:styleId="a9">
    <w:name w:val="Hyperlink"/>
    <w:basedOn w:val="a0"/>
    <w:uiPriority w:val="99"/>
    <w:unhideWhenUsed/>
    <w:rsid w:val="008E7FAA"/>
    <w:rPr>
      <w:color w:val="0563C1" w:themeColor="hyperlink"/>
      <w:u w:val="single"/>
    </w:rPr>
  </w:style>
  <w:style w:type="character" w:customStyle="1" w:styleId="11">
    <w:name w:val="Неразрешено споменаване1"/>
    <w:basedOn w:val="a0"/>
    <w:uiPriority w:val="99"/>
    <w:semiHidden/>
    <w:unhideWhenUsed/>
    <w:rsid w:val="008E7FAA"/>
    <w:rPr>
      <w:color w:val="605E5C"/>
      <w:shd w:val="clear" w:color="auto" w:fill="E1DFDD"/>
    </w:rPr>
  </w:style>
  <w:style w:type="character" w:customStyle="1" w:styleId="30">
    <w:name w:val="Заглавие 3 Знак"/>
    <w:basedOn w:val="a0"/>
    <w:link w:val="3"/>
    <w:uiPriority w:val="9"/>
    <w:semiHidden/>
    <w:rsid w:val="00383369"/>
    <w:rPr>
      <w:rFonts w:asciiTheme="majorHAnsi" w:eastAsiaTheme="majorEastAsia" w:hAnsiTheme="majorHAnsi" w:cstheme="majorBidi"/>
      <w:noProof/>
      <w:color w:val="1F3763" w:themeColor="accent1" w:themeShade="7F"/>
      <w:sz w:val="24"/>
      <w:szCs w:val="21"/>
    </w:rPr>
  </w:style>
  <w:style w:type="paragraph" w:styleId="aa">
    <w:name w:val="TOC Heading"/>
    <w:basedOn w:val="1"/>
    <w:next w:val="a"/>
    <w:uiPriority w:val="39"/>
    <w:unhideWhenUsed/>
    <w:qFormat/>
    <w:rsid w:val="005B1990"/>
    <w:pPr>
      <w:keepNext/>
      <w:keepLines/>
      <w:spacing w:before="240" w:after="0" w:line="259" w:lineRule="auto"/>
      <w:jc w:val="left"/>
      <w:outlineLvl w:val="9"/>
    </w:pPr>
    <w:rPr>
      <w:rFonts w:asciiTheme="majorHAnsi" w:eastAsiaTheme="majorEastAsia" w:hAnsiTheme="majorHAnsi" w:cstheme="majorBidi"/>
      <w:b w:val="0"/>
      <w:noProof w:val="0"/>
      <w:color w:val="2F5496" w:themeColor="accent1" w:themeShade="BF"/>
      <w:sz w:val="32"/>
      <w:szCs w:val="32"/>
      <w:lang w:val="en-US" w:bidi="ar-SA"/>
    </w:rPr>
  </w:style>
  <w:style w:type="paragraph" w:styleId="12">
    <w:name w:val="toc 1"/>
    <w:basedOn w:val="a"/>
    <w:next w:val="a"/>
    <w:autoRedefine/>
    <w:uiPriority w:val="39"/>
    <w:unhideWhenUsed/>
    <w:rsid w:val="005B1990"/>
    <w:pPr>
      <w:spacing w:after="100"/>
    </w:pPr>
  </w:style>
  <w:style w:type="paragraph" w:styleId="21">
    <w:name w:val="toc 2"/>
    <w:basedOn w:val="a"/>
    <w:next w:val="a"/>
    <w:autoRedefine/>
    <w:uiPriority w:val="39"/>
    <w:unhideWhenUsed/>
    <w:rsid w:val="005B1990"/>
    <w:pPr>
      <w:spacing w:after="100"/>
      <w:ind w:left="220"/>
    </w:pPr>
  </w:style>
  <w:style w:type="paragraph" w:styleId="ab">
    <w:name w:val="Balloon Text"/>
    <w:basedOn w:val="a"/>
    <w:link w:val="ac"/>
    <w:uiPriority w:val="99"/>
    <w:semiHidden/>
    <w:unhideWhenUsed/>
    <w:rsid w:val="00D146A3"/>
    <w:pPr>
      <w:spacing w:after="0" w:line="240" w:lineRule="auto"/>
    </w:pPr>
    <w:rPr>
      <w:rFonts w:ascii="Tahoma" w:hAnsi="Tahoma" w:cs="Mangal"/>
      <w:sz w:val="16"/>
      <w:szCs w:val="14"/>
    </w:rPr>
  </w:style>
  <w:style w:type="character" w:customStyle="1" w:styleId="ac">
    <w:name w:val="Изнесен текст Знак"/>
    <w:basedOn w:val="a0"/>
    <w:link w:val="ab"/>
    <w:uiPriority w:val="99"/>
    <w:semiHidden/>
    <w:rsid w:val="00D146A3"/>
    <w:rPr>
      <w:rFonts w:ascii="Tahoma" w:hAnsi="Tahoma" w:cs="Mangal"/>
      <w:noProof/>
      <w:color w:val="000000" w:themeColor="text1"/>
      <w:sz w:val="16"/>
      <w:szCs w:val="1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286227">
      <w:bodyDiv w:val="1"/>
      <w:marLeft w:val="0"/>
      <w:marRight w:val="0"/>
      <w:marTop w:val="0"/>
      <w:marBottom w:val="0"/>
      <w:divBdr>
        <w:top w:val="none" w:sz="0" w:space="0" w:color="auto"/>
        <w:left w:val="none" w:sz="0" w:space="0" w:color="auto"/>
        <w:bottom w:val="none" w:sz="0" w:space="0" w:color="auto"/>
        <w:right w:val="none" w:sz="0" w:space="0" w:color="auto"/>
      </w:divBdr>
      <w:divsChild>
        <w:div w:id="1264804415">
          <w:marLeft w:val="0"/>
          <w:marRight w:val="0"/>
          <w:marTop w:val="0"/>
          <w:marBottom w:val="600"/>
          <w:divBdr>
            <w:top w:val="none" w:sz="0" w:space="15" w:color="auto"/>
            <w:left w:val="none" w:sz="0" w:space="0" w:color="auto"/>
            <w:bottom w:val="single" w:sz="6" w:space="31" w:color="BFBFBF"/>
            <w:right w:val="none" w:sz="0" w:space="0" w:color="auto"/>
          </w:divBdr>
          <w:divsChild>
            <w:div w:id="239172465">
              <w:marLeft w:val="-225"/>
              <w:marRight w:val="-225"/>
              <w:marTop w:val="0"/>
              <w:marBottom w:val="0"/>
              <w:divBdr>
                <w:top w:val="none" w:sz="0" w:space="0" w:color="auto"/>
                <w:left w:val="none" w:sz="0" w:space="0" w:color="auto"/>
                <w:bottom w:val="none" w:sz="0" w:space="0" w:color="auto"/>
                <w:right w:val="none" w:sz="0" w:space="0" w:color="auto"/>
              </w:divBdr>
              <w:divsChild>
                <w:div w:id="1775663329">
                  <w:marLeft w:val="1326"/>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25716">
      <w:bodyDiv w:val="1"/>
      <w:marLeft w:val="0"/>
      <w:marRight w:val="0"/>
      <w:marTop w:val="0"/>
      <w:marBottom w:val="0"/>
      <w:divBdr>
        <w:top w:val="none" w:sz="0" w:space="0" w:color="auto"/>
        <w:left w:val="none" w:sz="0" w:space="0" w:color="auto"/>
        <w:bottom w:val="none" w:sz="0" w:space="0" w:color="auto"/>
        <w:right w:val="none" w:sz="0" w:space="0" w:color="auto"/>
      </w:divBdr>
    </w:div>
    <w:div w:id="180558706">
      <w:bodyDiv w:val="1"/>
      <w:marLeft w:val="0"/>
      <w:marRight w:val="0"/>
      <w:marTop w:val="0"/>
      <w:marBottom w:val="0"/>
      <w:divBdr>
        <w:top w:val="none" w:sz="0" w:space="0" w:color="auto"/>
        <w:left w:val="none" w:sz="0" w:space="0" w:color="auto"/>
        <w:bottom w:val="none" w:sz="0" w:space="0" w:color="auto"/>
        <w:right w:val="none" w:sz="0" w:space="0" w:color="auto"/>
      </w:divBdr>
    </w:div>
    <w:div w:id="459691381">
      <w:bodyDiv w:val="1"/>
      <w:marLeft w:val="0"/>
      <w:marRight w:val="0"/>
      <w:marTop w:val="0"/>
      <w:marBottom w:val="0"/>
      <w:divBdr>
        <w:top w:val="none" w:sz="0" w:space="0" w:color="auto"/>
        <w:left w:val="none" w:sz="0" w:space="0" w:color="auto"/>
        <w:bottom w:val="none" w:sz="0" w:space="0" w:color="auto"/>
        <w:right w:val="none" w:sz="0" w:space="0" w:color="auto"/>
      </w:divBdr>
    </w:div>
    <w:div w:id="564492040">
      <w:bodyDiv w:val="1"/>
      <w:marLeft w:val="0"/>
      <w:marRight w:val="0"/>
      <w:marTop w:val="0"/>
      <w:marBottom w:val="0"/>
      <w:divBdr>
        <w:top w:val="none" w:sz="0" w:space="0" w:color="auto"/>
        <w:left w:val="none" w:sz="0" w:space="0" w:color="auto"/>
        <w:bottom w:val="none" w:sz="0" w:space="0" w:color="auto"/>
        <w:right w:val="none" w:sz="0" w:space="0" w:color="auto"/>
      </w:divBdr>
    </w:div>
    <w:div w:id="717899599">
      <w:bodyDiv w:val="1"/>
      <w:marLeft w:val="0"/>
      <w:marRight w:val="0"/>
      <w:marTop w:val="0"/>
      <w:marBottom w:val="0"/>
      <w:divBdr>
        <w:top w:val="none" w:sz="0" w:space="0" w:color="auto"/>
        <w:left w:val="none" w:sz="0" w:space="0" w:color="auto"/>
        <w:bottom w:val="none" w:sz="0" w:space="0" w:color="auto"/>
        <w:right w:val="none" w:sz="0" w:space="0" w:color="auto"/>
      </w:divBdr>
    </w:div>
    <w:div w:id="1224217230">
      <w:bodyDiv w:val="1"/>
      <w:marLeft w:val="0"/>
      <w:marRight w:val="0"/>
      <w:marTop w:val="0"/>
      <w:marBottom w:val="0"/>
      <w:divBdr>
        <w:top w:val="none" w:sz="0" w:space="0" w:color="auto"/>
        <w:left w:val="none" w:sz="0" w:space="0" w:color="auto"/>
        <w:bottom w:val="none" w:sz="0" w:space="0" w:color="auto"/>
        <w:right w:val="none" w:sz="0" w:space="0" w:color="auto"/>
      </w:divBdr>
      <w:divsChild>
        <w:div w:id="950353439">
          <w:marLeft w:val="2950"/>
          <w:marRight w:val="0"/>
          <w:marTop w:val="0"/>
          <w:marBottom w:val="0"/>
          <w:divBdr>
            <w:top w:val="none" w:sz="0" w:space="0" w:color="auto"/>
            <w:left w:val="none" w:sz="0" w:space="0" w:color="auto"/>
            <w:bottom w:val="none" w:sz="0" w:space="0" w:color="auto"/>
            <w:right w:val="none" w:sz="0" w:space="0" w:color="auto"/>
          </w:divBdr>
        </w:div>
      </w:divsChild>
    </w:div>
    <w:div w:id="1315719748">
      <w:bodyDiv w:val="1"/>
      <w:marLeft w:val="0"/>
      <w:marRight w:val="0"/>
      <w:marTop w:val="0"/>
      <w:marBottom w:val="0"/>
      <w:divBdr>
        <w:top w:val="none" w:sz="0" w:space="0" w:color="auto"/>
        <w:left w:val="none" w:sz="0" w:space="0" w:color="auto"/>
        <w:bottom w:val="none" w:sz="0" w:space="0" w:color="auto"/>
        <w:right w:val="none" w:sz="0" w:space="0" w:color="auto"/>
      </w:divBdr>
      <w:divsChild>
        <w:div w:id="29033069">
          <w:marLeft w:val="0"/>
          <w:marRight w:val="0"/>
          <w:marTop w:val="0"/>
          <w:marBottom w:val="0"/>
          <w:divBdr>
            <w:top w:val="none" w:sz="0" w:space="0" w:color="auto"/>
            <w:left w:val="none" w:sz="0" w:space="0" w:color="auto"/>
            <w:bottom w:val="none" w:sz="0" w:space="0" w:color="auto"/>
            <w:right w:val="none" w:sz="0" w:space="0" w:color="auto"/>
          </w:divBdr>
          <w:divsChild>
            <w:div w:id="742485316">
              <w:marLeft w:val="0"/>
              <w:marRight w:val="0"/>
              <w:marTop w:val="0"/>
              <w:marBottom w:val="450"/>
              <w:divBdr>
                <w:top w:val="none" w:sz="0" w:space="0" w:color="auto"/>
                <w:left w:val="none" w:sz="0" w:space="0" w:color="auto"/>
                <w:bottom w:val="none" w:sz="0" w:space="0" w:color="auto"/>
                <w:right w:val="none" w:sz="0" w:space="0" w:color="auto"/>
              </w:divBdr>
              <w:divsChild>
                <w:div w:id="193319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030365">
      <w:bodyDiv w:val="1"/>
      <w:marLeft w:val="0"/>
      <w:marRight w:val="0"/>
      <w:marTop w:val="0"/>
      <w:marBottom w:val="0"/>
      <w:divBdr>
        <w:top w:val="none" w:sz="0" w:space="0" w:color="auto"/>
        <w:left w:val="none" w:sz="0" w:space="0" w:color="auto"/>
        <w:bottom w:val="none" w:sz="0" w:space="0" w:color="auto"/>
        <w:right w:val="none" w:sz="0" w:space="0" w:color="auto"/>
      </w:divBdr>
    </w:div>
    <w:div w:id="1826163963">
      <w:bodyDiv w:val="1"/>
      <w:marLeft w:val="0"/>
      <w:marRight w:val="0"/>
      <w:marTop w:val="0"/>
      <w:marBottom w:val="0"/>
      <w:divBdr>
        <w:top w:val="none" w:sz="0" w:space="0" w:color="auto"/>
        <w:left w:val="none" w:sz="0" w:space="0" w:color="auto"/>
        <w:bottom w:val="none" w:sz="0" w:space="0" w:color="auto"/>
        <w:right w:val="none" w:sz="0" w:space="0" w:color="auto"/>
      </w:divBdr>
    </w:div>
    <w:div w:id="1993025755">
      <w:bodyDiv w:val="1"/>
      <w:marLeft w:val="0"/>
      <w:marRight w:val="0"/>
      <w:marTop w:val="0"/>
      <w:marBottom w:val="0"/>
      <w:divBdr>
        <w:top w:val="none" w:sz="0" w:space="0" w:color="auto"/>
        <w:left w:val="none" w:sz="0" w:space="0" w:color="auto"/>
        <w:bottom w:val="none" w:sz="0" w:space="0" w:color="auto"/>
        <w:right w:val="none" w:sz="0" w:space="0" w:color="auto"/>
      </w:divBdr>
    </w:div>
    <w:div w:id="1999767192">
      <w:bodyDiv w:val="1"/>
      <w:marLeft w:val="0"/>
      <w:marRight w:val="0"/>
      <w:marTop w:val="0"/>
      <w:marBottom w:val="0"/>
      <w:divBdr>
        <w:top w:val="none" w:sz="0" w:space="0" w:color="auto"/>
        <w:left w:val="none" w:sz="0" w:space="0" w:color="auto"/>
        <w:bottom w:val="none" w:sz="0" w:space="0" w:color="auto"/>
        <w:right w:val="none" w:sz="0" w:space="0" w:color="auto"/>
      </w:divBdr>
      <w:divsChild>
        <w:div w:id="1723796238">
          <w:marLeft w:val="0"/>
          <w:marRight w:val="0"/>
          <w:marTop w:val="0"/>
          <w:marBottom w:val="600"/>
          <w:divBdr>
            <w:top w:val="none" w:sz="0" w:space="15" w:color="auto"/>
            <w:left w:val="none" w:sz="0" w:space="0" w:color="auto"/>
            <w:bottom w:val="single" w:sz="6" w:space="31" w:color="BFBFBF"/>
            <w:right w:val="none" w:sz="0" w:space="0" w:color="auto"/>
          </w:divBdr>
          <w:divsChild>
            <w:div w:id="1768498878">
              <w:marLeft w:val="-225"/>
              <w:marRight w:val="-225"/>
              <w:marTop w:val="0"/>
              <w:marBottom w:val="0"/>
              <w:divBdr>
                <w:top w:val="none" w:sz="0" w:space="0" w:color="auto"/>
                <w:left w:val="none" w:sz="0" w:space="0" w:color="auto"/>
                <w:bottom w:val="none" w:sz="0" w:space="0" w:color="auto"/>
                <w:right w:val="none" w:sz="0" w:space="0" w:color="auto"/>
              </w:divBdr>
              <w:divsChild>
                <w:div w:id="419303044">
                  <w:marLeft w:val="1326"/>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777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CEC2D-6706-4D8D-9ED2-C1322937A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2887</Words>
  <Characters>16457</Characters>
  <Application>Microsoft Office Word</Application>
  <DocSecurity>0</DocSecurity>
  <Lines>137</Lines>
  <Paragraphs>38</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Svetlomira Nedyalkova (2010796)</cp:lastModifiedBy>
  <cp:revision>2</cp:revision>
  <dcterms:created xsi:type="dcterms:W3CDTF">2022-04-30T23:51:00Z</dcterms:created>
  <dcterms:modified xsi:type="dcterms:W3CDTF">2022-05-02T16:49:00Z</dcterms:modified>
</cp:coreProperties>
</file>