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19728" w14:textId="2F591496" w:rsidR="00F741FB" w:rsidRDefault="00F741FB">
      <w:pPr>
        <w:jc w:val="center"/>
        <w:rPr>
          <w:rFonts w:ascii="Times New Roman" w:hAnsi="Times New Roman" w:cs="Times New Roman"/>
          <w:b/>
          <w:sz w:val="56"/>
          <w:szCs w:val="56"/>
        </w:rPr>
      </w:pPr>
      <w:r w:rsidRPr="00F741FB">
        <w:rPr>
          <w:rFonts w:ascii="Times New Roman" w:hAnsi="Times New Roman" w:cs="Times New Roman"/>
          <w:b/>
          <w:sz w:val="56"/>
          <w:szCs w:val="56"/>
        </w:rPr>
        <w:t>MANAGING PEOPLE</w:t>
      </w:r>
    </w:p>
    <w:p w14:paraId="07778AD9" w14:textId="26C3F3A5" w:rsidR="00F741FB" w:rsidRDefault="00F741FB">
      <w:pPr>
        <w:jc w:val="center"/>
        <w:rPr>
          <w:rFonts w:ascii="Times New Roman" w:hAnsi="Times New Roman" w:cs="Times New Roman"/>
          <w:b/>
          <w:sz w:val="56"/>
          <w:szCs w:val="56"/>
        </w:rPr>
      </w:pPr>
    </w:p>
    <w:p w14:paraId="4666D59C" w14:textId="721DA540" w:rsidR="00CE5ADE" w:rsidRDefault="00CE5ADE">
      <w:pPr>
        <w:jc w:val="center"/>
        <w:rPr>
          <w:rFonts w:ascii="Times New Roman" w:hAnsi="Times New Roman" w:cs="Times New Roman"/>
          <w:b/>
          <w:sz w:val="56"/>
          <w:szCs w:val="56"/>
        </w:rPr>
      </w:pPr>
    </w:p>
    <w:p w14:paraId="76597172" w14:textId="77777777" w:rsidR="00CE5ADE" w:rsidRDefault="00CE5ADE">
      <w:pPr>
        <w:jc w:val="center"/>
        <w:rPr>
          <w:rFonts w:ascii="Times New Roman" w:hAnsi="Times New Roman" w:cs="Times New Roman"/>
          <w:b/>
          <w:sz w:val="56"/>
          <w:szCs w:val="56"/>
        </w:rPr>
      </w:pPr>
    </w:p>
    <w:p w14:paraId="38400C40" w14:textId="77777777" w:rsidR="00F741FB" w:rsidRDefault="00F741FB">
      <w:pPr>
        <w:jc w:val="center"/>
        <w:rPr>
          <w:rFonts w:ascii="Times New Roman" w:hAnsi="Times New Roman" w:cs="Times New Roman"/>
          <w:b/>
          <w:sz w:val="56"/>
          <w:szCs w:val="56"/>
        </w:rPr>
      </w:pPr>
      <w:r>
        <w:rPr>
          <w:rFonts w:ascii="Times New Roman" w:hAnsi="Times New Roman" w:cs="Times New Roman"/>
          <w:b/>
          <w:sz w:val="56"/>
          <w:szCs w:val="56"/>
        </w:rPr>
        <w:t>ASSESSMENT 2</w:t>
      </w:r>
    </w:p>
    <w:p w14:paraId="2C3A1304" w14:textId="77777777" w:rsidR="00F741FB" w:rsidRDefault="00F741FB">
      <w:pPr>
        <w:jc w:val="center"/>
        <w:rPr>
          <w:rFonts w:ascii="Times New Roman" w:hAnsi="Times New Roman" w:cs="Times New Roman"/>
          <w:b/>
          <w:sz w:val="56"/>
          <w:szCs w:val="56"/>
        </w:rPr>
      </w:pPr>
    </w:p>
    <w:p w14:paraId="305CF295" w14:textId="77777777" w:rsidR="00F741FB" w:rsidRDefault="00F741FB">
      <w:pPr>
        <w:jc w:val="center"/>
        <w:rPr>
          <w:rFonts w:ascii="Times New Roman" w:hAnsi="Times New Roman" w:cs="Times New Roman"/>
          <w:b/>
          <w:sz w:val="56"/>
          <w:szCs w:val="56"/>
        </w:rPr>
      </w:pPr>
    </w:p>
    <w:p w14:paraId="50EA4934" w14:textId="77777777" w:rsidR="00F741FB" w:rsidRDefault="00F741FB">
      <w:pPr>
        <w:jc w:val="center"/>
        <w:rPr>
          <w:rFonts w:ascii="Times New Roman" w:hAnsi="Times New Roman" w:cs="Times New Roman"/>
          <w:b/>
          <w:sz w:val="56"/>
          <w:szCs w:val="56"/>
        </w:rPr>
      </w:pPr>
    </w:p>
    <w:p w14:paraId="782C445D" w14:textId="77777777" w:rsidR="00F741FB" w:rsidRDefault="00F741FB" w:rsidP="00F741FB">
      <w:pPr>
        <w:rPr>
          <w:rFonts w:ascii="Times New Roman" w:hAnsi="Times New Roman" w:cs="Times New Roman"/>
          <w:b/>
          <w:sz w:val="56"/>
          <w:szCs w:val="56"/>
        </w:rPr>
      </w:pPr>
    </w:p>
    <w:p w14:paraId="3529582A" w14:textId="7A24BD58" w:rsidR="00F741FB" w:rsidRDefault="00F741FB" w:rsidP="00F741FB">
      <w:pPr>
        <w:rPr>
          <w:rFonts w:ascii="Times New Roman" w:hAnsi="Times New Roman" w:cs="Times New Roman"/>
          <w:b/>
          <w:sz w:val="56"/>
          <w:szCs w:val="56"/>
        </w:rPr>
      </w:pPr>
    </w:p>
    <w:p w14:paraId="6E80C7EF" w14:textId="5D831C7A" w:rsidR="00F741FB" w:rsidRDefault="00F741FB" w:rsidP="00F741FB">
      <w:pPr>
        <w:rPr>
          <w:rFonts w:ascii="Times New Roman" w:hAnsi="Times New Roman" w:cs="Times New Roman"/>
          <w:b/>
          <w:sz w:val="56"/>
          <w:szCs w:val="56"/>
        </w:rPr>
      </w:pPr>
    </w:p>
    <w:p w14:paraId="09E84984" w14:textId="77777777" w:rsidR="00F741FB" w:rsidRDefault="00F741FB" w:rsidP="00F741FB">
      <w:pPr>
        <w:rPr>
          <w:rFonts w:ascii="Times New Roman" w:hAnsi="Times New Roman" w:cs="Times New Roman"/>
          <w:b/>
          <w:sz w:val="56"/>
          <w:szCs w:val="56"/>
        </w:rPr>
      </w:pPr>
    </w:p>
    <w:p w14:paraId="300BA6A2" w14:textId="45BCD31F" w:rsidR="00F741FB" w:rsidRDefault="00F741FB" w:rsidP="00F741FB">
      <w:pPr>
        <w:rPr>
          <w:rFonts w:ascii="Times New Roman" w:hAnsi="Times New Roman" w:cs="Times New Roman"/>
          <w:b/>
          <w:sz w:val="56"/>
          <w:szCs w:val="56"/>
        </w:rPr>
      </w:pPr>
    </w:p>
    <w:p w14:paraId="36A2EE1C" w14:textId="77777777" w:rsidR="00F741FB" w:rsidRPr="00F741FB" w:rsidRDefault="00F741FB" w:rsidP="00F741FB">
      <w:pPr>
        <w:rPr>
          <w:rFonts w:ascii="Times New Roman" w:hAnsi="Times New Roman" w:cs="Times New Roman"/>
          <w:b/>
          <w:sz w:val="40"/>
          <w:szCs w:val="40"/>
        </w:rPr>
      </w:pPr>
      <w:r w:rsidRPr="00F741FB">
        <w:rPr>
          <w:rFonts w:ascii="Times New Roman" w:hAnsi="Times New Roman" w:cs="Times New Roman"/>
          <w:b/>
          <w:sz w:val="40"/>
          <w:szCs w:val="40"/>
        </w:rPr>
        <w:t>STUDENT NAME: MIHAELA MUSAT</w:t>
      </w:r>
    </w:p>
    <w:p w14:paraId="72F2F03F" w14:textId="77777777" w:rsidR="00F741FB" w:rsidRPr="00F741FB" w:rsidRDefault="00F741FB" w:rsidP="00F741FB">
      <w:pPr>
        <w:rPr>
          <w:rFonts w:ascii="Times New Roman" w:hAnsi="Times New Roman" w:cs="Times New Roman"/>
          <w:b/>
          <w:sz w:val="40"/>
          <w:szCs w:val="40"/>
        </w:rPr>
      </w:pPr>
      <w:r w:rsidRPr="00F741FB">
        <w:rPr>
          <w:rFonts w:ascii="Times New Roman" w:hAnsi="Times New Roman" w:cs="Times New Roman"/>
          <w:b/>
          <w:sz w:val="40"/>
          <w:szCs w:val="40"/>
        </w:rPr>
        <w:t>STUDENT ID: 1915928</w:t>
      </w:r>
    </w:p>
    <w:p w14:paraId="618D3105" w14:textId="77777777" w:rsidR="00F741FB" w:rsidRDefault="00F741FB" w:rsidP="00F741FB">
      <w:pPr>
        <w:rPr>
          <w:rFonts w:ascii="Times New Roman" w:hAnsi="Times New Roman" w:cs="Times New Roman"/>
          <w:b/>
          <w:sz w:val="40"/>
          <w:szCs w:val="40"/>
        </w:rPr>
      </w:pPr>
      <w:r w:rsidRPr="00F741FB">
        <w:rPr>
          <w:rFonts w:ascii="Times New Roman" w:hAnsi="Times New Roman" w:cs="Times New Roman"/>
          <w:b/>
          <w:sz w:val="40"/>
          <w:szCs w:val="40"/>
        </w:rPr>
        <w:t>NAME OF THE LECTURER: OLUSOYI ASHAYE</w:t>
      </w:r>
    </w:p>
    <w:p w14:paraId="1175A7D9" w14:textId="60622384" w:rsidR="005610CC" w:rsidRPr="00F741FB" w:rsidRDefault="00F741FB" w:rsidP="00F741FB">
      <w:pPr>
        <w:rPr>
          <w:rFonts w:ascii="Times New Roman" w:hAnsi="Times New Roman" w:cs="Times New Roman"/>
          <w:b/>
          <w:sz w:val="56"/>
          <w:szCs w:val="56"/>
        </w:rPr>
      </w:pPr>
      <w:r>
        <w:rPr>
          <w:rFonts w:ascii="Times New Roman" w:hAnsi="Times New Roman" w:cs="Times New Roman"/>
          <w:b/>
          <w:sz w:val="40"/>
          <w:szCs w:val="40"/>
        </w:rPr>
        <w:t>NAME</w:t>
      </w:r>
      <w:r w:rsidR="00CE5ADE">
        <w:rPr>
          <w:rFonts w:ascii="Times New Roman" w:hAnsi="Times New Roman" w:cs="Times New Roman"/>
          <w:b/>
          <w:sz w:val="40"/>
          <w:szCs w:val="40"/>
        </w:rPr>
        <w:t xml:space="preserve"> </w:t>
      </w:r>
      <w:r>
        <w:rPr>
          <w:rFonts w:ascii="Times New Roman" w:hAnsi="Times New Roman" w:cs="Times New Roman"/>
          <w:b/>
          <w:sz w:val="40"/>
          <w:szCs w:val="40"/>
        </w:rPr>
        <w:t>OF THE UNIVERSITY: UNIVERSITY OF WALES TRINITY SAINT DAVID</w:t>
      </w:r>
      <w:r w:rsidR="0045421B" w:rsidRPr="00F741FB">
        <w:rPr>
          <w:rFonts w:ascii="Times New Roman" w:hAnsi="Times New Roman" w:cs="Times New Roman"/>
          <w:sz w:val="56"/>
          <w:szCs w:val="56"/>
        </w:rPr>
        <w:br w:type="page"/>
      </w:r>
    </w:p>
    <w:sdt>
      <w:sdtPr>
        <w:rPr>
          <w:rFonts w:ascii="Arial" w:eastAsia="Arial" w:hAnsi="Arial" w:cs="Arial"/>
          <w:b w:val="0"/>
          <w:bCs w:val="0"/>
          <w:color w:val="auto"/>
          <w:sz w:val="22"/>
          <w:szCs w:val="22"/>
        </w:rPr>
        <w:id w:val="23155157"/>
        <w:docPartObj>
          <w:docPartGallery w:val="Table of Contents"/>
          <w:docPartUnique/>
        </w:docPartObj>
      </w:sdtPr>
      <w:sdtEndPr/>
      <w:sdtContent>
        <w:p w14:paraId="69B4DA8A" w14:textId="77777777" w:rsidR="00B0159F" w:rsidRDefault="00B0159F" w:rsidP="00B0159F">
          <w:pPr>
            <w:pStyle w:val="TOCHeading"/>
            <w:jc w:val="center"/>
          </w:pPr>
          <w:r w:rsidRPr="00B0159F">
            <w:rPr>
              <w:rFonts w:ascii="Arial" w:hAnsi="Arial" w:cs="Arial"/>
              <w:color w:val="000000" w:themeColor="text1"/>
            </w:rPr>
            <w:t>Table of Contents</w:t>
          </w:r>
        </w:p>
        <w:p w14:paraId="5A30CE80" w14:textId="77777777" w:rsidR="00DD4D87" w:rsidRPr="00DD4D87" w:rsidRDefault="00D142CB" w:rsidP="00DD4D87">
          <w:pPr>
            <w:pStyle w:val="TOC1"/>
            <w:tabs>
              <w:tab w:val="right" w:leader="dot" w:pos="9350"/>
            </w:tabs>
            <w:spacing w:line="360" w:lineRule="auto"/>
            <w:jc w:val="both"/>
            <w:rPr>
              <w:rFonts w:asciiTheme="minorHAnsi" w:eastAsiaTheme="minorEastAsia" w:hAnsiTheme="minorHAnsi" w:cstheme="minorBidi"/>
              <w:noProof/>
            </w:rPr>
          </w:pPr>
          <w:r w:rsidRPr="00DD4D87">
            <w:fldChar w:fldCharType="begin"/>
          </w:r>
          <w:r w:rsidR="00B0159F" w:rsidRPr="00DD4D87">
            <w:instrText xml:space="preserve"> TOC \o "1-3" \h \z \u </w:instrText>
          </w:r>
          <w:r w:rsidRPr="00DD4D87">
            <w:fldChar w:fldCharType="separate"/>
          </w:r>
          <w:hyperlink w:anchor="_Toc91086599" w:history="1">
            <w:r w:rsidR="00DD4D87" w:rsidRPr="00DD4D87">
              <w:rPr>
                <w:rStyle w:val="Hyperlink"/>
                <w:noProof/>
              </w:rPr>
              <w:t>Introduction</w:t>
            </w:r>
            <w:r w:rsidR="00DD4D87" w:rsidRPr="00DD4D87">
              <w:rPr>
                <w:noProof/>
                <w:webHidden/>
              </w:rPr>
              <w:tab/>
            </w:r>
            <w:r w:rsidR="00DD4D87" w:rsidRPr="00DD4D87">
              <w:rPr>
                <w:noProof/>
                <w:webHidden/>
              </w:rPr>
              <w:fldChar w:fldCharType="begin"/>
            </w:r>
            <w:r w:rsidR="00DD4D87" w:rsidRPr="00DD4D87">
              <w:rPr>
                <w:noProof/>
                <w:webHidden/>
              </w:rPr>
              <w:instrText xml:space="preserve"> PAGEREF _Toc91086599 \h </w:instrText>
            </w:r>
            <w:r w:rsidR="00DD4D87" w:rsidRPr="00DD4D87">
              <w:rPr>
                <w:noProof/>
                <w:webHidden/>
              </w:rPr>
            </w:r>
            <w:r w:rsidR="00DD4D87" w:rsidRPr="00DD4D87">
              <w:rPr>
                <w:noProof/>
                <w:webHidden/>
              </w:rPr>
              <w:fldChar w:fldCharType="separate"/>
            </w:r>
            <w:r w:rsidR="00DD4D87" w:rsidRPr="00DD4D87">
              <w:rPr>
                <w:noProof/>
                <w:webHidden/>
              </w:rPr>
              <w:t>3</w:t>
            </w:r>
            <w:r w:rsidR="00DD4D87" w:rsidRPr="00DD4D87">
              <w:rPr>
                <w:noProof/>
                <w:webHidden/>
              </w:rPr>
              <w:fldChar w:fldCharType="end"/>
            </w:r>
          </w:hyperlink>
        </w:p>
        <w:p w14:paraId="1D6EF3B2" w14:textId="77777777" w:rsidR="00DD4D87" w:rsidRPr="00DD4D87" w:rsidRDefault="004227CB" w:rsidP="00DD4D87">
          <w:pPr>
            <w:pStyle w:val="TOC1"/>
            <w:tabs>
              <w:tab w:val="right" w:leader="dot" w:pos="9350"/>
            </w:tabs>
            <w:spacing w:line="360" w:lineRule="auto"/>
            <w:jc w:val="both"/>
            <w:rPr>
              <w:rFonts w:asciiTheme="minorHAnsi" w:eastAsiaTheme="minorEastAsia" w:hAnsiTheme="minorHAnsi" w:cstheme="minorBidi"/>
              <w:noProof/>
            </w:rPr>
          </w:pPr>
          <w:hyperlink w:anchor="_Toc91086600" w:history="1">
            <w:r w:rsidR="00DD4D87" w:rsidRPr="00DD4D87">
              <w:rPr>
                <w:rStyle w:val="Hyperlink"/>
                <w:noProof/>
              </w:rPr>
              <w:t>“Reviews the concept and drivers of employee engagement”</w:t>
            </w:r>
            <w:r w:rsidR="00DD4D87" w:rsidRPr="00DD4D87">
              <w:rPr>
                <w:noProof/>
                <w:webHidden/>
              </w:rPr>
              <w:tab/>
            </w:r>
            <w:r w:rsidR="00DD4D87" w:rsidRPr="00DD4D87">
              <w:rPr>
                <w:noProof/>
                <w:webHidden/>
              </w:rPr>
              <w:fldChar w:fldCharType="begin"/>
            </w:r>
            <w:r w:rsidR="00DD4D87" w:rsidRPr="00DD4D87">
              <w:rPr>
                <w:noProof/>
                <w:webHidden/>
              </w:rPr>
              <w:instrText xml:space="preserve"> PAGEREF _Toc91086600 \h </w:instrText>
            </w:r>
            <w:r w:rsidR="00DD4D87" w:rsidRPr="00DD4D87">
              <w:rPr>
                <w:noProof/>
                <w:webHidden/>
              </w:rPr>
            </w:r>
            <w:r w:rsidR="00DD4D87" w:rsidRPr="00DD4D87">
              <w:rPr>
                <w:noProof/>
                <w:webHidden/>
              </w:rPr>
              <w:fldChar w:fldCharType="separate"/>
            </w:r>
            <w:r w:rsidR="00DD4D87" w:rsidRPr="00DD4D87">
              <w:rPr>
                <w:noProof/>
                <w:webHidden/>
              </w:rPr>
              <w:t>4</w:t>
            </w:r>
            <w:r w:rsidR="00DD4D87" w:rsidRPr="00DD4D87">
              <w:rPr>
                <w:noProof/>
                <w:webHidden/>
              </w:rPr>
              <w:fldChar w:fldCharType="end"/>
            </w:r>
          </w:hyperlink>
        </w:p>
        <w:p w14:paraId="4487BC6B" w14:textId="77777777" w:rsidR="00DD4D87" w:rsidRPr="00DD4D87" w:rsidRDefault="004227CB" w:rsidP="00DD4D87">
          <w:pPr>
            <w:pStyle w:val="TOC1"/>
            <w:tabs>
              <w:tab w:val="right" w:leader="dot" w:pos="9350"/>
            </w:tabs>
            <w:spacing w:line="360" w:lineRule="auto"/>
            <w:jc w:val="both"/>
            <w:rPr>
              <w:rFonts w:asciiTheme="minorHAnsi" w:eastAsiaTheme="minorEastAsia" w:hAnsiTheme="minorHAnsi" w:cstheme="minorBidi"/>
              <w:noProof/>
            </w:rPr>
          </w:pPr>
          <w:hyperlink w:anchor="_Toc91086601" w:history="1">
            <w:r w:rsidR="00DD4D87" w:rsidRPr="00DD4D87">
              <w:rPr>
                <w:rStyle w:val="Hyperlink"/>
                <w:noProof/>
              </w:rPr>
              <w:t>“Evaluate diagnostic tools to measure the engagement”</w:t>
            </w:r>
            <w:r w:rsidR="00DD4D87" w:rsidRPr="00DD4D87">
              <w:rPr>
                <w:noProof/>
                <w:webHidden/>
              </w:rPr>
              <w:tab/>
            </w:r>
            <w:r w:rsidR="00DD4D87" w:rsidRPr="00DD4D87">
              <w:rPr>
                <w:noProof/>
                <w:webHidden/>
              </w:rPr>
              <w:fldChar w:fldCharType="begin"/>
            </w:r>
            <w:r w:rsidR="00DD4D87" w:rsidRPr="00DD4D87">
              <w:rPr>
                <w:noProof/>
                <w:webHidden/>
              </w:rPr>
              <w:instrText xml:space="preserve"> PAGEREF _Toc91086601 \h </w:instrText>
            </w:r>
            <w:r w:rsidR="00DD4D87" w:rsidRPr="00DD4D87">
              <w:rPr>
                <w:noProof/>
                <w:webHidden/>
              </w:rPr>
            </w:r>
            <w:r w:rsidR="00DD4D87" w:rsidRPr="00DD4D87">
              <w:rPr>
                <w:noProof/>
                <w:webHidden/>
              </w:rPr>
              <w:fldChar w:fldCharType="separate"/>
            </w:r>
            <w:r w:rsidR="00DD4D87" w:rsidRPr="00DD4D87">
              <w:rPr>
                <w:noProof/>
                <w:webHidden/>
              </w:rPr>
              <w:t>6</w:t>
            </w:r>
            <w:r w:rsidR="00DD4D87" w:rsidRPr="00DD4D87">
              <w:rPr>
                <w:noProof/>
                <w:webHidden/>
              </w:rPr>
              <w:fldChar w:fldCharType="end"/>
            </w:r>
          </w:hyperlink>
        </w:p>
        <w:p w14:paraId="26543D06" w14:textId="77777777" w:rsidR="00DD4D87" w:rsidRPr="00DD4D87" w:rsidRDefault="004227CB" w:rsidP="00DD4D87">
          <w:pPr>
            <w:pStyle w:val="TOC1"/>
            <w:tabs>
              <w:tab w:val="right" w:leader="dot" w:pos="9350"/>
            </w:tabs>
            <w:spacing w:line="360" w:lineRule="auto"/>
            <w:jc w:val="both"/>
            <w:rPr>
              <w:rFonts w:asciiTheme="minorHAnsi" w:eastAsiaTheme="minorEastAsia" w:hAnsiTheme="minorHAnsi" w:cstheme="minorBidi"/>
              <w:noProof/>
            </w:rPr>
          </w:pPr>
          <w:hyperlink w:anchor="_Toc91086602" w:history="1">
            <w:r w:rsidR="00DD4D87" w:rsidRPr="00DD4D87">
              <w:rPr>
                <w:rStyle w:val="Hyperlink"/>
                <w:noProof/>
              </w:rPr>
              <w:t>“Constructs an employee value proposition from the ideas and analysis previously covered, including strategies to raise levels of engagement”</w:t>
            </w:r>
            <w:r w:rsidR="00DD4D87" w:rsidRPr="00DD4D87">
              <w:rPr>
                <w:noProof/>
                <w:webHidden/>
              </w:rPr>
              <w:tab/>
            </w:r>
            <w:r w:rsidR="00DD4D87" w:rsidRPr="00DD4D87">
              <w:rPr>
                <w:noProof/>
                <w:webHidden/>
              </w:rPr>
              <w:fldChar w:fldCharType="begin"/>
            </w:r>
            <w:r w:rsidR="00DD4D87" w:rsidRPr="00DD4D87">
              <w:rPr>
                <w:noProof/>
                <w:webHidden/>
              </w:rPr>
              <w:instrText xml:space="preserve"> PAGEREF _Toc91086602 \h </w:instrText>
            </w:r>
            <w:r w:rsidR="00DD4D87" w:rsidRPr="00DD4D87">
              <w:rPr>
                <w:noProof/>
                <w:webHidden/>
              </w:rPr>
            </w:r>
            <w:r w:rsidR="00DD4D87" w:rsidRPr="00DD4D87">
              <w:rPr>
                <w:noProof/>
                <w:webHidden/>
              </w:rPr>
              <w:fldChar w:fldCharType="separate"/>
            </w:r>
            <w:r w:rsidR="00DD4D87" w:rsidRPr="00DD4D87">
              <w:rPr>
                <w:noProof/>
                <w:webHidden/>
              </w:rPr>
              <w:t>8</w:t>
            </w:r>
            <w:r w:rsidR="00DD4D87" w:rsidRPr="00DD4D87">
              <w:rPr>
                <w:noProof/>
                <w:webHidden/>
              </w:rPr>
              <w:fldChar w:fldCharType="end"/>
            </w:r>
          </w:hyperlink>
        </w:p>
        <w:p w14:paraId="08B5D517" w14:textId="77777777" w:rsidR="00DD4D87" w:rsidRPr="00DD4D87" w:rsidRDefault="004227CB" w:rsidP="00DD4D87">
          <w:pPr>
            <w:pStyle w:val="TOC1"/>
            <w:tabs>
              <w:tab w:val="right" w:leader="dot" w:pos="9350"/>
            </w:tabs>
            <w:spacing w:line="360" w:lineRule="auto"/>
            <w:jc w:val="both"/>
            <w:rPr>
              <w:rFonts w:asciiTheme="minorHAnsi" w:eastAsiaTheme="minorEastAsia" w:hAnsiTheme="minorHAnsi" w:cstheme="minorBidi"/>
              <w:noProof/>
            </w:rPr>
          </w:pPr>
          <w:hyperlink w:anchor="_Toc91086603" w:history="1">
            <w:r w:rsidR="00DD4D87" w:rsidRPr="00DD4D87">
              <w:rPr>
                <w:rStyle w:val="Hyperlink"/>
                <w:noProof/>
              </w:rPr>
              <w:t>Conclusion</w:t>
            </w:r>
            <w:r w:rsidR="00DD4D87" w:rsidRPr="00DD4D87">
              <w:rPr>
                <w:noProof/>
                <w:webHidden/>
              </w:rPr>
              <w:tab/>
            </w:r>
            <w:r w:rsidR="00DD4D87" w:rsidRPr="00DD4D87">
              <w:rPr>
                <w:noProof/>
                <w:webHidden/>
              </w:rPr>
              <w:fldChar w:fldCharType="begin"/>
            </w:r>
            <w:r w:rsidR="00DD4D87" w:rsidRPr="00DD4D87">
              <w:rPr>
                <w:noProof/>
                <w:webHidden/>
              </w:rPr>
              <w:instrText xml:space="preserve"> PAGEREF _Toc91086603 \h </w:instrText>
            </w:r>
            <w:r w:rsidR="00DD4D87" w:rsidRPr="00DD4D87">
              <w:rPr>
                <w:noProof/>
                <w:webHidden/>
              </w:rPr>
            </w:r>
            <w:r w:rsidR="00DD4D87" w:rsidRPr="00DD4D87">
              <w:rPr>
                <w:noProof/>
                <w:webHidden/>
              </w:rPr>
              <w:fldChar w:fldCharType="separate"/>
            </w:r>
            <w:r w:rsidR="00DD4D87" w:rsidRPr="00DD4D87">
              <w:rPr>
                <w:noProof/>
                <w:webHidden/>
              </w:rPr>
              <w:t>10</w:t>
            </w:r>
            <w:r w:rsidR="00DD4D87" w:rsidRPr="00DD4D87">
              <w:rPr>
                <w:noProof/>
                <w:webHidden/>
              </w:rPr>
              <w:fldChar w:fldCharType="end"/>
            </w:r>
          </w:hyperlink>
        </w:p>
        <w:p w14:paraId="42BC98E4" w14:textId="77777777" w:rsidR="00DD4D87" w:rsidRPr="00DD4D87" w:rsidRDefault="004227CB" w:rsidP="00DD4D87">
          <w:pPr>
            <w:pStyle w:val="TOC1"/>
            <w:tabs>
              <w:tab w:val="right" w:leader="dot" w:pos="9350"/>
            </w:tabs>
            <w:spacing w:line="360" w:lineRule="auto"/>
            <w:jc w:val="both"/>
            <w:rPr>
              <w:rFonts w:asciiTheme="minorHAnsi" w:eastAsiaTheme="minorEastAsia" w:hAnsiTheme="minorHAnsi" w:cstheme="minorBidi"/>
              <w:noProof/>
            </w:rPr>
          </w:pPr>
          <w:hyperlink w:anchor="_Toc91086604" w:history="1">
            <w:r w:rsidR="00DD4D87" w:rsidRPr="00DD4D87">
              <w:rPr>
                <w:rStyle w:val="Hyperlink"/>
                <w:noProof/>
              </w:rPr>
              <w:t>References</w:t>
            </w:r>
            <w:r w:rsidR="00DD4D87" w:rsidRPr="00DD4D87">
              <w:rPr>
                <w:noProof/>
                <w:webHidden/>
              </w:rPr>
              <w:tab/>
            </w:r>
            <w:r w:rsidR="00DD4D87" w:rsidRPr="00DD4D87">
              <w:rPr>
                <w:noProof/>
                <w:webHidden/>
              </w:rPr>
              <w:fldChar w:fldCharType="begin"/>
            </w:r>
            <w:r w:rsidR="00DD4D87" w:rsidRPr="00DD4D87">
              <w:rPr>
                <w:noProof/>
                <w:webHidden/>
              </w:rPr>
              <w:instrText xml:space="preserve"> PAGEREF _Toc91086604 \h </w:instrText>
            </w:r>
            <w:r w:rsidR="00DD4D87" w:rsidRPr="00DD4D87">
              <w:rPr>
                <w:noProof/>
                <w:webHidden/>
              </w:rPr>
            </w:r>
            <w:r w:rsidR="00DD4D87" w:rsidRPr="00DD4D87">
              <w:rPr>
                <w:noProof/>
                <w:webHidden/>
              </w:rPr>
              <w:fldChar w:fldCharType="separate"/>
            </w:r>
            <w:r w:rsidR="00DD4D87" w:rsidRPr="00DD4D87">
              <w:rPr>
                <w:noProof/>
                <w:webHidden/>
              </w:rPr>
              <w:t>11</w:t>
            </w:r>
            <w:r w:rsidR="00DD4D87" w:rsidRPr="00DD4D87">
              <w:rPr>
                <w:noProof/>
                <w:webHidden/>
              </w:rPr>
              <w:fldChar w:fldCharType="end"/>
            </w:r>
          </w:hyperlink>
        </w:p>
        <w:p w14:paraId="58422BE2" w14:textId="77777777" w:rsidR="00B0159F" w:rsidRDefault="00D142CB" w:rsidP="00DD4D87">
          <w:pPr>
            <w:spacing w:line="360" w:lineRule="auto"/>
            <w:jc w:val="both"/>
          </w:pPr>
          <w:r w:rsidRPr="00DD4D87">
            <w:fldChar w:fldCharType="end"/>
          </w:r>
        </w:p>
      </w:sdtContent>
    </w:sdt>
    <w:p w14:paraId="7D9A5AC2" w14:textId="77777777" w:rsidR="005610CC" w:rsidRPr="00B0159F" w:rsidRDefault="0045421B" w:rsidP="00B0159F">
      <w:pPr>
        <w:spacing w:line="360" w:lineRule="auto"/>
        <w:jc w:val="both"/>
      </w:pPr>
      <w:r>
        <w:br w:type="page"/>
      </w:r>
    </w:p>
    <w:p w14:paraId="2598C6A1" w14:textId="77777777" w:rsidR="005610CC" w:rsidRDefault="0045421B">
      <w:pPr>
        <w:pStyle w:val="Heading1"/>
        <w:spacing w:line="360" w:lineRule="auto"/>
        <w:jc w:val="both"/>
        <w:rPr>
          <w:b/>
          <w:sz w:val="28"/>
          <w:szCs w:val="28"/>
        </w:rPr>
      </w:pPr>
      <w:bookmarkStart w:id="0" w:name="_esofwm3jxk7m" w:colFirst="0" w:colLast="0"/>
      <w:bookmarkStart w:id="1" w:name="_Toc91086599"/>
      <w:bookmarkEnd w:id="0"/>
      <w:r>
        <w:rPr>
          <w:b/>
          <w:sz w:val="28"/>
          <w:szCs w:val="28"/>
        </w:rPr>
        <w:lastRenderedPageBreak/>
        <w:t>Introduction</w:t>
      </w:r>
      <w:bookmarkEnd w:id="1"/>
    </w:p>
    <w:p w14:paraId="7108D598" w14:textId="77777777" w:rsidR="00616C3A" w:rsidRPr="00F51BD3" w:rsidRDefault="0045421B" w:rsidP="00F51BD3">
      <w:pPr>
        <w:spacing w:line="360" w:lineRule="auto"/>
        <w:jc w:val="both"/>
        <w:rPr>
          <w:b/>
          <w:sz w:val="28"/>
          <w:szCs w:val="28"/>
        </w:rPr>
      </w:pPr>
      <w:r>
        <w:t xml:space="preserve">The concept of managing people is considered to be a wide topic and theme which consist of solving the problem of the individual worker, developing, organizing and enhancing the employee's workplace of the business. </w:t>
      </w:r>
      <w:proofErr w:type="gramStart"/>
      <w:r>
        <w:t>Thus</w:t>
      </w:r>
      <w:proofErr w:type="gramEnd"/>
      <w:r>
        <w:t xml:space="preserve"> all these promote a sign of well-being to mediate any kind of conflict amongst the worker which later develops the idea of an effective performance management strategy for the business (</w:t>
      </w:r>
      <w:r>
        <w:rPr>
          <w:highlight w:val="white"/>
        </w:rPr>
        <w:t>Barba</w:t>
      </w:r>
      <w:r>
        <w:rPr>
          <w:i/>
          <w:highlight w:val="white"/>
        </w:rPr>
        <w:t xml:space="preserve"> et al</w:t>
      </w:r>
      <w:r>
        <w:rPr>
          <w:highlight w:val="white"/>
        </w:rPr>
        <w:t>., 2020</w:t>
      </w:r>
      <w:r>
        <w:t>). The concept of managing the people is considered to be the most crucial aspect within the functioning of the firm that drives towards an effective and efficient workplace and this is only ensured with a productive engagement of the employees. The following report will emphasize the brief concept of engagement- employees and what are the factors that drive it. Moreover, the report will also determine a diagnostic tool to analyze engagement and develop a value proposition of all the strategies to increase the level of engagement.</w:t>
      </w:r>
      <w:bookmarkStart w:id="2" w:name="_xploa9dsda5c" w:colFirst="0" w:colLast="0"/>
      <w:bookmarkStart w:id="3" w:name="_5tunrxplmubg" w:colFirst="0" w:colLast="0"/>
      <w:bookmarkEnd w:id="2"/>
      <w:bookmarkEnd w:id="3"/>
      <w:r w:rsidR="00616C3A">
        <w:br w:type="page"/>
      </w:r>
    </w:p>
    <w:p w14:paraId="7AF71084" w14:textId="77777777" w:rsidR="005610CC" w:rsidRDefault="0045421B">
      <w:pPr>
        <w:pStyle w:val="Heading1"/>
        <w:spacing w:line="360" w:lineRule="auto"/>
        <w:jc w:val="both"/>
        <w:rPr>
          <w:b/>
          <w:sz w:val="28"/>
          <w:szCs w:val="28"/>
        </w:rPr>
      </w:pPr>
      <w:bookmarkStart w:id="4" w:name="_Toc91086600"/>
      <w:r>
        <w:rPr>
          <w:b/>
          <w:sz w:val="28"/>
          <w:szCs w:val="28"/>
        </w:rPr>
        <w:lastRenderedPageBreak/>
        <w:t>“Reviews the concept and drivers of employee engagement”</w:t>
      </w:r>
      <w:bookmarkEnd w:id="4"/>
    </w:p>
    <w:p w14:paraId="73419229" w14:textId="5291E032" w:rsidR="005610CC" w:rsidRDefault="0045421B">
      <w:pPr>
        <w:spacing w:line="360" w:lineRule="auto"/>
        <w:jc w:val="both"/>
        <w:rPr>
          <w:highlight w:val="white"/>
        </w:rPr>
      </w:pPr>
      <w:r>
        <w:rPr>
          <w:highlight w:val="white"/>
        </w:rPr>
        <w:t>The concept of employee engagement is the process that is considered to be part of human resources. This conveys how the employees of the organi</w:t>
      </w:r>
      <w:r w:rsidR="00CA04FC">
        <w:rPr>
          <w:highlight w:val="white"/>
        </w:rPr>
        <w:t>z</w:t>
      </w:r>
      <w:r>
        <w:rPr>
          <w:highlight w:val="white"/>
        </w:rPr>
        <w:t>ation are motivated and dedicated towards the assigned task or job. Employee engagement determines how enthusiastic they are about their work and also the performance of the organization. Giving their fullest makes them feel that their contribution makes a difference</w:t>
      </w:r>
      <w:r w:rsidR="00616C3A">
        <w:rPr>
          <w:highlight w:val="white"/>
        </w:rPr>
        <w:t xml:space="preserve"> </w:t>
      </w:r>
      <w:r>
        <w:rPr>
          <w:highlight w:val="white"/>
        </w:rPr>
        <w:t xml:space="preserve">(Sun and </w:t>
      </w:r>
      <w:proofErr w:type="spellStart"/>
      <w:r>
        <w:rPr>
          <w:highlight w:val="white"/>
        </w:rPr>
        <w:t>Bunchapattanasakda</w:t>
      </w:r>
      <w:proofErr w:type="spellEnd"/>
      <w:r>
        <w:rPr>
          <w:highlight w:val="white"/>
        </w:rPr>
        <w:t xml:space="preserve">, 2019). The </w:t>
      </w:r>
      <w:r w:rsidR="00616C3A">
        <w:rPr>
          <w:highlight w:val="white"/>
        </w:rPr>
        <w:t>employees of the organization are not just there for the paycheck but also are</w:t>
      </w:r>
      <w:r>
        <w:rPr>
          <w:highlight w:val="white"/>
        </w:rPr>
        <w:t xml:space="preserve"> one of the assets that drive toward the success of the firm. The concept of employee engagement is also referred to as a critical aspect for the success of the firm. It will also provide a direct link to the satisfaction of the job and the morale of the workers. The main part of the employee’s engagement is communication which emphasizes creating and managing the workforce. Hence the employees who are engaged are more likely to contribute their best and be productive concerning the aim of high performance (</w:t>
      </w:r>
      <w:proofErr w:type="spellStart"/>
      <w:r>
        <w:rPr>
          <w:highlight w:val="white"/>
        </w:rPr>
        <w:t>Klikauer</w:t>
      </w:r>
      <w:proofErr w:type="spellEnd"/>
      <w:r>
        <w:rPr>
          <w:highlight w:val="white"/>
        </w:rPr>
        <w:t>, 2018). The engaged employees of the firm are mostly dedicated to the values and their objectives.</w:t>
      </w:r>
    </w:p>
    <w:p w14:paraId="359112A0" w14:textId="77777777" w:rsidR="005610CC" w:rsidRDefault="0045421B">
      <w:pPr>
        <w:spacing w:line="360" w:lineRule="auto"/>
        <w:jc w:val="both"/>
        <w:rPr>
          <w:highlight w:val="white"/>
        </w:rPr>
      </w:pPr>
      <w:r>
        <w:rPr>
          <w:highlight w:val="white"/>
        </w:rPr>
        <w:t>Employee engagement can be done in many distinct ways which further consist of promotion</w:t>
      </w:r>
      <w:r w:rsidR="00616C3A">
        <w:rPr>
          <w:highlight w:val="white"/>
        </w:rPr>
        <w:t>, clear</w:t>
      </w:r>
      <w:r>
        <w:rPr>
          <w:highlight w:val="white"/>
        </w:rPr>
        <w:t xml:space="preserve"> communication, providing rewards, wages, remuneration, and appreciation rewards. Moreover, this also consists of the feedback received from their workers and providing them with the current status of the firm. Few other approaches that are mainly engaged within the worker are that they adhere to the esteem, value and feel of their perception, with that whether their ideas are being delegated and understood. The engaged-employee highly believes that the contributions that they make are very much appreciated and also adhered to by the management (Hughes</w:t>
      </w:r>
      <w:r>
        <w:rPr>
          <w:i/>
          <w:highlight w:val="white"/>
        </w:rPr>
        <w:t xml:space="preserve"> et al</w:t>
      </w:r>
      <w:r>
        <w:rPr>
          <w:highlight w:val="white"/>
        </w:rPr>
        <w:t xml:space="preserve">., 2019). Generally, they also believe that they have been entrusted with the growth of the firm. The employees-engagement is known to be a part of management theory by the year of 1990 and was completed entitled in the year 2000. Whilst employee engagement has its factors moreover based on the how to measure. However, the engagement of the employees has stated that the direct access to the profit status of the firm and financial </w:t>
      </w:r>
      <w:r w:rsidR="00616C3A">
        <w:rPr>
          <w:highlight w:val="white"/>
        </w:rPr>
        <w:t>health (</w:t>
      </w:r>
      <w:r w:rsidR="002319B7">
        <w:rPr>
          <w:highlight w:val="white"/>
        </w:rPr>
        <w:t>Osborne and Hammoud, 2017).</w:t>
      </w:r>
    </w:p>
    <w:p w14:paraId="198454FA" w14:textId="77777777" w:rsidR="005610CC" w:rsidRDefault="0045421B">
      <w:pPr>
        <w:spacing w:line="360" w:lineRule="auto"/>
        <w:jc w:val="both"/>
        <w:rPr>
          <w:highlight w:val="white"/>
        </w:rPr>
      </w:pPr>
      <w:r>
        <w:rPr>
          <w:highlight w:val="white"/>
        </w:rPr>
        <w:t xml:space="preserve">The key drivers of </w:t>
      </w:r>
      <w:r w:rsidR="00F95287">
        <w:rPr>
          <w:highlight w:val="white"/>
        </w:rPr>
        <w:t>employee’s</w:t>
      </w:r>
      <w:r>
        <w:rPr>
          <w:highlight w:val="white"/>
        </w:rPr>
        <w:t xml:space="preserve"> engagement are as follows:</w:t>
      </w:r>
    </w:p>
    <w:p w14:paraId="04BCADED" w14:textId="77777777" w:rsidR="005610CC" w:rsidRDefault="0045421B">
      <w:pPr>
        <w:numPr>
          <w:ilvl w:val="0"/>
          <w:numId w:val="1"/>
        </w:numPr>
        <w:spacing w:line="360" w:lineRule="auto"/>
        <w:jc w:val="both"/>
        <w:rPr>
          <w:highlight w:val="white"/>
        </w:rPr>
      </w:pPr>
      <w:r>
        <w:rPr>
          <w:highlight w:val="white"/>
        </w:rPr>
        <w:t>Aims and the objective of the firm should be clear about the value and their main purpose.</w:t>
      </w:r>
    </w:p>
    <w:p w14:paraId="55690BED" w14:textId="1C55DC74" w:rsidR="005610CC" w:rsidRDefault="0045421B">
      <w:pPr>
        <w:numPr>
          <w:ilvl w:val="0"/>
          <w:numId w:val="1"/>
        </w:numPr>
        <w:spacing w:line="360" w:lineRule="auto"/>
        <w:jc w:val="both"/>
        <w:rPr>
          <w:highlight w:val="white"/>
        </w:rPr>
      </w:pPr>
      <w:r>
        <w:rPr>
          <w:highlight w:val="white"/>
        </w:rPr>
        <w:t>Well</w:t>
      </w:r>
      <w:r w:rsidR="00CA04FC">
        <w:rPr>
          <w:highlight w:val="white"/>
        </w:rPr>
        <w:t>-</w:t>
      </w:r>
      <w:r>
        <w:rPr>
          <w:highlight w:val="white"/>
        </w:rPr>
        <w:t>being in the terms of physical and mental both</w:t>
      </w:r>
    </w:p>
    <w:p w14:paraId="39FB7118" w14:textId="77777777" w:rsidR="005610CC" w:rsidRDefault="0045421B">
      <w:pPr>
        <w:numPr>
          <w:ilvl w:val="0"/>
          <w:numId w:val="1"/>
        </w:numPr>
        <w:spacing w:line="360" w:lineRule="auto"/>
        <w:jc w:val="both"/>
        <w:rPr>
          <w:highlight w:val="white"/>
        </w:rPr>
      </w:pPr>
      <w:r>
        <w:rPr>
          <w:highlight w:val="white"/>
        </w:rPr>
        <w:t>Relationship of manager-employees</w:t>
      </w:r>
    </w:p>
    <w:p w14:paraId="7E2E7211" w14:textId="77777777" w:rsidR="005610CC" w:rsidRDefault="0045421B">
      <w:pPr>
        <w:numPr>
          <w:ilvl w:val="0"/>
          <w:numId w:val="1"/>
        </w:numPr>
        <w:spacing w:line="360" w:lineRule="auto"/>
        <w:jc w:val="both"/>
        <w:rPr>
          <w:highlight w:val="white"/>
        </w:rPr>
      </w:pPr>
      <w:r>
        <w:rPr>
          <w:highlight w:val="white"/>
        </w:rPr>
        <w:t>Safety regulation</w:t>
      </w:r>
    </w:p>
    <w:p w14:paraId="56DAF9E6" w14:textId="77777777" w:rsidR="005610CC" w:rsidRDefault="0045421B">
      <w:pPr>
        <w:numPr>
          <w:ilvl w:val="0"/>
          <w:numId w:val="1"/>
        </w:numPr>
        <w:spacing w:line="360" w:lineRule="auto"/>
        <w:jc w:val="both"/>
        <w:rPr>
          <w:highlight w:val="white"/>
        </w:rPr>
      </w:pPr>
      <w:r>
        <w:rPr>
          <w:highlight w:val="white"/>
        </w:rPr>
        <w:lastRenderedPageBreak/>
        <w:t>Development and learning</w:t>
      </w:r>
    </w:p>
    <w:p w14:paraId="29B1D2FC" w14:textId="77777777" w:rsidR="005610CC" w:rsidRDefault="0045421B">
      <w:pPr>
        <w:numPr>
          <w:ilvl w:val="0"/>
          <w:numId w:val="1"/>
        </w:numPr>
        <w:spacing w:line="360" w:lineRule="auto"/>
        <w:jc w:val="both"/>
        <w:rPr>
          <w:highlight w:val="white"/>
        </w:rPr>
      </w:pPr>
      <w:r>
        <w:rPr>
          <w:highlight w:val="white"/>
        </w:rPr>
        <w:t xml:space="preserve">Tools and techniques for the occupation </w:t>
      </w:r>
    </w:p>
    <w:p w14:paraId="25F7CCA3" w14:textId="77777777" w:rsidR="005610CC" w:rsidRDefault="0045421B">
      <w:pPr>
        <w:numPr>
          <w:ilvl w:val="0"/>
          <w:numId w:val="1"/>
        </w:numPr>
        <w:spacing w:line="360" w:lineRule="auto"/>
        <w:jc w:val="both"/>
        <w:rPr>
          <w:highlight w:val="white"/>
        </w:rPr>
      </w:pPr>
      <w:r>
        <w:rPr>
          <w:highlight w:val="white"/>
        </w:rPr>
        <w:t>Environmental work</w:t>
      </w:r>
    </w:p>
    <w:p w14:paraId="2E7260CF" w14:textId="77777777" w:rsidR="005610CC" w:rsidRDefault="0045421B">
      <w:pPr>
        <w:numPr>
          <w:ilvl w:val="0"/>
          <w:numId w:val="1"/>
        </w:numPr>
        <w:spacing w:line="360" w:lineRule="auto"/>
        <w:jc w:val="both"/>
        <w:rPr>
          <w:highlight w:val="white"/>
        </w:rPr>
      </w:pPr>
      <w:r>
        <w:rPr>
          <w:highlight w:val="white"/>
        </w:rPr>
        <w:t>Relationship with worker</w:t>
      </w:r>
    </w:p>
    <w:p w14:paraId="74F8A5A2" w14:textId="77777777" w:rsidR="005610CC" w:rsidRDefault="0045421B">
      <w:pPr>
        <w:spacing w:line="360" w:lineRule="auto"/>
        <w:jc w:val="both"/>
        <w:rPr>
          <w:sz w:val="28"/>
          <w:szCs w:val="28"/>
        </w:rPr>
      </w:pPr>
      <w:r>
        <w:rPr>
          <w:highlight w:val="white"/>
        </w:rPr>
        <w:t xml:space="preserve">All these drivers are considered to be </w:t>
      </w:r>
      <w:r w:rsidR="00F95287">
        <w:rPr>
          <w:highlight w:val="white"/>
        </w:rPr>
        <w:t>important aspects</w:t>
      </w:r>
      <w:r>
        <w:rPr>
          <w:highlight w:val="white"/>
        </w:rPr>
        <w:t xml:space="preserve"> that will help the firm with the satisfaction of the job, workers turnover and efficiency. These facts make sure that all the benefits of the tangible are concerned with the factor that leaves the company to efficiency. The strategy is known around the engagement of the employee, critically the concern of keeping them happy and healthy. Although this can have a direct impact on the fundamentals.</w:t>
      </w:r>
      <w:r>
        <w:br w:type="page"/>
      </w:r>
    </w:p>
    <w:p w14:paraId="01F74026" w14:textId="77777777" w:rsidR="005610CC" w:rsidRDefault="0045421B">
      <w:pPr>
        <w:pStyle w:val="Heading1"/>
        <w:spacing w:line="360" w:lineRule="auto"/>
        <w:jc w:val="both"/>
        <w:rPr>
          <w:b/>
          <w:sz w:val="28"/>
          <w:szCs w:val="28"/>
        </w:rPr>
      </w:pPr>
      <w:bookmarkStart w:id="5" w:name="_e0duq6pj2txu" w:colFirst="0" w:colLast="0"/>
      <w:bookmarkStart w:id="6" w:name="_Toc91086601"/>
      <w:bookmarkEnd w:id="5"/>
      <w:r>
        <w:rPr>
          <w:b/>
          <w:sz w:val="28"/>
          <w:szCs w:val="28"/>
        </w:rPr>
        <w:lastRenderedPageBreak/>
        <w:t>“Evaluate diagnostic tools to measure the engagement”</w:t>
      </w:r>
      <w:bookmarkEnd w:id="6"/>
    </w:p>
    <w:p w14:paraId="0564B4DF" w14:textId="77777777" w:rsidR="005610CC" w:rsidRDefault="0045421B">
      <w:pPr>
        <w:shd w:val="clear" w:color="auto" w:fill="FFFFFF"/>
        <w:spacing w:line="360" w:lineRule="auto"/>
        <w:jc w:val="both"/>
        <w:rPr>
          <w:b/>
          <w:color w:val="202124"/>
        </w:rPr>
      </w:pPr>
      <w:r>
        <w:t xml:space="preserve">The diagnostic tools, method, system and many other principles are utilized to discover all the factors that are hindering the workforce and what are the factors that are not working properly. The </w:t>
      </w:r>
      <w:r>
        <w:rPr>
          <w:b/>
        </w:rPr>
        <w:t>EY</w:t>
      </w:r>
      <w:r>
        <w:t xml:space="preserve"> group of companies has implemented various tools and techniques during the post-pandemic period which has aided the EY group of companies to permit the analysis of the identity concerning what engagement of the worker looks like (</w:t>
      </w:r>
      <w:proofErr w:type="spellStart"/>
      <w:r>
        <w:rPr>
          <w:highlight w:val="white"/>
        </w:rPr>
        <w:t>Motyka</w:t>
      </w:r>
      <w:proofErr w:type="spellEnd"/>
      <w:r>
        <w:rPr>
          <w:highlight w:val="white"/>
        </w:rPr>
        <w:t>, 2018</w:t>
      </w:r>
      <w:r w:rsidR="00F95287">
        <w:rPr>
          <w:highlight w:val="white"/>
        </w:rPr>
        <w:t>)</w:t>
      </w:r>
      <w:r>
        <w:t>. It also aids in identifying the opportunities to enhance the level of engagement. However, for the EY group of companies, it is the initial step towards a successful and efficient workforce during the post-pandemic period. Here are some of the diagnostic tools that can be implemented within the EY group of companies to measure the employee’s engagement and they are as follows</w:t>
      </w:r>
    </w:p>
    <w:p w14:paraId="037B71EF" w14:textId="77777777" w:rsidR="005610CC" w:rsidRDefault="0045421B">
      <w:pPr>
        <w:numPr>
          <w:ilvl w:val="0"/>
          <w:numId w:val="2"/>
        </w:numPr>
        <w:shd w:val="clear" w:color="auto" w:fill="FFFFFF"/>
        <w:spacing w:line="360" w:lineRule="auto"/>
        <w:jc w:val="both"/>
        <w:rPr>
          <w:b/>
        </w:rPr>
      </w:pPr>
      <w:r>
        <w:rPr>
          <w:b/>
        </w:rPr>
        <w:t xml:space="preserve">Assemble focus group- </w:t>
      </w:r>
      <w:r>
        <w:t xml:space="preserve">the aim of this is to conduct a group discussion of around five to ten individuals who are granted to speak out their standpoints occasionally. The tool for assembling the focus group just needs to follow a set of instructions along with proper </w:t>
      </w:r>
      <w:r w:rsidR="00F95287">
        <w:t>preparation (</w:t>
      </w:r>
      <w:r>
        <w:rPr>
          <w:highlight w:val="white"/>
        </w:rPr>
        <w:t>Shuck</w:t>
      </w:r>
      <w:r>
        <w:rPr>
          <w:i/>
          <w:highlight w:val="white"/>
        </w:rPr>
        <w:t xml:space="preserve"> et al</w:t>
      </w:r>
      <w:r>
        <w:rPr>
          <w:highlight w:val="white"/>
        </w:rPr>
        <w:t>., 2017</w:t>
      </w:r>
      <w:r>
        <w:t xml:space="preserve">). The preparation should be concerning the questions that are asked to the group. This tool helps in determining whether the work done by the worker is crucial or </w:t>
      </w:r>
      <w:proofErr w:type="gramStart"/>
      <w:r>
        <w:t>were</w:t>
      </w:r>
      <w:proofErr w:type="gramEnd"/>
      <w:r>
        <w:t xml:space="preserve"> are provided with the equipment for work efficiency.</w:t>
      </w:r>
    </w:p>
    <w:p w14:paraId="31CE9AA8" w14:textId="77777777" w:rsidR="005610CC" w:rsidRDefault="0045421B">
      <w:pPr>
        <w:numPr>
          <w:ilvl w:val="0"/>
          <w:numId w:val="2"/>
        </w:numPr>
        <w:shd w:val="clear" w:color="auto" w:fill="FFFFFF"/>
        <w:spacing w:line="360" w:lineRule="auto"/>
        <w:jc w:val="both"/>
        <w:rPr>
          <w:b/>
        </w:rPr>
      </w:pPr>
      <w:r>
        <w:rPr>
          <w:b/>
        </w:rPr>
        <w:t xml:space="preserve">Implementing single dot polls-plus survey- </w:t>
      </w:r>
      <w:r>
        <w:t>these tools can be done daily to ensure the satisfying and happy snap on the current mood. This survey should mainly focus on three distinct aspects and they are future orientation, satisfaction and satisfaction. The company should always prefer the single click poll because it presents an open-end question asking the individual about the basic component that they adhere to (</w:t>
      </w:r>
      <w:proofErr w:type="spellStart"/>
      <w:r>
        <w:rPr>
          <w:highlight w:val="white"/>
        </w:rPr>
        <w:t>Nikolova</w:t>
      </w:r>
      <w:proofErr w:type="spellEnd"/>
      <w:r>
        <w:rPr>
          <w:i/>
          <w:highlight w:val="white"/>
        </w:rPr>
        <w:t xml:space="preserve"> et al</w:t>
      </w:r>
      <w:r>
        <w:rPr>
          <w:highlight w:val="white"/>
        </w:rPr>
        <w:t>., 2019</w:t>
      </w:r>
      <w:r>
        <w:t>). This can be presented in the form of a poll displaying the feeling from satisfied to neutral to dissatisfied.</w:t>
      </w:r>
    </w:p>
    <w:p w14:paraId="5E0FFC7E" w14:textId="77777777" w:rsidR="005610CC" w:rsidRDefault="0045421B">
      <w:pPr>
        <w:numPr>
          <w:ilvl w:val="0"/>
          <w:numId w:val="2"/>
        </w:numPr>
        <w:spacing w:line="360" w:lineRule="auto"/>
        <w:jc w:val="both"/>
        <w:rPr>
          <w:b/>
        </w:rPr>
      </w:pPr>
      <w:r>
        <w:rPr>
          <w:b/>
        </w:rPr>
        <w:t xml:space="preserve">Conduct exit interview- </w:t>
      </w:r>
      <w:r>
        <w:t xml:space="preserve">this is very distinct from the measurement tool as they are generally determined by individual concern. There have been cases where some employees resigned due to personal reasons and did not confront the firm. This exit interview can aid in having a deep insight into individual critical thinking and self-consciousness. This can be done by asking the individual whether they are looking for a new occupation and taking feedback on the improvement that the firm should make in terms of employee engagement. </w:t>
      </w:r>
    </w:p>
    <w:p w14:paraId="26566270" w14:textId="77777777" w:rsidR="005610CC" w:rsidRDefault="00F95287">
      <w:pPr>
        <w:numPr>
          <w:ilvl w:val="0"/>
          <w:numId w:val="2"/>
        </w:numPr>
        <w:spacing w:line="360" w:lineRule="auto"/>
        <w:jc w:val="both"/>
        <w:rPr>
          <w:b/>
        </w:rPr>
      </w:pPr>
      <w:r>
        <w:rPr>
          <w:b/>
        </w:rPr>
        <w:t>Employee’s</w:t>
      </w:r>
      <w:r w:rsidR="0045421B">
        <w:rPr>
          <w:b/>
        </w:rPr>
        <w:t xml:space="preserve"> recognition performance-</w:t>
      </w:r>
      <w:r w:rsidR="0045421B">
        <w:t xml:space="preserve"> the most important can that shed light on employees-engagement is how often do they receive and give recognition. </w:t>
      </w:r>
      <w:proofErr w:type="gramStart"/>
      <w:r w:rsidR="0045421B">
        <w:t>However</w:t>
      </w:r>
      <w:proofErr w:type="gramEnd"/>
      <w:r w:rsidR="0045421B">
        <w:t xml:space="preserve"> the </w:t>
      </w:r>
      <w:r w:rsidR="0045421B">
        <w:lastRenderedPageBreak/>
        <w:t xml:space="preserve">recognition has a great influence on the employees-engagement and the human resource element is the one tool that can make it possible. </w:t>
      </w:r>
      <w:r>
        <w:t>One</w:t>
      </w:r>
      <w:r w:rsidR="0045421B">
        <w:t xml:space="preserve"> of the most prominent ways to analyze the recognition is to document through reports in terms of customer success stories</w:t>
      </w:r>
      <w:r>
        <w:t xml:space="preserve"> </w:t>
      </w:r>
      <w:r w:rsidR="0045421B">
        <w:t>(</w:t>
      </w:r>
      <w:r>
        <w:rPr>
          <w:highlight w:val="white"/>
        </w:rPr>
        <w:t xml:space="preserve">Burnett and </w:t>
      </w:r>
      <w:proofErr w:type="spellStart"/>
      <w:r>
        <w:rPr>
          <w:highlight w:val="white"/>
        </w:rPr>
        <w:t>Lisk</w:t>
      </w:r>
      <w:proofErr w:type="spellEnd"/>
      <w:r>
        <w:rPr>
          <w:highlight w:val="white"/>
        </w:rPr>
        <w:t>, 2019</w:t>
      </w:r>
      <w:r w:rsidR="0045421B">
        <w:t xml:space="preserve">). For instance, the company shop direct was awarded first prize with regards to employee recognition. </w:t>
      </w:r>
    </w:p>
    <w:p w14:paraId="5B0B3568" w14:textId="77777777" w:rsidR="005610CC" w:rsidRDefault="0045421B">
      <w:pPr>
        <w:numPr>
          <w:ilvl w:val="0"/>
          <w:numId w:val="2"/>
        </w:numPr>
        <w:spacing w:line="360" w:lineRule="auto"/>
        <w:jc w:val="both"/>
        <w:rPr>
          <w:b/>
        </w:rPr>
      </w:pPr>
      <w:r>
        <w:rPr>
          <w:b/>
        </w:rPr>
        <w:t>Retention rate measure-</w:t>
      </w:r>
      <w:r>
        <w:t xml:space="preserve">a direct interconnection of the retention and engagement will help in overall employee engagement. The tool of retention rate measure considers the white concept which will give a wider standpoint. So effectively increase the inside of offering that well established and improvement for employee engagement.  </w:t>
      </w:r>
      <w:proofErr w:type="gramStart"/>
      <w:r>
        <w:t>The  factors</w:t>
      </w:r>
      <w:proofErr w:type="gramEnd"/>
      <w:r>
        <w:t xml:space="preserve"> are directly connected to the fact that the company is focusing on retention rate will add to critical thinking the reason being if you conduct any retention rate improvement will directly contribute to </w:t>
      </w:r>
      <w:r w:rsidR="00F95287">
        <w:t>increasing employment agreement.</w:t>
      </w:r>
    </w:p>
    <w:p w14:paraId="580CC500" w14:textId="77777777" w:rsidR="005610CC" w:rsidRPr="00F95287" w:rsidRDefault="0045421B" w:rsidP="00F95287">
      <w:pPr>
        <w:numPr>
          <w:ilvl w:val="0"/>
          <w:numId w:val="2"/>
        </w:numPr>
        <w:spacing w:line="360" w:lineRule="auto"/>
        <w:jc w:val="both"/>
        <w:rPr>
          <w:b/>
        </w:rPr>
      </w:pPr>
      <w:r>
        <w:rPr>
          <w:b/>
        </w:rPr>
        <w:t xml:space="preserve">Productivity metrics- </w:t>
      </w:r>
      <w:r>
        <w:t xml:space="preserve">the productivity of trees will be a huge advantage for the company in terms of being scalable, the reason being that the firm will be looking after the research insights as they follow the team, individual and company aspects. This tool generally allows the individual to succeed in the future for their particular </w:t>
      </w:r>
      <w:r w:rsidR="00F95287">
        <w:t>occupation</w:t>
      </w:r>
      <w:r w:rsidR="00F95287">
        <w:rPr>
          <w:highlight w:val="white"/>
        </w:rPr>
        <w:t xml:space="preserve"> (</w:t>
      </w:r>
      <w:proofErr w:type="spellStart"/>
      <w:r>
        <w:rPr>
          <w:highlight w:val="white"/>
        </w:rPr>
        <w:t>Shrotryia</w:t>
      </w:r>
      <w:proofErr w:type="spellEnd"/>
      <w:r>
        <w:rPr>
          <w:highlight w:val="white"/>
        </w:rPr>
        <w:t xml:space="preserve"> and </w:t>
      </w:r>
      <w:proofErr w:type="spellStart"/>
      <w:r>
        <w:rPr>
          <w:highlight w:val="white"/>
        </w:rPr>
        <w:t>Dhanda</w:t>
      </w:r>
      <w:proofErr w:type="spellEnd"/>
      <w:r>
        <w:rPr>
          <w:highlight w:val="white"/>
        </w:rPr>
        <w:t>, 2019)</w:t>
      </w:r>
      <w:r>
        <w:t>. The productivity metric will determine how to increase the efficiency of the company and as well as the workers that will directly contribute towards mutual goals.</w:t>
      </w:r>
      <w:bookmarkStart w:id="7" w:name="_8uahlf72kb2i" w:colFirst="0" w:colLast="0"/>
      <w:bookmarkEnd w:id="7"/>
      <w:r>
        <w:br w:type="page"/>
      </w:r>
    </w:p>
    <w:p w14:paraId="7CEE7241" w14:textId="77777777" w:rsidR="005610CC" w:rsidRDefault="0045421B">
      <w:pPr>
        <w:pStyle w:val="Heading1"/>
        <w:spacing w:line="360" w:lineRule="auto"/>
        <w:jc w:val="both"/>
        <w:rPr>
          <w:b/>
          <w:sz w:val="28"/>
          <w:szCs w:val="28"/>
        </w:rPr>
      </w:pPr>
      <w:bookmarkStart w:id="8" w:name="_ik2tz9c9iw6c" w:colFirst="0" w:colLast="0"/>
      <w:bookmarkStart w:id="9" w:name="_Toc91086602"/>
      <w:bookmarkEnd w:id="8"/>
      <w:r>
        <w:rPr>
          <w:b/>
          <w:sz w:val="28"/>
          <w:szCs w:val="28"/>
        </w:rPr>
        <w:lastRenderedPageBreak/>
        <w:t>“Constructs an employee value proposition from the ideas and analysis previously covered, including strategies to raise levels of engagement”</w:t>
      </w:r>
      <w:bookmarkEnd w:id="9"/>
    </w:p>
    <w:p w14:paraId="62A21EF9" w14:textId="77777777" w:rsidR="005610CC" w:rsidRDefault="0045421B">
      <w:pPr>
        <w:spacing w:line="360" w:lineRule="auto"/>
        <w:jc w:val="both"/>
        <w:rPr>
          <w:highlight w:val="white"/>
        </w:rPr>
      </w:pPr>
      <w:r>
        <w:rPr>
          <w:highlight w:val="white"/>
        </w:rPr>
        <w:t xml:space="preserve">The “employee value proposition” refers to the concept of the organization that delivers the offers to the worker in return for the contribution that they bring to the firm. The employee value position provides them with advantages and benefits that are given to the workers with the return of their task commitment along with the ability and talent they bring to the company. Moreover, the employee value position will be an outcome of the preparation that is abstracted from the interviews, focus group and many </w:t>
      </w:r>
      <w:r w:rsidR="00F95287">
        <w:rPr>
          <w:highlight w:val="white"/>
        </w:rPr>
        <w:t>more (</w:t>
      </w:r>
      <w:r>
        <w:rPr>
          <w:highlight w:val="white"/>
        </w:rPr>
        <w:t>Liu</w:t>
      </w:r>
      <w:r>
        <w:rPr>
          <w:i/>
          <w:highlight w:val="white"/>
        </w:rPr>
        <w:t xml:space="preserve"> et al</w:t>
      </w:r>
      <w:r>
        <w:rPr>
          <w:highlight w:val="white"/>
        </w:rPr>
        <w:t>., 2019).  The employee value position consists of five elements and they are as follows: “Compensation”, “Work-life balance”, “Stability”, “Location” and “Respect”.</w:t>
      </w:r>
    </w:p>
    <w:p w14:paraId="008B1DF0" w14:textId="77777777" w:rsidR="005610CC" w:rsidRDefault="0045421B">
      <w:pPr>
        <w:rPr>
          <w:b/>
        </w:rPr>
      </w:pPr>
      <w:r>
        <w:rPr>
          <w:b/>
        </w:rPr>
        <w:t>Compensation</w:t>
      </w:r>
    </w:p>
    <w:p w14:paraId="74082DBE" w14:textId="34C08828" w:rsidR="005610CC" w:rsidRDefault="0045421B">
      <w:pPr>
        <w:spacing w:line="360" w:lineRule="auto"/>
        <w:jc w:val="both"/>
        <w:rPr>
          <w:b/>
        </w:rPr>
      </w:pPr>
      <w:r>
        <w:t>The main course of motivation within the organi</w:t>
      </w:r>
      <w:r w:rsidR="00CA04FC">
        <w:t>z</w:t>
      </w:r>
      <w:r>
        <w:t xml:space="preserve">ation for the workforce is the compensation factor. Compensation is something is considered to be a valuable factor in the return for something. This fundamental should be a crucial aspect for the EY group of companies because the ultimate motive of the worker is to earn monetary terms. This will promote the satisfaction factors by wages or the salary, although the extra terms of compensation such as bonuses and incentives improve the evaluation system of </w:t>
      </w:r>
      <w:r w:rsidR="00F95287">
        <w:t>a</w:t>
      </w:r>
      <w:r>
        <w:t xml:space="preserve"> group of companies (</w:t>
      </w:r>
      <w:r>
        <w:rPr>
          <w:highlight w:val="white"/>
        </w:rPr>
        <w:t>Rafique, 2019</w:t>
      </w:r>
      <w:r>
        <w:t>). The practice of compensation is also considered to be one of the best practices of human resources.</w:t>
      </w:r>
    </w:p>
    <w:p w14:paraId="78CFBCA5" w14:textId="77777777" w:rsidR="005610CC" w:rsidRDefault="0045421B">
      <w:pPr>
        <w:rPr>
          <w:b/>
        </w:rPr>
      </w:pPr>
      <w:r>
        <w:rPr>
          <w:b/>
        </w:rPr>
        <w:t>Work-life balance</w:t>
      </w:r>
    </w:p>
    <w:p w14:paraId="5484FD9A" w14:textId="77777777" w:rsidR="005610CC" w:rsidRDefault="0045421B">
      <w:pPr>
        <w:spacing w:line="360" w:lineRule="auto"/>
        <w:jc w:val="both"/>
        <w:rPr>
          <w:b/>
        </w:rPr>
      </w:pPr>
      <w:r>
        <w:t>An individual must have a brief conceptualization of the importance of work-life balance. The workers of the EY group of companies must prioritize their personal and professional life, ensuring that they can work in a healthy life. In the context of the EY group of companies, they might think about providing their employees with off paid time, vacation for flextime and plans for retirement (</w:t>
      </w:r>
      <w:proofErr w:type="spellStart"/>
      <w:r>
        <w:rPr>
          <w:highlight w:val="white"/>
        </w:rPr>
        <w:t>Praba</w:t>
      </w:r>
      <w:r>
        <w:t>et</w:t>
      </w:r>
      <w:proofErr w:type="spellEnd"/>
      <w:r>
        <w:t xml:space="preserve"> </w:t>
      </w:r>
      <w:r>
        <w:rPr>
          <w:i/>
        </w:rPr>
        <w:t>et al</w:t>
      </w:r>
      <w:r>
        <w:rPr>
          <w:highlight w:val="white"/>
        </w:rPr>
        <w:t>., 2020</w:t>
      </w:r>
      <w:proofErr w:type="gramStart"/>
      <w:r>
        <w:rPr>
          <w:highlight w:val="white"/>
        </w:rPr>
        <w:t xml:space="preserve">. </w:t>
      </w:r>
      <w:r>
        <w:t>)</w:t>
      </w:r>
      <w:proofErr w:type="gramEnd"/>
      <w:r>
        <w:t>. Moreover, when it comes to adding to customer accounts then the EY group of companies has already implemented measures such as “Work from home”, “flexible working time”,” job design/restructuring roles”, and “Covid-19 safe workplace”.</w:t>
      </w:r>
    </w:p>
    <w:p w14:paraId="0D01D9EF" w14:textId="77777777" w:rsidR="005610CC" w:rsidRDefault="0045421B">
      <w:pPr>
        <w:rPr>
          <w:b/>
        </w:rPr>
      </w:pPr>
      <w:r>
        <w:rPr>
          <w:b/>
        </w:rPr>
        <w:t>Stability</w:t>
      </w:r>
    </w:p>
    <w:p w14:paraId="1B126943" w14:textId="77777777" w:rsidR="005610CC" w:rsidRDefault="0045421B">
      <w:pPr>
        <w:spacing w:line="360" w:lineRule="auto"/>
        <w:jc w:val="both"/>
        <w:rPr>
          <w:b/>
        </w:rPr>
      </w:pPr>
      <w:r>
        <w:t xml:space="preserve">Every individual desire to have a bright future before entering into occupation so that they are planning a stable livelihood. The stability within the employees emphasizes their career stability along with providing opportunities to the worker so that they can accelerate in terms of career. The EY group of companies can take these factors of stability as the principle of practice by training the workers with the actual rules and practices that are performed within the firm. </w:t>
      </w:r>
      <w:r>
        <w:lastRenderedPageBreak/>
        <w:t>Further, that will aid in developing critical and cognitive thinking contributing towards enhancing the skills for a perfect job position.</w:t>
      </w:r>
    </w:p>
    <w:p w14:paraId="2C5CF51A" w14:textId="77777777" w:rsidR="005610CC" w:rsidRDefault="0045421B">
      <w:pPr>
        <w:rPr>
          <w:b/>
        </w:rPr>
      </w:pPr>
      <w:r>
        <w:rPr>
          <w:b/>
        </w:rPr>
        <w:t>Location</w:t>
      </w:r>
    </w:p>
    <w:p w14:paraId="05339E0C" w14:textId="77777777" w:rsidR="005610CC" w:rsidRDefault="0045421B">
      <w:pPr>
        <w:spacing w:line="360" w:lineRule="auto"/>
        <w:jc w:val="both"/>
      </w:pPr>
      <w:r>
        <w:t xml:space="preserve">The location here does not determine the working place or the office that is </w:t>
      </w:r>
      <w:r w:rsidR="00F95287">
        <w:t>situated;</w:t>
      </w:r>
      <w:r>
        <w:t xml:space="preserve"> however, it determines the atmosphere where an individual or the group of workers works. The EY group of companies should make sure that the working environment should be positive and have a certain level of autonomy (</w:t>
      </w:r>
      <w:proofErr w:type="spellStart"/>
      <w:r>
        <w:rPr>
          <w:highlight w:val="white"/>
        </w:rPr>
        <w:t>Ssebiragala</w:t>
      </w:r>
      <w:proofErr w:type="spellEnd"/>
      <w:r>
        <w:rPr>
          <w:highlight w:val="white"/>
        </w:rPr>
        <w:t>, 2018</w:t>
      </w:r>
      <w:r>
        <w:t>). The location factors can also add to the experiences of the employees which will indirectly get linked to the three environmental facts that are: customs, technology, and physical space.</w:t>
      </w:r>
    </w:p>
    <w:p w14:paraId="2842DD4C" w14:textId="77777777" w:rsidR="005610CC" w:rsidRDefault="0045421B">
      <w:pPr>
        <w:rPr>
          <w:b/>
        </w:rPr>
      </w:pPr>
      <w:r>
        <w:rPr>
          <w:b/>
        </w:rPr>
        <w:t>Respect</w:t>
      </w:r>
    </w:p>
    <w:p w14:paraId="28306329" w14:textId="77777777" w:rsidR="00B0159F" w:rsidRPr="00B0159F" w:rsidRDefault="0045421B" w:rsidP="00B0159F">
      <w:pPr>
        <w:spacing w:line="360" w:lineRule="auto"/>
        <w:jc w:val="both"/>
        <w:rPr>
          <w:highlight w:val="white"/>
        </w:rPr>
      </w:pPr>
      <w:r>
        <w:rPr>
          <w:highlight w:val="white"/>
        </w:rPr>
        <w:t xml:space="preserve">The respect factor is a very big concern in every </w:t>
      </w:r>
      <w:proofErr w:type="spellStart"/>
      <w:r>
        <w:rPr>
          <w:highlight w:val="white"/>
        </w:rPr>
        <w:t>organisation</w:t>
      </w:r>
      <w:proofErr w:type="spellEnd"/>
      <w:r>
        <w:rPr>
          <w:highlight w:val="white"/>
        </w:rPr>
        <w:t xml:space="preserve"> for every individual. This respect consists of creating a positive relationship and support and many other aspects. The EY group of companies should create an environment that is rich in culture and core values for respecting the beliefs of the </w:t>
      </w:r>
      <w:proofErr w:type="spellStart"/>
      <w:r>
        <w:rPr>
          <w:highlight w:val="white"/>
        </w:rPr>
        <w:t>organisation</w:t>
      </w:r>
      <w:proofErr w:type="spellEnd"/>
      <w:r>
        <w:rPr>
          <w:highlight w:val="white"/>
        </w:rPr>
        <w:t>.</w:t>
      </w:r>
      <w:bookmarkStart w:id="10" w:name="_ue49qq5jq4i7" w:colFirst="0" w:colLast="0"/>
      <w:bookmarkEnd w:id="10"/>
      <w:r w:rsidR="00B0159F">
        <w:rPr>
          <w:b/>
          <w:sz w:val="28"/>
          <w:szCs w:val="28"/>
        </w:rPr>
        <w:br w:type="page"/>
      </w:r>
    </w:p>
    <w:p w14:paraId="6358D85C" w14:textId="77777777" w:rsidR="005610CC" w:rsidRDefault="0045421B">
      <w:pPr>
        <w:pStyle w:val="Heading1"/>
        <w:spacing w:line="360" w:lineRule="auto"/>
        <w:jc w:val="both"/>
        <w:rPr>
          <w:b/>
          <w:sz w:val="28"/>
          <w:szCs w:val="28"/>
        </w:rPr>
      </w:pPr>
      <w:bookmarkStart w:id="11" w:name="_Toc91086603"/>
      <w:r>
        <w:rPr>
          <w:b/>
          <w:sz w:val="28"/>
          <w:szCs w:val="28"/>
        </w:rPr>
        <w:lastRenderedPageBreak/>
        <w:t>Conclusion</w:t>
      </w:r>
      <w:bookmarkEnd w:id="11"/>
      <w:r>
        <w:rPr>
          <w:b/>
          <w:sz w:val="28"/>
          <w:szCs w:val="28"/>
        </w:rPr>
        <w:t xml:space="preserve"> </w:t>
      </w:r>
    </w:p>
    <w:p w14:paraId="627131AA" w14:textId="77777777" w:rsidR="005610CC" w:rsidRDefault="0045421B">
      <w:pPr>
        <w:spacing w:line="360" w:lineRule="auto"/>
        <w:jc w:val="both"/>
      </w:pPr>
      <w:r>
        <w:t xml:space="preserve">The following report has concluded that </w:t>
      </w:r>
      <w:r>
        <w:rPr>
          <w:highlight w:val="white"/>
        </w:rPr>
        <w:t>employees of the organization are not just there for the paycheck but also is one of the assets that drive toward the success of the firm. It has been concluded that employee engagement can be done in many distinct ways which further consist of promotion</w:t>
      </w:r>
      <w:r w:rsidR="00B0159F">
        <w:rPr>
          <w:highlight w:val="white"/>
        </w:rPr>
        <w:t>, clear</w:t>
      </w:r>
      <w:r>
        <w:rPr>
          <w:highlight w:val="white"/>
        </w:rPr>
        <w:t xml:space="preserve"> communication, providing rewards, </w:t>
      </w:r>
      <w:r w:rsidR="00B0159F">
        <w:rPr>
          <w:highlight w:val="white"/>
        </w:rPr>
        <w:t>and wages</w:t>
      </w:r>
      <w:r>
        <w:rPr>
          <w:highlight w:val="white"/>
        </w:rPr>
        <w:t xml:space="preserve">, remuneration, and appreciation rewards. The employees-engagement during the </w:t>
      </w:r>
      <w:r>
        <w:t xml:space="preserve">post-pandemic period has aided the EY group of companies to permit the analysis of the identity concerning what engagement of the worker looks like. </w:t>
      </w:r>
      <w:r w:rsidR="00B0159F">
        <w:t>These also determine whether the work done by the worker is crucial or were</w:t>
      </w:r>
      <w:r>
        <w:t xml:space="preserve"> provided with the equipment for work efficiency. The report has also concluded that asking the individual whether they are looking for a new occupation and taking feedback on the improvement that the firm should make in terms of employee engagement.</w:t>
      </w:r>
      <w:r>
        <w:br w:type="page"/>
      </w:r>
    </w:p>
    <w:p w14:paraId="2B8B2458" w14:textId="77777777" w:rsidR="005610CC" w:rsidRDefault="0045421B">
      <w:pPr>
        <w:pStyle w:val="Heading1"/>
        <w:spacing w:line="360" w:lineRule="auto"/>
        <w:jc w:val="both"/>
        <w:rPr>
          <w:b/>
          <w:sz w:val="28"/>
          <w:szCs w:val="28"/>
        </w:rPr>
      </w:pPr>
      <w:bookmarkStart w:id="12" w:name="_tf1p082h1q5g" w:colFirst="0" w:colLast="0"/>
      <w:bookmarkStart w:id="13" w:name="_Toc91086604"/>
      <w:bookmarkEnd w:id="12"/>
      <w:r>
        <w:rPr>
          <w:b/>
          <w:sz w:val="28"/>
          <w:szCs w:val="28"/>
        </w:rPr>
        <w:lastRenderedPageBreak/>
        <w:t>References</w:t>
      </w:r>
      <w:bookmarkEnd w:id="13"/>
    </w:p>
    <w:p w14:paraId="13FE18CA" w14:textId="77777777" w:rsidR="002319B7" w:rsidRDefault="002319B7" w:rsidP="00B0159F">
      <w:pPr>
        <w:spacing w:before="240" w:after="240" w:line="360" w:lineRule="auto"/>
        <w:jc w:val="both"/>
      </w:pPr>
      <w:r>
        <w:rPr>
          <w:highlight w:val="white"/>
        </w:rPr>
        <w:t xml:space="preserve">Barba, R., Rosado, C., Pardo-Moreno, J. and Rey-Biel, J., 2020. Managing people, roles, and resources during Covid-19 surge. </w:t>
      </w:r>
      <w:r>
        <w:rPr>
          <w:i/>
        </w:rPr>
        <w:t>NEJM Catalyst Innovations in Care Delivery</w:t>
      </w:r>
      <w:r>
        <w:t>.</w:t>
      </w:r>
    </w:p>
    <w:p w14:paraId="1609C88A" w14:textId="77777777" w:rsidR="002319B7" w:rsidRDefault="002319B7" w:rsidP="00B0159F">
      <w:pPr>
        <w:spacing w:before="240" w:after="240" w:line="360" w:lineRule="auto"/>
        <w:jc w:val="both"/>
      </w:pPr>
      <w:r>
        <w:rPr>
          <w:highlight w:val="white"/>
        </w:rPr>
        <w:t xml:space="preserve">Burnett, J.R. and </w:t>
      </w:r>
      <w:proofErr w:type="spellStart"/>
      <w:r>
        <w:rPr>
          <w:highlight w:val="white"/>
        </w:rPr>
        <w:t>Lisk</w:t>
      </w:r>
      <w:proofErr w:type="spellEnd"/>
      <w:r>
        <w:rPr>
          <w:highlight w:val="white"/>
        </w:rPr>
        <w:t xml:space="preserve">, T.C., 2019. The future of employee engagement: Real-time monitoring and digital tools for engaging a workforce. </w:t>
      </w:r>
      <w:r>
        <w:rPr>
          <w:i/>
        </w:rPr>
        <w:t>International Studies of Management &amp; Organization</w:t>
      </w:r>
      <w:r>
        <w:t xml:space="preserve">, </w:t>
      </w:r>
      <w:r>
        <w:rPr>
          <w:i/>
        </w:rPr>
        <w:t>49</w:t>
      </w:r>
      <w:r>
        <w:t>(1), pp.108-119.</w:t>
      </w:r>
    </w:p>
    <w:p w14:paraId="105F10BB" w14:textId="77777777" w:rsidR="002319B7" w:rsidRDefault="002319B7" w:rsidP="00B0159F">
      <w:pPr>
        <w:spacing w:before="240" w:after="240" w:line="360" w:lineRule="auto"/>
        <w:jc w:val="both"/>
      </w:pPr>
      <w:r>
        <w:rPr>
          <w:highlight w:val="white"/>
        </w:rPr>
        <w:t xml:space="preserve">Hughes, C., Robert, L., </w:t>
      </w:r>
      <w:proofErr w:type="spellStart"/>
      <w:r>
        <w:rPr>
          <w:highlight w:val="white"/>
        </w:rPr>
        <w:t>Frady</w:t>
      </w:r>
      <w:proofErr w:type="spellEnd"/>
      <w:r>
        <w:rPr>
          <w:highlight w:val="white"/>
        </w:rPr>
        <w:t xml:space="preserve">, K. and Arroyos, A., 2019. Managing people and technology in the workplace. In </w:t>
      </w:r>
      <w:r>
        <w:rPr>
          <w:i/>
        </w:rPr>
        <w:t>Managing technology and middle-and low-skilled employees</w:t>
      </w:r>
      <w:r>
        <w:t>. Emerald Publishing Limited.</w:t>
      </w:r>
    </w:p>
    <w:p w14:paraId="2A118B0F" w14:textId="77777777" w:rsidR="002319B7" w:rsidRDefault="002319B7" w:rsidP="00B0159F">
      <w:pPr>
        <w:spacing w:before="240" w:after="240" w:line="360" w:lineRule="auto"/>
        <w:jc w:val="both"/>
      </w:pPr>
      <w:proofErr w:type="spellStart"/>
      <w:r>
        <w:rPr>
          <w:highlight w:val="white"/>
        </w:rPr>
        <w:t>Klikauer</w:t>
      </w:r>
      <w:proofErr w:type="spellEnd"/>
      <w:r>
        <w:rPr>
          <w:highlight w:val="white"/>
        </w:rPr>
        <w:t xml:space="preserve">, T., 2018. </w:t>
      </w:r>
      <w:r>
        <w:rPr>
          <w:i/>
        </w:rPr>
        <w:t>Managing People in Organizations</w:t>
      </w:r>
      <w:r>
        <w:t>. Macmillan International Higher Education.</w:t>
      </w:r>
    </w:p>
    <w:p w14:paraId="7E108FF8" w14:textId="77777777" w:rsidR="002319B7" w:rsidRDefault="002319B7" w:rsidP="00B0159F">
      <w:pPr>
        <w:spacing w:before="240" w:after="240" w:line="360" w:lineRule="auto"/>
        <w:jc w:val="both"/>
      </w:pPr>
      <w:r>
        <w:rPr>
          <w:highlight w:val="white"/>
        </w:rPr>
        <w:t xml:space="preserve">Liu, J., Wang, T., Li, J., Huang, J., Yao, F. and He, R., 2019, October. A Data-driven Analysis of Employee Promotion: The Role of the Position of Organization. In </w:t>
      </w:r>
      <w:r>
        <w:rPr>
          <w:i/>
        </w:rPr>
        <w:t>2019 IEEE International Conference on Systems, Man and Cybernetics (SMC)</w:t>
      </w:r>
      <w:r>
        <w:t xml:space="preserve"> (pp. 4056-4062). IEEE.</w:t>
      </w:r>
    </w:p>
    <w:p w14:paraId="5C700EE9" w14:textId="77777777" w:rsidR="002319B7" w:rsidRDefault="002319B7" w:rsidP="00B0159F">
      <w:pPr>
        <w:spacing w:before="240" w:after="240" w:line="360" w:lineRule="auto"/>
        <w:jc w:val="both"/>
      </w:pPr>
      <w:proofErr w:type="spellStart"/>
      <w:r>
        <w:rPr>
          <w:highlight w:val="white"/>
        </w:rPr>
        <w:t>Motyka</w:t>
      </w:r>
      <w:proofErr w:type="spellEnd"/>
      <w:r>
        <w:rPr>
          <w:highlight w:val="white"/>
        </w:rPr>
        <w:t xml:space="preserve">, B., 2018. Employee engagement and performance: a systematic literature review. </w:t>
      </w:r>
      <w:r>
        <w:rPr>
          <w:i/>
        </w:rPr>
        <w:t>International Journal of Management and Economics</w:t>
      </w:r>
      <w:r>
        <w:t xml:space="preserve">, </w:t>
      </w:r>
      <w:r>
        <w:rPr>
          <w:i/>
        </w:rPr>
        <w:t>54</w:t>
      </w:r>
      <w:r>
        <w:t>(3), pp.227-244.</w:t>
      </w:r>
    </w:p>
    <w:p w14:paraId="51F8D730" w14:textId="77777777" w:rsidR="002319B7" w:rsidRDefault="002319B7" w:rsidP="00B0159F">
      <w:pPr>
        <w:spacing w:before="240" w:after="240" w:line="360" w:lineRule="auto"/>
        <w:jc w:val="both"/>
      </w:pPr>
      <w:proofErr w:type="spellStart"/>
      <w:r>
        <w:rPr>
          <w:highlight w:val="white"/>
        </w:rPr>
        <w:t>Nikolova</w:t>
      </w:r>
      <w:proofErr w:type="spellEnd"/>
      <w:r>
        <w:rPr>
          <w:highlight w:val="white"/>
        </w:rPr>
        <w:t xml:space="preserve">, I., Schaufeli, W. and </w:t>
      </w:r>
      <w:proofErr w:type="spellStart"/>
      <w:r>
        <w:rPr>
          <w:highlight w:val="white"/>
        </w:rPr>
        <w:t>Notelaers</w:t>
      </w:r>
      <w:proofErr w:type="spellEnd"/>
      <w:r>
        <w:rPr>
          <w:highlight w:val="white"/>
        </w:rPr>
        <w:t xml:space="preserve">, G., 2019. Engaging leader–Engaged employees? A cross-lagged study on employee engagement. </w:t>
      </w:r>
      <w:r>
        <w:rPr>
          <w:i/>
        </w:rPr>
        <w:t>European Management Journal</w:t>
      </w:r>
      <w:r>
        <w:t xml:space="preserve">, </w:t>
      </w:r>
      <w:r>
        <w:rPr>
          <w:i/>
        </w:rPr>
        <w:t>37</w:t>
      </w:r>
      <w:r>
        <w:t>(6), pp.772-783.</w:t>
      </w:r>
    </w:p>
    <w:p w14:paraId="52641E69" w14:textId="77777777" w:rsidR="002319B7" w:rsidRDefault="002319B7" w:rsidP="00B0159F">
      <w:pPr>
        <w:spacing w:before="240" w:after="240" w:line="360" w:lineRule="auto"/>
        <w:jc w:val="both"/>
      </w:pPr>
      <w:r>
        <w:rPr>
          <w:highlight w:val="white"/>
        </w:rPr>
        <w:t xml:space="preserve">Osborne, S. and Hammoud, M.S., 2017. Effective employee engagement in the workplace. </w:t>
      </w:r>
      <w:r>
        <w:rPr>
          <w:i/>
        </w:rPr>
        <w:t>International Journal of Applied Management and Technology</w:t>
      </w:r>
      <w:r>
        <w:t xml:space="preserve">, </w:t>
      </w:r>
      <w:r>
        <w:rPr>
          <w:i/>
        </w:rPr>
        <w:t>16</w:t>
      </w:r>
      <w:r>
        <w:t>(1), p.4.</w:t>
      </w:r>
    </w:p>
    <w:p w14:paraId="65EF710B" w14:textId="77777777" w:rsidR="002319B7" w:rsidRDefault="002319B7" w:rsidP="00B0159F">
      <w:pPr>
        <w:spacing w:before="240" w:after="240" w:line="360" w:lineRule="auto"/>
        <w:jc w:val="both"/>
      </w:pPr>
      <w:proofErr w:type="spellStart"/>
      <w:r>
        <w:rPr>
          <w:highlight w:val="white"/>
        </w:rPr>
        <w:t>Praba</w:t>
      </w:r>
      <w:proofErr w:type="spellEnd"/>
      <w:r>
        <w:rPr>
          <w:highlight w:val="white"/>
        </w:rPr>
        <w:t xml:space="preserve">, B., </w:t>
      </w:r>
      <w:proofErr w:type="spellStart"/>
      <w:r>
        <w:rPr>
          <w:highlight w:val="white"/>
        </w:rPr>
        <w:t>Gomathi</w:t>
      </w:r>
      <w:proofErr w:type="spellEnd"/>
      <w:r>
        <w:rPr>
          <w:highlight w:val="white"/>
        </w:rPr>
        <w:t xml:space="preserve">, G. and Mani, V., 2020. Twin approximation space and its application in </w:t>
      </w:r>
      <w:proofErr w:type="spellStart"/>
      <w:r>
        <w:rPr>
          <w:highlight w:val="white"/>
        </w:rPr>
        <w:t>analysing</w:t>
      </w:r>
      <w:proofErr w:type="spellEnd"/>
      <w:r>
        <w:rPr>
          <w:highlight w:val="white"/>
        </w:rPr>
        <w:t xml:space="preserve"> employee engagement and employee value proposition. </w:t>
      </w:r>
      <w:r>
        <w:rPr>
          <w:i/>
        </w:rPr>
        <w:t>International Journal of Applied Management Science</w:t>
      </w:r>
      <w:r>
        <w:t xml:space="preserve">, </w:t>
      </w:r>
      <w:r>
        <w:rPr>
          <w:i/>
        </w:rPr>
        <w:t>12</w:t>
      </w:r>
      <w:r>
        <w:t>(4), pp.299-308.</w:t>
      </w:r>
    </w:p>
    <w:p w14:paraId="2DD0971A" w14:textId="77777777" w:rsidR="002319B7" w:rsidRDefault="002319B7" w:rsidP="00B0159F">
      <w:pPr>
        <w:spacing w:before="240" w:after="240" w:line="360" w:lineRule="auto"/>
        <w:jc w:val="both"/>
        <w:rPr>
          <w:highlight w:val="white"/>
        </w:rPr>
      </w:pPr>
      <w:r>
        <w:rPr>
          <w:highlight w:val="white"/>
        </w:rPr>
        <w:t>Rafique, M.H., 2019. Employee value proposition.</w:t>
      </w:r>
    </w:p>
    <w:p w14:paraId="36418DB3" w14:textId="77777777" w:rsidR="002319B7" w:rsidRDefault="002319B7" w:rsidP="00B0159F">
      <w:pPr>
        <w:spacing w:before="240" w:after="240" w:line="360" w:lineRule="auto"/>
        <w:jc w:val="both"/>
      </w:pPr>
      <w:proofErr w:type="spellStart"/>
      <w:r>
        <w:rPr>
          <w:highlight w:val="white"/>
        </w:rPr>
        <w:t>Shrotryia</w:t>
      </w:r>
      <w:proofErr w:type="spellEnd"/>
      <w:r>
        <w:rPr>
          <w:highlight w:val="white"/>
        </w:rPr>
        <w:t xml:space="preserve">, V.K. and </w:t>
      </w:r>
      <w:proofErr w:type="spellStart"/>
      <w:r>
        <w:rPr>
          <w:highlight w:val="white"/>
        </w:rPr>
        <w:t>Dhanda</w:t>
      </w:r>
      <w:proofErr w:type="spellEnd"/>
      <w:r>
        <w:rPr>
          <w:highlight w:val="white"/>
        </w:rPr>
        <w:t xml:space="preserve">, U., 2019. Content validity of assessment instrument for employee engagement. </w:t>
      </w:r>
      <w:r>
        <w:rPr>
          <w:i/>
        </w:rPr>
        <w:t>Sage Open</w:t>
      </w:r>
      <w:r>
        <w:t xml:space="preserve">, </w:t>
      </w:r>
      <w:r>
        <w:rPr>
          <w:i/>
        </w:rPr>
        <w:t>9</w:t>
      </w:r>
      <w:r>
        <w:t>(1), p.2158244018821751.</w:t>
      </w:r>
    </w:p>
    <w:p w14:paraId="0BE5C9EC" w14:textId="77777777" w:rsidR="002319B7" w:rsidRDefault="002319B7" w:rsidP="00B0159F">
      <w:pPr>
        <w:spacing w:before="240" w:after="240" w:line="360" w:lineRule="auto"/>
        <w:jc w:val="both"/>
      </w:pPr>
      <w:r>
        <w:rPr>
          <w:highlight w:val="white"/>
        </w:rPr>
        <w:lastRenderedPageBreak/>
        <w:t xml:space="preserve">Shuck, B., </w:t>
      </w:r>
      <w:proofErr w:type="spellStart"/>
      <w:r>
        <w:rPr>
          <w:highlight w:val="white"/>
        </w:rPr>
        <w:t>Osam</w:t>
      </w:r>
      <w:proofErr w:type="spellEnd"/>
      <w:r>
        <w:rPr>
          <w:highlight w:val="white"/>
        </w:rPr>
        <w:t xml:space="preserve">, K., </w:t>
      </w:r>
      <w:proofErr w:type="spellStart"/>
      <w:r>
        <w:rPr>
          <w:highlight w:val="white"/>
        </w:rPr>
        <w:t>Zigarmi</w:t>
      </w:r>
      <w:proofErr w:type="spellEnd"/>
      <w:r>
        <w:rPr>
          <w:highlight w:val="white"/>
        </w:rPr>
        <w:t xml:space="preserve">, D. and </w:t>
      </w:r>
      <w:proofErr w:type="spellStart"/>
      <w:r>
        <w:rPr>
          <w:highlight w:val="white"/>
        </w:rPr>
        <w:t>Nimon</w:t>
      </w:r>
      <w:proofErr w:type="spellEnd"/>
      <w:r>
        <w:rPr>
          <w:highlight w:val="white"/>
        </w:rPr>
        <w:t xml:space="preserve">, K., 2017. Definitional and conceptual muddling: Identifying the positionality of employee engagement and defining the construct. </w:t>
      </w:r>
      <w:r>
        <w:rPr>
          <w:i/>
        </w:rPr>
        <w:t>Human Resource Development Review</w:t>
      </w:r>
      <w:r>
        <w:t xml:space="preserve">, </w:t>
      </w:r>
      <w:r>
        <w:rPr>
          <w:i/>
        </w:rPr>
        <w:t>16</w:t>
      </w:r>
      <w:r>
        <w:t>(3), pp.263-293.</w:t>
      </w:r>
    </w:p>
    <w:p w14:paraId="09801790" w14:textId="77777777" w:rsidR="002319B7" w:rsidRDefault="002319B7" w:rsidP="00B0159F">
      <w:pPr>
        <w:spacing w:before="240" w:after="240" w:line="360" w:lineRule="auto"/>
        <w:jc w:val="both"/>
        <w:rPr>
          <w:highlight w:val="white"/>
        </w:rPr>
      </w:pPr>
      <w:proofErr w:type="spellStart"/>
      <w:r>
        <w:rPr>
          <w:highlight w:val="white"/>
        </w:rPr>
        <w:t>Ssebiragala</w:t>
      </w:r>
      <w:proofErr w:type="spellEnd"/>
      <w:r>
        <w:rPr>
          <w:highlight w:val="white"/>
        </w:rPr>
        <w:t>, B., 2018. Employee Value Proposition, Transformational Leadership, Employee Engagement and Innovative work Behavior.</w:t>
      </w:r>
    </w:p>
    <w:p w14:paraId="1214A4F7" w14:textId="77777777" w:rsidR="002319B7" w:rsidRPr="002319B7" w:rsidRDefault="002319B7" w:rsidP="002319B7">
      <w:pPr>
        <w:spacing w:before="240" w:after="240" w:line="360" w:lineRule="auto"/>
        <w:jc w:val="both"/>
      </w:pPr>
      <w:r>
        <w:rPr>
          <w:highlight w:val="white"/>
        </w:rPr>
        <w:t xml:space="preserve">Sun, L. and </w:t>
      </w:r>
      <w:proofErr w:type="spellStart"/>
      <w:r>
        <w:rPr>
          <w:highlight w:val="white"/>
        </w:rPr>
        <w:t>Bunchapattanasakda</w:t>
      </w:r>
      <w:proofErr w:type="spellEnd"/>
      <w:r>
        <w:rPr>
          <w:highlight w:val="white"/>
        </w:rPr>
        <w:t xml:space="preserve">, C., 2019. Employee engagement: A literature review. </w:t>
      </w:r>
      <w:r>
        <w:rPr>
          <w:i/>
        </w:rPr>
        <w:t>International Journal of Human Resource Studies</w:t>
      </w:r>
      <w:r>
        <w:t xml:space="preserve">, </w:t>
      </w:r>
      <w:r>
        <w:rPr>
          <w:i/>
        </w:rPr>
        <w:t>9</w:t>
      </w:r>
      <w:r>
        <w:t>(1), pp.63-80.</w:t>
      </w:r>
    </w:p>
    <w:sectPr w:rsidR="002319B7" w:rsidRPr="002319B7" w:rsidSect="005610CC">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25652" w14:textId="77777777" w:rsidR="004227CB" w:rsidRDefault="004227CB" w:rsidP="005610CC">
      <w:pPr>
        <w:spacing w:line="240" w:lineRule="auto"/>
      </w:pPr>
      <w:r>
        <w:separator/>
      </w:r>
    </w:p>
  </w:endnote>
  <w:endnote w:type="continuationSeparator" w:id="0">
    <w:p w14:paraId="27BA6F4F" w14:textId="77777777" w:rsidR="004227CB" w:rsidRDefault="004227CB" w:rsidP="005610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DEB18" w14:textId="77777777" w:rsidR="005610CC" w:rsidRDefault="00D142CB">
    <w:pPr>
      <w:jc w:val="right"/>
    </w:pPr>
    <w:r>
      <w:fldChar w:fldCharType="begin"/>
    </w:r>
    <w:r w:rsidR="0045421B">
      <w:instrText>PAGE</w:instrText>
    </w:r>
    <w:r>
      <w:fldChar w:fldCharType="separate"/>
    </w:r>
    <w:r w:rsidR="00DD4D87">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8409D" w14:textId="77777777" w:rsidR="004227CB" w:rsidRDefault="004227CB" w:rsidP="005610CC">
      <w:pPr>
        <w:spacing w:line="240" w:lineRule="auto"/>
      </w:pPr>
      <w:r>
        <w:separator/>
      </w:r>
    </w:p>
  </w:footnote>
  <w:footnote w:type="continuationSeparator" w:id="0">
    <w:p w14:paraId="1DD1E064" w14:textId="77777777" w:rsidR="004227CB" w:rsidRDefault="004227CB" w:rsidP="005610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A3A3C"/>
    <w:multiLevelType w:val="hybridMultilevel"/>
    <w:tmpl w:val="00000000"/>
    <w:lvl w:ilvl="0" w:tplc="D2FEE728">
      <w:start w:val="1"/>
      <w:numFmt w:val="bullet"/>
      <w:lvlText w:val="●"/>
      <w:lvlJc w:val="left"/>
      <w:pPr>
        <w:ind w:left="720" w:hanging="360"/>
      </w:pPr>
      <w:rPr>
        <w:u w:val="none"/>
      </w:rPr>
    </w:lvl>
    <w:lvl w:ilvl="1" w:tplc="990C02E8">
      <w:start w:val="1"/>
      <w:numFmt w:val="bullet"/>
      <w:lvlText w:val="○"/>
      <w:lvlJc w:val="left"/>
      <w:pPr>
        <w:ind w:left="1440" w:hanging="360"/>
      </w:pPr>
      <w:rPr>
        <w:u w:val="none"/>
      </w:rPr>
    </w:lvl>
    <w:lvl w:ilvl="2" w:tplc="DAF475E8">
      <w:start w:val="1"/>
      <w:numFmt w:val="bullet"/>
      <w:lvlText w:val="■"/>
      <w:lvlJc w:val="left"/>
      <w:pPr>
        <w:ind w:left="2160" w:hanging="360"/>
      </w:pPr>
      <w:rPr>
        <w:u w:val="none"/>
      </w:rPr>
    </w:lvl>
    <w:lvl w:ilvl="3" w:tplc="AFCCD2BC">
      <w:start w:val="1"/>
      <w:numFmt w:val="bullet"/>
      <w:lvlText w:val="●"/>
      <w:lvlJc w:val="left"/>
      <w:pPr>
        <w:ind w:left="2880" w:hanging="360"/>
      </w:pPr>
      <w:rPr>
        <w:u w:val="none"/>
      </w:rPr>
    </w:lvl>
    <w:lvl w:ilvl="4" w:tplc="30768FA0">
      <w:start w:val="1"/>
      <w:numFmt w:val="bullet"/>
      <w:lvlText w:val="○"/>
      <w:lvlJc w:val="left"/>
      <w:pPr>
        <w:ind w:left="3600" w:hanging="360"/>
      </w:pPr>
      <w:rPr>
        <w:u w:val="none"/>
      </w:rPr>
    </w:lvl>
    <w:lvl w:ilvl="5" w:tplc="885E22B4">
      <w:start w:val="1"/>
      <w:numFmt w:val="bullet"/>
      <w:lvlText w:val="■"/>
      <w:lvlJc w:val="left"/>
      <w:pPr>
        <w:ind w:left="4320" w:hanging="360"/>
      </w:pPr>
      <w:rPr>
        <w:u w:val="none"/>
      </w:rPr>
    </w:lvl>
    <w:lvl w:ilvl="6" w:tplc="A79EFCD6">
      <w:start w:val="1"/>
      <w:numFmt w:val="bullet"/>
      <w:lvlText w:val="●"/>
      <w:lvlJc w:val="left"/>
      <w:pPr>
        <w:ind w:left="5040" w:hanging="360"/>
      </w:pPr>
      <w:rPr>
        <w:u w:val="none"/>
      </w:rPr>
    </w:lvl>
    <w:lvl w:ilvl="7" w:tplc="4288A5EA">
      <w:start w:val="1"/>
      <w:numFmt w:val="bullet"/>
      <w:lvlText w:val="○"/>
      <w:lvlJc w:val="left"/>
      <w:pPr>
        <w:ind w:left="5760" w:hanging="360"/>
      </w:pPr>
      <w:rPr>
        <w:u w:val="none"/>
      </w:rPr>
    </w:lvl>
    <w:lvl w:ilvl="8" w:tplc="71D455F4">
      <w:start w:val="1"/>
      <w:numFmt w:val="bullet"/>
      <w:lvlText w:val="■"/>
      <w:lvlJc w:val="left"/>
      <w:pPr>
        <w:ind w:left="6480" w:hanging="360"/>
      </w:pPr>
      <w:rPr>
        <w:u w:val="none"/>
      </w:rPr>
    </w:lvl>
  </w:abstractNum>
  <w:abstractNum w:abstractNumId="1" w15:restartNumberingAfterBreak="0">
    <w:nsid w:val="405FD61E"/>
    <w:multiLevelType w:val="hybridMultilevel"/>
    <w:tmpl w:val="00000000"/>
    <w:lvl w:ilvl="0" w:tplc="5838E018">
      <w:start w:val="1"/>
      <w:numFmt w:val="decimal"/>
      <w:lvlText w:val="%1."/>
      <w:lvlJc w:val="left"/>
      <w:pPr>
        <w:ind w:left="720" w:hanging="360"/>
      </w:pPr>
      <w:rPr>
        <w:u w:val="none"/>
      </w:rPr>
    </w:lvl>
    <w:lvl w:ilvl="1" w:tplc="833AB1B0">
      <w:start w:val="1"/>
      <w:numFmt w:val="lowerLetter"/>
      <w:lvlText w:val="%2."/>
      <w:lvlJc w:val="left"/>
      <w:pPr>
        <w:ind w:left="1440" w:hanging="360"/>
      </w:pPr>
      <w:rPr>
        <w:u w:val="none"/>
      </w:rPr>
    </w:lvl>
    <w:lvl w:ilvl="2" w:tplc="5A027F80">
      <w:start w:val="1"/>
      <w:numFmt w:val="lowerRoman"/>
      <w:lvlText w:val="%3."/>
      <w:lvlJc w:val="right"/>
      <w:pPr>
        <w:ind w:left="2160" w:hanging="360"/>
      </w:pPr>
      <w:rPr>
        <w:u w:val="none"/>
      </w:rPr>
    </w:lvl>
    <w:lvl w:ilvl="3" w:tplc="EF449736">
      <w:start w:val="1"/>
      <w:numFmt w:val="decimal"/>
      <w:lvlText w:val="%4."/>
      <w:lvlJc w:val="left"/>
      <w:pPr>
        <w:ind w:left="2880" w:hanging="360"/>
      </w:pPr>
      <w:rPr>
        <w:u w:val="none"/>
      </w:rPr>
    </w:lvl>
    <w:lvl w:ilvl="4" w:tplc="6E20353C">
      <w:start w:val="1"/>
      <w:numFmt w:val="lowerLetter"/>
      <w:lvlText w:val="%5."/>
      <w:lvlJc w:val="left"/>
      <w:pPr>
        <w:ind w:left="3600" w:hanging="360"/>
      </w:pPr>
      <w:rPr>
        <w:u w:val="none"/>
      </w:rPr>
    </w:lvl>
    <w:lvl w:ilvl="5" w:tplc="AD6A6140">
      <w:start w:val="1"/>
      <w:numFmt w:val="lowerRoman"/>
      <w:lvlText w:val="%6."/>
      <w:lvlJc w:val="right"/>
      <w:pPr>
        <w:ind w:left="4320" w:hanging="360"/>
      </w:pPr>
      <w:rPr>
        <w:u w:val="none"/>
      </w:rPr>
    </w:lvl>
    <w:lvl w:ilvl="6" w:tplc="6A581682">
      <w:start w:val="1"/>
      <w:numFmt w:val="decimal"/>
      <w:lvlText w:val="%7."/>
      <w:lvlJc w:val="left"/>
      <w:pPr>
        <w:ind w:left="5040" w:hanging="360"/>
      </w:pPr>
      <w:rPr>
        <w:u w:val="none"/>
      </w:rPr>
    </w:lvl>
    <w:lvl w:ilvl="7" w:tplc="FD16FE90">
      <w:start w:val="1"/>
      <w:numFmt w:val="lowerLetter"/>
      <w:lvlText w:val="%8."/>
      <w:lvlJc w:val="left"/>
      <w:pPr>
        <w:ind w:left="5760" w:hanging="360"/>
      </w:pPr>
      <w:rPr>
        <w:u w:val="none"/>
      </w:rPr>
    </w:lvl>
    <w:lvl w:ilvl="8" w:tplc="A714507C">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610CC"/>
    <w:rsid w:val="001A172A"/>
    <w:rsid w:val="002319B7"/>
    <w:rsid w:val="003676BD"/>
    <w:rsid w:val="004227CB"/>
    <w:rsid w:val="0045421B"/>
    <w:rsid w:val="005610CC"/>
    <w:rsid w:val="00616C3A"/>
    <w:rsid w:val="006B266D"/>
    <w:rsid w:val="007142FD"/>
    <w:rsid w:val="00B0159F"/>
    <w:rsid w:val="00CA04FC"/>
    <w:rsid w:val="00CE5ADE"/>
    <w:rsid w:val="00D142CB"/>
    <w:rsid w:val="00DD4D87"/>
    <w:rsid w:val="00E70F57"/>
    <w:rsid w:val="00F51BD3"/>
    <w:rsid w:val="00F741FB"/>
    <w:rsid w:val="00F95287"/>
    <w:rsid w:val="00FA71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26A3C"/>
  <w15:docId w15:val="{0606D6C0-CFC1-441F-8D36-17CBEA7EE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610CC"/>
  </w:style>
  <w:style w:type="paragraph" w:styleId="Heading1">
    <w:name w:val="heading 1"/>
    <w:basedOn w:val="Normal"/>
    <w:next w:val="Normal"/>
    <w:rsid w:val="005610CC"/>
    <w:pPr>
      <w:keepNext/>
      <w:keepLines/>
      <w:spacing w:before="400" w:after="120"/>
      <w:outlineLvl w:val="0"/>
    </w:pPr>
    <w:rPr>
      <w:sz w:val="40"/>
      <w:szCs w:val="40"/>
    </w:rPr>
  </w:style>
  <w:style w:type="paragraph" w:styleId="Heading2">
    <w:name w:val="heading 2"/>
    <w:basedOn w:val="Normal"/>
    <w:next w:val="Normal"/>
    <w:rsid w:val="005610CC"/>
    <w:pPr>
      <w:keepNext/>
      <w:keepLines/>
      <w:spacing w:before="360" w:after="120"/>
      <w:outlineLvl w:val="1"/>
    </w:pPr>
    <w:rPr>
      <w:sz w:val="32"/>
      <w:szCs w:val="32"/>
    </w:rPr>
  </w:style>
  <w:style w:type="paragraph" w:styleId="Heading3">
    <w:name w:val="heading 3"/>
    <w:basedOn w:val="Normal"/>
    <w:next w:val="Normal"/>
    <w:rsid w:val="005610CC"/>
    <w:pPr>
      <w:keepNext/>
      <w:keepLines/>
      <w:spacing w:before="320" w:after="80"/>
      <w:outlineLvl w:val="2"/>
    </w:pPr>
    <w:rPr>
      <w:color w:val="434343"/>
      <w:sz w:val="28"/>
      <w:szCs w:val="28"/>
    </w:rPr>
  </w:style>
  <w:style w:type="paragraph" w:styleId="Heading4">
    <w:name w:val="heading 4"/>
    <w:basedOn w:val="Normal"/>
    <w:next w:val="Normal"/>
    <w:rsid w:val="005610CC"/>
    <w:pPr>
      <w:keepNext/>
      <w:keepLines/>
      <w:spacing w:before="280" w:after="80"/>
      <w:outlineLvl w:val="3"/>
    </w:pPr>
    <w:rPr>
      <w:color w:val="666666"/>
      <w:sz w:val="24"/>
      <w:szCs w:val="24"/>
    </w:rPr>
  </w:style>
  <w:style w:type="paragraph" w:styleId="Heading5">
    <w:name w:val="heading 5"/>
    <w:basedOn w:val="Normal"/>
    <w:next w:val="Normal"/>
    <w:rsid w:val="005610CC"/>
    <w:pPr>
      <w:keepNext/>
      <w:keepLines/>
      <w:spacing w:before="240" w:after="80"/>
      <w:outlineLvl w:val="4"/>
    </w:pPr>
    <w:rPr>
      <w:color w:val="666666"/>
    </w:rPr>
  </w:style>
  <w:style w:type="paragraph" w:styleId="Heading6">
    <w:name w:val="heading 6"/>
    <w:basedOn w:val="Normal"/>
    <w:next w:val="Normal"/>
    <w:rsid w:val="005610C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610CC"/>
    <w:pPr>
      <w:keepNext/>
      <w:keepLines/>
      <w:spacing w:after="60"/>
    </w:pPr>
    <w:rPr>
      <w:sz w:val="52"/>
      <w:szCs w:val="52"/>
    </w:rPr>
  </w:style>
  <w:style w:type="paragraph" w:styleId="Subtitle">
    <w:name w:val="Subtitle"/>
    <w:basedOn w:val="Normal"/>
    <w:next w:val="Normal"/>
    <w:rsid w:val="005610CC"/>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B0159F"/>
    <w:pPr>
      <w:spacing w:before="480" w:after="0"/>
      <w:outlineLvl w:val="9"/>
    </w:pPr>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B0159F"/>
    <w:pPr>
      <w:spacing w:after="100"/>
    </w:pPr>
  </w:style>
  <w:style w:type="character" w:styleId="Hyperlink">
    <w:name w:val="Hyperlink"/>
    <w:basedOn w:val="DefaultParagraphFont"/>
    <w:uiPriority w:val="99"/>
    <w:unhideWhenUsed/>
    <w:rsid w:val="00B0159F"/>
    <w:rPr>
      <w:color w:val="0000FF" w:themeColor="hyperlink"/>
      <w:u w:val="single"/>
    </w:rPr>
  </w:style>
  <w:style w:type="paragraph" w:styleId="BalloonText">
    <w:name w:val="Balloon Text"/>
    <w:basedOn w:val="Normal"/>
    <w:link w:val="BalloonTextChar"/>
    <w:uiPriority w:val="99"/>
    <w:semiHidden/>
    <w:unhideWhenUsed/>
    <w:rsid w:val="00B015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159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92C3A6-65EB-43A6-8D97-5E51ED7DC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2405</Words>
  <Characters>13711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2024 - Daria-Maria Musat</cp:lastModifiedBy>
  <cp:revision>11</cp:revision>
  <dcterms:created xsi:type="dcterms:W3CDTF">2021-12-22T11:27:00Z</dcterms:created>
  <dcterms:modified xsi:type="dcterms:W3CDTF">2022-01-03T18:16:00Z</dcterms:modified>
</cp:coreProperties>
</file>