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0E5D" w:rsidRDefault="00910E5D" w:rsidP="005A51FF">
      <w:pPr>
        <w:jc w:val="center"/>
        <w:rPr>
          <w:b/>
          <w:sz w:val="72"/>
          <w:szCs w:val="72"/>
        </w:rPr>
      </w:pPr>
    </w:p>
    <w:p w:rsidR="00910E5D" w:rsidRDefault="00910E5D" w:rsidP="005A51FF">
      <w:pPr>
        <w:jc w:val="center"/>
        <w:rPr>
          <w:b/>
          <w:sz w:val="72"/>
          <w:szCs w:val="72"/>
        </w:rPr>
      </w:pPr>
    </w:p>
    <w:p w:rsidR="009E6806" w:rsidRPr="005A51FF" w:rsidRDefault="005A51FF" w:rsidP="005A51FF">
      <w:pPr>
        <w:jc w:val="center"/>
        <w:rPr>
          <w:b/>
          <w:sz w:val="72"/>
          <w:szCs w:val="72"/>
        </w:rPr>
      </w:pPr>
      <w:r w:rsidRPr="005A51FF">
        <w:rPr>
          <w:b/>
          <w:sz w:val="72"/>
          <w:szCs w:val="72"/>
        </w:rPr>
        <w:t>Yr Athro Ymholgar</w:t>
      </w:r>
    </w:p>
    <w:p w:rsidR="005A51FF" w:rsidRDefault="005A51FF" w:rsidP="005A51FF">
      <w:pPr>
        <w:jc w:val="center"/>
        <w:rPr>
          <w:b/>
          <w:sz w:val="72"/>
          <w:szCs w:val="72"/>
        </w:rPr>
      </w:pPr>
      <w:r w:rsidRPr="005A51FF">
        <w:rPr>
          <w:b/>
          <w:sz w:val="72"/>
          <w:szCs w:val="72"/>
        </w:rPr>
        <w:t>ECPP6001 – C</w:t>
      </w:r>
    </w:p>
    <w:p w:rsidR="00910E5D" w:rsidRDefault="00910E5D" w:rsidP="005A51FF">
      <w:pPr>
        <w:jc w:val="center"/>
        <w:rPr>
          <w:sz w:val="52"/>
          <w:szCs w:val="52"/>
        </w:rPr>
      </w:pPr>
    </w:p>
    <w:p w:rsidR="005A51FF" w:rsidRDefault="005A51FF" w:rsidP="005A51FF">
      <w:pPr>
        <w:jc w:val="center"/>
        <w:rPr>
          <w:sz w:val="52"/>
          <w:szCs w:val="52"/>
        </w:rPr>
      </w:pPr>
      <w:r>
        <w:rPr>
          <w:sz w:val="52"/>
          <w:szCs w:val="52"/>
        </w:rPr>
        <w:t>Rhif y Fyfyriwr – 1502259</w:t>
      </w:r>
    </w:p>
    <w:p w:rsidR="005A51FF" w:rsidRPr="005A51FF" w:rsidRDefault="005A51FF" w:rsidP="005A51FF">
      <w:pPr>
        <w:jc w:val="center"/>
        <w:rPr>
          <w:sz w:val="52"/>
          <w:szCs w:val="52"/>
        </w:rPr>
      </w:pPr>
      <w:r>
        <w:rPr>
          <w:sz w:val="52"/>
          <w:szCs w:val="52"/>
        </w:rPr>
        <w:t xml:space="preserve">Nifer o Eiriau - </w:t>
      </w:r>
      <w:r w:rsidR="002A1E0F">
        <w:rPr>
          <w:sz w:val="52"/>
          <w:szCs w:val="52"/>
        </w:rPr>
        <w:t>62</w:t>
      </w:r>
      <w:r w:rsidR="00DF721B">
        <w:rPr>
          <w:sz w:val="52"/>
          <w:szCs w:val="52"/>
        </w:rPr>
        <w:t>90</w:t>
      </w:r>
    </w:p>
    <w:p w:rsidR="005A51FF" w:rsidRDefault="005A51FF"/>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2E55A2" w:rsidRPr="00537860" w:rsidRDefault="002E55A2" w:rsidP="008E6D22">
      <w:pPr>
        <w:spacing w:line="360" w:lineRule="auto"/>
        <w:rPr>
          <w:b/>
          <w:sz w:val="24"/>
          <w:szCs w:val="24"/>
        </w:rPr>
      </w:pPr>
      <w:r w:rsidRPr="00537860">
        <w:rPr>
          <w:b/>
          <w:sz w:val="24"/>
          <w:szCs w:val="24"/>
          <w:u w:val="single"/>
        </w:rPr>
        <w:lastRenderedPageBreak/>
        <w:t xml:space="preserve">Cwestiwn Ymchwil – </w:t>
      </w:r>
      <w:r w:rsidRPr="00537860">
        <w:rPr>
          <w:b/>
          <w:sz w:val="24"/>
          <w:szCs w:val="24"/>
        </w:rPr>
        <w:t xml:space="preserve">Sut </w:t>
      </w:r>
      <w:r w:rsidR="007300F8">
        <w:rPr>
          <w:b/>
          <w:sz w:val="24"/>
          <w:szCs w:val="24"/>
        </w:rPr>
        <w:t>y gallwn ni</w:t>
      </w:r>
      <w:r w:rsidRPr="00537860">
        <w:rPr>
          <w:b/>
          <w:sz w:val="24"/>
          <w:szCs w:val="24"/>
        </w:rPr>
        <w:t xml:space="preserve"> ddatblygu dealltwriaeth plant o nod y wers gan ddefnyddio meini prawf llwyddiant?</w:t>
      </w:r>
    </w:p>
    <w:p w:rsidR="002E55A2" w:rsidRPr="00537860" w:rsidRDefault="002E55A2" w:rsidP="008E6D22">
      <w:pPr>
        <w:spacing w:line="360" w:lineRule="auto"/>
        <w:rPr>
          <w:sz w:val="24"/>
          <w:szCs w:val="24"/>
          <w:u w:val="single"/>
        </w:rPr>
      </w:pPr>
      <w:r w:rsidRPr="00537860">
        <w:rPr>
          <w:sz w:val="24"/>
          <w:szCs w:val="24"/>
          <w:u w:val="single"/>
        </w:rPr>
        <w:t xml:space="preserve">Cyflwyniad </w:t>
      </w:r>
    </w:p>
    <w:p w:rsidR="002E55A2" w:rsidRPr="00537860" w:rsidRDefault="004F3C65" w:rsidP="008E6D22">
      <w:pPr>
        <w:spacing w:line="360" w:lineRule="auto"/>
        <w:rPr>
          <w:rFonts w:cstheme="minorHAnsi"/>
          <w:sz w:val="24"/>
          <w:szCs w:val="24"/>
          <w:lang w:eastAsia="en-GB"/>
        </w:rPr>
      </w:pPr>
      <w:r>
        <w:rPr>
          <w:rFonts w:ascii="Calibri" w:hAnsi="Calibri" w:cs="Calibri"/>
          <w:sz w:val="24"/>
          <w:szCs w:val="24"/>
        </w:rPr>
        <w:t>Nod yr ymchwil yma yw gweld sut gall ddatblygu dealltwriaeth plant o nod y wers trwy ddefnyddio meini prawf llwyddiant. Yr amcan yw gallu defnyddio’r wybodaeth o’r ymchwil i ddatblygu dealltwriaeth plant o nod y wers a sut i’w ddefnyddio yn effeithiol. Ffocws yr ymchwil bydd i weld sut mae plant yn defnyddio meini prawf llwyddiant i’w cynorthwyo i gyrraedd nod y wers a sut gall addasu neu ymestyn hyn i ddysgu mwy effeithiol digwydd. Pwrpas yr ymchwil yw cyfrannu at ardal o ymchwil sydd angen mwy o dystiolaeth fel gwelir yn yr adran llenyddiaeth ac felly i gyfrannu at wella addysg i blant.</w:t>
      </w:r>
    </w:p>
    <w:p w:rsidR="002E55A2" w:rsidRPr="00537860" w:rsidRDefault="004F3C65" w:rsidP="008E6D22">
      <w:pPr>
        <w:spacing w:line="360" w:lineRule="auto"/>
        <w:rPr>
          <w:sz w:val="24"/>
          <w:szCs w:val="24"/>
        </w:rPr>
      </w:pPr>
      <w:r>
        <w:rPr>
          <w:rFonts w:ascii="Calibri" w:hAnsi="Calibri" w:cs="Calibri"/>
          <w:sz w:val="24"/>
          <w:szCs w:val="24"/>
        </w:rPr>
        <w:t>Mae ysgol 1 yng nghanol pentref bach o fewn awdurdod addysg leol Sir Gaerfyrddin. Fe agorwyd adeilad newydd ar safle’r hen ysgol ym mis Medi 2017.  Mae 166 o ddisgyblion yn mynychu’r ysgol, wedi’u rhannu mewn i 8 dosbarth.  Yn 2014, fe drosglwyddodd yr ysgol o gategori A/B o dan bolisi iaith Sir Gaerfyrddin i fod yn ysgol categori A, sef ysgol ble mae’r Gymraeg yn brif gyfrwng yr addysgu a’r dysgu (Estyn, 2017). Mae tua 32% o ddisgyblion yn gymwys i dderbyn prydau ysgol am ddim, mae hyn yn sylweddol uwch na’r canran cenedlaethol (Estyn, 2017).  Mae tua 34% o’r disgyblion yn dod o gartrefi ble mae o leiaf un rhiant yn siarad Cymraeg ac ychydig iawn sydd o gefndir lleiafrifol ethnig (Estyn, 2017).  Mae’r ysgol wedi adnabod 27% o’i disgyblion fel rhai sydd ag anghenion dysgu ychwanegol eto, mae hyn yn uwch na’r canran cenedlaethol (Estyn, 2017).</w:t>
      </w:r>
    </w:p>
    <w:p w:rsidR="002E55A2" w:rsidRPr="00537860" w:rsidRDefault="004F3C65" w:rsidP="008E6D22">
      <w:pPr>
        <w:spacing w:line="360" w:lineRule="auto"/>
        <w:rPr>
          <w:sz w:val="24"/>
          <w:szCs w:val="24"/>
        </w:rPr>
      </w:pPr>
      <w:r>
        <w:rPr>
          <w:rFonts w:ascii="Calibri" w:hAnsi="Calibri" w:cs="Calibri"/>
          <w:sz w:val="24"/>
          <w:szCs w:val="24"/>
        </w:rPr>
        <w:t>Mae ysgol 2 hefyd ym mhentref ac mae’n cael ei chynnal gan awdurdod addysg leol Sir Abertawe. Mae 482 disgybl rhwng 3 ac 11 oed ar y gofrestr, yn cynnwys 70 oed meithrin rhan amser ac mae’r disgyblion wedi eu rhannu rhwng 17 dosbarth (Estyn, 2018).  Cymraeg yw prif gyfrwng gwaith a bywyd yr ysgol. Tros dreigl tair blynedd, mae tua 7% o’r disgyblion yn gymwys i dderbyn prydau ysgol am ddim sydd yn llawer is na’r ganran genedlaethol, sef 18% (Estyn, 2018).  Mae 10% o’r disgyblion yn siarad Cymraeg gartref ac ychydig iawn sydd o gefndir lleiafrifol ethnig (Estyn, 2018).  Mae’r ysgol wedi adnabod 22% o’i disgyblion fel rhai sydd ag anghenion dysgu ychwanegol sydd yn debyg i’r ganran genedlaethol, sef 21% ac ychydig iawn sydd â datganiad o anghenion addysgol arbennig (Estyn, 2018).</w:t>
      </w:r>
    </w:p>
    <w:p w:rsidR="00D41AD0" w:rsidRPr="00D41AD0" w:rsidRDefault="00D41AD0" w:rsidP="008E6D22">
      <w:pPr>
        <w:spacing w:line="360" w:lineRule="auto"/>
        <w:rPr>
          <w:sz w:val="24"/>
          <w:szCs w:val="24"/>
          <w:u w:val="single"/>
        </w:rPr>
      </w:pPr>
      <w:r w:rsidRPr="00D41AD0">
        <w:rPr>
          <w:sz w:val="24"/>
          <w:szCs w:val="24"/>
          <w:u w:val="single"/>
        </w:rPr>
        <w:lastRenderedPageBreak/>
        <w:t xml:space="preserve">Adolygiad Llenyddiaeth </w:t>
      </w:r>
    </w:p>
    <w:p w:rsidR="00D41AD0" w:rsidRPr="00D41AD0" w:rsidRDefault="00D41AD0" w:rsidP="008E6D22">
      <w:pPr>
        <w:spacing w:line="360" w:lineRule="auto"/>
        <w:rPr>
          <w:sz w:val="24"/>
          <w:szCs w:val="24"/>
        </w:rPr>
      </w:pPr>
      <w:r w:rsidRPr="00D41AD0">
        <w:rPr>
          <w:rFonts w:ascii="Calibri" w:hAnsi="Calibri" w:cs="Calibri"/>
          <w:sz w:val="24"/>
          <w:szCs w:val="24"/>
        </w:rPr>
        <w:t xml:space="preserve">Yma </w:t>
      </w:r>
      <w:r w:rsidR="00117069">
        <w:rPr>
          <w:rFonts w:ascii="Calibri" w:hAnsi="Calibri" w:cs="Calibri"/>
          <w:sz w:val="24"/>
          <w:szCs w:val="24"/>
        </w:rPr>
        <w:t>mae edrychiad</w:t>
      </w:r>
      <w:r w:rsidRPr="00D41AD0">
        <w:rPr>
          <w:rFonts w:ascii="Calibri" w:hAnsi="Calibri" w:cs="Calibri"/>
          <w:sz w:val="24"/>
          <w:szCs w:val="24"/>
        </w:rPr>
        <w:t xml:space="preserve"> ar lenyddiaeth gefndirol y maes yma gan edrych ar asesu ar gyfer dysgu ac yna defnydd o nod y wers a meini prawf llwyddiant yn fwy penodol. Mae asesu ar gyfer dysgu wedi cael ei ymchwilio’n </w:t>
      </w:r>
      <w:r w:rsidR="002B7458">
        <w:rPr>
          <w:rFonts w:ascii="Calibri" w:hAnsi="Calibri" w:cs="Calibri"/>
          <w:sz w:val="24"/>
          <w:szCs w:val="24"/>
        </w:rPr>
        <w:t>helaeth</w:t>
      </w:r>
      <w:r w:rsidRPr="00D41AD0">
        <w:rPr>
          <w:rFonts w:ascii="Calibri" w:hAnsi="Calibri" w:cs="Calibri"/>
          <w:sz w:val="24"/>
          <w:szCs w:val="24"/>
        </w:rPr>
        <w:t xml:space="preserve"> yn y blynyddoedd diwethaf fel dwed</w:t>
      </w:r>
      <w:r w:rsidR="001F6244">
        <w:rPr>
          <w:rFonts w:ascii="Calibri" w:hAnsi="Calibri" w:cs="Calibri"/>
          <w:sz w:val="24"/>
          <w:szCs w:val="24"/>
        </w:rPr>
        <w:t>wyd</w:t>
      </w:r>
      <w:r w:rsidRPr="00D41AD0">
        <w:rPr>
          <w:rFonts w:ascii="Calibri" w:hAnsi="Calibri" w:cs="Calibri"/>
          <w:sz w:val="24"/>
          <w:szCs w:val="24"/>
        </w:rPr>
        <w:t xml:space="preserve"> gan Lam (2016) ond mae yna llai o ymchwil penodol i ddefnydd nod y wers a meini prawf llwyddiant i’w weld, yn enwedig yng Nghymru.</w:t>
      </w:r>
    </w:p>
    <w:p w:rsidR="00D41AD0" w:rsidRPr="00D41AD0" w:rsidRDefault="004F3C65" w:rsidP="008E6D22">
      <w:pPr>
        <w:spacing w:line="360" w:lineRule="auto"/>
        <w:rPr>
          <w:sz w:val="24"/>
          <w:szCs w:val="24"/>
        </w:rPr>
      </w:pPr>
      <w:r>
        <w:rPr>
          <w:rFonts w:ascii="Calibri" w:hAnsi="Calibri" w:cs="Calibri"/>
          <w:sz w:val="24"/>
          <w:szCs w:val="24"/>
        </w:rPr>
        <w:t xml:space="preserve">Dywed Black </w:t>
      </w:r>
      <w:r>
        <w:rPr>
          <w:rFonts w:ascii="Calibri" w:hAnsi="Calibri" w:cs="Calibri"/>
          <w:i/>
          <w:iCs/>
          <w:sz w:val="24"/>
          <w:szCs w:val="24"/>
        </w:rPr>
        <w:t xml:space="preserve">et al </w:t>
      </w:r>
      <w:r>
        <w:rPr>
          <w:rFonts w:ascii="Calibri" w:hAnsi="Calibri" w:cs="Calibri"/>
          <w:sz w:val="24"/>
          <w:szCs w:val="24"/>
        </w:rPr>
        <w:t xml:space="preserve">(2007) mai asesu ar gyfer dysgu yw unrhyw asesu lle ei brif bwrpas yw hyrwyddo dysgu’r disgyblion. Mae Black </w:t>
      </w:r>
      <w:r>
        <w:rPr>
          <w:rFonts w:ascii="Calibri" w:hAnsi="Calibri" w:cs="Calibri"/>
          <w:i/>
          <w:iCs/>
          <w:sz w:val="24"/>
          <w:szCs w:val="24"/>
        </w:rPr>
        <w:t xml:space="preserve">et al </w:t>
      </w:r>
      <w:r>
        <w:rPr>
          <w:rFonts w:ascii="Calibri" w:hAnsi="Calibri" w:cs="Calibri"/>
          <w:sz w:val="24"/>
          <w:szCs w:val="24"/>
        </w:rPr>
        <w:t xml:space="preserve">(2007) yn mynd ymlaen i ddweud bod asesu ar gyfer dysgu yn anffurfiol a dylir digwydd trwy bob agwedd o ddysgu ac addysgu. Mae asesu ar gyfer dysgu yn fath o asesiad ffurfiannol gan fod yn galluogi addasu i gyrraedd anghenion dysgu pob disgybl (Black </w:t>
      </w:r>
      <w:r>
        <w:rPr>
          <w:rFonts w:ascii="Calibri" w:hAnsi="Calibri" w:cs="Calibri"/>
          <w:i/>
          <w:iCs/>
          <w:sz w:val="24"/>
          <w:szCs w:val="24"/>
        </w:rPr>
        <w:t xml:space="preserve">et al, </w:t>
      </w:r>
      <w:r>
        <w:rPr>
          <w:rFonts w:ascii="Calibri" w:hAnsi="Calibri" w:cs="Calibri"/>
          <w:sz w:val="24"/>
          <w:szCs w:val="24"/>
        </w:rPr>
        <w:t xml:space="preserve">2007). Wrth ddefnyddio asesu ar gyfer dysgu trwy’r amser fel awgrymwyd gan Black </w:t>
      </w:r>
      <w:r>
        <w:rPr>
          <w:rFonts w:ascii="Calibri" w:hAnsi="Calibri" w:cs="Calibri"/>
          <w:i/>
          <w:iCs/>
          <w:sz w:val="24"/>
          <w:szCs w:val="24"/>
        </w:rPr>
        <w:t xml:space="preserve">et al </w:t>
      </w:r>
      <w:r>
        <w:rPr>
          <w:rFonts w:ascii="Calibri" w:hAnsi="Calibri" w:cs="Calibri"/>
          <w:sz w:val="24"/>
          <w:szCs w:val="24"/>
        </w:rPr>
        <w:t xml:space="preserve">(2007) gall defnyddio’r wybodaeth i dracio pob disgybl a dylai pob plentyn dangos cynnydd felly. Mae Black </w:t>
      </w:r>
      <w:r>
        <w:rPr>
          <w:rFonts w:ascii="Calibri" w:hAnsi="Calibri" w:cs="Calibri"/>
          <w:i/>
          <w:iCs/>
          <w:sz w:val="24"/>
          <w:szCs w:val="24"/>
        </w:rPr>
        <w:t xml:space="preserve">et al </w:t>
      </w:r>
      <w:r>
        <w:rPr>
          <w:rFonts w:ascii="Calibri" w:hAnsi="Calibri" w:cs="Calibri"/>
          <w:sz w:val="24"/>
          <w:szCs w:val="24"/>
        </w:rPr>
        <w:t>(2007) yn datgan hefyd bod yna digon o dystiolaeth i ddangos bod defnydd da o asesu ar gyfer dysgu yn cael effaith cadarnhaol ar ganlyniadau profion ynghyd a’r effaith cadarnhaol ar ddysgu’r disgyblion yn gyffredinol. Os mae hyn yn wir mae asesu ar gyfer dysgu i’w ystyried fel ffordd effeithiol iawn o ymestyn dysgu’r disgyblion.</w:t>
      </w:r>
    </w:p>
    <w:p w:rsidR="00D41AD0" w:rsidRPr="00D41AD0" w:rsidRDefault="004F3C65" w:rsidP="008E6D22">
      <w:pPr>
        <w:spacing w:line="360" w:lineRule="auto"/>
        <w:rPr>
          <w:sz w:val="24"/>
          <w:szCs w:val="24"/>
        </w:rPr>
      </w:pPr>
      <w:r>
        <w:rPr>
          <w:rFonts w:ascii="Calibri" w:hAnsi="Calibri" w:cs="Calibri"/>
          <w:sz w:val="24"/>
          <w:szCs w:val="24"/>
        </w:rPr>
        <w:t xml:space="preserve">Yn yr ymchwil yma mae asesu ar gyfer dysgu yn digwydd mewn mwy na un ffordd ond y prif ffocws yw ar ddefnydd y meini prawf llwyddiant i gyrraedd nod y wers. Mae astudiaeth Umugiraneza, Bansilal a North (2018) yn dadansoddi sut mae athrawon yn ffurfio nod y wers, er bod yr ymchwil yma’n benodol i fathemateg bydd yn drosglwyddadwy i bynciau eraill ac felly’n berthnasol i’r astudiaeth yma. Gwnaeth canlyniadau astudiaeth Umugiraneza, Bansilal a North (2018) dangos bod dim ond 64% o’r athrawon cyfrannwyd wedi darparu nod y wers yn glir. De Africa oedd lleoliad yr astudiaeth yma ac felly dydi’r canran yma ddim yn berthnasol i Gymru yn uniongyrchol ond dangosir nes ymlaen bod angen blaenoriaethu gwneud nod y wers yn glir i addysgu bod yn fwy effeithiol, sydd yn berthnasol i bob gwlad. Mae yna ddiffyg gwybodaeth yn y maes sydd yn benodol i Gymru neu’r DU ac felly mae yna fwlch i’w lenwi fan hyn. Mae Umugiraneza, Bansilal a North (2018) yn dweud dylir athrawon ffocysu ar beth maent eisiau i’w disgyblion gwybod erbyn diwedd y wers cyn dechrau cynllunio’r gweithgareddau. Maent yn cryfhau hyn gan ddweud heb nod </w:t>
      </w:r>
      <w:r>
        <w:rPr>
          <w:rFonts w:ascii="Calibri" w:hAnsi="Calibri" w:cs="Calibri"/>
          <w:sz w:val="24"/>
          <w:szCs w:val="24"/>
        </w:rPr>
        <w:lastRenderedPageBreak/>
        <w:t>y wers glir cyn dechrau, bydd y wers ddim yn ganolbwyntiedig a gall y disgyblion gweld hi’n anodd gwybod beth dylir bod yn dysgu. Mae’r pwysigrwydd yma roddwyd i nod y wers yn dangos gall cael effaith mawr ar ddysgu plant ac felly mae unrhyw ymchwil sydd yn ychwanegu at hyn yn werthfawr. Mae’r pwyslais rhoddwyd ar sefydlu nod y wers sydd yn glir gan Umugiraneza, Bansilal a North (2018) yn annog meddwl am wahanol ffyrdd gall gwneud hyn. Gall ystyried rhoi cyfle i’r plant dewis nod y wers eu hun gan fydd hyn yn rhoi mwy o gyfle iddynt ddeall a gall hefyd rhoi mwy o gymhelliant iddynt anelu ati gan fydd mwy o berchnogaeth ganddynt.</w:t>
      </w:r>
    </w:p>
    <w:p w:rsidR="00D41AD0" w:rsidRPr="00D41AD0" w:rsidRDefault="004F3C65" w:rsidP="008E6D22">
      <w:pPr>
        <w:spacing w:line="360" w:lineRule="auto"/>
        <w:rPr>
          <w:sz w:val="24"/>
          <w:szCs w:val="24"/>
        </w:rPr>
      </w:pPr>
      <w:r>
        <w:rPr>
          <w:rFonts w:ascii="Calibri" w:hAnsi="Calibri" w:cs="Calibri"/>
          <w:sz w:val="24"/>
          <w:szCs w:val="24"/>
        </w:rPr>
        <w:t>Dwedwyd gan Crichton a McDaid (2016) derbyniwyd yn gyffredinol bod strategaethau asesu ar gyfer dysgu yn effeithiol ar gyfer dysgu ac addysgu. Mae hyn yn cael ei atgyfnerthu gan erthygl arfer effeithiol gan Estyn (2018) sydd yn dangos sut mae Ysgol Gynradd Gaer wedi gallu defnyddio asesu ar gyfer dysgu i atgyfnerthu dysgu. Mae Crichton a McDaid (2016) yn mynd ymlaen i ymchwilio canfyddiadau athrawon a disgyblion o strategaethau asesu ar gyfer dysgu, yn ffocysu’n benodol ar fwriadau’r dysgu a meini prawf llwyddiant. Mae’r astudiaeth yma gan Crichton a McDaid (2016) yn berthnasol iawn i’r ymchwil yma oherwydd mae’n edrych ar feini prawf llwyddiant yn benodol a’u heffeithiolrwydd fel modd o asesu ar gyfer dysgu. Mae Crichton a McDaid (2016) yn esbonio’n syml ond yn glir bod meini prawf llwyddiant yn gysylltiedig â nod y wers gan ddweud wrth y disgyblion sut byddent yn cydnabod bod nhw wedi bod yn llwyddiannus. Mae’r esboniad yma’n dweud yn union bwrpas y meini prawf llwyddiant a bydd yn allweddol i’r astudiaeth yma. Gwnaeth canlyniadau astudiaeth Crichton a McDaid (2016) dangos bod defnyddioldeb meini prawf llwyddiant wedi’i gytuno ond yn ymarferol roeddent dim yn cael ei drafod yn y dosbarth. Gall ystyried bod y canlyniadau yma oherwydd nid ydy meini prawf llwyddiant yn cael ei ddefnyddio’n effeithiol ar rai adegau er i athrawon adnabod ei effaith, bydd angen mwy o ymchwil i gyfiawnhau hyn.</w:t>
      </w:r>
    </w:p>
    <w:p w:rsidR="00D41AD0" w:rsidRPr="00D41AD0" w:rsidRDefault="004F3C65" w:rsidP="008E6D22">
      <w:pPr>
        <w:spacing w:line="360" w:lineRule="auto"/>
        <w:rPr>
          <w:sz w:val="24"/>
          <w:szCs w:val="24"/>
        </w:rPr>
      </w:pPr>
      <w:r>
        <w:rPr>
          <w:rFonts w:ascii="Calibri" w:hAnsi="Calibri" w:cs="Calibri"/>
          <w:sz w:val="24"/>
          <w:szCs w:val="24"/>
        </w:rPr>
        <w:t>Mae’r llenyddiaeth trafodir yma yn darparu man cychwyn ar gyfer yr astudiaeth yma a bydd yn galluogi cymhariaeth o fewn y drafodaeth nes ymlaen. Mae’r llenyddiaeth wedi rhoi’r syniad bod defnydd meini prawf llwyddiant yn gallu bod yn ffordd effeithiol iawn o asesu ar gyfer dysgu. Roedd yna derfyn ar y nifer o astudiaethau trafodir yn yr adran yma gan ystyried y nifer o eiriau rhoddir ond mae yna nifer mwy o lenyddiaeth arall sydd yn cyfiawnhau’r casgliad yma e.e. nifer o erthyglau arfer effeithiol gan Estyn.</w:t>
      </w:r>
    </w:p>
    <w:p w:rsidR="00FB65F9" w:rsidRPr="00FB65F9" w:rsidRDefault="00FB65F9" w:rsidP="008E6D22">
      <w:pPr>
        <w:spacing w:line="360" w:lineRule="auto"/>
        <w:rPr>
          <w:sz w:val="24"/>
          <w:szCs w:val="24"/>
          <w:u w:val="single"/>
        </w:rPr>
      </w:pPr>
      <w:r w:rsidRPr="00FB65F9">
        <w:rPr>
          <w:sz w:val="24"/>
          <w:szCs w:val="24"/>
          <w:u w:val="single"/>
        </w:rPr>
        <w:lastRenderedPageBreak/>
        <w:t xml:space="preserve">Methodoleg </w:t>
      </w:r>
    </w:p>
    <w:p w:rsidR="00FB65F9" w:rsidRPr="00FB65F9" w:rsidRDefault="004F3C65" w:rsidP="008E6D22">
      <w:pPr>
        <w:spacing w:line="360" w:lineRule="auto"/>
        <w:rPr>
          <w:sz w:val="24"/>
          <w:szCs w:val="24"/>
        </w:rPr>
      </w:pPr>
      <w:r>
        <w:rPr>
          <w:rFonts w:ascii="Calibri" w:hAnsi="Calibri" w:cs="Calibri"/>
          <w:sz w:val="24"/>
          <w:szCs w:val="24"/>
        </w:rPr>
        <w:t>Ar gyfer yr ymchwil yma, astudiaeth gwers bydd y dull defnyddiwyd i gasglu data. Mae’r dull yma’n un ethnograffeg gan fydd yn cael ei wneud wrth weithio. Dewiswyd astudiaeth gwers am yr ymchwil yma oherwydd mae’n annog cydweithio a myfyrio sydd yn agweddau allweddol o ddatblygiad darpar athrawon. Mae’r dull yma hefyd yn defnyddio llais y disgybl sydd yn bwysig wrth ystyried unrhyw ymchwil yn addysg oherwydd dylai’r disgyblion fod yng nghanol unrhyw ddatblygiadau. Mae astudiaeth gwers hefyd yn seiliedig ar dystiolaeth ac felly’n dull dibynadwy ar gyfer casglu data. Mae gwaith Dudley (2015) yn son am ddatblygiad astudiaeth gwers yn y DU ac yn esbonio sut i arwain un gan roi esiamplau a chanlyniadau.</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Yn Japan cychwynnwyd y model astudiaeth gwers fel ffordd o ymchwilio dan arweiniad yr athrawon eu hun i dargedu ardal ar gyfer datblygiad yn addysg eu disgyblion (Teacher Development Trust, 2015). Gwnaeth astudiaeth Cheung a Wong (2014) darganfod bod pob adolygiad yn yr astudiaeth wedi adnabod tystiolaeth gadarnhaol sydd yn cefnogi astudiaeth gwers fel</w:t>
      </w:r>
      <w:r w:rsidR="000B54CC">
        <w:rPr>
          <w:rFonts w:ascii="Calibri" w:hAnsi="Calibri" w:cs="Calibri"/>
          <w:sz w:val="24"/>
          <w:szCs w:val="24"/>
        </w:rPr>
        <w:t xml:space="preserve"> arf</w:t>
      </w:r>
      <w:r w:rsidRPr="00FB65F9">
        <w:rPr>
          <w:rFonts w:ascii="Calibri" w:hAnsi="Calibri" w:cs="Calibri"/>
          <w:sz w:val="24"/>
          <w:szCs w:val="24"/>
        </w:rPr>
        <w:t xml:space="preserve"> cryf i helpu athrawon archwilio ei ymarfer ac i fwyhau dysgu disgyblion.</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 xml:space="preserve">Mae yna 3 prif gam i’r dull astudiaeth gwers sef cynllunio, arsylwi ac adfyfyrio, mae’r camau yma yn cylchdroi i greu cylchred yn gynnwys nifer o wersi. Yn ystod y cam cyntaf sef cynllunio, dylir cynllunio’r wers fel pâr/grŵp gan ragweld sut bydd y disgyblion yn ymateb a sut bydd hyn yn cael ei asesu. Fel rhan o’r cam yma dyllir hefyd dewis 3 plentyn ffocws ar gyfer y cam nesaf. Yr ail gam yw i un cydweithiwr arsylwi’r llall yn addysgu’r wers gan roi sylw penodol i’r 3 plentyn ffocws ac yna i arwain unrhyw asesu neu gyfweliadau. Am y cam olaf dyllir adfyfyrio’n syth i weld sut aeth y wers ac os oedd eich rhagfynegiadau’n gywir a pham. Am yr astudiaeth gwers yma bydd cyfweliad efo’r 3 disgybl ffocws yn digwydd yn syth ar ôl y wers ac yna’r adfyfyrio’n syth ar ôl hynny. </w:t>
      </w:r>
    </w:p>
    <w:p w:rsidR="00FB65F9" w:rsidRPr="00FB65F9" w:rsidRDefault="004F3C65" w:rsidP="008E6D22">
      <w:pPr>
        <w:spacing w:line="360" w:lineRule="auto"/>
        <w:rPr>
          <w:rFonts w:ascii="Calibri" w:hAnsi="Calibri" w:cs="Calibri"/>
          <w:sz w:val="24"/>
          <w:szCs w:val="24"/>
        </w:rPr>
      </w:pPr>
      <w:r>
        <w:rPr>
          <w:rFonts w:ascii="Calibri" w:hAnsi="Calibri" w:cs="Calibri"/>
          <w:sz w:val="24"/>
          <w:szCs w:val="24"/>
        </w:rPr>
        <w:t xml:space="preserve">Mae arsylwi yn rhan bwysig o astudiaeth gwers ac felly mae’n bwysig ystyried yr agweddau cadarnhaol a negyddol gall dod wrth ddefnyddio’r dull yma. Mae Morgan </w:t>
      </w:r>
      <w:r>
        <w:rPr>
          <w:rFonts w:ascii="Calibri" w:hAnsi="Calibri" w:cs="Calibri"/>
          <w:i/>
          <w:iCs/>
          <w:sz w:val="24"/>
          <w:szCs w:val="24"/>
        </w:rPr>
        <w:t xml:space="preserve">et al </w:t>
      </w:r>
      <w:r>
        <w:rPr>
          <w:rFonts w:ascii="Calibri" w:hAnsi="Calibri" w:cs="Calibri"/>
          <w:sz w:val="24"/>
          <w:szCs w:val="24"/>
        </w:rPr>
        <w:t xml:space="preserve">(2016) yn dweud nid yw ymchwil yn enwogi'r cyfraniad unigryw mae data arsylwad yn gallu rhoi. Maent yn cyfiawnhau hyn trwy ddweud bod gan ddulliau arsylwi'r potensial i ymestyn dros ddulliau eraill sydd yn dibynnu llawer ar hunanadrodd. Mae gwaith Phillips (2010) yn edrych ar faterion moesegol sydd yn dod efo defnyddio arsylwi fel dull ymchwil, fel gwelir yn yr </w:t>
      </w:r>
      <w:r>
        <w:rPr>
          <w:rFonts w:ascii="Calibri" w:hAnsi="Calibri" w:cs="Calibri"/>
          <w:sz w:val="24"/>
          <w:szCs w:val="24"/>
        </w:rPr>
        <w:lastRenderedPageBreak/>
        <w:t>adran materion moesegol gwnaeth ffurflen moeseg cael ei gyflwyno a’i gymeradwyo cyn i’r ymchwil cychwyn i osgoi hyn lle’n bosib. Am yr astudiaeth gwers yma bydd yr arsylwr yn ffocysu ar 3 plentyn penodol, dewiswyd cyn y wers wrth gynllunio. Dewiswyd i ffocysu ar 3 plentyn o fewn grwpiau gallu gwahanol yn y 2 dosbarth i gael sampl cynrychiadol o’r dosbarth, felly un plentyn o’r grŵp uchaf, 1 o’r grwpiau canol ac 1 o’r grŵp gwaelod. Ffocws yr arsylwr bydd i weld os ydy’r disgyblion yma’n defnyddio’r meini prawf llwyddiant i helpu cyrraedd nod y wers, gwelir yn atodiadau D-G y ffurflen arsylwi bydd yn arwain yr arsylwr i benderfynu ar hyn. Defnyddiwyd y raddfa Leuven i gynrychioli rhai o’r arsylwadau yn ystod y gwersi i allu cymharu’r data mewn ffordd glir. Cafwyd y raddfa yma ei ddewis gan fod yn rhoi data rhifiadol sydd yn gallu cael eu cymharu efo’i gilydd mewn ffordd fwy systematig i gymharu ag e.e. nodiadau arsylwi.</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Yn syth ar ôl y wers bydd cyfweliad yn cael eu cynnal efo’r 3 plentyn ffocws, bydd y cyfweliad yn strwythedig i raddau gan fydd y cwestiynau (gwelir yn atodiadau C a Ch) wedi’i gynllunio cyn y wers ond bydd y plant yn cael y cyfle i siarad yn rhydd ac i ychwanegu unrhyw beth maen nhw’n gweld yn addas. Mae Griffee (2005) yn dweud bod cyfweliadau’n ffordd boblogaidd o gasglu data ansoddol gan fod yn naturiol gan mai siarad yw hi. Mae’r hyn dwedwyd gan Griffee (2005) yn dangos bod cyfweliadau’n gallu arwain at ganlyniadau da oherwydd ei natur siaradus ond gall natur cyfweliadau hefyd bod yn gyfyngiad fel mae Flinders (1997) yn ystyried. Mae Flinders (1997) yn dweud gall cyfranogwyr methu dweud beth maen nhw’n meddwl neu fethu trosglwyddo’i barn mewn ffordd glir a gall hyn arwain at ddata amhriodol. Dewiswyd defnyddio cyfweliadau fel rhan o’r astudiaeth gwers yma oherwydd gall cyfoethogi'r hyn arsylwyd yn ystod y gwersi a rhoi mwy o ddata i ddadansoddi a chymharu. Gwelir yn atodiad</w:t>
      </w:r>
      <w:r w:rsidRPr="00FB65F9">
        <w:rPr>
          <w:rFonts w:ascii="Calibri" w:hAnsi="Calibri" w:cs="Calibri"/>
          <w:b/>
          <w:bCs/>
          <w:color w:val="FF0000"/>
          <w:sz w:val="24"/>
          <w:szCs w:val="24"/>
        </w:rPr>
        <w:t xml:space="preserve"> </w:t>
      </w:r>
      <w:r w:rsidRPr="00FB65F9">
        <w:rPr>
          <w:rFonts w:ascii="Calibri" w:hAnsi="Calibri" w:cs="Calibri"/>
          <w:sz w:val="24"/>
          <w:szCs w:val="24"/>
        </w:rPr>
        <w:t>C a Ch y cwestiynau cyfweliad dewiswyd. Dewiswyd 9 cwestiwn sydd yn gysylltiedig i’r cwestiynau ar y daflen arsylwi i allu cymharu’r hyn dwedwyd yn ystod y cyfweliadau efo’r arsylwadau yn ystod y gwersi.</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Cam olaf yr astudiaeth gwers yw adfyfyrio’r hyn gwnaeth digwydd yn barod ar gyfer y gylchred nesaf. Crëwyd y daflen adfyfyrio gan ddefnyddio dylanwad Gibbs (1988)</w:t>
      </w:r>
      <w:r w:rsidR="004E6F5F">
        <w:rPr>
          <w:rFonts w:ascii="Calibri" w:hAnsi="Calibri" w:cs="Calibri"/>
          <w:sz w:val="24"/>
          <w:szCs w:val="24"/>
        </w:rPr>
        <w:t xml:space="preserve"> gan amlaf ond gan ystyried hefyd </w:t>
      </w:r>
      <w:r w:rsidRPr="00FB65F9">
        <w:rPr>
          <w:rFonts w:ascii="Calibri" w:hAnsi="Calibri" w:cs="Calibri"/>
          <w:sz w:val="24"/>
          <w:szCs w:val="24"/>
        </w:rPr>
        <w:t>dylanwad Kolb (1984) i’w gyfoethogi. Gwnaeth gwaith Schön (1978) a Brookfield (1998) hefyd cael ei ystyried ond gwnaeth cymysgedd o waith Gibbs a Kolb darparu digon o ddylanwad i allu creu tabl adfyfyrio addas efo digon o wybodaeth. Gwelir yn atodiad Ng</w:t>
      </w:r>
      <w:r w:rsidRPr="00FB65F9">
        <w:rPr>
          <w:rFonts w:ascii="Calibri" w:hAnsi="Calibri" w:cs="Calibri"/>
          <w:b/>
          <w:bCs/>
          <w:color w:val="FF0000"/>
          <w:sz w:val="24"/>
          <w:szCs w:val="24"/>
        </w:rPr>
        <w:t xml:space="preserve"> </w:t>
      </w:r>
      <w:r w:rsidRPr="00FB65F9">
        <w:rPr>
          <w:rFonts w:ascii="Calibri" w:hAnsi="Calibri" w:cs="Calibri"/>
          <w:sz w:val="24"/>
          <w:szCs w:val="24"/>
        </w:rPr>
        <w:t xml:space="preserve">y daflen adfyfyrio crëwyd ar gyfer yr astudiaeth gwers yma. Mae’r tabl yn </w:t>
      </w:r>
      <w:r w:rsidRPr="00FB65F9">
        <w:rPr>
          <w:rFonts w:ascii="Calibri" w:hAnsi="Calibri" w:cs="Calibri"/>
          <w:sz w:val="24"/>
          <w:szCs w:val="24"/>
        </w:rPr>
        <w:lastRenderedPageBreak/>
        <w:t>darparu cynllun clir i adfyfyrio’n effeithiol ac i gynllunio sut byddent yn gweithredu ar y casgliadau. Gwnaethom hefyd dewis i gynnwys teimladau o fewn y tabl oherwydd bydd hyn wedi cael effaith ar y data casglwyd. Mae’r fethodoleg yma o astudiaeth gwers mynd i ddarparu digon o ddata i allu dadansoddi a chymharu’n effeithiol a gobeithio dod at gasgliad i ateb ei’n gwestiwn arfaethedig.</w:t>
      </w:r>
    </w:p>
    <w:p w:rsidR="00D9514D" w:rsidRDefault="007B31C2" w:rsidP="008E6D22">
      <w:pPr>
        <w:spacing w:line="360" w:lineRule="auto"/>
        <w:rPr>
          <w:sz w:val="24"/>
          <w:szCs w:val="24"/>
          <w:u w:val="single"/>
        </w:rPr>
      </w:pPr>
      <w:r w:rsidRPr="007B31C2">
        <w:rPr>
          <w:sz w:val="24"/>
          <w:szCs w:val="24"/>
          <w:u w:val="single"/>
        </w:rPr>
        <w:t xml:space="preserve">Materion Moeseg </w:t>
      </w:r>
    </w:p>
    <w:p w:rsidR="007B31C2" w:rsidRPr="00D9514D" w:rsidRDefault="004F3C65" w:rsidP="008E6D22">
      <w:pPr>
        <w:spacing w:line="360" w:lineRule="auto"/>
        <w:rPr>
          <w:sz w:val="24"/>
          <w:szCs w:val="24"/>
          <w:u w:val="single"/>
        </w:rPr>
      </w:pPr>
      <w:r>
        <w:rPr>
          <w:rFonts w:ascii="Calibri" w:hAnsi="Calibri" w:cs="Calibri"/>
          <w:sz w:val="24"/>
          <w:szCs w:val="24"/>
        </w:rPr>
        <w:t>Cyn cychwyn yr ymchwil yma, cyflwynwyd ffurflen moeseg i’r Brifysgol gan ystyried unrhyw faterion moeseg gall ddod fel rhan o’r ymchwil yma. Un peth pwysig trafodir yn y ffurflen moeseg oedd pwysigrwydd bod y cyfranogwyr yn aros yn gyfrinachedd ac yn anhysbys trwy wneud pob math o nodiadau yn ddienw a thrwy sicrhau mae’r bobl berthnasol yn unig sydd yn cael mynediad i’r gwaith. Mater pwysig arall oedd bod y disgyblion yn rhoi cydsyniad gwybodus i fod yn rhan o’r ymchwil cyn dechrau a bod y plant yn ymwybodol bod ganddynt yr hawl i newid eu meddwl ar unrhyw adeg heb unrhyw ganlyniadau negyddol iddyn nhw. Gwnaeth y ffurflen moeseg edrych ar unrhyw risgiau gall dod i’r cyfranogwyr, i’r ymchwilydd ac i’r Brifysgol gan hefyd ystyried ffyrdd o osgoi'r rhain. Gwnaeth y ffurflen hefyd ystyried niferoedd a ffynhonnell y cyfranogwyr fel trafodir yn yr adran methodoleg, i wneud yn sicr bod yn addas ar gyfer yr ymchwil yma. Nodir yn y ffurflen hefyd y dull arfaethedig gan ystyried gwaith Gibbs (1988), Kolb (1984), Schon (1978) a Brookfield (2005) ar adfyfyrio. Mae’r adran yma hefyd yn ystyried gall casglu data mewn ffordd wahanol e.e.  ffilmio’r gwersi a defnyddio’r ffilm i dynnu gwybodaeth neu gall wedi rhoi’r meini prawf llwyddiant i’r plant mewn 1 gwers ond nid y llall i allu cymharu’r canlyniadau. Cyn dechrau’r ymchwil, cafwyd y ffurflen moeseg ei gymeradwyo gan y Brifysgol ynghyd a’r ffurflenni arsylwi ac adfyfyrio, y cwestiynau ar gyfer y cyfweliadau a ffurflenni caniatâd i rieni ac i’r disgyblion.</w:t>
      </w:r>
    </w:p>
    <w:p w:rsidR="00182390" w:rsidRPr="00182390" w:rsidRDefault="00182390" w:rsidP="008E6D22">
      <w:pPr>
        <w:spacing w:line="360" w:lineRule="auto"/>
        <w:rPr>
          <w:sz w:val="24"/>
          <w:szCs w:val="24"/>
          <w:u w:val="single"/>
        </w:rPr>
      </w:pPr>
      <w:r w:rsidRPr="00182390">
        <w:rPr>
          <w:sz w:val="24"/>
          <w:szCs w:val="24"/>
          <w:u w:val="single"/>
        </w:rPr>
        <w:t xml:space="preserve">Astudiaeth Gwers 1 – Canlyniadau a Dadansoddi </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 xml:space="preserve">Gwnaeth y wers gyntaf cael ei addysgu yn ysgol Gymraeg yng nghanol pentref yn Sir </w:t>
      </w:r>
      <w:r w:rsidR="00700DC6">
        <w:rPr>
          <w:rFonts w:ascii="Calibri" w:hAnsi="Calibri" w:cs="Calibri"/>
          <w:sz w:val="24"/>
          <w:szCs w:val="24"/>
        </w:rPr>
        <w:t>G</w:t>
      </w:r>
      <w:r w:rsidRPr="00182390">
        <w:rPr>
          <w:rFonts w:ascii="Calibri" w:hAnsi="Calibri" w:cs="Calibri"/>
          <w:sz w:val="24"/>
          <w:szCs w:val="24"/>
        </w:rPr>
        <w:t>aerfyrddin. Addysgwyd y wers yn nosbarth blwyddyn 3 efo 26 o blant. Gwelir yn atodiad A,</w:t>
      </w:r>
      <w:r w:rsidRPr="00182390">
        <w:rPr>
          <w:rFonts w:ascii="Calibri" w:hAnsi="Calibri" w:cs="Calibri"/>
          <w:b/>
          <w:bCs/>
          <w:color w:val="FF0000"/>
          <w:sz w:val="24"/>
          <w:szCs w:val="24"/>
        </w:rPr>
        <w:t xml:space="preserve"> </w:t>
      </w:r>
      <w:r w:rsidRPr="00182390">
        <w:rPr>
          <w:rFonts w:ascii="Calibri" w:hAnsi="Calibri" w:cs="Calibri"/>
          <w:sz w:val="24"/>
          <w:szCs w:val="24"/>
        </w:rPr>
        <w:t>cynllun o’r ystafell dosbarth a ble yn y dosbarth roedd y 3 plentyn ffocws yn eistedd, ynghyd a lleoliad yr arsylwr. Addysgwyd y wers</w:t>
      </w:r>
      <w:r w:rsidR="003D2451">
        <w:rPr>
          <w:rFonts w:ascii="Calibri" w:hAnsi="Calibri" w:cs="Calibri"/>
          <w:sz w:val="24"/>
          <w:szCs w:val="24"/>
        </w:rPr>
        <w:t xml:space="preserve"> yma</w:t>
      </w:r>
      <w:r w:rsidRPr="00182390">
        <w:rPr>
          <w:rFonts w:ascii="Calibri" w:hAnsi="Calibri" w:cs="Calibri"/>
          <w:sz w:val="24"/>
          <w:szCs w:val="24"/>
        </w:rPr>
        <w:t xml:space="preserve"> am 9:30 y bore, yn syth ar ôl gwasanaeth</w:t>
      </w:r>
      <w:r w:rsidR="00123E31">
        <w:rPr>
          <w:rFonts w:ascii="Calibri" w:hAnsi="Calibri" w:cs="Calibri"/>
          <w:sz w:val="24"/>
          <w:szCs w:val="24"/>
        </w:rPr>
        <w:t xml:space="preserve">. </w:t>
      </w:r>
      <w:r w:rsidRPr="00182390">
        <w:rPr>
          <w:rFonts w:ascii="Calibri" w:hAnsi="Calibri" w:cs="Calibri"/>
          <w:sz w:val="24"/>
          <w:szCs w:val="24"/>
        </w:rPr>
        <w:t xml:space="preserve"> Roedd y wers yn un iaith Gymraeg yn edrych ar ‘geiriau tebyg’ e.e. tal a thâl. Nod y wers oedd ‘i ddefnyddio geiriau tebyg yn gywir</w:t>
      </w:r>
      <w:r w:rsidR="00123E31">
        <w:rPr>
          <w:rFonts w:ascii="Calibri" w:hAnsi="Calibri" w:cs="Calibri"/>
          <w:sz w:val="24"/>
          <w:szCs w:val="24"/>
        </w:rPr>
        <w:t>.’</w:t>
      </w:r>
      <w:r w:rsidRPr="00182390">
        <w:rPr>
          <w:rFonts w:ascii="Calibri" w:hAnsi="Calibri" w:cs="Calibri"/>
          <w:sz w:val="24"/>
          <w:szCs w:val="24"/>
        </w:rPr>
        <w:t xml:space="preserve"> Ar gyfer yr astudiaeth gwers yma'r ffocws oedd </w:t>
      </w:r>
      <w:r w:rsidRPr="00182390">
        <w:rPr>
          <w:rFonts w:ascii="Calibri" w:hAnsi="Calibri" w:cs="Calibri"/>
          <w:sz w:val="24"/>
          <w:szCs w:val="24"/>
        </w:rPr>
        <w:lastRenderedPageBreak/>
        <w:t>sut gwnaeth, os o gwbl y plant defnyddio’r meini prawf llwyddiant a roddir i helpu nhw cyrraedd nod y wers.</w:t>
      </w:r>
      <w:r w:rsidR="00050F52">
        <w:rPr>
          <w:rFonts w:ascii="Calibri" w:hAnsi="Calibri" w:cs="Calibri"/>
          <w:sz w:val="24"/>
          <w:szCs w:val="24"/>
        </w:rPr>
        <w:t xml:space="preserve"> Cyflwynwyd nod y wers a’r meini prawf llwyddiant yn ystod cyflwyniad y wers </w:t>
      </w:r>
      <w:r w:rsidR="006B3B68">
        <w:rPr>
          <w:rFonts w:ascii="Calibri" w:hAnsi="Calibri" w:cs="Calibri"/>
          <w:sz w:val="24"/>
          <w:szCs w:val="24"/>
        </w:rPr>
        <w:t xml:space="preserve">a chadwyd ar y bwrdd trwy gydol y wers i alluogi i’r dysgwyr cyfeirio ati ar unrhyw adeg. </w:t>
      </w:r>
      <w:r w:rsidR="00A24E8F">
        <w:rPr>
          <w:rFonts w:ascii="Calibri" w:hAnsi="Calibri" w:cs="Calibri"/>
          <w:sz w:val="24"/>
          <w:szCs w:val="24"/>
        </w:rPr>
        <w:t xml:space="preserve">Fel rhan o’r cyflwyniad gwnaeth y dysgwyr hefyd cael cyfle i ddarllen nod y wers a’r meini prawf llwyddiant a dewiswyd 3 dysgwr i ddarllen allan i’r dosbarth i </w:t>
      </w:r>
      <w:r w:rsidR="005B1796">
        <w:rPr>
          <w:rFonts w:ascii="Calibri" w:hAnsi="Calibri" w:cs="Calibri"/>
          <w:sz w:val="24"/>
          <w:szCs w:val="24"/>
        </w:rPr>
        <w:t xml:space="preserve">atgyfnerthu hyn yn bellach. </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Yn gyffredinol gwnaeth y plant llwyddo i gyrraedd nod y wers, yn gynnwys y 3 plentyn ffocws. Dangosir gwahanol lefelau o waith o fewn y dosbarth ac o fewn y grŵp ffocws gan ddangos lefelau gwahanol o ddealltwriaeth. Gwelir yn atodiad D, Dd a E</w:t>
      </w:r>
      <w:r w:rsidRPr="00182390">
        <w:rPr>
          <w:rFonts w:ascii="Calibri" w:hAnsi="Calibri" w:cs="Calibri"/>
          <w:b/>
          <w:bCs/>
          <w:sz w:val="24"/>
          <w:szCs w:val="24"/>
        </w:rPr>
        <w:t xml:space="preserve"> </w:t>
      </w:r>
      <w:r w:rsidRPr="00182390">
        <w:rPr>
          <w:rFonts w:ascii="Calibri" w:hAnsi="Calibri" w:cs="Calibri"/>
          <w:sz w:val="24"/>
          <w:szCs w:val="24"/>
        </w:rPr>
        <w:t>bod y plant yn y grŵp ffocws wedi dangos lefelau gwahanol o ymrwymiad yn ystod y wers, gwnaeth gwedd</w:t>
      </w:r>
      <w:r w:rsidR="00665334">
        <w:rPr>
          <w:rFonts w:ascii="Calibri" w:hAnsi="Calibri" w:cs="Calibri"/>
          <w:sz w:val="24"/>
          <w:szCs w:val="24"/>
        </w:rPr>
        <w:t>ill</w:t>
      </w:r>
      <w:r w:rsidRPr="00182390">
        <w:rPr>
          <w:rFonts w:ascii="Calibri" w:hAnsi="Calibri" w:cs="Calibri"/>
          <w:sz w:val="24"/>
          <w:szCs w:val="24"/>
        </w:rPr>
        <w:t xml:space="preserve"> y dosbarth dangos yr un peth. Gwnaeth plentyn 1 cyrraedd nod y wers gan ystyried cafwyd 7/9 yn y dasg a dechreuwyd tasg ychwanegol sef i geisio ysgrifennu brawddegau ei hun gan gynnwys geiriau tebyg. Gwnaeth cynnydd plentyn 1 yn ystod y wers hefyd dangos bod nod y wers wedi’i gyflawni gan wnaeth dechrau efo ychydig o wybodaeth ar eiriau tebyg ac wedi gorffen y wers yn gallu dewis a defnyddio nhw’n gyson efo ychydig o gamgymeriadau. Mae’r cynnydd yma’n dangos bod plentyn 1 wedi dysgu’n effeithiol beth roedd y wers yn bwriadu. Dangoswyd plentyn 1 y fwyaf o ymrwymiad yn ystod y dasg fel gwelwyd yn atodiad</w:t>
      </w:r>
      <w:r w:rsidRPr="00182390">
        <w:rPr>
          <w:rFonts w:ascii="Calibri" w:hAnsi="Calibri" w:cs="Calibri"/>
          <w:b/>
          <w:bCs/>
          <w:color w:val="FF0000"/>
          <w:sz w:val="24"/>
          <w:szCs w:val="24"/>
        </w:rPr>
        <w:t xml:space="preserve"> </w:t>
      </w:r>
      <w:r w:rsidRPr="00182390">
        <w:rPr>
          <w:rFonts w:ascii="Calibri" w:hAnsi="Calibri" w:cs="Calibri"/>
          <w:sz w:val="24"/>
          <w:szCs w:val="24"/>
        </w:rPr>
        <w:t>D</w:t>
      </w:r>
      <w:r w:rsidRPr="00182390">
        <w:rPr>
          <w:rFonts w:ascii="Calibri" w:hAnsi="Calibri" w:cs="Calibri"/>
          <w:b/>
          <w:bCs/>
          <w:color w:val="FF0000"/>
          <w:sz w:val="24"/>
          <w:szCs w:val="24"/>
        </w:rPr>
        <w:t xml:space="preserve"> </w:t>
      </w:r>
      <w:r w:rsidRPr="00182390">
        <w:rPr>
          <w:rFonts w:ascii="Calibri" w:hAnsi="Calibri" w:cs="Calibri"/>
          <w:sz w:val="24"/>
          <w:szCs w:val="24"/>
        </w:rPr>
        <w:t>gwnaeth sgorio 5/5 am ganolbwyntio yn ystod y cyflwyniad ac yn ystod y wers. Gall ystyried bod yr ymrwymiad yma i weithio’n dda wedi helpu plentyn 1 i gyrraedd nod y wers yn llwyddiannus ynghyd a’i gallu i ddefnyddio’r meini prawf llwyddiant yn effeithiol. Mae’r astudiaeth gwers yma’n ffocysu ar allu’r plant i ddefnyddio’r meini prawf llwyddiant i helpu nhw cyrraedd nod y wers ac yn y wers yma, plentyn 1 gwnaeth hyn gorau. Gall dweud hyn oherwydd, er plentyn 2 gwnaeth marcio gorau ar y dasg gwnaeth dim rhoi gymaint o sylw i’r meini prawf llwyddiant a phlentyn 1. Felly am bwrpas yr astudiaeth gwers yma, plentyn 1 gwnaeth cyflawni nod y wers gorau.</w:t>
      </w:r>
    </w:p>
    <w:p w:rsidR="00182390" w:rsidRPr="00182390" w:rsidRDefault="004F3C65" w:rsidP="008E6D22">
      <w:pPr>
        <w:spacing w:line="360" w:lineRule="auto"/>
        <w:rPr>
          <w:rFonts w:ascii="Calibri" w:hAnsi="Calibri" w:cs="Calibri"/>
          <w:sz w:val="24"/>
          <w:szCs w:val="24"/>
        </w:rPr>
      </w:pPr>
      <w:r>
        <w:rPr>
          <w:rFonts w:ascii="Calibri" w:hAnsi="Calibri" w:cs="Calibri"/>
          <w:sz w:val="24"/>
          <w:szCs w:val="24"/>
        </w:rPr>
        <w:t xml:space="preserve">Gwnaeth plentyn 2 hefyd cyrraedd nod y wers gan sgorio 8/9 ar y dasg. Gwelir bod y plentyn yma wedi cael trafferth wrth ddewis rhai atebion e.e. cwestiynau 4 a 6 ble mae mwy na un ateb wedi’i gylchu. Am y cwestiynau yma trafodir efo plentyn 2 yr atebion i weld os roedd y broses meddwl wedi newid a pham ac os roedd gallu dod i benderfyniad i ba ateb roedd yn gywir. Yn ystod y drafodaeth yma dangoswyd y plentyn dealltwriaeth ac felly cafwyd y marciau am gwestiynau 4 a 6. Yn ystod y drafodaeth yma gwnaeth plentyn 2 dangos bod </w:t>
      </w:r>
      <w:r>
        <w:rPr>
          <w:rFonts w:ascii="Calibri" w:hAnsi="Calibri" w:cs="Calibri"/>
          <w:sz w:val="24"/>
          <w:szCs w:val="24"/>
        </w:rPr>
        <w:lastRenderedPageBreak/>
        <w:t>dysgu wedi digwydd yn ystod y wers ac wedi dangos dealltwriaeth gadarn o’r geiriau tebyg. Gwnaeth plentyn 2 dangos ymrwymiad i’r dasg mewn ffordd wahanol i blentyn 1, trwy dangos brwdfrydedd a hyder o gychwyn y wers gan roi syniadau ac atebion i’r holl ddosbarth. Gwelir bod y brwdfrydedd yma yn cymorth mawr wrth gwblhau’r dasg ac felly dylir ystyried brwdfrydedd y dysgwyr ar bob adeg ac anelu at ennill diddordeb o’r cychwyn. Gwnaeth brwdfrydedd plentyn 2 i ateb a gwaedu allan golygu bod llai o gyfle i wedill y dosbarth cynnig atebion neu syniadau er gwnaeth dangos dealltwriaeth y plentyn yma o’r cychwyn. Gall gweld hyn fel agwedd negyddol oherwydd er bod y plentyn yma wedi elwa., bydd rhai hefyd wedi colli ar gyfleoedd i ateb neu feddwl eu hun. Cafwyd plentyn 2 4/5 am ganolbwyntio yn ystod y cyflwyniad a thrwy gydol y wers, fel gwelir yn atodiad</w:t>
      </w:r>
      <w:r>
        <w:rPr>
          <w:rFonts w:ascii="Calibri" w:hAnsi="Calibri" w:cs="Calibri"/>
          <w:b/>
          <w:bCs/>
          <w:color w:val="FF0000"/>
          <w:sz w:val="24"/>
          <w:szCs w:val="24"/>
        </w:rPr>
        <w:t xml:space="preserve"> </w:t>
      </w:r>
      <w:r>
        <w:rPr>
          <w:rFonts w:ascii="Calibri" w:hAnsi="Calibri" w:cs="Calibri"/>
          <w:sz w:val="24"/>
          <w:szCs w:val="24"/>
        </w:rPr>
        <w:t>Dd. Nodwyd gan yr arsylwr bod plentyn 2 ar dasg ond yn siarad sydd yn dangos bod yn bosib cwblhau gwaith a chyrraedd nod y wers er rhoi sylw at bethau eraill yn ystod y wers. Yma, gall ystyried bod plentyn 2 wedi gallu cyflawni’r dasg a nod y wers yn fwy effeithiol os gwnaeth roi mwy o sylw at y dasg.</w:t>
      </w:r>
    </w:p>
    <w:p w:rsidR="00182390" w:rsidRPr="00182390" w:rsidRDefault="004F3C65" w:rsidP="008E6D22">
      <w:pPr>
        <w:spacing w:line="360" w:lineRule="auto"/>
        <w:rPr>
          <w:rFonts w:ascii="Calibri" w:hAnsi="Calibri" w:cs="Calibri"/>
          <w:sz w:val="24"/>
          <w:szCs w:val="24"/>
        </w:rPr>
      </w:pPr>
      <w:r>
        <w:rPr>
          <w:rFonts w:ascii="Calibri" w:hAnsi="Calibri" w:cs="Calibri"/>
          <w:sz w:val="24"/>
          <w:szCs w:val="24"/>
        </w:rPr>
        <w:t>Gwnaeth plentyn 3 hefyd cyrraedd nod y wers sef ‘i ddefnyddio geiriau tebyg yn gywir’ ond nid i’r un safon a phlentyn 1 a 2. Gwelir yn ystod y wers</w:t>
      </w:r>
      <w:r>
        <w:rPr>
          <w:rFonts w:ascii="Calibri" w:hAnsi="Calibri" w:cs="Calibri"/>
          <w:b/>
          <w:bCs/>
          <w:color w:val="FF0000"/>
          <w:sz w:val="24"/>
          <w:szCs w:val="24"/>
        </w:rPr>
        <w:t xml:space="preserve"> </w:t>
      </w:r>
      <w:r>
        <w:rPr>
          <w:rFonts w:ascii="Calibri" w:hAnsi="Calibri" w:cs="Calibri"/>
          <w:sz w:val="24"/>
          <w:szCs w:val="24"/>
        </w:rPr>
        <w:t>bod plentyn 3 wedi perfformio’n is na’r 2 plentyn arall yn gyffredinol. Nodwyd gan yr arsylwr yn syth bod plentyn 3 heb ganolbwyntio yn ystod y cyflwyniad gan roedd yn chwarae gyda chas bensiliau a roddwyd 1/5 am yr agwedd yma. Gall ystyried yn y drafodaeth bod y dechrau yma wedi effeithio ar wedill y wers i blentyn 3 gan roedd heb wrando digon i’r cyflwyniad i ddeall y dasg yn llawn. Er canlyniadau siomedig yn ystod yr arsylwad yn gyffredinol, gwnaeth plentyn 3 dangos agweddau cadarnhaol yn ystod y wers. Gwnaeth plentyn 3 dod i ofyn am y dasg yn syth ar ôl  y cyflwyniad sydd yn adlewyrchu’r diffyg canolbwyntio ond yn dangos bod y plentyn mhoen gwneud y dasg yn gywir. Nodwyd gan yr arsylwr bod plentyn 3 ‘ddim i weld yn mwyhau’ yn ystod y wers, mae hyn eto’n rhywbeth i ystyried yn ystod y drafodaeth nes ymlaen. Cafwyd plentyn 3 sgôr o 3/5 yn yr adrannau ‘ymateb y plentyn i’r cyfarwyddiadau’ a ‘sut oedd y plentyn yn canolbwyntio yn ystod y wers.’ Mae hwn eto’n dangos bod plentyn 3 wedi dangos agweddau o waith da a gwnaeth cyfrannu at gyflawni nod y wers. Wrth edrych ar nodiadau a sgoriau’r arsylwi yn atodiad</w:t>
      </w:r>
      <w:r>
        <w:rPr>
          <w:rFonts w:ascii="Calibri" w:hAnsi="Calibri" w:cs="Calibri"/>
          <w:b/>
          <w:bCs/>
          <w:color w:val="FF0000"/>
          <w:sz w:val="24"/>
          <w:szCs w:val="24"/>
        </w:rPr>
        <w:t xml:space="preserve"> </w:t>
      </w:r>
      <w:r>
        <w:rPr>
          <w:rFonts w:ascii="Calibri" w:hAnsi="Calibri" w:cs="Calibri"/>
          <w:sz w:val="24"/>
          <w:szCs w:val="24"/>
        </w:rPr>
        <w:t>E</w:t>
      </w:r>
      <w:r>
        <w:rPr>
          <w:rFonts w:ascii="Calibri" w:hAnsi="Calibri" w:cs="Calibri"/>
          <w:b/>
          <w:bCs/>
          <w:color w:val="FF0000"/>
          <w:sz w:val="24"/>
          <w:szCs w:val="24"/>
        </w:rPr>
        <w:t xml:space="preserve"> </w:t>
      </w:r>
      <w:r>
        <w:rPr>
          <w:rFonts w:ascii="Calibri" w:hAnsi="Calibri" w:cs="Calibri"/>
          <w:sz w:val="24"/>
          <w:szCs w:val="24"/>
        </w:rPr>
        <w:t xml:space="preserve">gall gweld bod ymrwymiad plentyn 3 i’r dasg wedi bod yn anfoddhaol ar adegau. Bydd y diffyg ymrwymiad dangosir wedi cael effaith ar agweddau eraill yr arsylwad a’r gwaith terfynol cyflwynwyd gan blentyn 3. Rhaid ystyried </w:t>
      </w:r>
      <w:r>
        <w:rPr>
          <w:rFonts w:ascii="Calibri" w:hAnsi="Calibri" w:cs="Calibri"/>
          <w:sz w:val="24"/>
          <w:szCs w:val="24"/>
        </w:rPr>
        <w:lastRenderedPageBreak/>
        <w:t>yma, pam gwnaeth y plentyn methu ymrwymo i’r dasg? A oedd y meini prawf llwyddiant yn ddigon clir neu roedd y plentyn heb ddeall nod y wers? Wrth symud ymlaen bydd angen nodi hyn i allu cynllunio’r ffordd ymlaen.</w:t>
      </w:r>
    </w:p>
    <w:p w:rsidR="00182390" w:rsidRPr="00182390" w:rsidRDefault="004F3C65" w:rsidP="008E6D22">
      <w:pPr>
        <w:spacing w:line="360" w:lineRule="auto"/>
        <w:rPr>
          <w:rFonts w:ascii="Calibri" w:hAnsi="Calibri" w:cs="Calibri"/>
          <w:sz w:val="24"/>
          <w:szCs w:val="24"/>
        </w:rPr>
      </w:pPr>
      <w:r>
        <w:rPr>
          <w:rFonts w:ascii="Calibri" w:hAnsi="Calibri" w:cs="Calibri"/>
          <w:sz w:val="24"/>
          <w:szCs w:val="24"/>
        </w:rPr>
        <w:t>Wrth ddadansoddi’r wers yma mae yna agweddau gall newid i wella ac i ystyried cyn yr ail wers. Ar ddiwedd y cyflwyniad gwnaeth 3 plentyn adrodd y meini prawf llwyddiant oddi ar y bwrdd i’r dosbarth cael clywed, gall wedi cael y plant i ddarllen i’w hun yn gyntaf cyn cael rhai i ddarllen y uchel. Bydd gwneud hyn yn rhoi cyfle ychwanegol i’r plant cymryd y wybodaeth mewn ar lefel personol ac yn gwneud yn fwy posib iddyn nhw gofio’r meini prawf llwyddiant. Wrth edrych ymlaen felly at yr ail wers gall ystyried roi digon o gyfleoedd i’r plant cael darllen a chlywed y meini prawf llwyddiant cyn dechrau’r dasg. Gall hefyd wedi gofyn i’r plant beth yw pwrpas meini prawf llwyddiant a pham mae e ar y bwrdd iddyn nhw gael gweld, bydd hyn yn rhoi cyfle i’r plant gwir ystyried beth yw ei bwrpas. Bydd roi’r cyfle yma i’r plant falle yn helpu nhw deall sut i ddefnyddio’r meini prawf llwyddiant i gyrraedd nod y wers ac felly’n gwneud hi’n fwy tebygol byddant yn defnyddio hi’n effeithiol. Ystyriaeth arall wrth edrych tuag at yr ail wers yw gall roi darn o bapur i’r plant efo’r meini prawf llwyddiant arni, gall y plant wedyn cyfeirio at hyn trwy gydol y wers a gall marcio nhw bant wrth fynd ymlaen. Bydd cael hyn yn atgoffa’r plant trwy gydol y wers bod angen cyfeirio at y meini prawf llwyddiant a chyrraedd pob un i gyrraedd nod y wers yn llwyddiannus. Gall ystyried hefyd cael y plant i gael dweud yn y meini prawf llwyddiant gan ofyn iddynt a ydynt yn cytuno neu os oes rhywbeth byddent eisiau newid neu ychwanegu. Bydd hyn yn meddwl bydd y plant yn teimlo mwy o berchnogaeth dros eu gwaith a gall hyn arwain at ganlyniadau gwell. Un peth arall gall wedi gwella’r wers yw os gwnaeth yr athrawes atgoffa’r plant o ‘SNOT’ (esboniwyd yn yr adran methodoleg) yn ystod y cyflwyniad i osgoi gorfod ailadrodd sawl gwaeth yn ystod y wers ac i’r plant gwybod yn glir cyn dechrau sut i fynd ati.</w:t>
      </w:r>
    </w:p>
    <w:p w:rsidR="00182390" w:rsidRPr="00182390" w:rsidRDefault="00182390" w:rsidP="008E6D22">
      <w:pPr>
        <w:spacing w:line="360" w:lineRule="auto"/>
        <w:rPr>
          <w:sz w:val="24"/>
          <w:szCs w:val="24"/>
          <w:u w:val="single"/>
        </w:rPr>
      </w:pPr>
      <w:r w:rsidRPr="00182390">
        <w:rPr>
          <w:sz w:val="24"/>
          <w:szCs w:val="24"/>
          <w:u w:val="single"/>
        </w:rPr>
        <w:t xml:space="preserve">Astudiaeth Gwers 2 – Canlyniadau a Dadansoddi </w:t>
      </w:r>
    </w:p>
    <w:p w:rsidR="00182390" w:rsidRPr="00182390" w:rsidRDefault="004F3C65" w:rsidP="008E6D22">
      <w:pPr>
        <w:spacing w:line="360" w:lineRule="auto"/>
        <w:rPr>
          <w:rFonts w:ascii="Calibri" w:hAnsi="Calibri" w:cs="Calibri"/>
          <w:sz w:val="24"/>
          <w:szCs w:val="24"/>
        </w:rPr>
      </w:pPr>
      <w:r>
        <w:rPr>
          <w:rFonts w:ascii="Calibri" w:hAnsi="Calibri" w:cs="Calibri"/>
          <w:sz w:val="24"/>
          <w:szCs w:val="24"/>
        </w:rPr>
        <w:t>Cynhelir yr ail wers yn ysgol Gymraeg ym mhentref yn Sir Abertawe. Addysgwyd y wers  yn nosbarth blwyddyn 4 efo 30 o blant. Mae canlyniadau’r ail astudiaeth gwers i’w weld yn atodiadau F,Ff a G am gyfeiriad. Gwelir yn atodiad B</w:t>
      </w:r>
      <w:r>
        <w:rPr>
          <w:rFonts w:ascii="Calibri" w:hAnsi="Calibri" w:cs="Calibri"/>
          <w:b/>
          <w:bCs/>
          <w:color w:val="FF0000"/>
          <w:sz w:val="24"/>
          <w:szCs w:val="24"/>
        </w:rPr>
        <w:t xml:space="preserve"> </w:t>
      </w:r>
      <w:r>
        <w:rPr>
          <w:rFonts w:ascii="Calibri" w:hAnsi="Calibri" w:cs="Calibri"/>
          <w:sz w:val="24"/>
          <w:szCs w:val="24"/>
        </w:rPr>
        <w:t xml:space="preserve">cynllun o’r ystafell dosbarth a ble yn y dosbarth roedd y 3 plentyn ffocws yn eistedd, ynghyd a lleoliad yr arsylwr. Addysgwyd y </w:t>
      </w:r>
      <w:r>
        <w:rPr>
          <w:rFonts w:ascii="Calibri" w:hAnsi="Calibri" w:cs="Calibri"/>
          <w:sz w:val="24"/>
          <w:szCs w:val="24"/>
        </w:rPr>
        <w:lastRenderedPageBreak/>
        <w:t>wers am 9:30 y bore ar ôl sesiwn ganu efo gweddill cyfnod allweddol 2. Addysgwyd yr un wers a addysgwyd yn y wers gyntaf i allu cymharu â dadansoddi data yn fwy effeithiol ac i wneud yr astudiaeth yn un teg. Gan mai’r un wers addysgwyd gwnaeth nod y wers a’r meini prawf llwyddiant aros yr un peth am y ddwy wers er bod yr ail ddosbarth wedi cael ychydig o wybodaeth gefndirol o wersi blaenorol. Gwnaeth defnyddio’r un wers efo’r un nod y wers a meini prawf llwyddiant golygu bod y canlyniadau’n fwy dibynadwy er roedd gan yr ail ddosbarth ychydig mwy o wybodaeth flaenorol. Cafwyd y wybodaeth flaenorol gan ddosbarth 2 dim effaith ar y canlyniadau gan mai ffocws yr astudiaeth yw gweld sut mae’r dysgwyr yn defnyddio’r meini prawf llwyddiant ac nid y gwaith cyflwynwyd.</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Unwaith eto, yn gyffredinol gwnaeth y dosbarth cyrraedd nod y wers yn cynnwys y 3 plentyn ffocws a gwnaeth y dosbarth hefyd dangos ymrwymiad da tuag at y dasg yn gyffredinol. Gwnaeth plentyn 1 cyrraedd nod y wers ac wedi dangos dealltwriaeth dda o nod y wers a’r meini prawf llwyddiant wrth wneud hyn. Gall gweld yn atodiad F</w:t>
      </w:r>
      <w:r w:rsidRPr="00182390">
        <w:rPr>
          <w:rFonts w:ascii="Calibri" w:hAnsi="Calibri" w:cs="Calibri"/>
          <w:b/>
          <w:bCs/>
          <w:color w:val="FF0000"/>
          <w:sz w:val="24"/>
          <w:szCs w:val="24"/>
        </w:rPr>
        <w:t xml:space="preserve"> </w:t>
      </w:r>
      <w:r w:rsidRPr="00182390">
        <w:rPr>
          <w:rFonts w:ascii="Calibri" w:hAnsi="Calibri" w:cs="Calibri"/>
          <w:sz w:val="24"/>
          <w:szCs w:val="24"/>
        </w:rPr>
        <w:t>bod plentyn 1 wedi sgorio 5/5 am ddealltwriaeth o nod y wers a meini prawf llwyddiant ac wedi sgorio 4/5 am gyflawni nod y wers gan roedd yna ambell gamgymeriad yn y gwaith cyflawnwyd. Gwnaeth plentyn 1 dangos ymrwymiad da i’w gwaith er dechrau’n araf a</w:t>
      </w:r>
      <w:r w:rsidR="00B53839">
        <w:rPr>
          <w:rFonts w:ascii="Calibri" w:hAnsi="Calibri" w:cs="Calibri"/>
          <w:sz w:val="24"/>
          <w:szCs w:val="24"/>
        </w:rPr>
        <w:t>c ychydig</w:t>
      </w:r>
      <w:r w:rsidRPr="00182390">
        <w:rPr>
          <w:rFonts w:ascii="Calibri" w:hAnsi="Calibri" w:cs="Calibri"/>
          <w:sz w:val="24"/>
          <w:szCs w:val="24"/>
        </w:rPr>
        <w:t xml:space="preserve"> o ffwdan ac felly gwnaeth sgorio 4/5 am ganolbwyntio yn ystod y cyflwyniad a’r wers a chafwyd 5/5 am ymateb yn gadarnhaol gan wnaeth gofyn cwestiynau a dangos diddordeb tuag at y dasg. Gwnaeth plentyn 1 dangos rhywfaint o ddysgu gan wnaeth ymateb i atebion ar ôl gofyn cwestiynau i’r athrawes er falle dydi’r gwaith cyflawnwyd dim yn dangos hyn. Gan fod plentyn 1 yn </w:t>
      </w:r>
      <w:r w:rsidR="00172B47">
        <w:rPr>
          <w:rFonts w:ascii="Calibri" w:hAnsi="Calibri" w:cs="Calibri"/>
          <w:sz w:val="24"/>
          <w:szCs w:val="24"/>
        </w:rPr>
        <w:t>haen ucha’</w:t>
      </w:r>
      <w:r w:rsidRPr="00182390">
        <w:rPr>
          <w:rFonts w:ascii="Calibri" w:hAnsi="Calibri" w:cs="Calibri"/>
          <w:sz w:val="24"/>
          <w:szCs w:val="24"/>
        </w:rPr>
        <w:t xml:space="preserve"> y dosbarth, gall wedi disgwyl i’r gwaith terfynol fod yn well er gwnaeth cyrraedd nod y wers. Wrth edrych ar ddefnyddio’r meini prawf llwyddiant i helpu cyrraedd nod y wers, gwnaeth plentyn 1 hyn yn dda gan welwyd yr arsylwr bod y plentyn wedi edrych a darllen y meini prawf llwyddiant mwy na unwaith yn ystod y wers.   </w:t>
      </w:r>
    </w:p>
    <w:p w:rsidR="00182390" w:rsidRPr="00182390" w:rsidRDefault="004F3C65" w:rsidP="008E6D22">
      <w:pPr>
        <w:spacing w:line="360" w:lineRule="auto"/>
        <w:rPr>
          <w:rFonts w:ascii="Calibri" w:hAnsi="Calibri" w:cs="Calibri"/>
          <w:color w:val="000000" w:themeColor="text1"/>
          <w:sz w:val="24"/>
          <w:szCs w:val="24"/>
        </w:rPr>
      </w:pPr>
      <w:r>
        <w:rPr>
          <w:rFonts w:ascii="Calibri" w:hAnsi="Calibri" w:cs="Calibri"/>
          <w:sz w:val="24"/>
          <w:szCs w:val="24"/>
        </w:rPr>
        <w:t>Gwelir yn atodiad Ff</w:t>
      </w:r>
      <w:r>
        <w:rPr>
          <w:rFonts w:ascii="Calibri" w:hAnsi="Calibri" w:cs="Calibri"/>
          <w:b/>
          <w:bCs/>
          <w:color w:val="FF0000"/>
          <w:sz w:val="24"/>
          <w:szCs w:val="24"/>
        </w:rPr>
        <w:t xml:space="preserve"> </w:t>
      </w:r>
      <w:r>
        <w:rPr>
          <w:rFonts w:ascii="Calibri" w:hAnsi="Calibri" w:cs="Calibri"/>
          <w:color w:val="000000"/>
          <w:sz w:val="24"/>
          <w:szCs w:val="24"/>
        </w:rPr>
        <w:t xml:space="preserve">canlyniadau diddorol yr arsylwad o blentyn 2 yn yr ail ysgol. Dwedir bod canlyniadau arsylwad plentyn 2 yn ddiddorol gan wnaeth methu cyflwyno gwaith o safon er arsylwadau cadarnhaol. Roedd y plentyn i’w weld yn canolbwyntio ac yn ymateb yn dda gan gychwyn y dasg yn syth a pharhau i edrych ar dasg trwy gydol y wers. Oherwydd hyn, gwnaeth sgorio 5/5 am ganolbwyntio yn ystod y wers ac am ymateb yn gadarnhaol a bod ar dasg. Bydd yr arsylwadau cadarnhaol yma yn rhagweld bydd y gwaith cyflawnwyd o safon uchel ac yn dangos dysgu effeithiol yn ystod y wers ond yn anffodus wrth edrych ar y gwaith </w:t>
      </w:r>
      <w:r>
        <w:rPr>
          <w:rFonts w:ascii="Calibri" w:hAnsi="Calibri" w:cs="Calibri"/>
          <w:color w:val="000000"/>
          <w:sz w:val="24"/>
          <w:szCs w:val="24"/>
        </w:rPr>
        <w:lastRenderedPageBreak/>
        <w:t>cyflawnwyd gan blentyn 2, dim ond 2/5 cafwyd am gyflawni nod y wers. Yma codwyd cwestiwn bydd angen ystyried wrth symud ymlaen sef pam gwnaeth y dysgwr yma methu cyflwyno gwaith o safon er ei agwedd ac ymrwymiad cadarnhaol o’r cychwyn? Gall ystyried bod y dysgwr heb ddeall nod y wers a’r meini prawf llwyddiant felly a oeddent yn ddigon clir?</w:t>
      </w:r>
    </w:p>
    <w:p w:rsidR="00182390" w:rsidRPr="00182390" w:rsidRDefault="00182390" w:rsidP="008E6D22">
      <w:pPr>
        <w:spacing w:line="360" w:lineRule="auto"/>
        <w:rPr>
          <w:rFonts w:ascii="Calibri" w:hAnsi="Calibri" w:cs="Calibri"/>
          <w:sz w:val="24"/>
          <w:szCs w:val="24"/>
        </w:rPr>
      </w:pPr>
      <w:r w:rsidRPr="00182390">
        <w:rPr>
          <w:rFonts w:ascii="Calibri" w:hAnsi="Calibri" w:cs="Calibri"/>
          <w:color w:val="000000"/>
          <w:sz w:val="24"/>
          <w:szCs w:val="24"/>
        </w:rPr>
        <w:t xml:space="preserve">Plentyn 3 o’r ail ysgol oedd yr unig ddisgybl gwnaeth dim dangos digon o ddealltwriaeth i gyrraedd nod y wers. Nes ymlaen, trafodir sut gall defnyddio’r meini prawf llwyddiant wedi helpu’r disgybl yma cyrraedd nod y wers a’r rhesymau am y canlyniad siomedig yma. Gwelir hefyd wrth edrych ar gyfweliad plentyn 3 yn atodiad </w:t>
      </w:r>
      <w:r w:rsidRPr="00182390">
        <w:rPr>
          <w:rFonts w:ascii="Calibri" w:hAnsi="Calibri" w:cs="Calibri"/>
          <w:sz w:val="24"/>
          <w:szCs w:val="24"/>
        </w:rPr>
        <w:t xml:space="preserve">Ch, ei atebion diddorol yn ystod y cyfweliad a gall cysylltu efo canlyniadau’r arsylwad. </w:t>
      </w:r>
      <w:r w:rsidRPr="00182390">
        <w:rPr>
          <w:rFonts w:ascii="Calibri" w:hAnsi="Calibri" w:cs="Calibri"/>
          <w:color w:val="000000"/>
          <w:sz w:val="24"/>
          <w:szCs w:val="24"/>
        </w:rPr>
        <w:t xml:space="preserve">Gwnaeth plentyn 3 sgorio’n uchel am ganolbwyntio a dangos agwedd cadarnhaol tuag at ei waith ond fel gwelir yn atodiad </w:t>
      </w:r>
      <w:r w:rsidRPr="00182390">
        <w:rPr>
          <w:rFonts w:ascii="Calibri" w:hAnsi="Calibri" w:cs="Calibri"/>
          <w:sz w:val="24"/>
          <w:szCs w:val="24"/>
        </w:rPr>
        <w:t>G, gwnaeth dechrau colli sylw erbyn diwedd y wers ar ôl gwblhau’r dasg yn gyflym. Er bod plentyn 3 wedi’i weld yn dangos ymrwymiad i’w waith ar adegau yn ystod y wers, gan wnaeth rhuthro trwy’r dasg a cholli sylw’n llwyr ar ôl hyn gall ystyried roedd y plentyn ond eisiau gorffen yn gyflym i allu gwneud rhywbeth arall. Trafodir yn yr adran nesaf rhesymau bosib am ganlyniadau arsylwad plentyn 3, ynghyd a’r 5 plentyn arall gan ystyried hefyd atebion cyfweliadau’r grwpiau ffocws a llenyddiaeth berthnasol.</w:t>
      </w:r>
    </w:p>
    <w:p w:rsidR="00182390" w:rsidRPr="00182390" w:rsidRDefault="004F3C65" w:rsidP="008E6D22">
      <w:pPr>
        <w:spacing w:line="360" w:lineRule="auto"/>
        <w:rPr>
          <w:rFonts w:ascii="Calibri" w:hAnsi="Calibri" w:cs="Calibri"/>
          <w:sz w:val="24"/>
          <w:szCs w:val="24"/>
        </w:rPr>
      </w:pPr>
      <w:r>
        <w:rPr>
          <w:rFonts w:ascii="Calibri" w:hAnsi="Calibri" w:cs="Calibri"/>
          <w:sz w:val="24"/>
          <w:szCs w:val="24"/>
        </w:rPr>
        <w:t xml:space="preserve">Gan ystyried bod dim ond 1 diwrnod wedi bod rhwng y wers gyntaf a’r ail wers, roedd yn anodd rhoi’r holl newidiadau a roddwyd ar ôl y wers gyntaf mewn lle yn ymarferol yn ystod yr ail. Er hyn, rhoddwyd ambell un o’r newidiadau mewn lle erbyn yr ail wers ond roedd rhaid hefyd ystyried cadw’r gweri’n debyg i gadw dibynadwyedd y data. Dewiswyd felly i ganolbwyntio ar wneud y meini prawf llwyddiant yn fwy clir yn ystod y cyflwyniad ac i adael y newidiadau eraill fel ffordd ymlaen os oedd mwy o wersi fel rhan o’r astudiaeth yma.  O’r ail wers, gwelir gall wella trwy gynghori bod y plant yn rhoi tic ar bwys y meini prawf llwyddiant wrth fynd ymlaen naill ai yn eu pen neu gan greu rhestr. Bydd hyn yn helpu i’r plant cadw ffocws ar y meini prawf llwyddiant trwy gydol y wers gan ddysgwyd bod cael e ar y bwrdd dim yn ddigon i rai o’r plant cyfeirio nôl ati a’i ddefnyddio’n effeithiol. Codwyd cwestiwn wedyn, a ydy’n addas i rannu’r meini prawf llwyddiant ar gyfer pob gwers? Gan fod defnyddio meini prawf llwyddiant wedi dangos canlyniadau cadarnhaol yn y ddwy astudiaeth gwers yma gall ystyried bod ei ddefnyddio’n aml mynd i gael effaith cadarnhaol ar y dysgwyr. Er hyn, dylir ystyried ei ddefnyddio mewn ffyrdd gwahanol e.e. rhoi ar y </w:t>
      </w:r>
      <w:r>
        <w:rPr>
          <w:rFonts w:ascii="Calibri" w:hAnsi="Calibri" w:cs="Calibri"/>
          <w:sz w:val="24"/>
          <w:szCs w:val="24"/>
        </w:rPr>
        <w:lastRenderedPageBreak/>
        <w:t>bwrdd, rhoi ar dop tudalen i gofnodi wrth fynd ymlaen neu roi adnodd i’r dygwyr wrth weld bod un o’r meini prawf llwyddiant wedi’u cyrraedd. Y prif beth ddysgwyd yn yr astudiaeth yma yw bod angen rhoi pob cyfle i’r disgyblion cyrraedd nod y wers trwy ddefnyddio gwahanol strategaethau i alluogi nhw i fod yn llwyddiannus. Gwelir yn atodiad C bod y disgyblion o’r ysgol gyntaf wedi cyfeirio at ddefnyddio SNOT, sef y system mae’r dosbarth yn defnyddio ar gyfer asesu eu gwaith. Mae rhaid i’r plant yn gyntaf edrych ar waith eu hun, yna gofyn i gymydog am adborth, yna ffrind arall o fewn y dosbarth cyn dod at yr athro/athrawes. Mae’r system yma’n ffordd arall o asesu ar gyfer dysgu a gall yr ail ysgol/dosbarth ystyried rhoi system i’w le yn lle mynd yn syth ar yr athro/athrawes dosbarth.</w:t>
      </w:r>
    </w:p>
    <w:p w:rsidR="00160775" w:rsidRPr="00160775" w:rsidRDefault="00160775" w:rsidP="008E6D22">
      <w:pPr>
        <w:spacing w:line="360" w:lineRule="auto"/>
        <w:rPr>
          <w:sz w:val="24"/>
          <w:szCs w:val="24"/>
          <w:u w:val="single"/>
        </w:rPr>
      </w:pPr>
      <w:r w:rsidRPr="00160775">
        <w:rPr>
          <w:sz w:val="24"/>
          <w:szCs w:val="24"/>
          <w:u w:val="single"/>
        </w:rPr>
        <w:t xml:space="preserve">Trafodaeth </w:t>
      </w:r>
    </w:p>
    <w:p w:rsidR="00160775" w:rsidRPr="00160775" w:rsidRDefault="00160775" w:rsidP="008E6D22">
      <w:pPr>
        <w:spacing w:line="360" w:lineRule="auto"/>
        <w:rPr>
          <w:sz w:val="24"/>
          <w:szCs w:val="24"/>
        </w:rPr>
      </w:pPr>
      <w:r w:rsidRPr="00160775">
        <w:rPr>
          <w:rFonts w:ascii="Calibri" w:hAnsi="Calibri" w:cs="Calibri"/>
          <w:sz w:val="24"/>
          <w:szCs w:val="24"/>
        </w:rPr>
        <w:t>Y prif beth darganfwyd o’r astudiaeth gwers yma yw bod y disgyblion yn credu bod defnyddio’r meini prawf llwyddiant yn help iddyn nhw, gan wnaeth pob un plentyn o’r grwpiau ffocws dweud hyn. Gwelir yn yr atodiadau bod pob plentyn wedi adnabod bod y meini prawf llwyddiant yn helpu iddyn nhw gan roi cymysgedd o resymau e.e. ‘angen e i wybod beth i wneud,’ ‘helpu ti cyrraedd targed’ a ‘os nad oes nod y wers ddim yn cofio beth yw’r dasg.’ Gwnaeth plentyn 3 yn ysgol 2 cynnig ateb diddorol iawn i gwestiwn 9 (gwelir yn atodiad</w:t>
      </w:r>
      <w:r w:rsidRPr="00160775">
        <w:rPr>
          <w:rFonts w:ascii="Calibri" w:hAnsi="Calibri" w:cs="Calibri"/>
          <w:b/>
          <w:bCs/>
          <w:color w:val="FF0000"/>
          <w:sz w:val="24"/>
          <w:szCs w:val="24"/>
        </w:rPr>
        <w:t xml:space="preserve"> </w:t>
      </w:r>
      <w:r w:rsidRPr="00160775">
        <w:rPr>
          <w:rFonts w:ascii="Calibri" w:hAnsi="Calibri" w:cs="Calibri"/>
          <w:sz w:val="24"/>
          <w:szCs w:val="24"/>
        </w:rPr>
        <w:t>Ch) gan ddweud bod yn hoffi cael nod y wers a bod yr athro fod rhoi nod y wers a meini prawf llwyddiant i’r dosbarth. Mae’r sylwad yma yn un gryf gan fod y disgybl yma wedi dweud bod yr athro ‘fod’ rhoi nod y wers a meini prawf llwyddiant sydd yn dangos bod y disgybl yma’n credu fod cyfrifoldeb ar yr athro/athrawes dosbarth i wneud hyn.</w:t>
      </w:r>
    </w:p>
    <w:p w:rsidR="00160775" w:rsidRPr="00160775" w:rsidRDefault="004F3C65" w:rsidP="008E6D22">
      <w:pPr>
        <w:spacing w:line="360" w:lineRule="auto"/>
        <w:rPr>
          <w:rFonts w:cstheme="minorHAnsi"/>
          <w:sz w:val="24"/>
          <w:szCs w:val="24"/>
        </w:rPr>
      </w:pPr>
      <w:r>
        <w:rPr>
          <w:rFonts w:ascii="Calibri" w:hAnsi="Calibri" w:cs="Calibri"/>
          <w:sz w:val="24"/>
          <w:szCs w:val="24"/>
        </w:rPr>
        <w:t xml:space="preserve">Gwnaeth canlyniadau arsylwad plentyn 3 o’r ysgol gyntaf a phlentyn 2 a 3 o’r ail ysgol codi cwestiynau am wahanol resymau, trafodir hyn yma i weld os gall argymell rhesymau am y canlyniadau. Gwnaeth plentyn 3 o’r ysgol gyntaf dangos diffyg canolbwyntio yn ystod cyflwyniad y wers ac wedi mynd ymlaen i gyflawni gwaith gwnaeth cyrraedd nod y wers, gan ystyried mae yn grŵp gwaelod y dosbarth yw’r plentyn yma. Gwnaeth yr arsylwr nodi bod y plentyn yma dim i weld yn mwynhau’r dasg gan roedd yn edrych yn ddryslyd. Wrth feddwl am hyn gall ystyried bod y dasg wedi bod yn anodd i’r plentyn yma gan mae’r tro gyntaf i’r geiriau tebyg cael ei gyflwyno i’r dosbarth. Gan ystyried lefel darllen isel y disgybl yma gall </w:t>
      </w:r>
      <w:r>
        <w:rPr>
          <w:rFonts w:ascii="Calibri" w:hAnsi="Calibri" w:cs="Calibri"/>
          <w:sz w:val="24"/>
          <w:szCs w:val="24"/>
        </w:rPr>
        <w:lastRenderedPageBreak/>
        <w:t>hefyd gweld gall wedi cael trafferth wrth gyfeirio nôl at y meini prawf llwyddiant yn ystod y wers sef rhywbeth arall i ystyried am unrhyw ymchwil yn y dyfodol.</w:t>
      </w:r>
    </w:p>
    <w:p w:rsidR="00160775" w:rsidRPr="00160775" w:rsidRDefault="004F3C65" w:rsidP="008E6D22">
      <w:pPr>
        <w:spacing w:line="360" w:lineRule="auto"/>
        <w:rPr>
          <w:sz w:val="24"/>
          <w:szCs w:val="24"/>
        </w:rPr>
      </w:pPr>
      <w:r>
        <w:rPr>
          <w:rFonts w:ascii="Calibri" w:hAnsi="Calibri" w:cs="Calibri"/>
          <w:sz w:val="24"/>
          <w:szCs w:val="24"/>
        </w:rPr>
        <w:t>Gwnaeth plentyn 2 o’r ail ysgol dangos agweddau gwahanol iawn yn ystod yr arsylwad gan roedd yn edrych i fod yn canolbwyntio ac yn ymateb yn dda i’w waith ond cyflwynwyd gwaith isel ei gyrhaeddiad. Gwnaeth y plentyn yma cyrraedd nod y wers oherwydd roedd yn gallu esbonio a chywiro ambell ateb wrth drafod efo’r athrawes ac felly wedi dangos dealltwriaeth, lle'r oedd plentyn 3 o’r un ysgol wedi methu gwneud hyn. Gwelir yn atodiad Ff</w:t>
      </w:r>
      <w:r>
        <w:rPr>
          <w:rFonts w:ascii="Calibri" w:hAnsi="Calibri" w:cs="Calibri"/>
          <w:b/>
          <w:bCs/>
          <w:color w:val="FF0000"/>
          <w:sz w:val="24"/>
          <w:szCs w:val="24"/>
        </w:rPr>
        <w:t xml:space="preserve"> </w:t>
      </w:r>
      <w:r>
        <w:rPr>
          <w:rFonts w:ascii="Calibri" w:hAnsi="Calibri" w:cs="Calibri"/>
          <w:sz w:val="24"/>
          <w:szCs w:val="24"/>
        </w:rPr>
        <w:t>bod plentyn 2 wedi sgorio 4 neu 5 ym mhob agwedd yr arsylwad ond am yr un olaf sef cyflawni nod y wers. Gall ystyried yma bod y plentyn heb ddeall y dasg er rhoi ymdrech dda a dangos ymrwymiad i’w waith, weithiau yma bydd yr achos a bydd angen trafodaeth bellach efo’r athro/athrawes i ddatblygu dealltwriaeth.</w:t>
      </w:r>
    </w:p>
    <w:p w:rsidR="00160775" w:rsidRPr="00160775" w:rsidRDefault="004F3C65" w:rsidP="008E6D22">
      <w:pPr>
        <w:spacing w:line="360" w:lineRule="auto"/>
        <w:rPr>
          <w:sz w:val="24"/>
          <w:szCs w:val="24"/>
        </w:rPr>
      </w:pPr>
      <w:r>
        <w:rPr>
          <w:rFonts w:ascii="Calibri" w:hAnsi="Calibri" w:cs="Calibri"/>
          <w:sz w:val="24"/>
          <w:szCs w:val="24"/>
        </w:rPr>
        <w:t>Gwnaeth plentyn 3 yn yr ail ysgol ateb y cwestiynau’n onest iawn a ddangosir ymatebion gwahanol i ystyried. Gwnaeth y plentyn yma ateb cwestiwn 7 sef ‘beth ydych chi’n credu yw pwrpas meini prawf llwyddiant’ gan ddweud bod yn ‘rhoi i ti sut i wella’ ac yn ‘gwneud chi’n hapus pryd chi wedi gwneud y gwaith.’ Mae’r cysylltiad yma i deimlo’n hapus yn un werthfawr gan fod yn dangos yr effaith mae cyrraedd nod y wers a’r meini prawf llwyddiant yn gallu cael. Gwnaeth plentyn 3 hefyd dweud bod yn hoffi creu nod y wers ei hun os does dim un, mae hwn yn dangos pa mor bwysig yw cael nod y wers i’r plentyn yma ac yn dangos bod yn rhywbeth mae’r plant eisiau cael. Gan fod y plentyn yma wedi dangos hoffter mawr tuag at gael nod y wers a meini prawf llwyddiant mae angen ystyried eto a bydd cynllunio nod y wers a meini prawf llwyddiant ar gyfer pob gwers yn cymorth i rai dysgwyr?</w:t>
      </w:r>
    </w:p>
    <w:p w:rsidR="00160775" w:rsidRPr="00160775" w:rsidRDefault="00160775" w:rsidP="008E6D22">
      <w:pPr>
        <w:spacing w:line="360" w:lineRule="auto"/>
        <w:rPr>
          <w:sz w:val="24"/>
          <w:szCs w:val="24"/>
        </w:rPr>
      </w:pPr>
      <w:r w:rsidRPr="00160775">
        <w:rPr>
          <w:rFonts w:ascii="Calibri" w:hAnsi="Calibri" w:cs="Calibri"/>
          <w:sz w:val="24"/>
          <w:szCs w:val="24"/>
        </w:rPr>
        <w:t>Mae canlyniadau’r astudiaeth yma yn cyd-fynd gyda’r adolygiad llenyddiaeth gan fod wedi dangos bod meini prawf llwyddiant yn bwysig a gallu bod yn effeithiol ond yn ymarferol mae angen mwy o ymrwymiad i’w ddefnyddio gan fydd hyn yn galluogi’r buddion cael ei astudio’n well. Gwnaeth rhai o’r disgyblion yn yr astudiaeth gwers yma defnyddio’r meini prawf llwyddiant i gyrraedd nod y wers ond gall gweld yn y dosbarthiadau’n gyffredinol roedd llawer heb, gall hyn fod oherwydd mae angen mwy o esboniad ac ymarfer arnynt i allu’i ddefnyddio’n effeithiol.</w:t>
      </w:r>
    </w:p>
    <w:p w:rsidR="00160775" w:rsidRPr="00160775" w:rsidRDefault="004F3C65" w:rsidP="008E6D22">
      <w:pPr>
        <w:spacing w:line="360" w:lineRule="auto"/>
        <w:rPr>
          <w:sz w:val="24"/>
          <w:szCs w:val="24"/>
        </w:rPr>
      </w:pPr>
      <w:r>
        <w:rPr>
          <w:rFonts w:ascii="Calibri" w:hAnsi="Calibri" w:cs="Calibri"/>
          <w:sz w:val="24"/>
          <w:szCs w:val="24"/>
        </w:rPr>
        <w:t xml:space="preserve">Roedd yna gryfderau a chyfyngiadau i’w weld yn ddulliau’r astudiaeth gwers yma, y prif gryfder oedd bod defnyddio’r arsylwadau ynghyd a’r cyfweliadau wedi rhoi digon o ddata i </w:t>
      </w:r>
      <w:r>
        <w:rPr>
          <w:rFonts w:ascii="Calibri" w:hAnsi="Calibri" w:cs="Calibri"/>
          <w:sz w:val="24"/>
          <w:szCs w:val="24"/>
        </w:rPr>
        <w:lastRenderedPageBreak/>
        <w:t>ystyried a thrafod. Y prif gyfyngiad oedd bod dim ond cyfle i ni wneud dwy wers, gall y cyfle i wneud mwy wedi dangos pethau gwahanol neu wedi galluogi i gryfhau rhai o’r casgliadau. Mae yna nifer o bethau gall newid wrth edrych tuag at unrhyw ymchwil ymestynnol e.e. dewis plant gwahanol am wahanol resymau neu gyflwyno’r meini prawf llwyddiant yn wahanol ffurf fel trafodir yn yr adran canlyniadau a dadansoddi.</w:t>
      </w:r>
    </w:p>
    <w:p w:rsidR="00160775" w:rsidRPr="00160775" w:rsidRDefault="00160775" w:rsidP="008E6D22">
      <w:pPr>
        <w:spacing w:line="360" w:lineRule="auto"/>
        <w:rPr>
          <w:sz w:val="24"/>
          <w:szCs w:val="24"/>
          <w:u w:val="single"/>
        </w:rPr>
      </w:pPr>
      <w:r w:rsidRPr="00160775">
        <w:rPr>
          <w:sz w:val="24"/>
          <w:szCs w:val="24"/>
          <w:u w:val="single"/>
        </w:rPr>
        <w:t xml:space="preserve">Casgliad ac Argymhellion </w:t>
      </w:r>
    </w:p>
    <w:p w:rsidR="00160775" w:rsidRPr="00160775" w:rsidRDefault="004F3C65" w:rsidP="008E6D22">
      <w:pPr>
        <w:spacing w:line="360" w:lineRule="auto"/>
        <w:rPr>
          <w:sz w:val="24"/>
          <w:szCs w:val="24"/>
        </w:rPr>
      </w:pPr>
      <w:r>
        <w:rPr>
          <w:rFonts w:ascii="Calibri" w:hAnsi="Calibri" w:cs="Calibri"/>
          <w:sz w:val="24"/>
          <w:szCs w:val="24"/>
        </w:rPr>
        <w:t>Mae’r dulliau defnyddiwyd yn yr ymchwil yma wedi’i amlinellu yn yr adran methodoleg ac wedi cael ei barnu’n ddigon dibynadwy a ddilys i ddarparu data addas gan y ddau ymchwiliwr. Yn ystod yr astudiaeth gwers cafwyd pob peth i’w wneud yn y ffordd amlinellwyd yn y fethodoleg ac felly gall dweud bod y data casglwyd yn ddibynadwy ac yn ddilys. Yn gyffredinol, mae’r canlyniadau’n dangos beth ragwelwyd gan yr adolygiad llenyddiaeth sef bod defnyddio’r meini prawf llwyddiant yn gallu bod yn effeithiol.</w:t>
      </w:r>
    </w:p>
    <w:p w:rsidR="00160775" w:rsidRPr="00160775" w:rsidRDefault="004F3C65" w:rsidP="008E6D22">
      <w:pPr>
        <w:spacing w:line="360" w:lineRule="auto"/>
        <w:rPr>
          <w:sz w:val="24"/>
          <w:szCs w:val="24"/>
        </w:rPr>
      </w:pPr>
      <w:r>
        <w:rPr>
          <w:rFonts w:ascii="Calibri" w:hAnsi="Calibri" w:cs="Calibri"/>
          <w:sz w:val="24"/>
          <w:szCs w:val="24"/>
        </w:rPr>
        <w:t>Mae’r ymchwil yma wedi dangos bod defnyddio meini prawf llwyddiant yn gallu bod yn gymorth i blant cyrraedd nod y wers ac felly bydd defnyddio hyn wrth addysgu yn y dyfodol yn addas a gall rhoi mwy o fewnweliad i’r ymchwil yma. Rhywbeth i newid wrth symud ymlaen yw cyflwyno nod y wers a’r meini prawf llwyddiant mewn mwy na un ffordd e.e. ar daflen atgoffa gan hefyd ystyried pob plentyn yn y dosbarth. Bydd rhoi’r cyfle i’r plant defnyddio’r meini prawf llwyddiant yn fwy aml yn sicr o ddatblygu ei ddealltwriaeth o sut i’w ddefnyddio i gyrraedd nod y wers ac yn galluogi nhw i’w ddefnyddio’n fwy effeithiol wrth symud ymlaen. Wrth edrych ymlaen at y cwricwlwm ‘Dyfodol Llwyddiannus’ gall y defnydd o feini prawf llwyddiant cael effaith mawr yma, yn enwedig wrth i’r dysgwyr mynd ati i weithio’n fwy annibynnol. Wrth roi meini prawf llwyddiant gyda phob ardal, her a thasg gall y dysgwyr mynd ati’n fwy annibynnol i gwblhau pob beth gan ddefnyddio’r meini prawf llwyddiant fel cymorth. Bydd hyn hefyd yn annog trafodaeth rhwng y dysgwyr ac yn ffordd effeithiol o arwain y dygwyr i hunain asesu ac asesu cyfoedion.</w:t>
      </w:r>
    </w:p>
    <w:p w:rsidR="00160775" w:rsidRPr="00160775" w:rsidRDefault="00160775" w:rsidP="008E6D22">
      <w:pPr>
        <w:spacing w:line="360" w:lineRule="auto"/>
        <w:rPr>
          <w:sz w:val="24"/>
          <w:szCs w:val="24"/>
        </w:rPr>
      </w:pPr>
      <w:r w:rsidRPr="00160775">
        <w:rPr>
          <w:rFonts w:ascii="Calibri" w:hAnsi="Calibri" w:cs="Calibri"/>
          <w:sz w:val="24"/>
          <w:szCs w:val="24"/>
        </w:rPr>
        <w:t xml:space="preserve">Wrth edrych at wneud ymchwil pellach, bydd gwneud yr astudiaeth gwers ar raddfa mwy yn sicr o ddarparu mwy o gyfleoedd am drafodaeth fwy eang a gall arwain at gasgliadau gwahanol. Bydd defnyddio astudiaeth gwers eto yn y dyfodol, yn enwedig i’r fath yma o ymchwil yn bosib iawn gan fod wedi darparu cyfleoedd gwahanol i’r plant ac i’r ymchwilwyr. Roedd y dull astudiaeth gwers hefyd yn syml ond wedi arwain at ganlyniadau da sydd yn </w:t>
      </w:r>
      <w:r w:rsidRPr="00160775">
        <w:rPr>
          <w:rFonts w:ascii="Calibri" w:hAnsi="Calibri" w:cs="Calibri"/>
          <w:sz w:val="24"/>
          <w:szCs w:val="24"/>
        </w:rPr>
        <w:lastRenderedPageBreak/>
        <w:t>dangos bod yn ddull ymchwil effeithiol iawn ar gyfer ymchwil o’r fath yma. Gall hybu’r dull ymchwil yma i ddefnyddwyr posib gan wneud yn sicr o ddatgan rhai o’r cyfyngiadau sydd yn dod efo’i ddefnyddio.</w:t>
      </w:r>
    </w:p>
    <w:p w:rsidR="00160775" w:rsidRPr="00160775" w:rsidRDefault="00160775" w:rsidP="008E6D22">
      <w:pPr>
        <w:spacing w:line="360" w:lineRule="auto"/>
        <w:rPr>
          <w:sz w:val="24"/>
          <w:szCs w:val="24"/>
        </w:rPr>
      </w:pPr>
      <w:r w:rsidRPr="00160775">
        <w:rPr>
          <w:rFonts w:ascii="Calibri" w:hAnsi="Calibri" w:cs="Calibri"/>
          <w:sz w:val="24"/>
          <w:szCs w:val="24"/>
        </w:rPr>
        <w:t>I orffen, gall ystyried yr ymchwil yma’n llwyddiannus gan fod wedi dangos canlyniadau defnyddiol i allu adeiladu arni yn y dyfodol.</w:t>
      </w:r>
    </w:p>
    <w:p w:rsidR="003B7751" w:rsidRDefault="00160775" w:rsidP="00537860">
      <w:pPr>
        <w:spacing w:line="360" w:lineRule="auto"/>
      </w:pPr>
      <w:bookmarkStart w:id="0" w:name="_GoBack"/>
      <w:bookmarkEnd w:id="0"/>
      <w:r w:rsidRPr="00160775">
        <w:t xml:space="preserve"> </w:t>
      </w:r>
      <w:bookmarkStart w:id="1" w:name="cysill"/>
      <w:bookmarkEnd w:id="1"/>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585BDB" w:rsidRDefault="00585BDB" w:rsidP="00537860">
      <w:pPr>
        <w:spacing w:line="360" w:lineRule="auto"/>
        <w:rPr>
          <w:sz w:val="24"/>
          <w:szCs w:val="24"/>
          <w:u w:val="single"/>
        </w:rPr>
      </w:pPr>
    </w:p>
    <w:p w:rsidR="00A40720" w:rsidRPr="003B7751" w:rsidRDefault="00A40720" w:rsidP="00537860">
      <w:pPr>
        <w:spacing w:line="360" w:lineRule="auto"/>
      </w:pPr>
      <w:r w:rsidRPr="00A40720">
        <w:rPr>
          <w:sz w:val="24"/>
          <w:szCs w:val="24"/>
          <w:u w:val="single"/>
        </w:rPr>
        <w:t>Cyfeir</w:t>
      </w:r>
      <w:r w:rsidR="001050CF">
        <w:rPr>
          <w:sz w:val="24"/>
          <w:szCs w:val="24"/>
          <w:u w:val="single"/>
        </w:rPr>
        <w:t xml:space="preserve">iadau </w:t>
      </w:r>
    </w:p>
    <w:p w:rsidR="00A40720" w:rsidRDefault="00A40720" w:rsidP="00537860">
      <w:pPr>
        <w:spacing w:line="360" w:lineRule="auto"/>
        <w:rPr>
          <w:sz w:val="24"/>
          <w:szCs w:val="24"/>
        </w:rPr>
      </w:pPr>
      <w:r w:rsidRPr="00A40720">
        <w:rPr>
          <w:sz w:val="24"/>
          <w:szCs w:val="24"/>
        </w:rPr>
        <w:t>Black, P.</w:t>
      </w:r>
      <w:r w:rsidR="00C91C19">
        <w:rPr>
          <w:sz w:val="24"/>
          <w:szCs w:val="24"/>
        </w:rPr>
        <w:t>, Harrison, C., Lee, C. a Marshall, B</w:t>
      </w:r>
      <w:r w:rsidRPr="00A40720">
        <w:rPr>
          <w:sz w:val="24"/>
          <w:szCs w:val="24"/>
        </w:rPr>
        <w:t xml:space="preserve">. (2007) </w:t>
      </w:r>
      <w:r w:rsidRPr="00A40720">
        <w:rPr>
          <w:i/>
          <w:sz w:val="24"/>
          <w:szCs w:val="24"/>
        </w:rPr>
        <w:t>Assessment for Learning – putting it into practise</w:t>
      </w:r>
      <w:r w:rsidRPr="00A40720">
        <w:rPr>
          <w:sz w:val="24"/>
          <w:szCs w:val="24"/>
        </w:rPr>
        <w:t xml:space="preserve">. Maidenhead: Open University Press. </w:t>
      </w:r>
    </w:p>
    <w:p w:rsidR="00C91C19" w:rsidRPr="00E9258C" w:rsidRDefault="00C91C19" w:rsidP="00537860">
      <w:pPr>
        <w:spacing w:line="360" w:lineRule="auto"/>
        <w:rPr>
          <w:sz w:val="24"/>
          <w:szCs w:val="24"/>
        </w:rPr>
      </w:pPr>
      <w:r>
        <w:rPr>
          <w:sz w:val="24"/>
          <w:szCs w:val="24"/>
        </w:rPr>
        <w:t xml:space="preserve">Brookfield, </w:t>
      </w:r>
      <w:r w:rsidR="00E9258C">
        <w:rPr>
          <w:sz w:val="24"/>
          <w:szCs w:val="24"/>
        </w:rPr>
        <w:t xml:space="preserve">S. </w:t>
      </w:r>
      <w:r>
        <w:rPr>
          <w:sz w:val="24"/>
          <w:szCs w:val="24"/>
        </w:rPr>
        <w:t xml:space="preserve">(1998) </w:t>
      </w:r>
      <w:r w:rsidR="00E9258C">
        <w:rPr>
          <w:i/>
          <w:sz w:val="24"/>
          <w:szCs w:val="24"/>
        </w:rPr>
        <w:t xml:space="preserve">Critically reflective practise. </w:t>
      </w:r>
      <w:r w:rsidR="00E9258C" w:rsidRPr="00E9258C">
        <w:rPr>
          <w:sz w:val="24"/>
          <w:szCs w:val="24"/>
        </w:rPr>
        <w:t>The Journal of Continuing Education in the Health Professions, Volume 18, pp. 197–20</w:t>
      </w:r>
      <w:r w:rsidR="00E9258C" w:rsidRPr="00E9258C">
        <w:rPr>
          <w:sz w:val="24"/>
          <w:szCs w:val="24"/>
        </w:rPr>
        <w:t>.</w:t>
      </w:r>
    </w:p>
    <w:p w:rsidR="00A40720" w:rsidRPr="00A40720" w:rsidRDefault="00A40720" w:rsidP="00537860">
      <w:pPr>
        <w:spacing w:line="360" w:lineRule="auto"/>
        <w:rPr>
          <w:sz w:val="24"/>
          <w:szCs w:val="24"/>
        </w:rPr>
      </w:pPr>
      <w:r w:rsidRPr="00A40720">
        <w:rPr>
          <w:sz w:val="24"/>
          <w:szCs w:val="24"/>
        </w:rPr>
        <w:t xml:space="preserve">Cheung, W. a Wong, W. (2014) ‘Does lesson study work?: A systematic review on the effects of lesson study and learning study on teachers and students’, </w:t>
      </w:r>
      <w:r w:rsidRPr="00A40720">
        <w:rPr>
          <w:i/>
          <w:sz w:val="24"/>
          <w:szCs w:val="24"/>
        </w:rPr>
        <w:t xml:space="preserve">International Journal for Lesson and Learning Studies, </w:t>
      </w:r>
      <w:r w:rsidRPr="00A40720">
        <w:rPr>
          <w:sz w:val="24"/>
          <w:szCs w:val="24"/>
        </w:rPr>
        <w:t xml:space="preserve">3(2), pp. 137-149. </w:t>
      </w:r>
    </w:p>
    <w:p w:rsidR="00A40720" w:rsidRPr="00A40720" w:rsidRDefault="00A40720" w:rsidP="00537860">
      <w:pPr>
        <w:spacing w:line="360" w:lineRule="auto"/>
        <w:rPr>
          <w:sz w:val="24"/>
          <w:szCs w:val="24"/>
        </w:rPr>
      </w:pPr>
      <w:r w:rsidRPr="00A40720">
        <w:rPr>
          <w:sz w:val="24"/>
          <w:szCs w:val="24"/>
        </w:rPr>
        <w:t xml:space="preserve">Crichton, H. a McDaid, A. (2016) ‘Learning intentions and success criteria: learners’ and teachers’ views’, </w:t>
      </w:r>
      <w:r w:rsidRPr="00A40720">
        <w:rPr>
          <w:i/>
          <w:sz w:val="24"/>
          <w:szCs w:val="24"/>
        </w:rPr>
        <w:t xml:space="preserve">Curriculum Journal, </w:t>
      </w:r>
      <w:r w:rsidRPr="00A40720">
        <w:rPr>
          <w:sz w:val="24"/>
          <w:szCs w:val="24"/>
        </w:rPr>
        <w:t xml:space="preserve">27(2). </w:t>
      </w:r>
    </w:p>
    <w:p w:rsidR="00A40720" w:rsidRPr="00A40720" w:rsidRDefault="00A40720" w:rsidP="00537860">
      <w:pPr>
        <w:spacing w:line="360" w:lineRule="auto"/>
        <w:rPr>
          <w:sz w:val="24"/>
          <w:szCs w:val="24"/>
        </w:rPr>
      </w:pPr>
      <w:r w:rsidRPr="00A40720">
        <w:rPr>
          <w:sz w:val="24"/>
          <w:szCs w:val="24"/>
        </w:rPr>
        <w:t xml:space="preserve">Dudley, P. (2015) </w:t>
      </w:r>
      <w:r w:rsidRPr="00A40720">
        <w:rPr>
          <w:i/>
          <w:sz w:val="24"/>
          <w:szCs w:val="24"/>
        </w:rPr>
        <w:t xml:space="preserve">Lesson Study: Professional learning for our time. </w:t>
      </w:r>
      <w:r w:rsidRPr="00A40720">
        <w:rPr>
          <w:sz w:val="24"/>
          <w:szCs w:val="24"/>
        </w:rPr>
        <w:t xml:space="preserve">London: Routledge. </w:t>
      </w:r>
    </w:p>
    <w:p w:rsidR="00A40720" w:rsidRPr="00A40720" w:rsidRDefault="00A40720" w:rsidP="00537860">
      <w:pPr>
        <w:spacing w:line="360" w:lineRule="auto"/>
        <w:rPr>
          <w:sz w:val="24"/>
          <w:szCs w:val="24"/>
        </w:rPr>
      </w:pPr>
      <w:r w:rsidRPr="00A40720">
        <w:rPr>
          <w:sz w:val="24"/>
          <w:szCs w:val="24"/>
        </w:rPr>
        <w:t xml:space="preserve">Estyn (2017) </w:t>
      </w:r>
      <w:r w:rsidRPr="00A40720">
        <w:rPr>
          <w:i/>
          <w:sz w:val="24"/>
          <w:szCs w:val="24"/>
        </w:rPr>
        <w:t xml:space="preserve">Adroddiad Arolygiad </w:t>
      </w:r>
      <w:r w:rsidRPr="00A40720">
        <w:rPr>
          <w:i/>
          <w:sz w:val="24"/>
          <w:szCs w:val="24"/>
          <w:highlight w:val="black"/>
        </w:rPr>
        <w:t>Trimsaran C.P. School</w:t>
      </w:r>
      <w:r w:rsidRPr="00A40720">
        <w:rPr>
          <w:i/>
          <w:sz w:val="24"/>
          <w:szCs w:val="24"/>
        </w:rPr>
        <w:t xml:space="preserve"> 2017 </w:t>
      </w:r>
      <w:r w:rsidRPr="00A40720">
        <w:rPr>
          <w:sz w:val="24"/>
          <w:szCs w:val="24"/>
        </w:rPr>
        <w:t xml:space="preserve">Ar gael: </w:t>
      </w:r>
      <w:hyperlink r:id="rId6" w:history="1">
        <w:r w:rsidRPr="00537860">
          <w:rPr>
            <w:color w:val="0000FF" w:themeColor="hyperlink"/>
            <w:sz w:val="24"/>
            <w:szCs w:val="24"/>
            <w:highlight w:val="blue"/>
            <w:u w:val="single"/>
          </w:rPr>
          <w:t>https://www.estyn.llyw.cymru/darparwr/6692175</w:t>
        </w:r>
      </w:hyperlink>
      <w:r w:rsidRPr="00A40720">
        <w:rPr>
          <w:sz w:val="24"/>
          <w:szCs w:val="24"/>
        </w:rPr>
        <w:t xml:space="preserve"> (Mynediad: 27/02/2019). </w:t>
      </w:r>
    </w:p>
    <w:p w:rsidR="00A40720" w:rsidRDefault="00A40720" w:rsidP="00537860">
      <w:pPr>
        <w:spacing w:line="360" w:lineRule="auto"/>
        <w:rPr>
          <w:sz w:val="24"/>
          <w:szCs w:val="24"/>
        </w:rPr>
      </w:pPr>
      <w:r w:rsidRPr="00A40720">
        <w:rPr>
          <w:sz w:val="24"/>
          <w:szCs w:val="24"/>
        </w:rPr>
        <w:t xml:space="preserve">Estyn (2018) </w:t>
      </w:r>
      <w:r w:rsidRPr="00A40720">
        <w:rPr>
          <w:i/>
          <w:sz w:val="24"/>
          <w:szCs w:val="24"/>
        </w:rPr>
        <w:t xml:space="preserve">Adroddiad Arolygiad </w:t>
      </w:r>
      <w:r w:rsidRPr="00A40720">
        <w:rPr>
          <w:i/>
          <w:sz w:val="24"/>
          <w:szCs w:val="24"/>
          <w:highlight w:val="black"/>
        </w:rPr>
        <w:t>Ysgol Gynradd Gymraeg Lonlas</w:t>
      </w:r>
      <w:r w:rsidRPr="00A40720">
        <w:rPr>
          <w:i/>
          <w:sz w:val="24"/>
          <w:szCs w:val="24"/>
        </w:rPr>
        <w:t xml:space="preserve"> 2018</w:t>
      </w:r>
      <w:r w:rsidRPr="00A40720">
        <w:rPr>
          <w:sz w:val="24"/>
          <w:szCs w:val="24"/>
        </w:rPr>
        <w:t xml:space="preserve"> Ar gael: </w:t>
      </w:r>
      <w:hyperlink r:id="rId7" w:history="1">
        <w:r w:rsidRPr="00537860">
          <w:rPr>
            <w:color w:val="0000FF" w:themeColor="hyperlink"/>
            <w:sz w:val="24"/>
            <w:szCs w:val="24"/>
            <w:highlight w:val="blue"/>
            <w:u w:val="single"/>
          </w:rPr>
          <w:t>https://www.estyn.llyw.cymru/darparwr/6702036?_ga=2.124243530.1520408723.1551643358-2081364900.1508786045</w:t>
        </w:r>
      </w:hyperlink>
      <w:r w:rsidRPr="00A40720">
        <w:rPr>
          <w:sz w:val="24"/>
          <w:szCs w:val="24"/>
        </w:rPr>
        <w:t xml:space="preserve"> (Mynediad: 27/02/2019). </w:t>
      </w:r>
    </w:p>
    <w:p w:rsidR="00A77DCE" w:rsidRPr="00E0554E" w:rsidRDefault="00A77DCE" w:rsidP="00537860">
      <w:pPr>
        <w:spacing w:line="360" w:lineRule="auto"/>
        <w:rPr>
          <w:sz w:val="24"/>
          <w:szCs w:val="24"/>
        </w:rPr>
      </w:pPr>
      <w:r>
        <w:rPr>
          <w:sz w:val="24"/>
          <w:szCs w:val="24"/>
        </w:rPr>
        <w:t xml:space="preserve">Estyn (2018) </w:t>
      </w:r>
      <w:r w:rsidR="00E0554E">
        <w:rPr>
          <w:i/>
          <w:sz w:val="24"/>
          <w:szCs w:val="24"/>
        </w:rPr>
        <w:t xml:space="preserve">Asesu ar gyfer Dysgu a medrau meddwl. </w:t>
      </w:r>
      <w:r w:rsidR="003625B7">
        <w:rPr>
          <w:sz w:val="24"/>
          <w:szCs w:val="24"/>
        </w:rPr>
        <w:t xml:space="preserve">Ar gael: </w:t>
      </w:r>
      <w:hyperlink r:id="rId8" w:history="1">
        <w:r w:rsidR="003625B7" w:rsidRPr="001E0AF5">
          <w:rPr>
            <w:rStyle w:val="Hyperlink"/>
            <w:sz w:val="24"/>
            <w:szCs w:val="24"/>
          </w:rPr>
          <w:t>https://www.estyn.llyw.cymru/arfer-effeithiol/asesu-ar-gyfer-dysgu-medrau-meddwl</w:t>
        </w:r>
      </w:hyperlink>
      <w:r w:rsidR="003625B7">
        <w:rPr>
          <w:sz w:val="24"/>
          <w:szCs w:val="24"/>
        </w:rPr>
        <w:t xml:space="preserve"> (Mynediad: 27/02/2019). </w:t>
      </w:r>
    </w:p>
    <w:p w:rsidR="00A40720" w:rsidRDefault="00A40720" w:rsidP="00537860">
      <w:pPr>
        <w:spacing w:line="360" w:lineRule="auto"/>
        <w:rPr>
          <w:sz w:val="24"/>
          <w:szCs w:val="24"/>
        </w:rPr>
      </w:pPr>
      <w:r w:rsidRPr="00A40720">
        <w:rPr>
          <w:sz w:val="24"/>
          <w:szCs w:val="24"/>
        </w:rPr>
        <w:t xml:space="preserve">Flinders, D. (1997) ‘Review of the book interviews: An introduction to qualitative research interviewing’, </w:t>
      </w:r>
      <w:r w:rsidRPr="00A40720">
        <w:rPr>
          <w:i/>
          <w:sz w:val="24"/>
          <w:szCs w:val="24"/>
        </w:rPr>
        <w:t xml:space="preserve">Evaluation and Program Planning, </w:t>
      </w:r>
      <w:r w:rsidRPr="00A40720">
        <w:rPr>
          <w:sz w:val="24"/>
          <w:szCs w:val="24"/>
        </w:rPr>
        <w:t xml:space="preserve">20(3), pp. 287-288. </w:t>
      </w:r>
    </w:p>
    <w:p w:rsidR="00194F82" w:rsidRPr="003A0F4D" w:rsidRDefault="003A0F4D" w:rsidP="00537860">
      <w:pPr>
        <w:spacing w:line="360" w:lineRule="auto"/>
        <w:rPr>
          <w:rFonts w:cstheme="minorHAnsi"/>
          <w:sz w:val="24"/>
          <w:szCs w:val="24"/>
        </w:rPr>
      </w:pPr>
      <w:r w:rsidRPr="003A0F4D">
        <w:rPr>
          <w:rFonts w:cstheme="minorHAnsi"/>
          <w:color w:val="333333"/>
          <w:sz w:val="24"/>
          <w:szCs w:val="24"/>
        </w:rPr>
        <w:t>Gibbs</w:t>
      </w:r>
      <w:r>
        <w:rPr>
          <w:rFonts w:cstheme="minorHAnsi"/>
          <w:color w:val="333333"/>
          <w:sz w:val="24"/>
          <w:szCs w:val="24"/>
        </w:rPr>
        <w:t>,</w:t>
      </w:r>
      <w:r w:rsidRPr="003A0F4D">
        <w:rPr>
          <w:rFonts w:cstheme="minorHAnsi"/>
          <w:color w:val="333333"/>
          <w:sz w:val="24"/>
          <w:szCs w:val="24"/>
        </w:rPr>
        <w:t xml:space="preserve"> G</w:t>
      </w:r>
      <w:r>
        <w:rPr>
          <w:rFonts w:cstheme="minorHAnsi"/>
          <w:color w:val="333333"/>
          <w:sz w:val="24"/>
          <w:szCs w:val="24"/>
        </w:rPr>
        <w:t>.</w:t>
      </w:r>
      <w:r w:rsidRPr="003A0F4D">
        <w:rPr>
          <w:rFonts w:cstheme="minorHAnsi"/>
          <w:color w:val="333333"/>
          <w:sz w:val="24"/>
          <w:szCs w:val="24"/>
        </w:rPr>
        <w:t xml:space="preserve"> (1988)</w:t>
      </w:r>
      <w:r>
        <w:rPr>
          <w:rFonts w:cstheme="minorHAnsi"/>
          <w:color w:val="333333"/>
          <w:sz w:val="24"/>
          <w:szCs w:val="24"/>
        </w:rPr>
        <w:t xml:space="preserve"> </w:t>
      </w:r>
      <w:r w:rsidRPr="003A0F4D">
        <w:rPr>
          <w:rFonts w:cstheme="minorHAnsi"/>
          <w:i/>
          <w:color w:val="333333"/>
          <w:sz w:val="24"/>
          <w:szCs w:val="24"/>
        </w:rPr>
        <w:t>Learning by Doing: A guide to teaching and learning methods</w:t>
      </w:r>
      <w:r w:rsidRPr="003A0F4D">
        <w:rPr>
          <w:rFonts w:cstheme="minorHAnsi"/>
          <w:color w:val="333333"/>
          <w:sz w:val="24"/>
          <w:szCs w:val="24"/>
        </w:rPr>
        <w:t>. Further Education Unit. Oxford Polytechnic: Oxford</w:t>
      </w:r>
    </w:p>
    <w:p w:rsidR="00A40720" w:rsidRPr="00A40720" w:rsidRDefault="00A40720" w:rsidP="00537860">
      <w:pPr>
        <w:spacing w:line="360" w:lineRule="auto"/>
        <w:rPr>
          <w:sz w:val="24"/>
          <w:szCs w:val="24"/>
        </w:rPr>
      </w:pPr>
      <w:r w:rsidRPr="00A40720">
        <w:rPr>
          <w:sz w:val="24"/>
          <w:szCs w:val="24"/>
        </w:rPr>
        <w:t xml:space="preserve">Griffee, D. (2005) ‘Research Tips: Interview data collection’, </w:t>
      </w:r>
      <w:r w:rsidRPr="00A40720">
        <w:rPr>
          <w:i/>
          <w:sz w:val="24"/>
          <w:szCs w:val="24"/>
        </w:rPr>
        <w:t xml:space="preserve">Journal of Developmental Education, </w:t>
      </w:r>
      <w:r w:rsidRPr="00A40720">
        <w:rPr>
          <w:sz w:val="24"/>
          <w:szCs w:val="24"/>
        </w:rPr>
        <w:t xml:space="preserve">28(3), pp. 36-37. </w:t>
      </w:r>
    </w:p>
    <w:p w:rsidR="00A40720" w:rsidRPr="00A40720" w:rsidRDefault="00A40720" w:rsidP="00537860">
      <w:pPr>
        <w:spacing w:line="360" w:lineRule="auto"/>
        <w:rPr>
          <w:rFonts w:cstheme="minorHAnsi"/>
          <w:sz w:val="24"/>
          <w:szCs w:val="24"/>
        </w:rPr>
      </w:pPr>
      <w:r w:rsidRPr="00A40720">
        <w:rPr>
          <w:rFonts w:cstheme="minorHAnsi"/>
          <w:color w:val="000000"/>
          <w:sz w:val="24"/>
          <w:szCs w:val="24"/>
        </w:rPr>
        <w:lastRenderedPageBreak/>
        <w:t>Kolb, D. (1984) ‘</w:t>
      </w:r>
      <w:r w:rsidRPr="00537860">
        <w:rPr>
          <w:rFonts w:cstheme="minorHAnsi"/>
          <w:i/>
          <w:iCs/>
          <w:color w:val="000000"/>
          <w:sz w:val="24"/>
          <w:szCs w:val="24"/>
        </w:rPr>
        <w:t>Experiential learning: Experience as the source of learning and development’</w:t>
      </w:r>
      <w:r w:rsidRPr="00A40720">
        <w:rPr>
          <w:rFonts w:cstheme="minorHAnsi"/>
          <w:color w:val="000000"/>
          <w:sz w:val="24"/>
          <w:szCs w:val="24"/>
        </w:rPr>
        <w:t xml:space="preserve">, Englewood Cliffs. </w:t>
      </w:r>
    </w:p>
    <w:p w:rsidR="00A40720" w:rsidRPr="00A40720" w:rsidRDefault="00A40720" w:rsidP="00537860">
      <w:pPr>
        <w:spacing w:line="360" w:lineRule="auto"/>
        <w:rPr>
          <w:sz w:val="24"/>
          <w:szCs w:val="24"/>
        </w:rPr>
      </w:pPr>
      <w:r w:rsidRPr="00A40720">
        <w:rPr>
          <w:sz w:val="24"/>
          <w:szCs w:val="24"/>
        </w:rPr>
        <w:t xml:space="preserve">Lam, R. (2016) ‘Assessment as learning: examining a cycle of teaching, learning, and assessment of writing in the portfolio-based classroom’, </w:t>
      </w:r>
      <w:r w:rsidRPr="00A40720">
        <w:rPr>
          <w:i/>
          <w:sz w:val="24"/>
          <w:szCs w:val="24"/>
        </w:rPr>
        <w:t xml:space="preserve">Studies in Higher Education, </w:t>
      </w:r>
      <w:r w:rsidRPr="00A40720">
        <w:rPr>
          <w:sz w:val="24"/>
          <w:szCs w:val="24"/>
        </w:rPr>
        <w:t xml:space="preserve">41(11), pp. 1900-1918. </w:t>
      </w:r>
    </w:p>
    <w:p w:rsidR="00A40720" w:rsidRPr="00A40720" w:rsidRDefault="00A40720" w:rsidP="00537860">
      <w:pPr>
        <w:spacing w:line="360" w:lineRule="auto"/>
        <w:rPr>
          <w:sz w:val="24"/>
          <w:szCs w:val="24"/>
        </w:rPr>
      </w:pPr>
      <w:r w:rsidRPr="00A40720">
        <w:rPr>
          <w:sz w:val="24"/>
          <w:szCs w:val="24"/>
        </w:rPr>
        <w:t>Morgan, S</w:t>
      </w:r>
      <w:r w:rsidR="00F1671C">
        <w:rPr>
          <w:sz w:val="24"/>
          <w:szCs w:val="24"/>
        </w:rPr>
        <w:t xml:space="preserve">., Pullon, S., Macdonald, L., McKinlay, E. a Grey, B. </w:t>
      </w:r>
      <w:r w:rsidRPr="00A40720">
        <w:rPr>
          <w:sz w:val="24"/>
          <w:szCs w:val="24"/>
        </w:rPr>
        <w:t xml:space="preserve">(2016) ‘Case study observational research: A framework for conducting case study research where observational data are the focus’, </w:t>
      </w:r>
      <w:r w:rsidRPr="00A40720">
        <w:rPr>
          <w:i/>
          <w:sz w:val="24"/>
          <w:szCs w:val="24"/>
        </w:rPr>
        <w:t xml:space="preserve">University of Otago, </w:t>
      </w:r>
      <w:r w:rsidRPr="00A40720">
        <w:rPr>
          <w:sz w:val="24"/>
          <w:szCs w:val="24"/>
        </w:rPr>
        <w:t>27(7), pp. 1060-1068.</w:t>
      </w:r>
    </w:p>
    <w:p w:rsidR="00A40720" w:rsidRPr="00A40720" w:rsidRDefault="00A40720" w:rsidP="00537860">
      <w:pPr>
        <w:spacing w:line="360" w:lineRule="auto"/>
        <w:rPr>
          <w:sz w:val="24"/>
          <w:szCs w:val="24"/>
        </w:rPr>
      </w:pPr>
      <w:r w:rsidRPr="00A40720">
        <w:rPr>
          <w:sz w:val="24"/>
          <w:szCs w:val="24"/>
        </w:rPr>
        <w:t xml:space="preserve">Phillips, A. (2010) ‘Researchers, snoopers and spies - - the legal and ethical challenges facing observational research’, </w:t>
      </w:r>
      <w:r w:rsidRPr="00A40720">
        <w:rPr>
          <w:i/>
          <w:sz w:val="24"/>
          <w:szCs w:val="24"/>
        </w:rPr>
        <w:t xml:space="preserve">International Journal of Market Research, </w:t>
      </w:r>
      <w:r w:rsidRPr="00A40720">
        <w:rPr>
          <w:sz w:val="24"/>
          <w:szCs w:val="24"/>
        </w:rPr>
        <w:t xml:space="preserve">52(2), pp. 275-278. </w:t>
      </w:r>
    </w:p>
    <w:p w:rsidR="00C91C19" w:rsidRPr="00D006A5" w:rsidRDefault="00C91C19" w:rsidP="00537860">
      <w:pPr>
        <w:spacing w:line="360" w:lineRule="auto"/>
        <w:rPr>
          <w:sz w:val="24"/>
          <w:szCs w:val="24"/>
        </w:rPr>
      </w:pPr>
      <w:r>
        <w:rPr>
          <w:sz w:val="24"/>
          <w:szCs w:val="24"/>
        </w:rPr>
        <w:t xml:space="preserve">Schon, </w:t>
      </w:r>
      <w:r w:rsidR="00862861">
        <w:rPr>
          <w:sz w:val="24"/>
          <w:szCs w:val="24"/>
        </w:rPr>
        <w:t xml:space="preserve">D. </w:t>
      </w:r>
      <w:r>
        <w:rPr>
          <w:sz w:val="24"/>
          <w:szCs w:val="24"/>
        </w:rPr>
        <w:t>(1978)</w:t>
      </w:r>
      <w:r w:rsidR="00862861">
        <w:rPr>
          <w:sz w:val="24"/>
          <w:szCs w:val="24"/>
        </w:rPr>
        <w:t xml:space="preserve"> </w:t>
      </w:r>
      <w:r w:rsidR="00862861">
        <w:rPr>
          <w:i/>
          <w:sz w:val="24"/>
          <w:szCs w:val="24"/>
        </w:rPr>
        <w:t>The reflective practi</w:t>
      </w:r>
      <w:r w:rsidR="009301E7">
        <w:rPr>
          <w:i/>
          <w:sz w:val="24"/>
          <w:szCs w:val="24"/>
        </w:rPr>
        <w:t>tioner, how profes</w:t>
      </w:r>
      <w:r w:rsidR="00D006A5">
        <w:rPr>
          <w:i/>
          <w:sz w:val="24"/>
          <w:szCs w:val="24"/>
        </w:rPr>
        <w:t>s</w:t>
      </w:r>
      <w:r w:rsidR="009301E7">
        <w:rPr>
          <w:i/>
          <w:sz w:val="24"/>
          <w:szCs w:val="24"/>
        </w:rPr>
        <w:t xml:space="preserve">ionals think in action. </w:t>
      </w:r>
    </w:p>
    <w:p w:rsidR="00A40720" w:rsidRPr="00A40720" w:rsidRDefault="00A40720" w:rsidP="00537860">
      <w:pPr>
        <w:spacing w:line="360" w:lineRule="auto"/>
        <w:rPr>
          <w:sz w:val="24"/>
          <w:szCs w:val="24"/>
        </w:rPr>
      </w:pPr>
      <w:r w:rsidRPr="00A40720">
        <w:rPr>
          <w:sz w:val="24"/>
          <w:szCs w:val="24"/>
        </w:rPr>
        <w:t xml:space="preserve">Teacher Development Trust (2015) </w:t>
      </w:r>
      <w:r w:rsidRPr="00A40720">
        <w:rPr>
          <w:i/>
          <w:sz w:val="24"/>
          <w:szCs w:val="24"/>
        </w:rPr>
        <w:t xml:space="preserve">What is Lesson Study? </w:t>
      </w:r>
      <w:r w:rsidRPr="00A40720">
        <w:rPr>
          <w:sz w:val="24"/>
          <w:szCs w:val="24"/>
        </w:rPr>
        <w:t xml:space="preserve">Ar gael: </w:t>
      </w:r>
      <w:hyperlink r:id="rId9" w:history="1">
        <w:r w:rsidRPr="00537860">
          <w:rPr>
            <w:color w:val="0000FF" w:themeColor="hyperlink"/>
            <w:sz w:val="24"/>
            <w:szCs w:val="24"/>
            <w:u w:val="single"/>
          </w:rPr>
          <w:t>https://tdtrust.org/what-is-lesson-study</w:t>
        </w:r>
      </w:hyperlink>
      <w:r w:rsidRPr="00A40720">
        <w:rPr>
          <w:sz w:val="24"/>
          <w:szCs w:val="24"/>
        </w:rPr>
        <w:t xml:space="preserve"> (Mynediad: 01/03/2019). </w:t>
      </w:r>
    </w:p>
    <w:p w:rsidR="00A40720" w:rsidRPr="00A40720" w:rsidRDefault="00A40720" w:rsidP="00537860">
      <w:pPr>
        <w:spacing w:line="360" w:lineRule="auto"/>
        <w:rPr>
          <w:sz w:val="24"/>
          <w:szCs w:val="24"/>
        </w:rPr>
      </w:pPr>
      <w:r w:rsidRPr="00A40720">
        <w:rPr>
          <w:sz w:val="24"/>
          <w:szCs w:val="24"/>
        </w:rPr>
        <w:t xml:space="preserve">Umugiraneza, O. Bansilal, S. a North, D. (2018) ‘Investigating teachers’ formulations of learning objectives and introductory approaches in teaching mathematics and statistics’, </w:t>
      </w:r>
      <w:r w:rsidRPr="00A40720">
        <w:rPr>
          <w:i/>
          <w:sz w:val="24"/>
          <w:szCs w:val="24"/>
        </w:rPr>
        <w:t xml:space="preserve">International Journal of mathematical education in science and teachnology, </w:t>
      </w:r>
      <w:r w:rsidRPr="00A40720">
        <w:rPr>
          <w:sz w:val="24"/>
          <w:szCs w:val="24"/>
        </w:rPr>
        <w:t xml:space="preserve">49(8), pp. 1148-1164. </w:t>
      </w:r>
    </w:p>
    <w:p w:rsidR="00A40720" w:rsidRPr="00537860" w:rsidRDefault="00A40720" w:rsidP="00537860">
      <w:pPr>
        <w:spacing w:line="360" w:lineRule="auto"/>
        <w:rPr>
          <w:sz w:val="24"/>
          <w:szCs w:val="24"/>
        </w:rPr>
      </w:pPr>
    </w:p>
    <w:p w:rsidR="00910E5D" w:rsidRPr="00537860" w:rsidRDefault="00910E5D" w:rsidP="00537860">
      <w:pPr>
        <w:spacing w:line="360" w:lineRule="auto"/>
        <w:rPr>
          <w:sz w:val="24"/>
          <w:szCs w:val="24"/>
        </w:rPr>
      </w:pPr>
    </w:p>
    <w:sectPr w:rsidR="00910E5D" w:rsidRPr="0053786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1159" w:rsidRDefault="002E1159" w:rsidP="00913B49">
      <w:pPr>
        <w:spacing w:after="0" w:line="240" w:lineRule="auto"/>
      </w:pPr>
      <w:r>
        <w:separator/>
      </w:r>
    </w:p>
  </w:endnote>
  <w:endnote w:type="continuationSeparator" w:id="0">
    <w:p w:rsidR="002E1159" w:rsidRDefault="002E1159" w:rsidP="00913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3536327"/>
      <w:docPartObj>
        <w:docPartGallery w:val="Page Numbers (Bottom of Page)"/>
        <w:docPartUnique/>
      </w:docPartObj>
    </w:sdtPr>
    <w:sdtEndPr>
      <w:rPr>
        <w:noProof/>
      </w:rPr>
    </w:sdtEndPr>
    <w:sdtContent>
      <w:p w:rsidR="00913B49" w:rsidRDefault="00913B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13B49" w:rsidRDefault="00913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1159" w:rsidRDefault="002E1159" w:rsidP="00913B49">
      <w:pPr>
        <w:spacing w:after="0" w:line="240" w:lineRule="auto"/>
      </w:pPr>
      <w:r>
        <w:separator/>
      </w:r>
    </w:p>
  </w:footnote>
  <w:footnote w:type="continuationSeparator" w:id="0">
    <w:p w:rsidR="002E1159" w:rsidRDefault="002E1159" w:rsidP="00913B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3B49" w:rsidRDefault="00913B49">
    <w:pPr>
      <w:pStyle w:val="Header"/>
    </w:pPr>
    <w:r>
      <w:t>1502259</w:t>
    </w:r>
  </w:p>
  <w:p w:rsidR="00913B49" w:rsidRDefault="00913B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2D5"/>
    <w:rsid w:val="00016AED"/>
    <w:rsid w:val="00016BA4"/>
    <w:rsid w:val="00050F52"/>
    <w:rsid w:val="000B54CC"/>
    <w:rsid w:val="001050CF"/>
    <w:rsid w:val="00107D9C"/>
    <w:rsid w:val="00117069"/>
    <w:rsid w:val="00123E31"/>
    <w:rsid w:val="00136A17"/>
    <w:rsid w:val="00160775"/>
    <w:rsid w:val="00172B47"/>
    <w:rsid w:val="00182390"/>
    <w:rsid w:val="001923AE"/>
    <w:rsid w:val="00194F82"/>
    <w:rsid w:val="001B258C"/>
    <w:rsid w:val="001D3506"/>
    <w:rsid w:val="001E400B"/>
    <w:rsid w:val="001F0361"/>
    <w:rsid w:val="001F56B5"/>
    <w:rsid w:val="001F6244"/>
    <w:rsid w:val="00231192"/>
    <w:rsid w:val="002339A6"/>
    <w:rsid w:val="0024659E"/>
    <w:rsid w:val="002A1413"/>
    <w:rsid w:val="002A1E0F"/>
    <w:rsid w:val="002B7458"/>
    <w:rsid w:val="002E1159"/>
    <w:rsid w:val="002E55A2"/>
    <w:rsid w:val="003159EA"/>
    <w:rsid w:val="003625B7"/>
    <w:rsid w:val="00367B5C"/>
    <w:rsid w:val="00391302"/>
    <w:rsid w:val="00391A64"/>
    <w:rsid w:val="003A0F4D"/>
    <w:rsid w:val="003B7751"/>
    <w:rsid w:val="003D2451"/>
    <w:rsid w:val="003E4447"/>
    <w:rsid w:val="003F6CF9"/>
    <w:rsid w:val="00406415"/>
    <w:rsid w:val="004152D5"/>
    <w:rsid w:val="004301D2"/>
    <w:rsid w:val="004A534D"/>
    <w:rsid w:val="004C14FA"/>
    <w:rsid w:val="004E6F5F"/>
    <w:rsid w:val="004F3C65"/>
    <w:rsid w:val="00502646"/>
    <w:rsid w:val="005217E7"/>
    <w:rsid w:val="00537860"/>
    <w:rsid w:val="005639B6"/>
    <w:rsid w:val="00585BDB"/>
    <w:rsid w:val="00592D87"/>
    <w:rsid w:val="005A51FF"/>
    <w:rsid w:val="005B1796"/>
    <w:rsid w:val="005E4328"/>
    <w:rsid w:val="0063587E"/>
    <w:rsid w:val="006628FF"/>
    <w:rsid w:val="00665334"/>
    <w:rsid w:val="00697714"/>
    <w:rsid w:val="006B118F"/>
    <w:rsid w:val="006B3B68"/>
    <w:rsid w:val="006C05C7"/>
    <w:rsid w:val="006C0BC5"/>
    <w:rsid w:val="006E35BD"/>
    <w:rsid w:val="006F3F91"/>
    <w:rsid w:val="00700DC6"/>
    <w:rsid w:val="007300F8"/>
    <w:rsid w:val="00740B2C"/>
    <w:rsid w:val="007472A2"/>
    <w:rsid w:val="00782BF4"/>
    <w:rsid w:val="007B31C2"/>
    <w:rsid w:val="007C6C4D"/>
    <w:rsid w:val="007C6E8F"/>
    <w:rsid w:val="007E1CC1"/>
    <w:rsid w:val="007F40CB"/>
    <w:rsid w:val="007F5B14"/>
    <w:rsid w:val="008210A2"/>
    <w:rsid w:val="00841B5E"/>
    <w:rsid w:val="00862861"/>
    <w:rsid w:val="0088718A"/>
    <w:rsid w:val="00890C95"/>
    <w:rsid w:val="008A1020"/>
    <w:rsid w:val="008D0459"/>
    <w:rsid w:val="008D4C83"/>
    <w:rsid w:val="008D70A6"/>
    <w:rsid w:val="008E6D22"/>
    <w:rsid w:val="00901516"/>
    <w:rsid w:val="00910E5D"/>
    <w:rsid w:val="00913B49"/>
    <w:rsid w:val="0091468E"/>
    <w:rsid w:val="009301E7"/>
    <w:rsid w:val="009427FE"/>
    <w:rsid w:val="00962E67"/>
    <w:rsid w:val="009727ED"/>
    <w:rsid w:val="009A41A9"/>
    <w:rsid w:val="009E6806"/>
    <w:rsid w:val="009F3968"/>
    <w:rsid w:val="00A24E8F"/>
    <w:rsid w:val="00A40720"/>
    <w:rsid w:val="00A425CA"/>
    <w:rsid w:val="00A77DCE"/>
    <w:rsid w:val="00AC456E"/>
    <w:rsid w:val="00B15593"/>
    <w:rsid w:val="00B2110E"/>
    <w:rsid w:val="00B52146"/>
    <w:rsid w:val="00B53839"/>
    <w:rsid w:val="00B55EF5"/>
    <w:rsid w:val="00B653ED"/>
    <w:rsid w:val="00BC7DC2"/>
    <w:rsid w:val="00C52C55"/>
    <w:rsid w:val="00C62D82"/>
    <w:rsid w:val="00C64250"/>
    <w:rsid w:val="00C91C19"/>
    <w:rsid w:val="00C97195"/>
    <w:rsid w:val="00CB56D2"/>
    <w:rsid w:val="00D006A5"/>
    <w:rsid w:val="00D01BA7"/>
    <w:rsid w:val="00D41811"/>
    <w:rsid w:val="00D41AD0"/>
    <w:rsid w:val="00D64FF1"/>
    <w:rsid w:val="00D9514D"/>
    <w:rsid w:val="00DA06BA"/>
    <w:rsid w:val="00DB0A26"/>
    <w:rsid w:val="00DF721B"/>
    <w:rsid w:val="00E0554E"/>
    <w:rsid w:val="00E23C05"/>
    <w:rsid w:val="00E60994"/>
    <w:rsid w:val="00E9258C"/>
    <w:rsid w:val="00EB5C94"/>
    <w:rsid w:val="00EB64DB"/>
    <w:rsid w:val="00ED4820"/>
    <w:rsid w:val="00F1671C"/>
    <w:rsid w:val="00F33F20"/>
    <w:rsid w:val="00F36A8D"/>
    <w:rsid w:val="00F410FF"/>
    <w:rsid w:val="00F90C05"/>
    <w:rsid w:val="00F92F1E"/>
    <w:rsid w:val="00FB65F9"/>
    <w:rsid w:val="00FE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E7C8"/>
  <w15:chartTrackingRefBased/>
  <w15:docId w15:val="{DE14FECD-CC5A-4163-9D7D-4A9B3596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B49"/>
  </w:style>
  <w:style w:type="paragraph" w:styleId="Footer">
    <w:name w:val="footer"/>
    <w:basedOn w:val="Normal"/>
    <w:link w:val="FooterChar"/>
    <w:uiPriority w:val="99"/>
    <w:unhideWhenUsed/>
    <w:rsid w:val="00913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B49"/>
  </w:style>
  <w:style w:type="character" w:styleId="Hyperlink">
    <w:name w:val="Hyperlink"/>
    <w:basedOn w:val="DefaultParagraphFont"/>
    <w:uiPriority w:val="99"/>
    <w:unhideWhenUsed/>
    <w:rsid w:val="003625B7"/>
    <w:rPr>
      <w:color w:val="0000FF" w:themeColor="hyperlink"/>
      <w:u w:val="single"/>
    </w:rPr>
  </w:style>
  <w:style w:type="character" w:styleId="UnresolvedMention">
    <w:name w:val="Unresolved Mention"/>
    <w:basedOn w:val="DefaultParagraphFont"/>
    <w:uiPriority w:val="99"/>
    <w:semiHidden/>
    <w:unhideWhenUsed/>
    <w:rsid w:val="003625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asesu-ar-gyfer-dysgu-medrau-meddw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llyw.cymru/darparwr/6702036?_ga=2.124243530.1520408723.1551643358-2081364900.150878604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darparwr/6692175"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tdtrust.org/what-is-lesson-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252</TotalTime>
  <Pages>18</Pages>
  <Words>5839</Words>
  <Characters>33287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J</dc:creator>
  <cp:keywords/>
  <dc:description/>
  <cp:lastModifiedBy>T J</cp:lastModifiedBy>
  <cp:revision>118</cp:revision>
  <dcterms:created xsi:type="dcterms:W3CDTF">2019-03-04T21:00:00Z</dcterms:created>
  <dcterms:modified xsi:type="dcterms:W3CDTF">2019-07-04T00:09:00Z</dcterms:modified>
</cp:coreProperties>
</file>