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AC7CD" w14:textId="3D59E8B3" w:rsidR="5D95BAF1" w:rsidRDefault="5D95BAF1" w:rsidP="6206DEF2">
      <w:pPr>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Student:</w:t>
      </w:r>
      <w:r w:rsidR="7DE1677E" w:rsidRPr="6206DEF2">
        <w:rPr>
          <w:rFonts w:ascii="Arial" w:eastAsia="Arial" w:hAnsi="Arial" w:cs="Arial"/>
          <w:b/>
          <w:bCs/>
          <w:color w:val="000000" w:themeColor="text1"/>
          <w:sz w:val="22"/>
          <w:szCs w:val="22"/>
        </w:rPr>
        <w:t xml:space="preserve"> </w:t>
      </w:r>
      <w:r w:rsidRPr="6206DEF2">
        <w:rPr>
          <w:rFonts w:ascii="Arial" w:eastAsia="Arial" w:hAnsi="Arial" w:cs="Arial"/>
          <w:b/>
          <w:bCs/>
          <w:color w:val="000000" w:themeColor="text1"/>
          <w:sz w:val="22"/>
          <w:szCs w:val="22"/>
        </w:rPr>
        <w:t xml:space="preserve">Christian Dave Galvan (2430423)         </w:t>
      </w:r>
      <w:r w:rsidR="204D6FE8" w:rsidRPr="6206DEF2">
        <w:rPr>
          <w:rFonts w:ascii="Arial" w:eastAsia="Arial" w:hAnsi="Arial" w:cs="Arial"/>
          <w:b/>
          <w:bCs/>
          <w:color w:val="000000" w:themeColor="text1"/>
          <w:sz w:val="22"/>
          <w:szCs w:val="22"/>
        </w:rPr>
        <w:t xml:space="preserve">    </w:t>
      </w:r>
    </w:p>
    <w:p w14:paraId="4F4CB340" w14:textId="2EB0E62E" w:rsidR="5D95BAF1" w:rsidRDefault="495888BC" w:rsidP="7CD9B1DB">
      <w:pPr>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Lecturer: Lou</w:t>
      </w:r>
      <w:r w:rsidR="204D6FE8" w:rsidRPr="6206DEF2">
        <w:rPr>
          <w:rFonts w:ascii="Arial" w:eastAsia="Arial" w:hAnsi="Arial" w:cs="Arial"/>
          <w:b/>
          <w:bCs/>
          <w:color w:val="000000" w:themeColor="text1"/>
          <w:sz w:val="22"/>
          <w:szCs w:val="22"/>
        </w:rPr>
        <w:t xml:space="preserve"> Wells</w:t>
      </w:r>
      <w:r w:rsidR="5D95BAF1" w:rsidRPr="6206DEF2">
        <w:rPr>
          <w:rFonts w:ascii="Arial" w:eastAsia="Arial" w:hAnsi="Arial" w:cs="Arial"/>
          <w:b/>
          <w:bCs/>
          <w:color w:val="000000" w:themeColor="text1"/>
          <w:sz w:val="22"/>
          <w:szCs w:val="22"/>
        </w:rPr>
        <w:t xml:space="preserve">                                  </w:t>
      </w:r>
    </w:p>
    <w:p w14:paraId="61D4EAC0" w14:textId="4E61770F" w:rsidR="5D95BAF1" w:rsidRDefault="5D95BAF1" w:rsidP="7CD9B1DB">
      <w:pPr>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LCHS4010</w:t>
      </w:r>
      <w:r w:rsidR="586F3552" w:rsidRPr="6206DEF2">
        <w:rPr>
          <w:rFonts w:ascii="Arial" w:eastAsia="Arial" w:hAnsi="Arial" w:cs="Arial"/>
          <w:b/>
          <w:bCs/>
          <w:color w:val="000000" w:themeColor="text1"/>
          <w:sz w:val="22"/>
          <w:szCs w:val="22"/>
        </w:rPr>
        <w:t xml:space="preserve">                                                        </w:t>
      </w:r>
    </w:p>
    <w:p w14:paraId="4B84C1AD" w14:textId="34E5A280" w:rsidR="7CD9B1DB" w:rsidRDefault="7CD9B1DB" w:rsidP="6206DEF2">
      <w:pPr>
        <w:rPr>
          <w:rFonts w:ascii="Arial" w:eastAsia="Arial" w:hAnsi="Arial" w:cs="Arial"/>
          <w:b/>
          <w:bCs/>
          <w:color w:val="000000" w:themeColor="text1"/>
          <w:sz w:val="22"/>
          <w:szCs w:val="22"/>
        </w:rPr>
      </w:pPr>
    </w:p>
    <w:p w14:paraId="154F14C3" w14:textId="70E8942D" w:rsidR="7CD9B1DB" w:rsidRDefault="0E3811A8" w:rsidP="6206DEF2">
      <w:pPr>
        <w:rPr>
          <w:rFonts w:ascii="Arial" w:eastAsia="Arial" w:hAnsi="Arial" w:cs="Arial"/>
          <w:b/>
          <w:bCs/>
          <w:color w:val="000000" w:themeColor="text1"/>
          <w:sz w:val="28"/>
          <w:szCs w:val="28"/>
        </w:rPr>
      </w:pPr>
      <w:r w:rsidRPr="6206DEF2">
        <w:rPr>
          <w:rFonts w:ascii="Arial" w:eastAsia="Arial" w:hAnsi="Arial" w:cs="Arial"/>
          <w:b/>
          <w:bCs/>
          <w:color w:val="000000" w:themeColor="text1"/>
          <w:sz w:val="28"/>
          <w:szCs w:val="28"/>
        </w:rPr>
        <w:t>1.</w:t>
      </w:r>
      <w:r w:rsidR="32C10613" w:rsidRPr="6206DEF2">
        <w:rPr>
          <w:rFonts w:ascii="Arial" w:eastAsia="Arial" w:hAnsi="Arial" w:cs="Arial"/>
          <w:b/>
          <w:bCs/>
          <w:color w:val="000000" w:themeColor="text1"/>
          <w:sz w:val="28"/>
          <w:szCs w:val="28"/>
        </w:rPr>
        <w:t xml:space="preserve"> </w:t>
      </w:r>
      <w:r w:rsidR="1346EE3B" w:rsidRPr="6206DEF2">
        <w:rPr>
          <w:rFonts w:ascii="Arial" w:eastAsia="Arial" w:hAnsi="Arial" w:cs="Arial"/>
          <w:b/>
          <w:bCs/>
          <w:color w:val="000000" w:themeColor="text1"/>
          <w:sz w:val="28"/>
          <w:szCs w:val="28"/>
        </w:rPr>
        <w:t xml:space="preserve">Introduction </w:t>
      </w:r>
    </w:p>
    <w:p w14:paraId="09BFCDE6" w14:textId="2E867A69" w:rsidR="1671AC8F" w:rsidRDefault="1671AC8F" w:rsidP="6206DEF2">
      <w:pPr>
        <w:rPr>
          <w:rFonts w:ascii="Arial" w:eastAsia="Arial" w:hAnsi="Arial" w:cs="Arial"/>
          <w:color w:val="000000" w:themeColor="text1"/>
          <w:sz w:val="28"/>
          <w:szCs w:val="28"/>
        </w:rPr>
      </w:pPr>
      <w:r w:rsidRPr="6206DEF2">
        <w:rPr>
          <w:rFonts w:ascii="Arial" w:eastAsia="Arial" w:hAnsi="Arial" w:cs="Arial"/>
          <w:color w:val="000000" w:themeColor="text1"/>
          <w:sz w:val="28"/>
          <w:szCs w:val="28"/>
        </w:rPr>
        <w:t>1.1Overview of the documents</w:t>
      </w:r>
    </w:p>
    <w:p w14:paraId="4DDC6D4B" w14:textId="7043C8FD" w:rsidR="6D3EFABD" w:rsidRDefault="6D3EFABD" w:rsidP="6206DEF2">
      <w:pPr>
        <w:rPr>
          <w:rFonts w:ascii="Arial" w:eastAsia="Arial" w:hAnsi="Arial" w:cs="Arial"/>
          <w:b/>
          <w:bCs/>
          <w:color w:val="000000" w:themeColor="text1"/>
          <w:sz w:val="28"/>
          <w:szCs w:val="28"/>
        </w:rPr>
      </w:pPr>
      <w:r w:rsidRPr="6206DEF2">
        <w:rPr>
          <w:rFonts w:ascii="Arial" w:eastAsia="Arial" w:hAnsi="Arial" w:cs="Arial"/>
          <w:b/>
          <w:bCs/>
          <w:color w:val="000000" w:themeColor="text1"/>
          <w:sz w:val="28"/>
          <w:szCs w:val="28"/>
        </w:rPr>
        <w:t>2.Theoretical Perspectives on Human Development</w:t>
      </w:r>
      <w:r w:rsidR="716E68D7" w:rsidRPr="6206DEF2">
        <w:rPr>
          <w:rFonts w:ascii="Arial" w:eastAsia="Arial" w:hAnsi="Arial" w:cs="Arial"/>
          <w:b/>
          <w:bCs/>
          <w:color w:val="000000" w:themeColor="text1"/>
          <w:sz w:val="28"/>
          <w:szCs w:val="28"/>
        </w:rPr>
        <w:t>-</w:t>
      </w:r>
      <w:r w:rsidR="225223A0" w:rsidRPr="6206DEF2">
        <w:rPr>
          <w:rFonts w:ascii="Arial" w:eastAsia="Arial" w:hAnsi="Arial" w:cs="Arial"/>
          <w:b/>
          <w:bCs/>
          <w:color w:val="000000" w:themeColor="text1"/>
          <w:sz w:val="28"/>
          <w:szCs w:val="28"/>
        </w:rPr>
        <w:t>Annotated Bibliography</w:t>
      </w:r>
    </w:p>
    <w:p w14:paraId="392F4603" w14:textId="29A930D2" w:rsidR="2AF4BBE7" w:rsidRDefault="2AF4BBE7" w:rsidP="6206DEF2">
      <w:pPr>
        <w:spacing w:after="0"/>
        <w:rPr>
          <w:rFonts w:ascii="Arial" w:eastAsia="Arial" w:hAnsi="Arial" w:cs="Arial"/>
          <w:color w:val="000000" w:themeColor="text1"/>
          <w:sz w:val="28"/>
          <w:szCs w:val="28"/>
        </w:rPr>
      </w:pPr>
      <w:r w:rsidRPr="6206DEF2">
        <w:rPr>
          <w:rFonts w:ascii="Arial" w:eastAsia="Arial" w:hAnsi="Arial" w:cs="Arial"/>
          <w:color w:val="000000" w:themeColor="text1"/>
          <w:sz w:val="28"/>
          <w:szCs w:val="28"/>
        </w:rPr>
        <w:t xml:space="preserve"> </w:t>
      </w:r>
      <w:r w:rsidR="0FEA778F" w:rsidRPr="6206DEF2">
        <w:rPr>
          <w:rFonts w:ascii="Arial" w:eastAsia="Arial" w:hAnsi="Arial" w:cs="Arial"/>
          <w:color w:val="000000" w:themeColor="text1"/>
          <w:sz w:val="28"/>
          <w:szCs w:val="28"/>
        </w:rPr>
        <w:t>2.1 Bowlby’s Attachment Theory</w:t>
      </w:r>
      <w:r>
        <w:br/>
      </w:r>
      <w:r w:rsidR="0FEA778F" w:rsidRPr="6206DEF2">
        <w:rPr>
          <w:rFonts w:ascii="Arial" w:eastAsia="Arial" w:hAnsi="Arial" w:cs="Arial"/>
          <w:color w:val="000000" w:themeColor="text1"/>
          <w:sz w:val="28"/>
          <w:szCs w:val="28"/>
        </w:rPr>
        <w:t xml:space="preserve"> 2.2 John Locke’s Tabula Rasa</w:t>
      </w:r>
      <w:r>
        <w:br/>
      </w:r>
      <w:r w:rsidR="0FEA778F" w:rsidRPr="6206DEF2">
        <w:rPr>
          <w:rFonts w:ascii="Arial" w:eastAsia="Arial" w:hAnsi="Arial" w:cs="Arial"/>
          <w:color w:val="000000" w:themeColor="text1"/>
          <w:sz w:val="28"/>
          <w:szCs w:val="28"/>
        </w:rPr>
        <w:t xml:space="preserve"> 2.3 Maslow’s Hierarchy of Needs</w:t>
      </w:r>
      <w:r>
        <w:br/>
      </w:r>
      <w:r w:rsidR="0FEA778F" w:rsidRPr="6206DEF2">
        <w:rPr>
          <w:rFonts w:ascii="Arial" w:eastAsia="Arial" w:hAnsi="Arial" w:cs="Arial"/>
          <w:color w:val="000000" w:themeColor="text1"/>
          <w:sz w:val="28"/>
          <w:szCs w:val="28"/>
        </w:rPr>
        <w:t xml:space="preserve"> 2.4 Psychodynamic Theory and Older Adulthood (Erikson)</w:t>
      </w:r>
    </w:p>
    <w:p w14:paraId="559E3A6E" w14:textId="3E029050" w:rsidR="6206DEF2" w:rsidRDefault="6206DEF2" w:rsidP="6206DEF2">
      <w:pPr>
        <w:spacing w:after="0"/>
        <w:rPr>
          <w:rFonts w:ascii="Arial" w:eastAsia="Arial" w:hAnsi="Arial" w:cs="Arial"/>
          <w:b/>
          <w:bCs/>
          <w:color w:val="000000" w:themeColor="text1"/>
          <w:sz w:val="28"/>
          <w:szCs w:val="28"/>
        </w:rPr>
      </w:pPr>
    </w:p>
    <w:p w14:paraId="06DB1F92" w14:textId="6A3CC649" w:rsidR="3D3AECD3" w:rsidRDefault="3D3AECD3" w:rsidP="6206DEF2">
      <w:pPr>
        <w:spacing w:after="0"/>
        <w:rPr>
          <w:rFonts w:ascii="Arial" w:eastAsia="Arial" w:hAnsi="Arial" w:cs="Arial"/>
          <w:color w:val="000000" w:themeColor="text1"/>
          <w:sz w:val="28"/>
          <w:szCs w:val="28"/>
        </w:rPr>
      </w:pPr>
      <w:r w:rsidRPr="6206DEF2">
        <w:rPr>
          <w:rFonts w:ascii="Arial" w:eastAsia="Arial" w:hAnsi="Arial" w:cs="Arial"/>
          <w:b/>
          <w:bCs/>
          <w:color w:val="000000" w:themeColor="text1"/>
          <w:sz w:val="28"/>
          <w:szCs w:val="28"/>
        </w:rPr>
        <w:t>3</w:t>
      </w:r>
      <w:r w:rsidR="3AD3A1B3" w:rsidRPr="6206DEF2">
        <w:rPr>
          <w:rFonts w:ascii="Arial" w:eastAsia="Arial" w:hAnsi="Arial" w:cs="Arial"/>
          <w:b/>
          <w:bCs/>
          <w:color w:val="000000" w:themeColor="text1"/>
          <w:sz w:val="28"/>
          <w:szCs w:val="28"/>
        </w:rPr>
        <w:t>.</w:t>
      </w:r>
      <w:r w:rsidRPr="6206DEF2">
        <w:rPr>
          <w:rFonts w:ascii="Arial" w:eastAsia="Arial" w:hAnsi="Arial" w:cs="Arial"/>
          <w:b/>
          <w:bCs/>
          <w:color w:val="000000" w:themeColor="text1"/>
          <w:sz w:val="28"/>
          <w:szCs w:val="28"/>
        </w:rPr>
        <w:t>Report: Applying Maslow’s Hierarchy of Needs</w:t>
      </w:r>
      <w:r>
        <w:br/>
      </w:r>
      <w:r w:rsidRPr="6206DEF2">
        <w:rPr>
          <w:rFonts w:ascii="Arial" w:eastAsia="Arial" w:hAnsi="Arial" w:cs="Arial"/>
          <w:color w:val="000000" w:themeColor="text1"/>
          <w:sz w:val="28"/>
          <w:szCs w:val="28"/>
        </w:rPr>
        <w:t xml:space="preserve"> 3.1 Introduction to the Report</w:t>
      </w:r>
      <w:r>
        <w:br/>
      </w:r>
      <w:r w:rsidRPr="6206DEF2">
        <w:rPr>
          <w:rFonts w:ascii="Arial" w:eastAsia="Arial" w:hAnsi="Arial" w:cs="Arial"/>
          <w:color w:val="000000" w:themeColor="text1"/>
          <w:sz w:val="28"/>
          <w:szCs w:val="28"/>
        </w:rPr>
        <w:t xml:space="preserve"> 3.2 Understanding Belongingness and Love Needs</w:t>
      </w:r>
      <w:r>
        <w:br/>
      </w:r>
      <w:r w:rsidRPr="6206DEF2">
        <w:rPr>
          <w:rFonts w:ascii="Arial" w:eastAsia="Arial" w:hAnsi="Arial" w:cs="Arial"/>
          <w:color w:val="000000" w:themeColor="text1"/>
          <w:sz w:val="28"/>
          <w:szCs w:val="28"/>
        </w:rPr>
        <w:t xml:space="preserve"> 3.3 Application in Residential Care</w:t>
      </w:r>
      <w:r>
        <w:br/>
      </w:r>
      <w:r w:rsidRPr="6206DEF2">
        <w:rPr>
          <w:rFonts w:ascii="Arial" w:eastAsia="Arial" w:hAnsi="Arial" w:cs="Arial"/>
          <w:color w:val="000000" w:themeColor="text1"/>
          <w:sz w:val="28"/>
          <w:szCs w:val="28"/>
        </w:rPr>
        <w:t xml:space="preserve"> 3.4 Case Scenario</w:t>
      </w:r>
      <w:r>
        <w:br/>
      </w:r>
      <w:r w:rsidRPr="6206DEF2">
        <w:rPr>
          <w:rFonts w:ascii="Arial" w:eastAsia="Arial" w:hAnsi="Arial" w:cs="Arial"/>
          <w:color w:val="000000" w:themeColor="text1"/>
          <w:sz w:val="28"/>
          <w:szCs w:val="28"/>
        </w:rPr>
        <w:t xml:space="preserve"> 3.5 Challenges in Application</w:t>
      </w:r>
      <w:r>
        <w:br/>
      </w:r>
      <w:r w:rsidRPr="6206DEF2">
        <w:rPr>
          <w:rFonts w:ascii="Arial" w:eastAsia="Arial" w:hAnsi="Arial" w:cs="Arial"/>
          <w:color w:val="000000" w:themeColor="text1"/>
          <w:sz w:val="28"/>
          <w:szCs w:val="28"/>
        </w:rPr>
        <w:t xml:space="preserve"> 3.6 Strategies to Overcome Challenges</w:t>
      </w:r>
      <w:r>
        <w:br/>
      </w:r>
      <w:r w:rsidRPr="6206DEF2">
        <w:rPr>
          <w:rFonts w:ascii="Arial" w:eastAsia="Arial" w:hAnsi="Arial" w:cs="Arial"/>
          <w:color w:val="000000" w:themeColor="text1"/>
          <w:sz w:val="28"/>
          <w:szCs w:val="28"/>
        </w:rPr>
        <w:t xml:space="preserve"> 3.7 Conclusion</w:t>
      </w:r>
    </w:p>
    <w:p w14:paraId="6760B80A" w14:textId="52B3BA64" w:rsidR="6206DEF2" w:rsidRDefault="6206DEF2" w:rsidP="6206DEF2">
      <w:pPr>
        <w:spacing w:after="0"/>
        <w:rPr>
          <w:rFonts w:ascii="Arial" w:eastAsia="Arial" w:hAnsi="Arial" w:cs="Arial"/>
          <w:color w:val="000000" w:themeColor="text1"/>
          <w:sz w:val="22"/>
          <w:szCs w:val="22"/>
        </w:rPr>
      </w:pPr>
    </w:p>
    <w:p w14:paraId="3C096752" w14:textId="5EF8B21E" w:rsidR="0BD15E50" w:rsidRDefault="0BD15E50" w:rsidP="6206DEF2">
      <w:pPr>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1.1</w:t>
      </w:r>
      <w:r w:rsidR="0DA619B8" w:rsidRPr="6206DEF2">
        <w:rPr>
          <w:rFonts w:ascii="Arial" w:eastAsia="Arial" w:hAnsi="Arial" w:cs="Arial"/>
          <w:b/>
          <w:bCs/>
          <w:color w:val="000000" w:themeColor="text1"/>
          <w:sz w:val="22"/>
          <w:szCs w:val="22"/>
        </w:rPr>
        <w:t xml:space="preserve"> </w:t>
      </w:r>
      <w:r w:rsidRPr="6206DEF2">
        <w:rPr>
          <w:rFonts w:ascii="Arial" w:eastAsia="Arial" w:hAnsi="Arial" w:cs="Arial"/>
          <w:b/>
          <w:bCs/>
          <w:color w:val="000000" w:themeColor="text1"/>
          <w:sz w:val="22"/>
          <w:szCs w:val="22"/>
        </w:rPr>
        <w:t>Overview</w:t>
      </w:r>
    </w:p>
    <w:p w14:paraId="582515D1" w14:textId="02719F59" w:rsidR="4558F9FA" w:rsidRDefault="4558F9FA" w:rsidP="6206DEF2">
      <w:pPr>
        <w:rPr>
          <w:rFonts w:ascii="Arial" w:eastAsia="Arial" w:hAnsi="Arial" w:cs="Arial"/>
          <w:color w:val="000000" w:themeColor="text1"/>
          <w:sz w:val="22"/>
          <w:szCs w:val="22"/>
        </w:rPr>
      </w:pPr>
      <w:r w:rsidRPr="6206DEF2">
        <w:rPr>
          <w:rFonts w:ascii="Arial" w:eastAsia="Arial" w:hAnsi="Arial" w:cs="Arial"/>
          <w:color w:val="000000" w:themeColor="text1"/>
          <w:sz w:val="22"/>
          <w:szCs w:val="22"/>
        </w:rPr>
        <w:t>This document contains four annotated bibliographies on theoretical perspectives of human development, as well as a report on belongingness and love. It also applies Maslow’s Hierarchy of Needs to the case scenario of Mrs. T, outlining related challenges and strategies.</w:t>
      </w:r>
    </w:p>
    <w:p w14:paraId="312E9B93" w14:textId="6DC963C2" w:rsidR="5A5DDC2D" w:rsidRDefault="5A5DDC2D" w:rsidP="6206DEF2">
      <w:pPr>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2.</w:t>
      </w:r>
      <w:r w:rsidR="6EE9375D" w:rsidRPr="6206DEF2">
        <w:rPr>
          <w:rFonts w:ascii="Arial" w:eastAsia="Arial" w:hAnsi="Arial" w:cs="Arial"/>
          <w:b/>
          <w:bCs/>
          <w:color w:val="000000" w:themeColor="text1"/>
          <w:sz w:val="22"/>
          <w:szCs w:val="22"/>
        </w:rPr>
        <w:t xml:space="preserve"> </w:t>
      </w:r>
      <w:r w:rsidR="3AC0C91D" w:rsidRPr="6206DEF2">
        <w:rPr>
          <w:rFonts w:ascii="Arial" w:eastAsia="Arial" w:hAnsi="Arial" w:cs="Arial"/>
          <w:b/>
          <w:bCs/>
          <w:color w:val="000000" w:themeColor="text1"/>
          <w:sz w:val="22"/>
          <w:szCs w:val="22"/>
        </w:rPr>
        <w:t xml:space="preserve">Annotated </w:t>
      </w:r>
      <w:r w:rsidR="41872353" w:rsidRPr="6206DEF2">
        <w:rPr>
          <w:rFonts w:ascii="Arial" w:eastAsia="Arial" w:hAnsi="Arial" w:cs="Arial"/>
          <w:b/>
          <w:bCs/>
          <w:color w:val="000000" w:themeColor="text1"/>
          <w:sz w:val="22"/>
          <w:szCs w:val="22"/>
        </w:rPr>
        <w:t>bibliography</w:t>
      </w:r>
    </w:p>
    <w:p w14:paraId="5E5787A5" w14:textId="133D3963" w:rsidR="00A55B47" w:rsidRDefault="0FEA778F" w:rsidP="7CD9B1DB">
      <w:pPr>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2.1</w:t>
      </w:r>
      <w:r w:rsidR="751A4734" w:rsidRPr="6206DEF2">
        <w:rPr>
          <w:rFonts w:ascii="Arial" w:eastAsia="Arial" w:hAnsi="Arial" w:cs="Arial"/>
          <w:b/>
          <w:bCs/>
          <w:color w:val="000000" w:themeColor="text1"/>
          <w:sz w:val="22"/>
          <w:szCs w:val="22"/>
        </w:rPr>
        <w:t xml:space="preserve"> </w:t>
      </w:r>
      <w:r w:rsidR="6EE60083" w:rsidRPr="6206DEF2">
        <w:rPr>
          <w:rFonts w:ascii="Arial" w:eastAsia="Arial" w:hAnsi="Arial" w:cs="Arial"/>
          <w:b/>
          <w:bCs/>
          <w:color w:val="000000" w:themeColor="text1"/>
          <w:sz w:val="22"/>
          <w:szCs w:val="22"/>
        </w:rPr>
        <w:t>Bowlby’s Attachment theory</w:t>
      </w:r>
    </w:p>
    <w:p w14:paraId="0A8C2155" w14:textId="20804079" w:rsidR="6EE60083" w:rsidRDefault="6EE60083"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 xml:space="preserve">Reference </w:t>
      </w:r>
      <w:r w:rsidRPr="6206DEF2">
        <w:rPr>
          <w:rFonts w:ascii="Arial" w:eastAsia="Arial" w:hAnsi="Arial" w:cs="Arial"/>
          <w:color w:val="000000" w:themeColor="text1"/>
          <w:sz w:val="22"/>
          <w:szCs w:val="22"/>
        </w:rPr>
        <w:t xml:space="preserve"> </w:t>
      </w:r>
      <w:r>
        <w:br/>
      </w:r>
      <w:r w:rsidRPr="6206DEF2">
        <w:rPr>
          <w:rFonts w:ascii="Arial" w:eastAsia="Arial" w:hAnsi="Arial" w:cs="Arial"/>
          <w:color w:val="000000" w:themeColor="text1"/>
          <w:sz w:val="22"/>
          <w:szCs w:val="22"/>
        </w:rPr>
        <w:t>Bowlby, J. (1988) A secure base: Parent-child attachment and healthy human development. New York: Basic Books.</w:t>
      </w:r>
    </w:p>
    <w:p w14:paraId="04887B79" w14:textId="4560D787" w:rsidR="6EE60083" w:rsidRDefault="6EE60083"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Summary:</w:t>
      </w:r>
    </w:p>
    <w:p w14:paraId="71D8BDF4" w14:textId="20E2A2E1" w:rsidR="6EE60083" w:rsidRDefault="6EE60083"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According to Bowlby, early attachment bonds influence behaviour, emotional stability, and the capacity to build relationships throughout life. While insecure attachment can lead to anxiety, dependency, or relational problems, secure attachment fosters resilience and improved coping.  </w:t>
      </w:r>
    </w:p>
    <w:p w14:paraId="7A26F1E2" w14:textId="7273F7BF" w:rsidR="6EE60083" w:rsidRDefault="6EE60083"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 xml:space="preserve">Critical Relevance to older adults: </w:t>
      </w:r>
    </w:p>
    <w:p w14:paraId="70961530" w14:textId="1A0ABD0F" w:rsidR="6EE60083" w:rsidRDefault="6EE60083"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When it comes to comprehending how older adults react to care settings, this theory is really pertinent. Distress, fear of abandonment, or resistance to care (e.g., in residential settings) can be experienced by people with unstable attachment histories. It backs person-centred care strategies that prioritise emotional stability, continuity, and trust. Its drawback, though, is that it places a lot of emphasis on early life and could undervalue adaptation and change in later life.</w:t>
      </w:r>
    </w:p>
    <w:p w14:paraId="0D62B109" w14:textId="4641B865" w:rsidR="7CD9B1DB" w:rsidRDefault="7CD9B1DB" w:rsidP="7CD9B1DB">
      <w:pPr>
        <w:spacing w:before="195" w:after="195"/>
        <w:rPr>
          <w:rFonts w:ascii="Arial" w:eastAsia="Arial" w:hAnsi="Arial" w:cs="Arial"/>
          <w:color w:val="000000" w:themeColor="text1"/>
          <w:sz w:val="22"/>
          <w:szCs w:val="22"/>
        </w:rPr>
      </w:pPr>
    </w:p>
    <w:p w14:paraId="611917E6" w14:textId="717B4C28" w:rsidR="2C483EB2" w:rsidRDefault="2C483EB2"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2.</w:t>
      </w:r>
      <w:r w:rsidR="5188FEC7" w:rsidRPr="6206DEF2">
        <w:rPr>
          <w:rFonts w:ascii="Arial" w:eastAsia="Arial" w:hAnsi="Arial" w:cs="Arial"/>
          <w:b/>
          <w:bCs/>
          <w:color w:val="000000" w:themeColor="text1"/>
          <w:sz w:val="22"/>
          <w:szCs w:val="22"/>
        </w:rPr>
        <w:t>2</w:t>
      </w:r>
      <w:r w:rsidR="5A64E23D" w:rsidRPr="6206DEF2">
        <w:rPr>
          <w:rFonts w:ascii="Arial" w:eastAsia="Arial" w:hAnsi="Arial" w:cs="Arial"/>
          <w:b/>
          <w:bCs/>
          <w:color w:val="000000" w:themeColor="text1"/>
          <w:sz w:val="22"/>
          <w:szCs w:val="22"/>
        </w:rPr>
        <w:t xml:space="preserve"> </w:t>
      </w:r>
      <w:r w:rsidR="6EE60083" w:rsidRPr="6206DEF2">
        <w:rPr>
          <w:rFonts w:ascii="Arial" w:eastAsia="Arial" w:hAnsi="Arial" w:cs="Arial"/>
          <w:b/>
          <w:bCs/>
          <w:color w:val="000000" w:themeColor="text1"/>
          <w:sz w:val="22"/>
          <w:szCs w:val="22"/>
        </w:rPr>
        <w:t>John Locke’s Tabula Rasa</w:t>
      </w:r>
    </w:p>
    <w:p w14:paraId="52265314" w14:textId="4A0F9EB4" w:rsidR="6EE60083" w:rsidRDefault="6EE60083" w:rsidP="6206DEF2">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 xml:space="preserve">Reference </w:t>
      </w:r>
      <w:r w:rsidRPr="6206DEF2">
        <w:rPr>
          <w:rFonts w:ascii="Arial" w:eastAsia="Arial" w:hAnsi="Arial" w:cs="Arial"/>
          <w:color w:val="000000" w:themeColor="text1"/>
          <w:sz w:val="22"/>
          <w:szCs w:val="22"/>
        </w:rPr>
        <w:t xml:space="preserve"> </w:t>
      </w:r>
      <w:r>
        <w:br/>
      </w:r>
      <w:r w:rsidR="3D846BBA" w:rsidRPr="6206DEF2">
        <w:rPr>
          <w:rFonts w:ascii="Arial" w:eastAsia="Arial" w:hAnsi="Arial" w:cs="Arial"/>
          <w:color w:val="000000" w:themeColor="text1"/>
          <w:sz w:val="22"/>
          <w:szCs w:val="22"/>
        </w:rPr>
        <w:t>Locke, J. (1690/1997) An Essay Concerning Human Understanding. London: Penguin Classics. (Book II, Chapter I: “Of Ideas in General, and Their Original”)</w:t>
      </w:r>
      <w:r w:rsidRPr="6206DEF2">
        <w:rPr>
          <w:rFonts w:ascii="Arial" w:eastAsia="Arial" w:hAnsi="Arial" w:cs="Arial"/>
          <w:color w:val="000000" w:themeColor="text1"/>
          <w:sz w:val="22"/>
          <w:szCs w:val="22"/>
        </w:rPr>
        <w:t xml:space="preserve"> </w:t>
      </w:r>
    </w:p>
    <w:p w14:paraId="19CF2381" w14:textId="58B7C1B3" w:rsidR="6EE60083" w:rsidRDefault="6EE60083"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 xml:space="preserve">Summary:  </w:t>
      </w:r>
    </w:p>
    <w:p w14:paraId="1EBC4856" w14:textId="3285F03D" w:rsidR="6EE60083" w:rsidRDefault="6EE60083"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According to Locke, all knowledge is acquired by experience and surroundings because the mind is a "blank slate" at birth. Learning, observation, and social contact all influence behaviour and comprehension.  </w:t>
      </w:r>
    </w:p>
    <w:p w14:paraId="01E4B100" w14:textId="10EBC32A" w:rsidR="6EE60083" w:rsidRDefault="6EE60083"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 xml:space="preserve">Critical relevance to older adults: </w:t>
      </w:r>
    </w:p>
    <w:p w14:paraId="1D54E03A" w14:textId="659B3659" w:rsidR="6EE60083" w:rsidRDefault="6EE60083"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This viewpoint emphasises the significance of environmental influence and lifelong learning in elder adulthood. It demonstrates that growth continues into old age and supports therapies like cognitive stimulation, social involvement, and rehabilitation. It is constrained, though, because it downplays biological ageing processes (like dementia), which have a substantial impact on older persons regardless of experience.</w:t>
      </w:r>
    </w:p>
    <w:p w14:paraId="5D5249ED" w14:textId="381AAD8E" w:rsidR="7CD9B1DB" w:rsidRDefault="7CD9B1DB" w:rsidP="6206DEF2">
      <w:pPr>
        <w:spacing w:before="195" w:after="195"/>
        <w:rPr>
          <w:rFonts w:ascii="Arial" w:eastAsia="Arial" w:hAnsi="Arial" w:cs="Arial"/>
          <w:color w:val="000000" w:themeColor="text1"/>
          <w:sz w:val="22"/>
          <w:szCs w:val="22"/>
        </w:rPr>
      </w:pPr>
    </w:p>
    <w:p w14:paraId="7AAE3791" w14:textId="336A9908" w:rsidR="3B1E600F" w:rsidRDefault="2C1AA9BF"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2.3</w:t>
      </w:r>
      <w:r w:rsidR="08468462" w:rsidRPr="6206DEF2">
        <w:rPr>
          <w:rFonts w:ascii="Arial" w:eastAsia="Arial" w:hAnsi="Arial" w:cs="Arial"/>
          <w:b/>
          <w:bCs/>
          <w:color w:val="000000" w:themeColor="text1"/>
          <w:sz w:val="22"/>
          <w:szCs w:val="22"/>
        </w:rPr>
        <w:t xml:space="preserve"> </w:t>
      </w:r>
      <w:r w:rsidR="6EE60083" w:rsidRPr="6206DEF2">
        <w:rPr>
          <w:rFonts w:ascii="Arial" w:eastAsia="Arial" w:hAnsi="Arial" w:cs="Arial"/>
          <w:b/>
          <w:bCs/>
          <w:color w:val="000000" w:themeColor="text1"/>
          <w:sz w:val="22"/>
          <w:szCs w:val="22"/>
        </w:rPr>
        <w:t>Maslow Hierarchy of Needs</w:t>
      </w:r>
    </w:p>
    <w:p w14:paraId="08A2D87B" w14:textId="237067D0" w:rsidR="7CD9B1DB" w:rsidRDefault="6EE60083"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 xml:space="preserve">Reference </w:t>
      </w:r>
      <w:r w:rsidRPr="6206DEF2">
        <w:rPr>
          <w:rFonts w:ascii="Arial" w:eastAsia="Arial" w:hAnsi="Arial" w:cs="Arial"/>
          <w:color w:val="000000" w:themeColor="text1"/>
          <w:sz w:val="22"/>
          <w:szCs w:val="22"/>
        </w:rPr>
        <w:t xml:space="preserve"> </w:t>
      </w:r>
      <w:r w:rsidR="7CD9B1DB">
        <w:br/>
      </w:r>
      <w:r w:rsidRPr="6206DEF2">
        <w:rPr>
          <w:rFonts w:ascii="Arial" w:eastAsia="Arial" w:hAnsi="Arial" w:cs="Arial"/>
          <w:color w:val="000000" w:themeColor="text1"/>
          <w:sz w:val="22"/>
          <w:szCs w:val="22"/>
        </w:rPr>
        <w:t xml:space="preserve">Maslow, A.H. (1943) ‘A theory of human motivation’, Psychological Review, 50(4), pp. 370–396. </w:t>
      </w:r>
    </w:p>
    <w:p w14:paraId="1E288AC6" w14:textId="75009167" w:rsidR="6EE60083" w:rsidRDefault="6EE60083"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 xml:space="preserve">Summary </w:t>
      </w:r>
    </w:p>
    <w:p w14:paraId="503B3474" w14:textId="7524C728" w:rsidR="6EE60083" w:rsidRDefault="6EE60083"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According to Maslow's theory, human wants are ranked from physiological to safety, love/belonging, esteem, and self-actualization. Higher psychological contentment cannot be attained before basic requirements are satisfied.  </w:t>
      </w:r>
    </w:p>
    <w:p w14:paraId="28617D65" w14:textId="28924795" w:rsidR="6EE60083" w:rsidRDefault="6EE60083"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Critical relevance to older adult:</w:t>
      </w:r>
    </w:p>
    <w:p w14:paraId="57500D0F" w14:textId="254FA532" w:rsidR="6EE60083" w:rsidRDefault="6EE60083"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In order to provide comprehensive support,this paradigm is frequently employed in the health and social care sector.It emphasises the importance o</w:t>
      </w:r>
      <w:r w:rsidR="1B8210F9" w:rsidRPr="6206DEF2">
        <w:rPr>
          <w:rFonts w:ascii="Arial" w:eastAsia="Arial" w:hAnsi="Arial" w:cs="Arial"/>
          <w:color w:val="000000" w:themeColor="text1"/>
          <w:sz w:val="22"/>
          <w:szCs w:val="22"/>
        </w:rPr>
        <w:t>f attending to both fundamental care (</w:t>
      </w:r>
      <w:r w:rsidR="214F5611" w:rsidRPr="6206DEF2">
        <w:rPr>
          <w:rFonts w:ascii="Arial" w:eastAsia="Arial" w:hAnsi="Arial" w:cs="Arial"/>
          <w:color w:val="000000" w:themeColor="text1"/>
          <w:sz w:val="22"/>
          <w:szCs w:val="22"/>
        </w:rPr>
        <w:t>nutrition, safety</w:t>
      </w:r>
      <w:r w:rsidR="1B8210F9" w:rsidRPr="6206DEF2">
        <w:rPr>
          <w:rFonts w:ascii="Arial" w:eastAsia="Arial" w:hAnsi="Arial" w:cs="Arial"/>
          <w:color w:val="000000" w:themeColor="text1"/>
          <w:sz w:val="22"/>
          <w:szCs w:val="22"/>
        </w:rPr>
        <w:t xml:space="preserve"> and emtotional needs(</w:t>
      </w:r>
      <w:r w:rsidR="63C93F0A" w:rsidRPr="6206DEF2">
        <w:rPr>
          <w:rFonts w:ascii="Arial" w:eastAsia="Arial" w:hAnsi="Arial" w:cs="Arial"/>
          <w:color w:val="000000" w:themeColor="text1"/>
          <w:sz w:val="22"/>
          <w:szCs w:val="22"/>
        </w:rPr>
        <w:t>companionship, dignity</w:t>
      </w:r>
      <w:r w:rsidR="6A3530E2" w:rsidRPr="6206DEF2">
        <w:rPr>
          <w:rFonts w:ascii="Arial" w:eastAsia="Arial" w:hAnsi="Arial" w:cs="Arial"/>
          <w:color w:val="000000" w:themeColor="text1"/>
          <w:sz w:val="22"/>
          <w:szCs w:val="22"/>
        </w:rPr>
        <w:t xml:space="preserve">)for older </w:t>
      </w:r>
      <w:r w:rsidR="570C1FA6" w:rsidRPr="6206DEF2">
        <w:rPr>
          <w:rFonts w:ascii="Arial" w:eastAsia="Arial" w:hAnsi="Arial" w:cs="Arial"/>
          <w:color w:val="000000" w:themeColor="text1"/>
          <w:sz w:val="22"/>
          <w:szCs w:val="22"/>
        </w:rPr>
        <w:t>adults. When</w:t>
      </w:r>
      <w:r w:rsidR="6A3530E2" w:rsidRPr="6206DEF2">
        <w:rPr>
          <w:rFonts w:ascii="Arial" w:eastAsia="Arial" w:hAnsi="Arial" w:cs="Arial"/>
          <w:color w:val="000000" w:themeColor="text1"/>
          <w:sz w:val="22"/>
          <w:szCs w:val="22"/>
        </w:rPr>
        <w:t xml:space="preserve"> it come to care planning,it it especially helpful.however,older persons may val</w:t>
      </w:r>
      <w:r w:rsidR="5F953963" w:rsidRPr="6206DEF2">
        <w:rPr>
          <w:rFonts w:ascii="Arial" w:eastAsia="Arial" w:hAnsi="Arial" w:cs="Arial"/>
          <w:color w:val="000000" w:themeColor="text1"/>
          <w:sz w:val="22"/>
          <w:szCs w:val="22"/>
        </w:rPr>
        <w:t xml:space="preserve">ue </w:t>
      </w:r>
      <w:r w:rsidR="1B57CE88" w:rsidRPr="6206DEF2">
        <w:rPr>
          <w:rFonts w:ascii="Arial" w:eastAsia="Arial" w:hAnsi="Arial" w:cs="Arial"/>
          <w:color w:val="000000" w:themeColor="text1"/>
          <w:sz w:val="22"/>
          <w:szCs w:val="22"/>
        </w:rPr>
        <w:t>requirements</w:t>
      </w:r>
      <w:r w:rsidR="5F953963" w:rsidRPr="6206DEF2">
        <w:rPr>
          <w:rFonts w:ascii="Arial" w:eastAsia="Arial" w:hAnsi="Arial" w:cs="Arial"/>
          <w:color w:val="000000" w:themeColor="text1"/>
          <w:sz w:val="22"/>
          <w:szCs w:val="22"/>
        </w:rPr>
        <w:t xml:space="preserve"> diffirently.for example prioritising freedom over </w:t>
      </w:r>
      <w:r w:rsidR="78DC2C97" w:rsidRPr="6206DEF2">
        <w:rPr>
          <w:rFonts w:ascii="Arial" w:eastAsia="Arial" w:hAnsi="Arial" w:cs="Arial"/>
          <w:color w:val="000000" w:themeColor="text1"/>
          <w:sz w:val="22"/>
          <w:szCs w:val="22"/>
        </w:rPr>
        <w:t>safety),and the hierarchy is sometimes attacked for being overly strict</w:t>
      </w:r>
    </w:p>
    <w:p w14:paraId="75FC6E98" w14:textId="77153785" w:rsidR="6206DEF2" w:rsidRDefault="6206DEF2" w:rsidP="6206DEF2">
      <w:pPr>
        <w:spacing w:before="195" w:after="195"/>
        <w:rPr>
          <w:rFonts w:ascii="Arial" w:eastAsia="Arial" w:hAnsi="Arial" w:cs="Arial"/>
          <w:color w:val="000000" w:themeColor="text1"/>
          <w:sz w:val="22"/>
          <w:szCs w:val="22"/>
        </w:rPr>
      </w:pPr>
    </w:p>
    <w:p w14:paraId="310568FE" w14:textId="05D1D379" w:rsidR="6206DEF2" w:rsidRDefault="6206DEF2" w:rsidP="6206DEF2">
      <w:pPr>
        <w:spacing w:before="195" w:after="195"/>
        <w:rPr>
          <w:rFonts w:ascii="Arial" w:eastAsia="Arial" w:hAnsi="Arial" w:cs="Arial"/>
          <w:color w:val="000000" w:themeColor="text1"/>
          <w:sz w:val="22"/>
          <w:szCs w:val="22"/>
        </w:rPr>
      </w:pPr>
    </w:p>
    <w:p w14:paraId="0B7DC312" w14:textId="70BDB375" w:rsidR="6206DEF2" w:rsidRDefault="6206DEF2" w:rsidP="6206DEF2">
      <w:pPr>
        <w:spacing w:before="195" w:after="195"/>
        <w:rPr>
          <w:rFonts w:ascii="Arial" w:eastAsia="Arial" w:hAnsi="Arial" w:cs="Arial"/>
          <w:color w:val="000000" w:themeColor="text1"/>
          <w:sz w:val="22"/>
          <w:szCs w:val="22"/>
        </w:rPr>
      </w:pPr>
    </w:p>
    <w:p w14:paraId="602444D5" w14:textId="310C8ACA" w:rsidR="6206DEF2" w:rsidRDefault="6206DEF2" w:rsidP="6206DEF2">
      <w:pPr>
        <w:spacing w:before="195" w:after="195"/>
        <w:rPr>
          <w:rFonts w:ascii="Arial" w:eastAsia="Arial" w:hAnsi="Arial" w:cs="Arial"/>
          <w:color w:val="000000" w:themeColor="text1"/>
          <w:sz w:val="22"/>
          <w:szCs w:val="22"/>
        </w:rPr>
      </w:pPr>
    </w:p>
    <w:p w14:paraId="61ACD882" w14:textId="4C4FAF65" w:rsidR="5D14E264" w:rsidRDefault="51DBE52C"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2.</w:t>
      </w:r>
      <w:r w:rsidR="5D14E264" w:rsidRPr="6206DEF2">
        <w:rPr>
          <w:rFonts w:ascii="Arial" w:eastAsia="Arial" w:hAnsi="Arial" w:cs="Arial"/>
          <w:b/>
          <w:bCs/>
          <w:color w:val="000000" w:themeColor="text1"/>
          <w:sz w:val="22"/>
          <w:szCs w:val="22"/>
        </w:rPr>
        <w:t>4</w:t>
      </w:r>
      <w:r w:rsidR="6E0E7AA9" w:rsidRPr="6206DEF2">
        <w:rPr>
          <w:rFonts w:ascii="Arial" w:eastAsia="Arial" w:hAnsi="Arial" w:cs="Arial"/>
          <w:b/>
          <w:bCs/>
          <w:color w:val="000000" w:themeColor="text1"/>
          <w:sz w:val="22"/>
          <w:szCs w:val="22"/>
        </w:rPr>
        <w:t xml:space="preserve"> </w:t>
      </w:r>
      <w:r w:rsidR="5D14E264" w:rsidRPr="6206DEF2">
        <w:rPr>
          <w:rFonts w:ascii="Arial" w:eastAsia="Arial" w:hAnsi="Arial" w:cs="Arial"/>
          <w:b/>
          <w:bCs/>
          <w:color w:val="000000" w:themeColor="text1"/>
          <w:sz w:val="22"/>
          <w:szCs w:val="22"/>
        </w:rPr>
        <w:t>Psychodynamic Theory and Older Adulthood</w:t>
      </w:r>
      <w:r w:rsidR="5D14E264" w:rsidRPr="6206DEF2">
        <w:rPr>
          <w:rFonts w:ascii="Arial" w:eastAsia="Arial" w:hAnsi="Arial" w:cs="Arial"/>
          <w:color w:val="000000" w:themeColor="text1"/>
          <w:sz w:val="22"/>
          <w:szCs w:val="22"/>
        </w:rPr>
        <w:t xml:space="preserve"> </w:t>
      </w:r>
    </w:p>
    <w:p w14:paraId="50E05555" w14:textId="36257EBF" w:rsidR="0173993C" w:rsidRDefault="0173993C"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Reference</w:t>
      </w:r>
    </w:p>
    <w:p w14:paraId="1248975D" w14:textId="444F6BDC" w:rsidR="0173993C" w:rsidRDefault="0173993C" w:rsidP="7CD9B1DB">
      <w:pPr>
        <w:rPr>
          <w:rFonts w:ascii="Arial" w:eastAsia="Arial" w:hAnsi="Arial" w:cs="Arial"/>
          <w:color w:val="000000" w:themeColor="text1"/>
          <w:sz w:val="22"/>
          <w:szCs w:val="22"/>
        </w:rPr>
      </w:pPr>
      <w:r w:rsidRPr="6206DEF2">
        <w:rPr>
          <w:rFonts w:ascii="Arial" w:eastAsia="Arial" w:hAnsi="Arial" w:cs="Arial"/>
          <w:color w:val="000000" w:themeColor="text1"/>
          <w:sz w:val="22"/>
          <w:szCs w:val="22"/>
        </w:rPr>
        <w:t>Erikson, E.H. (1982) The life cycle completed. New York: W.W. Norton &amp; Company.</w:t>
      </w:r>
    </w:p>
    <w:p w14:paraId="377B9B6C" w14:textId="69CEFACD" w:rsidR="0173993C" w:rsidRDefault="0173993C"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 xml:space="preserve">Summary: </w:t>
      </w:r>
    </w:p>
    <w:p w14:paraId="7987DB6C" w14:textId="2F841AB0" w:rsidR="0173993C" w:rsidRDefault="0173993C"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Erikson's psychodynamic theory encompasses all stages of life, with older adulthood being the focus of the last stage, ego integrity vs. despair. People think back on their lives; a successful resolution brings wisdom and acceptance, but a failed resolution brings regret and hopelessness.  </w:t>
      </w:r>
    </w:p>
    <w:p w14:paraId="72914417" w14:textId="754F6276" w:rsidR="0173993C" w:rsidRDefault="0173993C" w:rsidP="7CD9B1DB">
      <w:pPr>
        <w:spacing w:before="195" w:after="195"/>
        <w:rPr>
          <w:rFonts w:ascii="Arial" w:eastAsia="Arial" w:hAnsi="Arial" w:cs="Arial"/>
          <w:b/>
          <w:bCs/>
          <w:color w:val="000000" w:themeColor="text1"/>
          <w:sz w:val="22"/>
          <w:szCs w:val="22"/>
        </w:rPr>
      </w:pPr>
      <w:r w:rsidRPr="6206DEF2">
        <w:rPr>
          <w:rFonts w:ascii="Arial" w:eastAsia="Arial" w:hAnsi="Arial" w:cs="Arial"/>
          <w:b/>
          <w:bCs/>
          <w:color w:val="000000" w:themeColor="text1"/>
          <w:sz w:val="22"/>
          <w:szCs w:val="22"/>
        </w:rPr>
        <w:t>Critical relevance to older adults:</w:t>
      </w:r>
    </w:p>
    <w:p w14:paraId="12607273" w14:textId="62DF63E2" w:rsidR="0173993C" w:rsidRDefault="0173993C"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This approach is especially useful for comprehending emotional health in later life. It encourages activities that provide older people a feeling of purpose and closure, such as life review and reminiscence therapy. However, it does not completely account for socioeconomic or health disparities that impact outcomes and may oversimplify a variety of ageing experiences.</w:t>
      </w:r>
    </w:p>
    <w:p w14:paraId="5226807B" w14:textId="08774B42" w:rsidR="7CD9B1DB" w:rsidRDefault="7CD9B1DB" w:rsidP="6206DEF2">
      <w:pPr>
        <w:spacing w:before="195" w:after="195"/>
        <w:rPr>
          <w:rFonts w:ascii="Arial" w:eastAsia="Arial" w:hAnsi="Arial" w:cs="Arial"/>
          <w:color w:val="000000" w:themeColor="text1"/>
          <w:sz w:val="22"/>
          <w:szCs w:val="22"/>
        </w:rPr>
      </w:pPr>
    </w:p>
    <w:p w14:paraId="516BD28F" w14:textId="427CAC23" w:rsidR="7FA34E21" w:rsidRDefault="27DF4502"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3.</w:t>
      </w:r>
      <w:r w:rsidR="76FA45F3" w:rsidRPr="6206DEF2">
        <w:rPr>
          <w:rFonts w:ascii="Arial" w:eastAsia="Arial" w:hAnsi="Arial" w:cs="Arial"/>
          <w:b/>
          <w:bCs/>
          <w:color w:val="000000" w:themeColor="text1"/>
          <w:sz w:val="22"/>
          <w:szCs w:val="22"/>
        </w:rPr>
        <w:t xml:space="preserve"> </w:t>
      </w:r>
      <w:r w:rsidR="7FA34E21" w:rsidRPr="6206DEF2">
        <w:rPr>
          <w:rFonts w:ascii="Arial" w:eastAsia="Arial" w:hAnsi="Arial" w:cs="Arial"/>
          <w:b/>
          <w:bCs/>
          <w:color w:val="000000" w:themeColor="text1"/>
          <w:sz w:val="22"/>
          <w:szCs w:val="22"/>
        </w:rPr>
        <w:t>REPORT</w:t>
      </w:r>
    </w:p>
    <w:p w14:paraId="238B89F5" w14:textId="69B783E5" w:rsidR="7FA34E21" w:rsidRDefault="635C4A95"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3.1</w:t>
      </w:r>
      <w:r w:rsidR="40F986FA" w:rsidRPr="6206DEF2">
        <w:rPr>
          <w:rFonts w:ascii="Arial" w:eastAsia="Arial" w:hAnsi="Arial" w:cs="Arial"/>
          <w:b/>
          <w:bCs/>
          <w:color w:val="000000" w:themeColor="text1"/>
          <w:sz w:val="22"/>
          <w:szCs w:val="22"/>
        </w:rPr>
        <w:t xml:space="preserve"> </w:t>
      </w:r>
      <w:r w:rsidR="7FA34E21" w:rsidRPr="6206DEF2">
        <w:rPr>
          <w:rFonts w:ascii="Arial" w:eastAsia="Arial" w:hAnsi="Arial" w:cs="Arial"/>
          <w:b/>
          <w:bCs/>
          <w:color w:val="000000" w:themeColor="text1"/>
          <w:sz w:val="22"/>
          <w:szCs w:val="22"/>
        </w:rPr>
        <w:t>Applying Maslow’s Hierarchy of Needs to Improve Psychological Wellbeing in Older Adults in Residential Care</w:t>
      </w:r>
      <w:r w:rsidR="7FA34E21" w:rsidRPr="6206DEF2">
        <w:rPr>
          <w:rFonts w:ascii="Arial" w:eastAsia="Arial" w:hAnsi="Arial" w:cs="Arial"/>
          <w:color w:val="000000" w:themeColor="text1"/>
          <w:sz w:val="22"/>
          <w:szCs w:val="22"/>
        </w:rPr>
        <w:t xml:space="preserve"> </w:t>
      </w:r>
    </w:p>
    <w:p w14:paraId="534F399B" w14:textId="4FD322F7" w:rsidR="7FA34E21" w:rsidRDefault="7FA34E21"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Maslow’s hierarchy of needs provides a useful framework for understanding and supporting the psychological wellbeing of older adults in residential care settings (Abraham Maslow, 1943). This report focuses on the need for belongingness and love, and how meeting this need can significantly enhance emotional wellbeing, reduce loneliness, and promote a sense of purpose among residents. </w:t>
      </w:r>
    </w:p>
    <w:p w14:paraId="1BB4A75C" w14:textId="76050081" w:rsidR="7FA34E21" w:rsidRDefault="1CC1D053"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3.2</w:t>
      </w:r>
      <w:r w:rsidR="13D4F889" w:rsidRPr="6206DEF2">
        <w:rPr>
          <w:rFonts w:ascii="Arial" w:eastAsia="Arial" w:hAnsi="Arial" w:cs="Arial"/>
          <w:b/>
          <w:bCs/>
          <w:color w:val="000000" w:themeColor="text1"/>
          <w:sz w:val="22"/>
          <w:szCs w:val="22"/>
        </w:rPr>
        <w:t xml:space="preserve"> </w:t>
      </w:r>
      <w:r w:rsidR="7FA34E21" w:rsidRPr="6206DEF2">
        <w:rPr>
          <w:rFonts w:ascii="Arial" w:eastAsia="Arial" w:hAnsi="Arial" w:cs="Arial"/>
          <w:b/>
          <w:bCs/>
          <w:color w:val="000000" w:themeColor="text1"/>
          <w:sz w:val="22"/>
          <w:szCs w:val="22"/>
        </w:rPr>
        <w:t>Understanding Belongingness and Love Needs</w:t>
      </w:r>
      <w:r w:rsidR="7FA34E21" w:rsidRPr="6206DEF2">
        <w:rPr>
          <w:rFonts w:ascii="Arial" w:eastAsia="Arial" w:hAnsi="Arial" w:cs="Arial"/>
          <w:color w:val="000000" w:themeColor="text1"/>
          <w:sz w:val="22"/>
          <w:szCs w:val="22"/>
        </w:rPr>
        <w:t xml:space="preserve"> </w:t>
      </w:r>
    </w:p>
    <w:p w14:paraId="36FD3DCF" w14:textId="6FD50F82" w:rsidR="315A6DFA" w:rsidRDefault="315A6DFA" w:rsidP="7CD9B1DB">
      <w:pPr>
        <w:spacing w:before="240" w:after="240"/>
        <w:rPr>
          <w:rFonts w:ascii="Arial" w:eastAsia="Arial" w:hAnsi="Arial" w:cs="Arial"/>
          <w:color w:val="000000" w:themeColor="text1"/>
          <w:sz w:val="22"/>
          <w:szCs w:val="22"/>
        </w:rPr>
      </w:pPr>
      <w:r w:rsidRPr="6206DEF2">
        <w:rPr>
          <w:rFonts w:ascii="Arial" w:eastAsia="Arial" w:hAnsi="Arial" w:cs="Arial"/>
          <w:color w:val="000000" w:themeColor="text1"/>
          <w:sz w:val="22"/>
          <w:szCs w:val="22"/>
        </w:rPr>
        <w:t>Feeling loved and like you belong is an important part of being happy. In Maslow’s hierarchy of needs, this means having friends, family, and people who care about you (Maslow, 1943).</w:t>
      </w:r>
    </w:p>
    <w:p w14:paraId="4C64F109" w14:textId="4022D8C1" w:rsidR="315A6DFA" w:rsidRDefault="315A6DFA" w:rsidP="7CD9B1DB">
      <w:pPr>
        <w:spacing w:before="240" w:after="240"/>
        <w:rPr>
          <w:rFonts w:ascii="Arial" w:eastAsia="Arial" w:hAnsi="Arial" w:cs="Arial"/>
          <w:color w:val="000000" w:themeColor="text1"/>
          <w:sz w:val="22"/>
          <w:szCs w:val="22"/>
        </w:rPr>
      </w:pPr>
      <w:r w:rsidRPr="6206DEF2">
        <w:rPr>
          <w:rFonts w:ascii="Arial" w:eastAsia="Arial" w:hAnsi="Arial" w:cs="Arial"/>
          <w:color w:val="000000" w:themeColor="text1"/>
          <w:sz w:val="22"/>
          <w:szCs w:val="22"/>
        </w:rPr>
        <w:t>For older people living in care homes, this can sometimes be hard. They might feel sad because they have lost loved ones, can’t move around easily, or don’t see their family and friends as much as before.</w:t>
      </w:r>
    </w:p>
    <w:p w14:paraId="0B5EC606" w14:textId="2DE61DB0" w:rsidR="315A6DFA" w:rsidRDefault="315A6DFA" w:rsidP="7CD9B1DB">
      <w:pPr>
        <w:spacing w:before="240" w:after="240"/>
        <w:rPr>
          <w:rFonts w:ascii="Arial" w:eastAsia="Arial" w:hAnsi="Arial" w:cs="Arial"/>
          <w:color w:val="000000" w:themeColor="text1"/>
          <w:sz w:val="22"/>
          <w:szCs w:val="22"/>
        </w:rPr>
      </w:pPr>
      <w:r w:rsidRPr="6206DEF2">
        <w:rPr>
          <w:rFonts w:ascii="Arial" w:eastAsia="Arial" w:hAnsi="Arial" w:cs="Arial"/>
          <w:color w:val="000000" w:themeColor="text1"/>
          <w:sz w:val="22"/>
          <w:szCs w:val="22"/>
        </w:rPr>
        <w:t>If they don’t feel loved or included, they might feel lonely, worried, or very sad, and this can even affect their memory and thinking (World Health Organization, 2021). But when they feel cared for, included, and important, they are usually happier, join in more activities, and enjoy life more.</w:t>
      </w:r>
    </w:p>
    <w:p w14:paraId="4C66DCB8" w14:textId="46470EEC" w:rsidR="7CD9B1DB" w:rsidRDefault="7CD9B1DB" w:rsidP="7CD9B1DB">
      <w:pPr>
        <w:spacing w:before="195" w:after="195"/>
        <w:rPr>
          <w:rFonts w:ascii="Arial" w:eastAsia="Arial" w:hAnsi="Arial" w:cs="Arial"/>
          <w:b/>
          <w:bCs/>
          <w:color w:val="000000" w:themeColor="text1"/>
          <w:sz w:val="22"/>
          <w:szCs w:val="22"/>
        </w:rPr>
      </w:pPr>
    </w:p>
    <w:p w14:paraId="63690296" w14:textId="529BB4B9" w:rsidR="7FA34E21" w:rsidRDefault="511A8511"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3.3</w:t>
      </w:r>
      <w:r w:rsidR="72874E61" w:rsidRPr="6206DEF2">
        <w:rPr>
          <w:rFonts w:ascii="Arial" w:eastAsia="Arial" w:hAnsi="Arial" w:cs="Arial"/>
          <w:b/>
          <w:bCs/>
          <w:color w:val="000000" w:themeColor="text1"/>
          <w:sz w:val="22"/>
          <w:szCs w:val="22"/>
        </w:rPr>
        <w:t xml:space="preserve"> </w:t>
      </w:r>
      <w:r w:rsidR="7FA34E21" w:rsidRPr="6206DEF2">
        <w:rPr>
          <w:rFonts w:ascii="Arial" w:eastAsia="Arial" w:hAnsi="Arial" w:cs="Arial"/>
          <w:b/>
          <w:bCs/>
          <w:color w:val="000000" w:themeColor="text1"/>
          <w:sz w:val="22"/>
          <w:szCs w:val="22"/>
        </w:rPr>
        <w:t>Application in Residential Care</w:t>
      </w:r>
      <w:r w:rsidR="7FA34E21" w:rsidRPr="6206DEF2">
        <w:rPr>
          <w:rFonts w:ascii="Arial" w:eastAsia="Arial" w:hAnsi="Arial" w:cs="Arial"/>
          <w:color w:val="000000" w:themeColor="text1"/>
          <w:sz w:val="22"/>
          <w:szCs w:val="22"/>
        </w:rPr>
        <w:t xml:space="preserve"> </w:t>
      </w:r>
    </w:p>
    <w:p w14:paraId="6AFA81DC" w14:textId="39A58881" w:rsidR="42592DF7" w:rsidRDefault="42592DF7" w:rsidP="7CD9B1DB">
      <w:pPr>
        <w:spacing w:before="240" w:after="240"/>
        <w:rPr>
          <w:rFonts w:ascii="Arial" w:eastAsia="Arial" w:hAnsi="Arial" w:cs="Arial"/>
          <w:color w:val="000000" w:themeColor="text1"/>
          <w:sz w:val="22"/>
          <w:szCs w:val="22"/>
        </w:rPr>
      </w:pPr>
      <w:r w:rsidRPr="6206DEF2">
        <w:rPr>
          <w:rFonts w:ascii="Arial" w:eastAsia="Arial" w:hAnsi="Arial" w:cs="Arial"/>
          <w:color w:val="000000" w:themeColor="text1"/>
          <w:sz w:val="22"/>
          <w:szCs w:val="22"/>
        </w:rPr>
        <w:t>Health and social care workers can use this part of Maslow’s theory by creating a setting that helps people feel connected and supported. This can be done b</w:t>
      </w:r>
      <w:r w:rsidR="44DB9AFC" w:rsidRPr="6206DEF2">
        <w:rPr>
          <w:rFonts w:ascii="Arial" w:eastAsia="Arial" w:hAnsi="Arial" w:cs="Arial"/>
          <w:color w:val="000000" w:themeColor="text1"/>
          <w:sz w:val="22"/>
          <w:szCs w:val="22"/>
        </w:rPr>
        <w:t>y:</w:t>
      </w:r>
    </w:p>
    <w:p w14:paraId="238E7556" w14:textId="22B950B5" w:rsidR="42592DF7" w:rsidRDefault="42592DF7" w:rsidP="7CD9B1DB">
      <w:pPr>
        <w:pStyle w:val="ListParagraph"/>
        <w:numPr>
          <w:ilvl w:val="0"/>
          <w:numId w:val="2"/>
        </w:numPr>
        <w:spacing w:after="0"/>
        <w:rPr>
          <w:rFonts w:ascii="Arial" w:eastAsia="Arial" w:hAnsi="Arial" w:cs="Arial"/>
          <w:color w:val="000000" w:themeColor="text1"/>
          <w:sz w:val="22"/>
          <w:szCs w:val="22"/>
        </w:rPr>
      </w:pPr>
      <w:r w:rsidRPr="6206DEF2">
        <w:rPr>
          <w:rFonts w:ascii="Arial" w:eastAsia="Arial" w:hAnsi="Arial" w:cs="Arial"/>
          <w:color w:val="000000" w:themeColor="text1"/>
          <w:sz w:val="22"/>
          <w:szCs w:val="22"/>
        </w:rPr>
        <w:t>Encouraging residents to join group activities that match what they enjoy</w:t>
      </w:r>
    </w:p>
    <w:p w14:paraId="7E3E0D93" w14:textId="3F2884AB" w:rsidR="42592DF7" w:rsidRDefault="42592DF7" w:rsidP="7CD9B1DB">
      <w:pPr>
        <w:pStyle w:val="ListParagraph"/>
        <w:numPr>
          <w:ilvl w:val="0"/>
          <w:numId w:val="2"/>
        </w:numPr>
        <w:spacing w:after="0"/>
        <w:rPr>
          <w:rFonts w:ascii="Arial" w:eastAsia="Arial" w:hAnsi="Arial" w:cs="Arial"/>
          <w:color w:val="000000" w:themeColor="text1"/>
          <w:sz w:val="22"/>
          <w:szCs w:val="22"/>
        </w:rPr>
      </w:pPr>
      <w:r w:rsidRPr="6206DEF2">
        <w:rPr>
          <w:rFonts w:ascii="Arial" w:eastAsia="Arial" w:hAnsi="Arial" w:cs="Arial"/>
          <w:color w:val="000000" w:themeColor="text1"/>
          <w:sz w:val="22"/>
          <w:szCs w:val="22"/>
        </w:rPr>
        <w:t>Helping them stay in touch with family through visits or technology</w:t>
      </w:r>
    </w:p>
    <w:p w14:paraId="72D25166" w14:textId="5A519314" w:rsidR="42592DF7" w:rsidRDefault="42592DF7" w:rsidP="7CD9B1DB">
      <w:pPr>
        <w:pStyle w:val="ListParagraph"/>
        <w:numPr>
          <w:ilvl w:val="0"/>
          <w:numId w:val="2"/>
        </w:numPr>
        <w:spacing w:after="0"/>
        <w:rPr>
          <w:rFonts w:ascii="Arial" w:eastAsia="Arial" w:hAnsi="Arial" w:cs="Arial"/>
          <w:color w:val="000000" w:themeColor="text1"/>
          <w:sz w:val="22"/>
          <w:szCs w:val="22"/>
        </w:rPr>
      </w:pPr>
      <w:r w:rsidRPr="6206DEF2">
        <w:rPr>
          <w:rFonts w:ascii="Arial" w:eastAsia="Arial" w:hAnsi="Arial" w:cs="Arial"/>
          <w:color w:val="000000" w:themeColor="text1"/>
          <w:sz w:val="22"/>
          <w:szCs w:val="22"/>
        </w:rPr>
        <w:t>Supporting friendships between residents</w:t>
      </w:r>
    </w:p>
    <w:p w14:paraId="65DE1214" w14:textId="7314F82A" w:rsidR="42592DF7" w:rsidRDefault="42592DF7" w:rsidP="7CD9B1DB">
      <w:pPr>
        <w:pStyle w:val="ListParagraph"/>
        <w:numPr>
          <w:ilvl w:val="0"/>
          <w:numId w:val="2"/>
        </w:numPr>
        <w:spacing w:after="0"/>
        <w:rPr>
          <w:rFonts w:ascii="Arial" w:eastAsia="Arial" w:hAnsi="Arial" w:cs="Arial"/>
          <w:color w:val="000000" w:themeColor="text1"/>
          <w:sz w:val="22"/>
          <w:szCs w:val="22"/>
        </w:rPr>
      </w:pPr>
      <w:r w:rsidRPr="6206DEF2">
        <w:rPr>
          <w:rFonts w:ascii="Arial" w:eastAsia="Arial" w:hAnsi="Arial" w:cs="Arial"/>
          <w:color w:val="000000" w:themeColor="text1"/>
          <w:sz w:val="22"/>
          <w:szCs w:val="22"/>
        </w:rPr>
        <w:t>Making sure staff are kind, consistent, and focus on each person’s needs</w:t>
      </w:r>
    </w:p>
    <w:p w14:paraId="592587E9" w14:textId="26F11056" w:rsidR="42592DF7" w:rsidRDefault="42592DF7" w:rsidP="7CD9B1DB">
      <w:pPr>
        <w:spacing w:before="240" w:after="240"/>
        <w:rPr>
          <w:rFonts w:ascii="Arial" w:eastAsia="Arial" w:hAnsi="Arial" w:cs="Arial"/>
          <w:color w:val="000000" w:themeColor="text1"/>
          <w:sz w:val="22"/>
          <w:szCs w:val="22"/>
        </w:rPr>
      </w:pPr>
      <w:r w:rsidRPr="6206DEF2">
        <w:rPr>
          <w:rFonts w:ascii="Arial" w:eastAsia="Arial" w:hAnsi="Arial" w:cs="Arial"/>
          <w:color w:val="000000" w:themeColor="text1"/>
          <w:sz w:val="22"/>
          <w:szCs w:val="22"/>
        </w:rPr>
        <w:t>It is important to create a place where residents feel recognised and valued as individuals, not just looked after for their physical needs (National Institute for Health and Care Excellence, 2018).</w:t>
      </w:r>
    </w:p>
    <w:p w14:paraId="5DDDD9E1" w14:textId="2B1F298C" w:rsidR="7CD9B1DB" w:rsidRDefault="7CD9B1DB" w:rsidP="7CD9B1DB">
      <w:pPr>
        <w:spacing w:before="195" w:after="195"/>
        <w:rPr>
          <w:rFonts w:ascii="Arial" w:eastAsia="Arial" w:hAnsi="Arial" w:cs="Arial"/>
          <w:b/>
          <w:bCs/>
          <w:color w:val="000000" w:themeColor="text1"/>
          <w:sz w:val="22"/>
          <w:szCs w:val="22"/>
        </w:rPr>
      </w:pPr>
    </w:p>
    <w:p w14:paraId="38F96890" w14:textId="2E65B304" w:rsidR="7FA34E21" w:rsidRDefault="6960CFD7"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3.4</w:t>
      </w:r>
      <w:r w:rsidR="5CDDFCA3" w:rsidRPr="6206DEF2">
        <w:rPr>
          <w:rFonts w:ascii="Arial" w:eastAsia="Arial" w:hAnsi="Arial" w:cs="Arial"/>
          <w:b/>
          <w:bCs/>
          <w:color w:val="000000" w:themeColor="text1"/>
          <w:sz w:val="22"/>
          <w:szCs w:val="22"/>
        </w:rPr>
        <w:t xml:space="preserve"> </w:t>
      </w:r>
      <w:r w:rsidR="7FA34E21" w:rsidRPr="6206DEF2">
        <w:rPr>
          <w:rFonts w:ascii="Arial" w:eastAsia="Arial" w:hAnsi="Arial" w:cs="Arial"/>
          <w:b/>
          <w:bCs/>
          <w:color w:val="000000" w:themeColor="text1"/>
          <w:sz w:val="22"/>
          <w:szCs w:val="22"/>
        </w:rPr>
        <w:t>Case Scenario</w:t>
      </w:r>
      <w:r w:rsidR="7FA34E21" w:rsidRPr="6206DEF2">
        <w:rPr>
          <w:rFonts w:ascii="Arial" w:eastAsia="Arial" w:hAnsi="Arial" w:cs="Arial"/>
          <w:color w:val="000000" w:themeColor="text1"/>
          <w:sz w:val="22"/>
          <w:szCs w:val="22"/>
        </w:rPr>
        <w:t xml:space="preserve"> </w:t>
      </w:r>
    </w:p>
    <w:p w14:paraId="42F7F990" w14:textId="6AA1CD46" w:rsidR="7FA34E21" w:rsidRDefault="7FA34E21"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Mrs. T, an 82-year-old resident with mild dementia, moved into a care home following the death of her husband. Initially, she became withdrawn, refused to engage in activities, and showed signs of low mood. </w:t>
      </w:r>
    </w:p>
    <w:p w14:paraId="5C0A8DD4" w14:textId="1A03821C" w:rsidR="7FA34E21" w:rsidRDefault="7FA34E21"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A care worker noticed that Mrs. T frequently spoke about her past involvement in a local choir. In response, the staff arranged small group singing sessions and encouraged her to participate. They also paired her with another resident who shared similar musical interests. </w:t>
      </w:r>
    </w:p>
    <w:p w14:paraId="3C326DD8" w14:textId="196A2F65" w:rsidR="7FA34E21" w:rsidRDefault="7FA34E21"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Over time, Mrs. T began attending sessions regularly, forming a friendship with her peer and engaging more with staff. Her mood improved, she became more communicative, and her overall wellbeing noticeably increased. </w:t>
      </w:r>
    </w:p>
    <w:p w14:paraId="5C5AA02A" w14:textId="4CDF368E" w:rsidR="7FA34E21" w:rsidRDefault="7FA34E21"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This example demonstrates how recognising and supporting an individual’s need for belonging can positively </w:t>
      </w:r>
      <w:r w:rsidR="252CF0FB" w:rsidRPr="6206DEF2">
        <w:rPr>
          <w:rFonts w:ascii="Arial" w:eastAsia="Arial" w:hAnsi="Arial" w:cs="Arial"/>
          <w:color w:val="000000" w:themeColor="text1"/>
          <w:sz w:val="22"/>
          <w:szCs w:val="22"/>
        </w:rPr>
        <w:t>impact psychological</w:t>
      </w:r>
      <w:r w:rsidRPr="6206DEF2">
        <w:rPr>
          <w:rFonts w:ascii="Arial" w:eastAsia="Arial" w:hAnsi="Arial" w:cs="Arial"/>
          <w:color w:val="000000" w:themeColor="text1"/>
          <w:sz w:val="22"/>
          <w:szCs w:val="22"/>
        </w:rPr>
        <w:t xml:space="preserve"> health, particularly in individuals living with dementia (Alzheimer's Society, 2022). </w:t>
      </w:r>
    </w:p>
    <w:p w14:paraId="6BD6B17F" w14:textId="0C47B6D3" w:rsidR="7FA34E21" w:rsidRDefault="530E8BF9"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3.5</w:t>
      </w:r>
      <w:r w:rsidR="596A01AE" w:rsidRPr="6206DEF2">
        <w:rPr>
          <w:rFonts w:ascii="Arial" w:eastAsia="Arial" w:hAnsi="Arial" w:cs="Arial"/>
          <w:b/>
          <w:bCs/>
          <w:color w:val="000000" w:themeColor="text1"/>
          <w:sz w:val="22"/>
          <w:szCs w:val="22"/>
        </w:rPr>
        <w:t xml:space="preserve"> </w:t>
      </w:r>
      <w:r w:rsidR="7FA34E21" w:rsidRPr="6206DEF2">
        <w:rPr>
          <w:rFonts w:ascii="Arial" w:eastAsia="Arial" w:hAnsi="Arial" w:cs="Arial"/>
          <w:b/>
          <w:bCs/>
          <w:color w:val="000000" w:themeColor="text1"/>
          <w:sz w:val="22"/>
          <w:szCs w:val="22"/>
        </w:rPr>
        <w:t>Challenges in Application</w:t>
      </w:r>
      <w:r w:rsidR="7FA34E21" w:rsidRPr="6206DEF2">
        <w:rPr>
          <w:rFonts w:ascii="Arial" w:eastAsia="Arial" w:hAnsi="Arial" w:cs="Arial"/>
          <w:color w:val="000000" w:themeColor="text1"/>
          <w:sz w:val="22"/>
          <w:szCs w:val="22"/>
        </w:rPr>
        <w:t xml:space="preserve"> </w:t>
      </w:r>
    </w:p>
    <w:p w14:paraId="453F3D02" w14:textId="780AF93E" w:rsidR="0C526717" w:rsidRDefault="0C526717" w:rsidP="7CD9B1DB">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A main difficulty in applying Maslow’s belongingness needs is the lack of time and staff. In many care settings, workers have to focus on important physical tasks like giving medication, helping with washing, and supporting movement. Because of this, there is often less time for meaningful social interaction with patients.</w:t>
      </w:r>
    </w:p>
    <w:p w14:paraId="20614BA5" w14:textId="727B8818" w:rsidR="2DB840BF" w:rsidRDefault="2DB840BF" w:rsidP="6206DEF2">
      <w:pPr>
        <w:spacing w:before="195" w:after="195"/>
      </w:pPr>
      <w:r w:rsidRPr="6206DEF2">
        <w:rPr>
          <w:rFonts w:ascii="Arial" w:eastAsia="Arial" w:hAnsi="Arial" w:cs="Arial"/>
          <w:color w:val="000000" w:themeColor="text1"/>
          <w:sz w:val="22"/>
          <w:szCs w:val="22"/>
        </w:rPr>
        <w:t xml:space="preserve">In Addition,staff shortages place considerable strain on care </w:t>
      </w:r>
      <w:r w:rsidR="51681F89" w:rsidRPr="6206DEF2">
        <w:rPr>
          <w:rFonts w:ascii="Arial" w:eastAsia="Arial" w:hAnsi="Arial" w:cs="Arial"/>
          <w:color w:val="000000" w:themeColor="text1"/>
          <w:sz w:val="22"/>
          <w:szCs w:val="22"/>
        </w:rPr>
        <w:t>teams. When</w:t>
      </w:r>
      <w:r w:rsidRPr="6206DEF2">
        <w:rPr>
          <w:rFonts w:ascii="Arial" w:eastAsia="Arial" w:hAnsi="Arial" w:cs="Arial"/>
          <w:color w:val="000000" w:themeColor="text1"/>
          <w:sz w:val="22"/>
          <w:szCs w:val="22"/>
        </w:rPr>
        <w:t xml:space="preserve"> there are not enough workers </w:t>
      </w:r>
      <w:r w:rsidR="2AFF82CF" w:rsidRPr="6206DEF2">
        <w:rPr>
          <w:rFonts w:ascii="Arial" w:eastAsia="Arial" w:hAnsi="Arial" w:cs="Arial"/>
          <w:color w:val="000000" w:themeColor="text1"/>
          <w:sz w:val="22"/>
          <w:szCs w:val="22"/>
        </w:rPr>
        <w:t>available, each</w:t>
      </w:r>
      <w:r w:rsidR="5F9B831D" w:rsidRPr="6206DEF2">
        <w:rPr>
          <w:rFonts w:ascii="Arial" w:eastAsia="Arial" w:hAnsi="Arial" w:cs="Arial"/>
          <w:color w:val="000000" w:themeColor="text1"/>
          <w:sz w:val="22"/>
          <w:szCs w:val="22"/>
        </w:rPr>
        <w:t xml:space="preserve"> staff member is responsible for a larger number of </w:t>
      </w:r>
      <w:r w:rsidR="04F909F0" w:rsidRPr="6206DEF2">
        <w:rPr>
          <w:rFonts w:ascii="Arial" w:eastAsia="Arial" w:hAnsi="Arial" w:cs="Arial"/>
          <w:color w:val="000000" w:themeColor="text1"/>
          <w:sz w:val="22"/>
          <w:szCs w:val="22"/>
        </w:rPr>
        <w:t>patients. This</w:t>
      </w:r>
      <w:r w:rsidR="5F9B831D" w:rsidRPr="6206DEF2">
        <w:rPr>
          <w:rFonts w:ascii="Arial" w:eastAsia="Arial" w:hAnsi="Arial" w:cs="Arial"/>
          <w:color w:val="000000" w:themeColor="text1"/>
          <w:sz w:val="22"/>
          <w:szCs w:val="22"/>
        </w:rPr>
        <w:t xml:space="preserve"> reduce the ability to spend quality time with individuals and makes it more difficult to build</w:t>
      </w:r>
      <w:r w:rsidR="038405CE" w:rsidRPr="6206DEF2">
        <w:rPr>
          <w:rFonts w:ascii="Arial" w:eastAsia="Arial" w:hAnsi="Arial" w:cs="Arial"/>
          <w:color w:val="000000" w:themeColor="text1"/>
          <w:sz w:val="22"/>
          <w:szCs w:val="22"/>
        </w:rPr>
        <w:t xml:space="preserve"> </w:t>
      </w:r>
      <w:r w:rsidR="06161E81" w:rsidRPr="6206DEF2">
        <w:rPr>
          <w:rFonts w:ascii="Arial" w:eastAsia="Arial" w:hAnsi="Arial" w:cs="Arial"/>
          <w:color w:val="000000" w:themeColor="text1"/>
          <w:sz w:val="22"/>
          <w:szCs w:val="22"/>
        </w:rPr>
        <w:t>trusting, supportive</w:t>
      </w:r>
      <w:r w:rsidR="038405CE" w:rsidRPr="6206DEF2">
        <w:rPr>
          <w:rFonts w:ascii="Arial" w:eastAsia="Arial" w:hAnsi="Arial" w:cs="Arial"/>
          <w:color w:val="000000" w:themeColor="text1"/>
          <w:sz w:val="22"/>
          <w:szCs w:val="22"/>
        </w:rPr>
        <w:t xml:space="preserve"> relationships.</w:t>
      </w:r>
      <w:r w:rsidR="6A8D149D" w:rsidRPr="6206DEF2">
        <w:rPr>
          <w:rFonts w:ascii="Arial" w:eastAsia="Arial" w:hAnsi="Arial" w:cs="Arial"/>
          <w:color w:val="000000" w:themeColor="text1"/>
          <w:sz w:val="22"/>
          <w:szCs w:val="22"/>
        </w:rPr>
        <w:t xml:space="preserve"> </w:t>
      </w:r>
      <w:r w:rsidR="038405CE" w:rsidRPr="6206DEF2">
        <w:rPr>
          <w:rFonts w:ascii="Arial" w:eastAsia="Arial" w:hAnsi="Arial" w:cs="Arial"/>
          <w:color w:val="000000" w:themeColor="text1"/>
          <w:sz w:val="22"/>
          <w:szCs w:val="22"/>
        </w:rPr>
        <w:t>Consequently,care can become task-oriented rather than person- centred,</w:t>
      </w:r>
      <w:r w:rsidR="51DD31FA" w:rsidRPr="6206DEF2">
        <w:rPr>
          <w:rFonts w:ascii="Arial" w:eastAsia="Arial" w:hAnsi="Arial" w:cs="Arial"/>
          <w:color w:val="000000" w:themeColor="text1"/>
          <w:sz w:val="22"/>
          <w:szCs w:val="22"/>
        </w:rPr>
        <w:t>in this way patients may feel their emotional needs are secondary to routine physical task.</w:t>
      </w:r>
    </w:p>
    <w:p w14:paraId="0DE51DB1" w14:textId="21F1D5FD" w:rsidR="6206DEF2" w:rsidRDefault="6206DEF2" w:rsidP="6206DEF2">
      <w:pPr>
        <w:spacing w:before="195" w:after="195"/>
        <w:rPr>
          <w:rFonts w:ascii="Arial" w:eastAsia="Arial" w:hAnsi="Arial" w:cs="Arial"/>
          <w:color w:val="000000" w:themeColor="text1"/>
          <w:sz w:val="22"/>
          <w:szCs w:val="22"/>
        </w:rPr>
      </w:pPr>
    </w:p>
    <w:p w14:paraId="3B3E8332" w14:textId="4F49C56A" w:rsidR="6206DEF2" w:rsidRDefault="6206DEF2" w:rsidP="6206DEF2">
      <w:pPr>
        <w:spacing w:before="195" w:after="195"/>
        <w:rPr>
          <w:rFonts w:ascii="Arial" w:eastAsia="Arial" w:hAnsi="Arial" w:cs="Arial"/>
          <w:color w:val="000000" w:themeColor="text1"/>
          <w:sz w:val="22"/>
          <w:szCs w:val="22"/>
        </w:rPr>
      </w:pPr>
    </w:p>
    <w:p w14:paraId="7C043FE9" w14:textId="09F2BFB8" w:rsidR="7FA34E21" w:rsidRDefault="22694595"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3.6</w:t>
      </w:r>
      <w:r w:rsidR="11D7665E" w:rsidRPr="6206DEF2">
        <w:rPr>
          <w:rFonts w:ascii="Arial" w:eastAsia="Arial" w:hAnsi="Arial" w:cs="Arial"/>
          <w:b/>
          <w:bCs/>
          <w:color w:val="000000" w:themeColor="text1"/>
          <w:sz w:val="22"/>
          <w:szCs w:val="22"/>
        </w:rPr>
        <w:t xml:space="preserve"> </w:t>
      </w:r>
      <w:r w:rsidR="7FA34E21" w:rsidRPr="6206DEF2">
        <w:rPr>
          <w:rFonts w:ascii="Arial" w:eastAsia="Arial" w:hAnsi="Arial" w:cs="Arial"/>
          <w:b/>
          <w:bCs/>
          <w:color w:val="000000" w:themeColor="text1"/>
          <w:sz w:val="22"/>
          <w:szCs w:val="22"/>
        </w:rPr>
        <w:t>Strategy to Overcome the Challenge</w:t>
      </w:r>
      <w:r w:rsidR="7FA34E21" w:rsidRPr="6206DEF2">
        <w:rPr>
          <w:rFonts w:ascii="Arial" w:eastAsia="Arial" w:hAnsi="Arial" w:cs="Arial"/>
          <w:color w:val="000000" w:themeColor="text1"/>
          <w:sz w:val="22"/>
          <w:szCs w:val="22"/>
        </w:rPr>
        <w:t xml:space="preserve"> </w:t>
      </w:r>
    </w:p>
    <w:p w14:paraId="6059E103" w14:textId="61C02D5F" w:rsidR="1E6E002B" w:rsidRDefault="1E6E002B" w:rsidP="7CD9B1DB">
      <w:pPr>
        <w:spacing w:before="240" w:after="240"/>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Applying </w:t>
      </w:r>
      <w:r w:rsidR="6F47A3E0" w:rsidRPr="6206DEF2">
        <w:rPr>
          <w:rFonts w:ascii="Arial" w:eastAsia="Arial" w:hAnsi="Arial" w:cs="Arial"/>
          <w:color w:val="000000" w:themeColor="text1"/>
          <w:sz w:val="22"/>
          <w:szCs w:val="22"/>
        </w:rPr>
        <w:t>Person</w:t>
      </w:r>
      <w:r w:rsidR="188EFA6C" w:rsidRPr="6206DEF2">
        <w:rPr>
          <w:rFonts w:ascii="Arial" w:eastAsia="Arial" w:hAnsi="Arial" w:cs="Arial"/>
          <w:color w:val="000000" w:themeColor="text1"/>
          <w:sz w:val="22"/>
          <w:szCs w:val="22"/>
        </w:rPr>
        <w:t xml:space="preserve"> </w:t>
      </w:r>
      <w:r w:rsidR="6F47A3E0" w:rsidRPr="6206DEF2">
        <w:rPr>
          <w:rFonts w:ascii="Arial" w:eastAsia="Arial" w:hAnsi="Arial" w:cs="Arial"/>
          <w:color w:val="000000" w:themeColor="text1"/>
          <w:sz w:val="22"/>
          <w:szCs w:val="22"/>
        </w:rPr>
        <w:t xml:space="preserve">centred care </w:t>
      </w:r>
      <w:r w:rsidR="7760022B" w:rsidRPr="6206DEF2">
        <w:rPr>
          <w:rFonts w:ascii="Arial" w:eastAsia="Arial" w:hAnsi="Arial" w:cs="Arial"/>
          <w:color w:val="000000" w:themeColor="text1"/>
          <w:sz w:val="22"/>
          <w:szCs w:val="22"/>
        </w:rPr>
        <w:t xml:space="preserve"> like</w:t>
      </w:r>
      <w:r w:rsidR="6F47A3E0" w:rsidRPr="6206DEF2">
        <w:rPr>
          <w:rFonts w:ascii="Arial" w:eastAsia="Arial" w:hAnsi="Arial" w:cs="Arial"/>
          <w:color w:val="000000" w:themeColor="text1"/>
          <w:sz w:val="22"/>
          <w:szCs w:val="22"/>
        </w:rPr>
        <w:t xml:space="preserve"> getting to know each resident’s background, likes, and social needs. This helps staff include meaningful conversations and interactions during daily tasks, instead of seeing them as extra work. For example, talking to a resident about their past while helping them get dressed can help them feel more connected.</w:t>
      </w:r>
    </w:p>
    <w:p w14:paraId="40A82F6D" w14:textId="3DEC82AA" w:rsidR="6F47A3E0" w:rsidRDefault="6F47A3E0" w:rsidP="7CD9B1DB">
      <w:pPr>
        <w:spacing w:before="240" w:after="240"/>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Team-based approaches </w:t>
      </w:r>
      <w:r w:rsidR="4C431AC7" w:rsidRPr="6206DEF2">
        <w:rPr>
          <w:rFonts w:ascii="Arial" w:eastAsia="Arial" w:hAnsi="Arial" w:cs="Arial"/>
          <w:color w:val="000000" w:themeColor="text1"/>
          <w:sz w:val="22"/>
          <w:szCs w:val="22"/>
        </w:rPr>
        <w:t xml:space="preserve">where </w:t>
      </w:r>
      <w:r w:rsidRPr="6206DEF2">
        <w:rPr>
          <w:rFonts w:ascii="Arial" w:eastAsia="Arial" w:hAnsi="Arial" w:cs="Arial"/>
          <w:color w:val="000000" w:themeColor="text1"/>
          <w:sz w:val="22"/>
          <w:szCs w:val="22"/>
        </w:rPr>
        <w:t>all staff such as care assistants, nurses, activity coordinators, and even cleaning staff share responsibility for supporting residents’ social wellbeing. Training staff to understand the importance of emotional needs and improving their communication skills can make this part of everyday care.</w:t>
      </w:r>
    </w:p>
    <w:p w14:paraId="1B987018" w14:textId="266C64A2" w:rsidR="6F47A3E0" w:rsidRDefault="6F47A3E0" w:rsidP="6206DEF2">
      <w:pPr>
        <w:spacing w:before="240" w:after="240"/>
        <w:rPr>
          <w:rFonts w:ascii="Arial" w:eastAsia="Arial" w:hAnsi="Arial" w:cs="Arial"/>
          <w:color w:val="000000" w:themeColor="text1"/>
          <w:sz w:val="22"/>
          <w:szCs w:val="22"/>
        </w:rPr>
      </w:pPr>
      <w:r w:rsidRPr="6206DEF2">
        <w:rPr>
          <w:rFonts w:ascii="Arial" w:eastAsia="Arial" w:hAnsi="Arial" w:cs="Arial"/>
          <w:color w:val="000000" w:themeColor="text1"/>
          <w:sz w:val="22"/>
          <w:szCs w:val="22"/>
        </w:rPr>
        <w:t>Also, involving volunteers, family members, and local community groups can provide more chances for social interaction without adding extra pressure on staff.</w:t>
      </w:r>
    </w:p>
    <w:p w14:paraId="2F411DED" w14:textId="18706796" w:rsidR="6206DEF2" w:rsidRDefault="6206DEF2" w:rsidP="6206DEF2">
      <w:pPr>
        <w:spacing w:before="240" w:after="240"/>
        <w:rPr>
          <w:rFonts w:ascii="Arial" w:eastAsia="Arial" w:hAnsi="Arial" w:cs="Arial"/>
          <w:color w:val="000000" w:themeColor="text1"/>
          <w:sz w:val="22"/>
          <w:szCs w:val="22"/>
        </w:rPr>
      </w:pPr>
    </w:p>
    <w:p w14:paraId="5C0A22DB" w14:textId="001FF123" w:rsidR="7FA34E21" w:rsidRDefault="1947D9E4"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3.7</w:t>
      </w:r>
      <w:r w:rsidR="42707598" w:rsidRPr="6206DEF2">
        <w:rPr>
          <w:rFonts w:ascii="Arial" w:eastAsia="Arial" w:hAnsi="Arial" w:cs="Arial"/>
          <w:b/>
          <w:bCs/>
          <w:color w:val="000000" w:themeColor="text1"/>
          <w:sz w:val="22"/>
          <w:szCs w:val="22"/>
        </w:rPr>
        <w:t xml:space="preserve"> </w:t>
      </w:r>
      <w:r w:rsidR="7FA34E21" w:rsidRPr="6206DEF2">
        <w:rPr>
          <w:rFonts w:ascii="Arial" w:eastAsia="Arial" w:hAnsi="Arial" w:cs="Arial"/>
          <w:b/>
          <w:bCs/>
          <w:color w:val="000000" w:themeColor="text1"/>
          <w:sz w:val="22"/>
          <w:szCs w:val="22"/>
        </w:rPr>
        <w:t>Conclusion</w:t>
      </w:r>
      <w:r w:rsidR="7FA34E21" w:rsidRPr="6206DEF2">
        <w:rPr>
          <w:rFonts w:ascii="Arial" w:eastAsia="Arial" w:hAnsi="Arial" w:cs="Arial"/>
          <w:color w:val="000000" w:themeColor="text1"/>
          <w:sz w:val="22"/>
          <w:szCs w:val="22"/>
        </w:rPr>
        <w:t xml:space="preserve"> </w:t>
      </w:r>
    </w:p>
    <w:p w14:paraId="25A68E8C" w14:textId="2FC81591" w:rsidR="6710B3B0" w:rsidRDefault="6710B3B0" w:rsidP="44F2F52A">
      <w:pPr>
        <w:spacing w:before="195" w:after="195"/>
        <w:rPr>
          <w:rFonts w:ascii="Arial" w:eastAsia="Arial" w:hAnsi="Arial" w:cs="Arial"/>
          <w:color w:val="000000" w:themeColor="text1"/>
          <w:sz w:val="22"/>
          <w:szCs w:val="22"/>
        </w:rPr>
      </w:pPr>
      <w:r w:rsidRPr="6206DEF2">
        <w:rPr>
          <w:rFonts w:ascii="Arial" w:eastAsia="Arial" w:hAnsi="Arial" w:cs="Arial"/>
          <w:color w:val="000000" w:themeColor="text1"/>
          <w:sz w:val="22"/>
          <w:szCs w:val="22"/>
        </w:rPr>
        <w:t>Applying Maslow’s idea of belonging and love in residential care is key to supporting older adults’ mental wellbeing. When care staff encourage strong relationships and social interaction, it can greatly enhance residents’ emotional health and overall quality of life. While there may be challenges such as limited time and resources, using person-centred care and teamwork can help address these difficulties and provide caring, well-rounded support.</w:t>
      </w:r>
      <w:r w:rsidR="7FA34E21" w:rsidRPr="6206DEF2">
        <w:rPr>
          <w:rFonts w:ascii="Arial" w:eastAsia="Arial" w:hAnsi="Arial" w:cs="Arial"/>
          <w:color w:val="000000" w:themeColor="text1"/>
          <w:sz w:val="22"/>
          <w:szCs w:val="22"/>
        </w:rPr>
        <w:t xml:space="preserve"> </w:t>
      </w:r>
    </w:p>
    <w:p w14:paraId="2398E5C1" w14:textId="67976A48" w:rsidR="4F96E757" w:rsidRDefault="4F96E757" w:rsidP="4F96E757">
      <w:pPr>
        <w:spacing w:before="195" w:after="195"/>
        <w:rPr>
          <w:rFonts w:ascii="Arial" w:eastAsia="Arial" w:hAnsi="Arial" w:cs="Arial"/>
          <w:color w:val="000000" w:themeColor="text1"/>
          <w:sz w:val="22"/>
          <w:szCs w:val="22"/>
        </w:rPr>
      </w:pPr>
    </w:p>
    <w:p w14:paraId="617D62BB" w14:textId="26A243C5" w:rsidR="7FA34E21" w:rsidRDefault="7FA34E21" w:rsidP="7CD9B1DB">
      <w:pPr>
        <w:spacing w:before="195" w:after="195"/>
        <w:rPr>
          <w:rFonts w:ascii="Arial" w:eastAsia="Arial" w:hAnsi="Arial" w:cs="Arial"/>
          <w:color w:val="000000" w:themeColor="text1"/>
          <w:sz w:val="22"/>
          <w:szCs w:val="22"/>
        </w:rPr>
      </w:pPr>
      <w:r w:rsidRPr="6206DEF2">
        <w:rPr>
          <w:rFonts w:ascii="Arial" w:eastAsia="Arial" w:hAnsi="Arial" w:cs="Arial"/>
          <w:b/>
          <w:bCs/>
          <w:color w:val="000000" w:themeColor="text1"/>
          <w:sz w:val="22"/>
          <w:szCs w:val="22"/>
        </w:rPr>
        <w:t>Reference List</w:t>
      </w:r>
    </w:p>
    <w:p w14:paraId="3CE56A46" w14:textId="486EB38F" w:rsidR="7CD9B1DB" w:rsidRDefault="0C335E82" w:rsidP="6206DEF2">
      <w:pPr>
        <w:spacing w:before="240" w:after="240"/>
        <w:rPr>
          <w:rFonts w:ascii="Arial" w:eastAsia="Arial" w:hAnsi="Arial" w:cs="Arial"/>
          <w:i/>
          <w:iCs/>
          <w:color w:val="000000" w:themeColor="text1"/>
          <w:sz w:val="22"/>
          <w:szCs w:val="22"/>
        </w:rPr>
      </w:pPr>
      <w:r w:rsidRPr="6206DEF2">
        <w:rPr>
          <w:rFonts w:ascii="Arial" w:eastAsia="Arial" w:hAnsi="Arial" w:cs="Arial"/>
          <w:color w:val="000000" w:themeColor="text1"/>
          <w:sz w:val="22"/>
          <w:szCs w:val="22"/>
        </w:rPr>
        <w:t xml:space="preserve">Alzheimer’s Society (2022) </w:t>
      </w:r>
      <w:r w:rsidRPr="6206DEF2">
        <w:rPr>
          <w:rFonts w:ascii="Arial" w:eastAsia="Arial" w:hAnsi="Arial" w:cs="Arial"/>
          <w:i/>
          <w:iCs/>
          <w:color w:val="000000" w:themeColor="text1"/>
          <w:sz w:val="22"/>
          <w:szCs w:val="22"/>
        </w:rPr>
        <w:t>Dementia care and support guidance.</w:t>
      </w:r>
    </w:p>
    <w:p w14:paraId="72B5FD7A" w14:textId="1F059277" w:rsidR="7CD9B1DB" w:rsidRDefault="0C335E82" w:rsidP="2D417343">
      <w:pPr>
        <w:spacing w:before="240" w:after="240"/>
        <w:rPr>
          <w:rFonts w:ascii="Arial" w:eastAsia="Arial" w:hAnsi="Arial" w:cs="Arial"/>
          <w:color w:val="000000" w:themeColor="text1"/>
          <w:sz w:val="22"/>
          <w:szCs w:val="22"/>
        </w:rPr>
      </w:pPr>
      <w:r w:rsidRPr="6206DEF2">
        <w:rPr>
          <w:rFonts w:ascii="Arial" w:eastAsia="Arial" w:hAnsi="Arial" w:cs="Arial"/>
          <w:color w:val="000000" w:themeColor="text1"/>
          <w:sz w:val="22"/>
          <w:szCs w:val="22"/>
        </w:rPr>
        <w:t xml:space="preserve">Maslow, A.H. (1943) ‘A theory of human motivation’, </w:t>
      </w:r>
      <w:r w:rsidRPr="6206DEF2">
        <w:rPr>
          <w:rFonts w:ascii="Arial" w:eastAsia="Arial" w:hAnsi="Arial" w:cs="Arial"/>
          <w:i/>
          <w:iCs/>
          <w:color w:val="000000" w:themeColor="text1"/>
          <w:sz w:val="22"/>
          <w:szCs w:val="22"/>
        </w:rPr>
        <w:t>Psychological Review</w:t>
      </w:r>
      <w:r w:rsidRPr="6206DEF2">
        <w:rPr>
          <w:rFonts w:ascii="Arial" w:eastAsia="Arial" w:hAnsi="Arial" w:cs="Arial"/>
          <w:color w:val="000000" w:themeColor="text1"/>
          <w:sz w:val="22"/>
          <w:szCs w:val="22"/>
        </w:rPr>
        <w:t>, 50(4), pp. 370–396.</w:t>
      </w:r>
    </w:p>
    <w:p w14:paraId="492B5685" w14:textId="32ED14AB" w:rsidR="7CD9B1DB" w:rsidRDefault="0C335E82" w:rsidP="6206DEF2">
      <w:pPr>
        <w:spacing w:before="240" w:after="240"/>
        <w:rPr>
          <w:rFonts w:ascii="Arial" w:eastAsia="Arial" w:hAnsi="Arial" w:cs="Arial"/>
          <w:i/>
          <w:iCs/>
          <w:color w:val="000000" w:themeColor="text1"/>
          <w:sz w:val="22"/>
          <w:szCs w:val="22"/>
        </w:rPr>
      </w:pPr>
      <w:r w:rsidRPr="6206DEF2">
        <w:rPr>
          <w:rFonts w:ascii="Arial" w:eastAsia="Arial" w:hAnsi="Arial" w:cs="Arial"/>
          <w:color w:val="000000" w:themeColor="text1"/>
          <w:sz w:val="22"/>
          <w:szCs w:val="22"/>
        </w:rPr>
        <w:t xml:space="preserve">National Institute for Health and Care Excellence (2018) </w:t>
      </w:r>
      <w:r w:rsidRPr="6206DEF2">
        <w:rPr>
          <w:rFonts w:ascii="Arial" w:eastAsia="Arial" w:hAnsi="Arial" w:cs="Arial"/>
          <w:i/>
          <w:iCs/>
          <w:color w:val="000000" w:themeColor="text1"/>
          <w:sz w:val="22"/>
          <w:szCs w:val="22"/>
        </w:rPr>
        <w:t>People’s experience in adult social care services.</w:t>
      </w:r>
    </w:p>
    <w:p w14:paraId="193CE19F" w14:textId="186CDB53" w:rsidR="7CD9B1DB" w:rsidRDefault="0C335E82" w:rsidP="6206DEF2">
      <w:pPr>
        <w:spacing w:before="240" w:after="240"/>
        <w:rPr>
          <w:rFonts w:ascii="Arial" w:eastAsia="Arial" w:hAnsi="Arial" w:cs="Arial"/>
          <w:i/>
          <w:iCs/>
          <w:color w:val="000000" w:themeColor="text1"/>
          <w:sz w:val="22"/>
          <w:szCs w:val="22"/>
        </w:rPr>
      </w:pPr>
      <w:r w:rsidRPr="6206DEF2">
        <w:rPr>
          <w:rFonts w:ascii="Arial" w:eastAsia="Arial" w:hAnsi="Arial" w:cs="Arial"/>
          <w:color w:val="000000" w:themeColor="text1"/>
          <w:sz w:val="22"/>
          <w:szCs w:val="22"/>
        </w:rPr>
        <w:t xml:space="preserve">World Health Organization (2021) </w:t>
      </w:r>
      <w:r w:rsidRPr="6206DEF2">
        <w:rPr>
          <w:rFonts w:ascii="Arial" w:eastAsia="Arial" w:hAnsi="Arial" w:cs="Arial"/>
          <w:i/>
          <w:iCs/>
          <w:color w:val="000000" w:themeColor="text1"/>
          <w:sz w:val="22"/>
          <w:szCs w:val="22"/>
        </w:rPr>
        <w:t>Social isolation and loneliness among older people.</w:t>
      </w:r>
    </w:p>
    <w:sectPr w:rsidR="7CD9B1DB">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5C767" w14:textId="77777777" w:rsidR="008C6427" w:rsidRDefault="008C6427">
      <w:pPr>
        <w:spacing w:after="0" w:line="240" w:lineRule="auto"/>
      </w:pPr>
      <w:r>
        <w:separator/>
      </w:r>
    </w:p>
  </w:endnote>
  <w:endnote w:type="continuationSeparator" w:id="0">
    <w:p w14:paraId="15BEAE87" w14:textId="77777777" w:rsidR="008C6427" w:rsidRDefault="008C6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20B00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CD9B1DB" w14:paraId="275A4600" w14:textId="77777777" w:rsidTr="7CD9B1DB">
      <w:trPr>
        <w:trHeight w:val="300"/>
      </w:trPr>
      <w:tc>
        <w:tcPr>
          <w:tcW w:w="3005" w:type="dxa"/>
        </w:tcPr>
        <w:p w14:paraId="23DE3551" w14:textId="7CE62306" w:rsidR="7CD9B1DB" w:rsidRDefault="7CD9B1DB" w:rsidP="7CD9B1DB">
          <w:pPr>
            <w:pStyle w:val="Header"/>
            <w:ind w:left="-115"/>
          </w:pPr>
        </w:p>
      </w:tc>
      <w:tc>
        <w:tcPr>
          <w:tcW w:w="3005" w:type="dxa"/>
        </w:tcPr>
        <w:p w14:paraId="2A420EA6" w14:textId="359FBB73" w:rsidR="7CD9B1DB" w:rsidRDefault="7CD9B1DB" w:rsidP="7CD9B1DB">
          <w:pPr>
            <w:pStyle w:val="Header"/>
            <w:jc w:val="center"/>
          </w:pPr>
        </w:p>
      </w:tc>
      <w:tc>
        <w:tcPr>
          <w:tcW w:w="3005" w:type="dxa"/>
        </w:tcPr>
        <w:p w14:paraId="4F9E8041" w14:textId="19D8AA51" w:rsidR="7CD9B1DB" w:rsidRDefault="7CD9B1DB" w:rsidP="7CD9B1DB">
          <w:pPr>
            <w:pStyle w:val="Header"/>
            <w:ind w:right="-115"/>
            <w:jc w:val="right"/>
          </w:pPr>
        </w:p>
      </w:tc>
    </w:tr>
  </w:tbl>
  <w:p w14:paraId="38A6CBAD" w14:textId="199C898E" w:rsidR="7CD9B1DB" w:rsidRDefault="7CD9B1DB" w:rsidP="7CD9B1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3DD55" w14:textId="77777777" w:rsidR="008C6427" w:rsidRDefault="008C6427">
      <w:pPr>
        <w:spacing w:after="0" w:line="240" w:lineRule="auto"/>
      </w:pPr>
      <w:r>
        <w:separator/>
      </w:r>
    </w:p>
  </w:footnote>
  <w:footnote w:type="continuationSeparator" w:id="0">
    <w:p w14:paraId="2563BCA8" w14:textId="77777777" w:rsidR="008C6427" w:rsidRDefault="008C6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CD9B1DB" w14:paraId="14E875E0" w14:textId="77777777" w:rsidTr="7CD9B1DB">
      <w:trPr>
        <w:trHeight w:val="300"/>
      </w:trPr>
      <w:tc>
        <w:tcPr>
          <w:tcW w:w="3005" w:type="dxa"/>
        </w:tcPr>
        <w:p w14:paraId="35D0A56C" w14:textId="2F546543" w:rsidR="7CD9B1DB" w:rsidRDefault="7CD9B1DB" w:rsidP="7CD9B1DB">
          <w:pPr>
            <w:pStyle w:val="Header"/>
            <w:ind w:left="-115"/>
          </w:pPr>
        </w:p>
      </w:tc>
      <w:tc>
        <w:tcPr>
          <w:tcW w:w="3005" w:type="dxa"/>
        </w:tcPr>
        <w:p w14:paraId="480A2111" w14:textId="52AF6004" w:rsidR="7CD9B1DB" w:rsidRDefault="7CD9B1DB" w:rsidP="7CD9B1DB">
          <w:pPr>
            <w:pStyle w:val="Header"/>
            <w:jc w:val="center"/>
          </w:pPr>
        </w:p>
      </w:tc>
      <w:tc>
        <w:tcPr>
          <w:tcW w:w="3005" w:type="dxa"/>
        </w:tcPr>
        <w:p w14:paraId="00733725" w14:textId="6D286F60" w:rsidR="7CD9B1DB" w:rsidRDefault="7CD9B1DB" w:rsidP="7CD9B1DB">
          <w:pPr>
            <w:pStyle w:val="Header"/>
            <w:ind w:right="-115"/>
            <w:jc w:val="right"/>
          </w:pPr>
        </w:p>
      </w:tc>
    </w:tr>
  </w:tbl>
  <w:p w14:paraId="77E80E64" w14:textId="6769B7DE" w:rsidR="7CD9B1DB" w:rsidRDefault="7CD9B1DB" w:rsidP="7CD9B1DB">
    <w:pPr>
      <w:pStyle w:val="Header"/>
    </w:pPr>
  </w:p>
</w:hdr>
</file>

<file path=word/intelligence2.xml><?xml version="1.0" encoding="utf-8"?>
<int2:intelligence xmlns:int2="http://schemas.microsoft.com/office/intelligence/2020/intelligence" xmlns:oel="http://schemas.microsoft.com/office/2019/extlst">
  <int2:observations>
    <int2:textHash int2:hashCode="VIxG8MluLmtRNH" int2:id="c53xwGgw">
      <int2:state int2:value="Rejected" int2:type="spell"/>
    </int2:textHash>
    <int2:textHash int2:hashCode="SfDXZ8TvP+4UCr" int2:id="3inXwctQ">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F652D"/>
    <w:multiLevelType w:val="hybridMultilevel"/>
    <w:tmpl w:val="FFFFFFFF"/>
    <w:lvl w:ilvl="0" w:tplc="5B4AC298">
      <w:start w:val="1"/>
      <w:numFmt w:val="bullet"/>
      <w:lvlText w:val=""/>
      <w:lvlJc w:val="left"/>
      <w:pPr>
        <w:ind w:left="720" w:hanging="360"/>
      </w:pPr>
      <w:rPr>
        <w:rFonts w:ascii="Symbol" w:hAnsi="Symbol" w:hint="default"/>
      </w:rPr>
    </w:lvl>
    <w:lvl w:ilvl="1" w:tplc="F38E48AE">
      <w:start w:val="1"/>
      <w:numFmt w:val="bullet"/>
      <w:lvlText w:val="o"/>
      <w:lvlJc w:val="left"/>
      <w:pPr>
        <w:ind w:left="1440" w:hanging="360"/>
      </w:pPr>
      <w:rPr>
        <w:rFonts w:ascii="Courier New" w:hAnsi="Courier New" w:hint="default"/>
      </w:rPr>
    </w:lvl>
    <w:lvl w:ilvl="2" w:tplc="C6EE1160">
      <w:start w:val="1"/>
      <w:numFmt w:val="bullet"/>
      <w:lvlText w:val=""/>
      <w:lvlJc w:val="left"/>
      <w:pPr>
        <w:ind w:left="2160" w:hanging="360"/>
      </w:pPr>
      <w:rPr>
        <w:rFonts w:ascii="Wingdings" w:hAnsi="Wingdings" w:hint="default"/>
      </w:rPr>
    </w:lvl>
    <w:lvl w:ilvl="3" w:tplc="0D1A1B94">
      <w:start w:val="1"/>
      <w:numFmt w:val="bullet"/>
      <w:lvlText w:val=""/>
      <w:lvlJc w:val="left"/>
      <w:pPr>
        <w:ind w:left="2880" w:hanging="360"/>
      </w:pPr>
      <w:rPr>
        <w:rFonts w:ascii="Symbol" w:hAnsi="Symbol" w:hint="default"/>
      </w:rPr>
    </w:lvl>
    <w:lvl w:ilvl="4" w:tplc="4A284D72">
      <w:start w:val="1"/>
      <w:numFmt w:val="bullet"/>
      <w:lvlText w:val="o"/>
      <w:lvlJc w:val="left"/>
      <w:pPr>
        <w:ind w:left="3600" w:hanging="360"/>
      </w:pPr>
      <w:rPr>
        <w:rFonts w:ascii="Courier New" w:hAnsi="Courier New" w:hint="default"/>
      </w:rPr>
    </w:lvl>
    <w:lvl w:ilvl="5" w:tplc="7946F2C6">
      <w:start w:val="1"/>
      <w:numFmt w:val="bullet"/>
      <w:lvlText w:val=""/>
      <w:lvlJc w:val="left"/>
      <w:pPr>
        <w:ind w:left="4320" w:hanging="360"/>
      </w:pPr>
      <w:rPr>
        <w:rFonts w:ascii="Wingdings" w:hAnsi="Wingdings" w:hint="default"/>
      </w:rPr>
    </w:lvl>
    <w:lvl w:ilvl="6" w:tplc="42A891BE">
      <w:start w:val="1"/>
      <w:numFmt w:val="bullet"/>
      <w:lvlText w:val=""/>
      <w:lvlJc w:val="left"/>
      <w:pPr>
        <w:ind w:left="5040" w:hanging="360"/>
      </w:pPr>
      <w:rPr>
        <w:rFonts w:ascii="Symbol" w:hAnsi="Symbol" w:hint="default"/>
      </w:rPr>
    </w:lvl>
    <w:lvl w:ilvl="7" w:tplc="A274A646">
      <w:start w:val="1"/>
      <w:numFmt w:val="bullet"/>
      <w:lvlText w:val="o"/>
      <w:lvlJc w:val="left"/>
      <w:pPr>
        <w:ind w:left="5760" w:hanging="360"/>
      </w:pPr>
      <w:rPr>
        <w:rFonts w:ascii="Courier New" w:hAnsi="Courier New" w:hint="default"/>
      </w:rPr>
    </w:lvl>
    <w:lvl w:ilvl="8" w:tplc="5A54B71C">
      <w:start w:val="1"/>
      <w:numFmt w:val="bullet"/>
      <w:lvlText w:val=""/>
      <w:lvlJc w:val="left"/>
      <w:pPr>
        <w:ind w:left="6480" w:hanging="360"/>
      </w:pPr>
      <w:rPr>
        <w:rFonts w:ascii="Wingdings" w:hAnsi="Wingdings" w:hint="default"/>
      </w:rPr>
    </w:lvl>
  </w:abstractNum>
  <w:abstractNum w:abstractNumId="1" w15:restartNumberingAfterBreak="0">
    <w:nsid w:val="20A129D7"/>
    <w:multiLevelType w:val="hybridMultilevel"/>
    <w:tmpl w:val="FFFFFFFF"/>
    <w:lvl w:ilvl="0" w:tplc="A198AD2A">
      <w:start w:val="1"/>
      <w:numFmt w:val="bullet"/>
      <w:lvlText w:val=""/>
      <w:lvlJc w:val="left"/>
      <w:pPr>
        <w:ind w:left="720" w:hanging="360"/>
      </w:pPr>
      <w:rPr>
        <w:rFonts w:ascii="Symbol" w:hAnsi="Symbol" w:hint="default"/>
      </w:rPr>
    </w:lvl>
    <w:lvl w:ilvl="1" w:tplc="AF0C032E">
      <w:start w:val="1"/>
      <w:numFmt w:val="bullet"/>
      <w:lvlText w:val="o"/>
      <w:lvlJc w:val="left"/>
      <w:pPr>
        <w:ind w:left="1440" w:hanging="360"/>
      </w:pPr>
      <w:rPr>
        <w:rFonts w:ascii="Courier New" w:hAnsi="Courier New" w:hint="default"/>
      </w:rPr>
    </w:lvl>
    <w:lvl w:ilvl="2" w:tplc="56AA4682">
      <w:start w:val="1"/>
      <w:numFmt w:val="bullet"/>
      <w:lvlText w:val=""/>
      <w:lvlJc w:val="left"/>
      <w:pPr>
        <w:ind w:left="2160" w:hanging="360"/>
      </w:pPr>
      <w:rPr>
        <w:rFonts w:ascii="Wingdings" w:hAnsi="Wingdings" w:hint="default"/>
      </w:rPr>
    </w:lvl>
    <w:lvl w:ilvl="3" w:tplc="6A06F352">
      <w:start w:val="1"/>
      <w:numFmt w:val="bullet"/>
      <w:lvlText w:val=""/>
      <w:lvlJc w:val="left"/>
      <w:pPr>
        <w:ind w:left="2880" w:hanging="360"/>
      </w:pPr>
      <w:rPr>
        <w:rFonts w:ascii="Symbol" w:hAnsi="Symbol" w:hint="default"/>
      </w:rPr>
    </w:lvl>
    <w:lvl w:ilvl="4" w:tplc="31FE3E1A">
      <w:start w:val="1"/>
      <w:numFmt w:val="bullet"/>
      <w:lvlText w:val="o"/>
      <w:lvlJc w:val="left"/>
      <w:pPr>
        <w:ind w:left="3600" w:hanging="360"/>
      </w:pPr>
      <w:rPr>
        <w:rFonts w:ascii="Courier New" w:hAnsi="Courier New" w:hint="default"/>
      </w:rPr>
    </w:lvl>
    <w:lvl w:ilvl="5" w:tplc="FB42C5D6">
      <w:start w:val="1"/>
      <w:numFmt w:val="bullet"/>
      <w:lvlText w:val=""/>
      <w:lvlJc w:val="left"/>
      <w:pPr>
        <w:ind w:left="4320" w:hanging="360"/>
      </w:pPr>
      <w:rPr>
        <w:rFonts w:ascii="Wingdings" w:hAnsi="Wingdings" w:hint="default"/>
      </w:rPr>
    </w:lvl>
    <w:lvl w:ilvl="6" w:tplc="3EA6F4E8">
      <w:start w:val="1"/>
      <w:numFmt w:val="bullet"/>
      <w:lvlText w:val=""/>
      <w:lvlJc w:val="left"/>
      <w:pPr>
        <w:ind w:left="5040" w:hanging="360"/>
      </w:pPr>
      <w:rPr>
        <w:rFonts w:ascii="Symbol" w:hAnsi="Symbol" w:hint="default"/>
      </w:rPr>
    </w:lvl>
    <w:lvl w:ilvl="7" w:tplc="3236A4C8">
      <w:start w:val="1"/>
      <w:numFmt w:val="bullet"/>
      <w:lvlText w:val="o"/>
      <w:lvlJc w:val="left"/>
      <w:pPr>
        <w:ind w:left="5760" w:hanging="360"/>
      </w:pPr>
      <w:rPr>
        <w:rFonts w:ascii="Courier New" w:hAnsi="Courier New" w:hint="default"/>
      </w:rPr>
    </w:lvl>
    <w:lvl w:ilvl="8" w:tplc="015C8F6E">
      <w:start w:val="1"/>
      <w:numFmt w:val="bullet"/>
      <w:lvlText w:val=""/>
      <w:lvlJc w:val="left"/>
      <w:pPr>
        <w:ind w:left="6480" w:hanging="360"/>
      </w:pPr>
      <w:rPr>
        <w:rFonts w:ascii="Wingdings" w:hAnsi="Wingdings" w:hint="default"/>
      </w:rPr>
    </w:lvl>
  </w:abstractNum>
  <w:abstractNum w:abstractNumId="2" w15:restartNumberingAfterBreak="0">
    <w:nsid w:val="513B9493"/>
    <w:multiLevelType w:val="hybridMultilevel"/>
    <w:tmpl w:val="FFFFFFFF"/>
    <w:lvl w:ilvl="0" w:tplc="6A223908">
      <w:start w:val="1"/>
      <w:numFmt w:val="bullet"/>
      <w:lvlText w:val=""/>
      <w:lvlJc w:val="left"/>
      <w:pPr>
        <w:ind w:left="720" w:hanging="360"/>
      </w:pPr>
      <w:rPr>
        <w:rFonts w:ascii="Symbol" w:hAnsi="Symbol" w:hint="default"/>
      </w:rPr>
    </w:lvl>
    <w:lvl w:ilvl="1" w:tplc="3E20BEBA">
      <w:start w:val="1"/>
      <w:numFmt w:val="bullet"/>
      <w:lvlText w:val="o"/>
      <w:lvlJc w:val="left"/>
      <w:pPr>
        <w:ind w:left="1440" w:hanging="360"/>
      </w:pPr>
      <w:rPr>
        <w:rFonts w:ascii="Courier New" w:hAnsi="Courier New" w:hint="default"/>
      </w:rPr>
    </w:lvl>
    <w:lvl w:ilvl="2" w:tplc="89AAB87A">
      <w:start w:val="1"/>
      <w:numFmt w:val="bullet"/>
      <w:lvlText w:val=""/>
      <w:lvlJc w:val="left"/>
      <w:pPr>
        <w:ind w:left="2160" w:hanging="360"/>
      </w:pPr>
      <w:rPr>
        <w:rFonts w:ascii="Wingdings" w:hAnsi="Wingdings" w:hint="default"/>
      </w:rPr>
    </w:lvl>
    <w:lvl w:ilvl="3" w:tplc="B0D6B1C6">
      <w:start w:val="1"/>
      <w:numFmt w:val="bullet"/>
      <w:lvlText w:val=""/>
      <w:lvlJc w:val="left"/>
      <w:pPr>
        <w:ind w:left="2880" w:hanging="360"/>
      </w:pPr>
      <w:rPr>
        <w:rFonts w:ascii="Symbol" w:hAnsi="Symbol" w:hint="default"/>
      </w:rPr>
    </w:lvl>
    <w:lvl w:ilvl="4" w:tplc="7FAA4154">
      <w:start w:val="1"/>
      <w:numFmt w:val="bullet"/>
      <w:lvlText w:val="o"/>
      <w:lvlJc w:val="left"/>
      <w:pPr>
        <w:ind w:left="3600" w:hanging="360"/>
      </w:pPr>
      <w:rPr>
        <w:rFonts w:ascii="Courier New" w:hAnsi="Courier New" w:hint="default"/>
      </w:rPr>
    </w:lvl>
    <w:lvl w:ilvl="5" w:tplc="B6B84B06">
      <w:start w:val="1"/>
      <w:numFmt w:val="bullet"/>
      <w:lvlText w:val=""/>
      <w:lvlJc w:val="left"/>
      <w:pPr>
        <w:ind w:left="4320" w:hanging="360"/>
      </w:pPr>
      <w:rPr>
        <w:rFonts w:ascii="Wingdings" w:hAnsi="Wingdings" w:hint="default"/>
      </w:rPr>
    </w:lvl>
    <w:lvl w:ilvl="6" w:tplc="B2A2922E">
      <w:start w:val="1"/>
      <w:numFmt w:val="bullet"/>
      <w:lvlText w:val=""/>
      <w:lvlJc w:val="left"/>
      <w:pPr>
        <w:ind w:left="5040" w:hanging="360"/>
      </w:pPr>
      <w:rPr>
        <w:rFonts w:ascii="Symbol" w:hAnsi="Symbol" w:hint="default"/>
      </w:rPr>
    </w:lvl>
    <w:lvl w:ilvl="7" w:tplc="82903B82">
      <w:start w:val="1"/>
      <w:numFmt w:val="bullet"/>
      <w:lvlText w:val="o"/>
      <w:lvlJc w:val="left"/>
      <w:pPr>
        <w:ind w:left="5760" w:hanging="360"/>
      </w:pPr>
      <w:rPr>
        <w:rFonts w:ascii="Courier New" w:hAnsi="Courier New" w:hint="default"/>
      </w:rPr>
    </w:lvl>
    <w:lvl w:ilvl="8" w:tplc="4AE00484">
      <w:start w:val="1"/>
      <w:numFmt w:val="bullet"/>
      <w:lvlText w:val=""/>
      <w:lvlJc w:val="left"/>
      <w:pPr>
        <w:ind w:left="6480" w:hanging="360"/>
      </w:pPr>
      <w:rPr>
        <w:rFonts w:ascii="Wingdings" w:hAnsi="Wingdings" w:hint="default"/>
      </w:rPr>
    </w:lvl>
  </w:abstractNum>
  <w:abstractNum w:abstractNumId="3" w15:restartNumberingAfterBreak="0">
    <w:nsid w:val="704893B4"/>
    <w:multiLevelType w:val="hybridMultilevel"/>
    <w:tmpl w:val="FFFFFFFF"/>
    <w:lvl w:ilvl="0" w:tplc="0DF4C824">
      <w:start w:val="1"/>
      <w:numFmt w:val="decimal"/>
      <w:lvlText w:val="%1."/>
      <w:lvlJc w:val="left"/>
      <w:pPr>
        <w:ind w:left="720" w:hanging="360"/>
      </w:pPr>
    </w:lvl>
    <w:lvl w:ilvl="1" w:tplc="A8C052D0">
      <w:start w:val="1"/>
      <w:numFmt w:val="lowerLetter"/>
      <w:lvlText w:val="%2."/>
      <w:lvlJc w:val="left"/>
      <w:pPr>
        <w:ind w:left="1440" w:hanging="360"/>
      </w:pPr>
    </w:lvl>
    <w:lvl w:ilvl="2" w:tplc="8F1EF402">
      <w:start w:val="1"/>
      <w:numFmt w:val="lowerRoman"/>
      <w:lvlText w:val="%3."/>
      <w:lvlJc w:val="right"/>
      <w:pPr>
        <w:ind w:left="2160" w:hanging="180"/>
      </w:pPr>
    </w:lvl>
    <w:lvl w:ilvl="3" w:tplc="B554E994">
      <w:start w:val="1"/>
      <w:numFmt w:val="decimal"/>
      <w:lvlText w:val="%4."/>
      <w:lvlJc w:val="left"/>
      <w:pPr>
        <w:ind w:left="2880" w:hanging="360"/>
      </w:pPr>
    </w:lvl>
    <w:lvl w:ilvl="4" w:tplc="56BE2088">
      <w:start w:val="1"/>
      <w:numFmt w:val="lowerLetter"/>
      <w:lvlText w:val="%5."/>
      <w:lvlJc w:val="left"/>
      <w:pPr>
        <w:ind w:left="3600" w:hanging="360"/>
      </w:pPr>
    </w:lvl>
    <w:lvl w:ilvl="5" w:tplc="7988DF3C">
      <w:start w:val="1"/>
      <w:numFmt w:val="lowerRoman"/>
      <w:lvlText w:val="%6."/>
      <w:lvlJc w:val="right"/>
      <w:pPr>
        <w:ind w:left="4320" w:hanging="180"/>
      </w:pPr>
    </w:lvl>
    <w:lvl w:ilvl="6" w:tplc="82E0550A">
      <w:start w:val="1"/>
      <w:numFmt w:val="decimal"/>
      <w:lvlText w:val="%7."/>
      <w:lvlJc w:val="left"/>
      <w:pPr>
        <w:ind w:left="5040" w:hanging="360"/>
      </w:pPr>
    </w:lvl>
    <w:lvl w:ilvl="7" w:tplc="D4600E8A">
      <w:start w:val="1"/>
      <w:numFmt w:val="lowerLetter"/>
      <w:lvlText w:val="%8."/>
      <w:lvlJc w:val="left"/>
      <w:pPr>
        <w:ind w:left="5760" w:hanging="360"/>
      </w:pPr>
    </w:lvl>
    <w:lvl w:ilvl="8" w:tplc="00621812">
      <w:start w:val="1"/>
      <w:numFmt w:val="lowerRoman"/>
      <w:lvlText w:val="%9."/>
      <w:lvlJc w:val="right"/>
      <w:pPr>
        <w:ind w:left="6480" w:hanging="180"/>
      </w:pPr>
    </w:lvl>
  </w:abstractNum>
  <w:abstractNum w:abstractNumId="4" w15:restartNumberingAfterBreak="0">
    <w:nsid w:val="7DC29B39"/>
    <w:multiLevelType w:val="hybridMultilevel"/>
    <w:tmpl w:val="FFFFFFFF"/>
    <w:lvl w:ilvl="0" w:tplc="669259B0">
      <w:start w:val="1"/>
      <w:numFmt w:val="bullet"/>
      <w:lvlText w:val=""/>
      <w:lvlJc w:val="left"/>
      <w:pPr>
        <w:ind w:left="720" w:hanging="360"/>
      </w:pPr>
      <w:rPr>
        <w:rFonts w:ascii="Symbol" w:hAnsi="Symbol" w:hint="default"/>
      </w:rPr>
    </w:lvl>
    <w:lvl w:ilvl="1" w:tplc="495E19DA">
      <w:start w:val="1"/>
      <w:numFmt w:val="bullet"/>
      <w:lvlText w:val="o"/>
      <w:lvlJc w:val="left"/>
      <w:pPr>
        <w:ind w:left="1440" w:hanging="360"/>
      </w:pPr>
      <w:rPr>
        <w:rFonts w:ascii="Courier New" w:hAnsi="Courier New" w:hint="default"/>
      </w:rPr>
    </w:lvl>
    <w:lvl w:ilvl="2" w:tplc="17D6C420">
      <w:start w:val="1"/>
      <w:numFmt w:val="bullet"/>
      <w:lvlText w:val=""/>
      <w:lvlJc w:val="left"/>
      <w:pPr>
        <w:ind w:left="2160" w:hanging="360"/>
      </w:pPr>
      <w:rPr>
        <w:rFonts w:ascii="Wingdings" w:hAnsi="Wingdings" w:hint="default"/>
      </w:rPr>
    </w:lvl>
    <w:lvl w:ilvl="3" w:tplc="859AED94">
      <w:start w:val="1"/>
      <w:numFmt w:val="bullet"/>
      <w:lvlText w:val=""/>
      <w:lvlJc w:val="left"/>
      <w:pPr>
        <w:ind w:left="2880" w:hanging="360"/>
      </w:pPr>
      <w:rPr>
        <w:rFonts w:ascii="Symbol" w:hAnsi="Symbol" w:hint="default"/>
      </w:rPr>
    </w:lvl>
    <w:lvl w:ilvl="4" w:tplc="075830FE">
      <w:start w:val="1"/>
      <w:numFmt w:val="bullet"/>
      <w:lvlText w:val="o"/>
      <w:lvlJc w:val="left"/>
      <w:pPr>
        <w:ind w:left="3600" w:hanging="360"/>
      </w:pPr>
      <w:rPr>
        <w:rFonts w:ascii="Courier New" w:hAnsi="Courier New" w:hint="default"/>
      </w:rPr>
    </w:lvl>
    <w:lvl w:ilvl="5" w:tplc="CC127A18">
      <w:start w:val="1"/>
      <w:numFmt w:val="bullet"/>
      <w:lvlText w:val=""/>
      <w:lvlJc w:val="left"/>
      <w:pPr>
        <w:ind w:left="4320" w:hanging="360"/>
      </w:pPr>
      <w:rPr>
        <w:rFonts w:ascii="Wingdings" w:hAnsi="Wingdings" w:hint="default"/>
      </w:rPr>
    </w:lvl>
    <w:lvl w:ilvl="6" w:tplc="6E0C1FBE">
      <w:start w:val="1"/>
      <w:numFmt w:val="bullet"/>
      <w:lvlText w:val=""/>
      <w:lvlJc w:val="left"/>
      <w:pPr>
        <w:ind w:left="5040" w:hanging="360"/>
      </w:pPr>
      <w:rPr>
        <w:rFonts w:ascii="Symbol" w:hAnsi="Symbol" w:hint="default"/>
      </w:rPr>
    </w:lvl>
    <w:lvl w:ilvl="7" w:tplc="FCE68B6E">
      <w:start w:val="1"/>
      <w:numFmt w:val="bullet"/>
      <w:lvlText w:val="o"/>
      <w:lvlJc w:val="left"/>
      <w:pPr>
        <w:ind w:left="5760" w:hanging="360"/>
      </w:pPr>
      <w:rPr>
        <w:rFonts w:ascii="Courier New" w:hAnsi="Courier New" w:hint="default"/>
      </w:rPr>
    </w:lvl>
    <w:lvl w:ilvl="8" w:tplc="91028CCA">
      <w:start w:val="1"/>
      <w:numFmt w:val="bullet"/>
      <w:lvlText w:val=""/>
      <w:lvlJc w:val="left"/>
      <w:pPr>
        <w:ind w:left="6480" w:hanging="360"/>
      </w:pPr>
      <w:rPr>
        <w:rFonts w:ascii="Wingdings" w:hAnsi="Wingdings" w:hint="default"/>
      </w:rPr>
    </w:lvl>
  </w:abstractNum>
  <w:num w:numId="1" w16cid:durableId="872886698">
    <w:abstractNumId w:val="4"/>
  </w:num>
  <w:num w:numId="2" w16cid:durableId="1092626061">
    <w:abstractNumId w:val="0"/>
  </w:num>
  <w:num w:numId="3" w16cid:durableId="1258291235">
    <w:abstractNumId w:val="2"/>
  </w:num>
  <w:num w:numId="4" w16cid:durableId="1761832520">
    <w:abstractNumId w:val="3"/>
  </w:num>
  <w:num w:numId="5" w16cid:durableId="862549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DBC524"/>
    <w:rsid w:val="000301E2"/>
    <w:rsid w:val="00115572"/>
    <w:rsid w:val="001504F6"/>
    <w:rsid w:val="002013E0"/>
    <w:rsid w:val="002C58A1"/>
    <w:rsid w:val="00314A4C"/>
    <w:rsid w:val="0038245E"/>
    <w:rsid w:val="003A0BBF"/>
    <w:rsid w:val="00417A80"/>
    <w:rsid w:val="00542DFF"/>
    <w:rsid w:val="0060370E"/>
    <w:rsid w:val="006074F5"/>
    <w:rsid w:val="00643ACA"/>
    <w:rsid w:val="007403CD"/>
    <w:rsid w:val="007B1CCE"/>
    <w:rsid w:val="007C2D00"/>
    <w:rsid w:val="007E50B8"/>
    <w:rsid w:val="008C6427"/>
    <w:rsid w:val="00A55B47"/>
    <w:rsid w:val="00B17128"/>
    <w:rsid w:val="00BB7C0D"/>
    <w:rsid w:val="00CE31DB"/>
    <w:rsid w:val="00DC2757"/>
    <w:rsid w:val="00E1075F"/>
    <w:rsid w:val="00E16610"/>
    <w:rsid w:val="00E76AD7"/>
    <w:rsid w:val="00F60C2F"/>
    <w:rsid w:val="00FA721B"/>
    <w:rsid w:val="0173993C"/>
    <w:rsid w:val="023956A9"/>
    <w:rsid w:val="02D6F2F0"/>
    <w:rsid w:val="038405CE"/>
    <w:rsid w:val="0406DA0E"/>
    <w:rsid w:val="04F909F0"/>
    <w:rsid w:val="05881D86"/>
    <w:rsid w:val="06161E81"/>
    <w:rsid w:val="08468462"/>
    <w:rsid w:val="0851493F"/>
    <w:rsid w:val="0973A29B"/>
    <w:rsid w:val="09CD5000"/>
    <w:rsid w:val="0ACE616F"/>
    <w:rsid w:val="0B4CA633"/>
    <w:rsid w:val="0B765205"/>
    <w:rsid w:val="0BD15E50"/>
    <w:rsid w:val="0C335E82"/>
    <w:rsid w:val="0C40354E"/>
    <w:rsid w:val="0C526717"/>
    <w:rsid w:val="0D3DA6D0"/>
    <w:rsid w:val="0DA619B8"/>
    <w:rsid w:val="0E3811A8"/>
    <w:rsid w:val="0E3A869F"/>
    <w:rsid w:val="0FEA778F"/>
    <w:rsid w:val="1081853B"/>
    <w:rsid w:val="117C3BDE"/>
    <w:rsid w:val="11D7665E"/>
    <w:rsid w:val="1346EE3B"/>
    <w:rsid w:val="13D4F889"/>
    <w:rsid w:val="13FB310F"/>
    <w:rsid w:val="14BBF2AE"/>
    <w:rsid w:val="1671AC8F"/>
    <w:rsid w:val="188EFA6C"/>
    <w:rsid w:val="1947D9E4"/>
    <w:rsid w:val="1AE4F6C5"/>
    <w:rsid w:val="1B57CE88"/>
    <w:rsid w:val="1B8210F9"/>
    <w:rsid w:val="1CC1D053"/>
    <w:rsid w:val="1CFE4D3C"/>
    <w:rsid w:val="1E6E002B"/>
    <w:rsid w:val="1EDBC524"/>
    <w:rsid w:val="1EEBFACA"/>
    <w:rsid w:val="1F338BA4"/>
    <w:rsid w:val="204D6FE8"/>
    <w:rsid w:val="20C817D4"/>
    <w:rsid w:val="20D29EC0"/>
    <w:rsid w:val="2101C1BA"/>
    <w:rsid w:val="214F5611"/>
    <w:rsid w:val="2179D696"/>
    <w:rsid w:val="21975F40"/>
    <w:rsid w:val="21B4F063"/>
    <w:rsid w:val="225223A0"/>
    <w:rsid w:val="22694595"/>
    <w:rsid w:val="22C9F438"/>
    <w:rsid w:val="22FDF8D5"/>
    <w:rsid w:val="23D1EF0E"/>
    <w:rsid w:val="244AF2DC"/>
    <w:rsid w:val="24BF8677"/>
    <w:rsid w:val="252CF0FB"/>
    <w:rsid w:val="253E644C"/>
    <w:rsid w:val="2576C598"/>
    <w:rsid w:val="257902C6"/>
    <w:rsid w:val="2746E97F"/>
    <w:rsid w:val="27B7C097"/>
    <w:rsid w:val="27DF4502"/>
    <w:rsid w:val="28FF879E"/>
    <w:rsid w:val="2927761F"/>
    <w:rsid w:val="2A51E86E"/>
    <w:rsid w:val="2A84EB3C"/>
    <w:rsid w:val="2AE6F201"/>
    <w:rsid w:val="2AF4BBE7"/>
    <w:rsid w:val="2AFF82CF"/>
    <w:rsid w:val="2B1ABBE9"/>
    <w:rsid w:val="2C005B9C"/>
    <w:rsid w:val="2C1AA9BF"/>
    <w:rsid w:val="2C483EB2"/>
    <w:rsid w:val="2D1710BB"/>
    <w:rsid w:val="2D417343"/>
    <w:rsid w:val="2DB840BF"/>
    <w:rsid w:val="2EFE07D3"/>
    <w:rsid w:val="2FA1A751"/>
    <w:rsid w:val="2FE43AD5"/>
    <w:rsid w:val="308F8BDD"/>
    <w:rsid w:val="30982CC8"/>
    <w:rsid w:val="315A6DFA"/>
    <w:rsid w:val="32C10613"/>
    <w:rsid w:val="32E354DB"/>
    <w:rsid w:val="3366FE3D"/>
    <w:rsid w:val="35A1F7EA"/>
    <w:rsid w:val="39AE8C1F"/>
    <w:rsid w:val="3AC0C91D"/>
    <w:rsid w:val="3AD3A1B3"/>
    <w:rsid w:val="3B1E600F"/>
    <w:rsid w:val="3B7E7476"/>
    <w:rsid w:val="3BB33EBB"/>
    <w:rsid w:val="3C3A14E7"/>
    <w:rsid w:val="3C80D485"/>
    <w:rsid w:val="3CD4D46E"/>
    <w:rsid w:val="3D3AECD3"/>
    <w:rsid w:val="3D846BBA"/>
    <w:rsid w:val="3E1C14E8"/>
    <w:rsid w:val="3E431FF5"/>
    <w:rsid w:val="3E65D583"/>
    <w:rsid w:val="3EF1438B"/>
    <w:rsid w:val="40138AFB"/>
    <w:rsid w:val="40F986FA"/>
    <w:rsid w:val="41872353"/>
    <w:rsid w:val="42592DF7"/>
    <w:rsid w:val="42707598"/>
    <w:rsid w:val="42803807"/>
    <w:rsid w:val="42840668"/>
    <w:rsid w:val="42EE5D47"/>
    <w:rsid w:val="4392C893"/>
    <w:rsid w:val="449CFE67"/>
    <w:rsid w:val="44DB9AFC"/>
    <w:rsid w:val="44F2F52A"/>
    <w:rsid w:val="45103342"/>
    <w:rsid w:val="454CB4DA"/>
    <w:rsid w:val="4558F9FA"/>
    <w:rsid w:val="46F2E639"/>
    <w:rsid w:val="46FDB1FB"/>
    <w:rsid w:val="4797E71D"/>
    <w:rsid w:val="495888BC"/>
    <w:rsid w:val="4C431AC7"/>
    <w:rsid w:val="4CA7142C"/>
    <w:rsid w:val="4DC3ED14"/>
    <w:rsid w:val="4F361B2F"/>
    <w:rsid w:val="4F96E757"/>
    <w:rsid w:val="4FF526A2"/>
    <w:rsid w:val="510D6A6C"/>
    <w:rsid w:val="511A8511"/>
    <w:rsid w:val="51681F89"/>
    <w:rsid w:val="5188FEC7"/>
    <w:rsid w:val="51DBE52C"/>
    <w:rsid w:val="51DD31FA"/>
    <w:rsid w:val="5280C386"/>
    <w:rsid w:val="530E8BF9"/>
    <w:rsid w:val="5450EF32"/>
    <w:rsid w:val="56486D0B"/>
    <w:rsid w:val="565967B5"/>
    <w:rsid w:val="5696D758"/>
    <w:rsid w:val="56A01617"/>
    <w:rsid w:val="570C1FA6"/>
    <w:rsid w:val="57231283"/>
    <w:rsid w:val="57495308"/>
    <w:rsid w:val="578C3D05"/>
    <w:rsid w:val="57966F80"/>
    <w:rsid w:val="580A595A"/>
    <w:rsid w:val="586F3552"/>
    <w:rsid w:val="59032AD9"/>
    <w:rsid w:val="596A01AE"/>
    <w:rsid w:val="5A5DDC2D"/>
    <w:rsid w:val="5A64E23D"/>
    <w:rsid w:val="5CDA0325"/>
    <w:rsid w:val="5CDDFCA3"/>
    <w:rsid w:val="5D14E264"/>
    <w:rsid w:val="5D4303E0"/>
    <w:rsid w:val="5D6D7F90"/>
    <w:rsid w:val="5D95BAF1"/>
    <w:rsid w:val="5DCAA226"/>
    <w:rsid w:val="5E0AAE14"/>
    <w:rsid w:val="5E6EB5C0"/>
    <w:rsid w:val="5EBEAF29"/>
    <w:rsid w:val="5EE9AE00"/>
    <w:rsid w:val="5F8AD23E"/>
    <w:rsid w:val="5F953963"/>
    <w:rsid w:val="5F9B831D"/>
    <w:rsid w:val="60A86083"/>
    <w:rsid w:val="60B355E8"/>
    <w:rsid w:val="6206DEF2"/>
    <w:rsid w:val="6307C88D"/>
    <w:rsid w:val="635C4A95"/>
    <w:rsid w:val="63C93F0A"/>
    <w:rsid w:val="6710B3B0"/>
    <w:rsid w:val="68B5CF23"/>
    <w:rsid w:val="693EF2F4"/>
    <w:rsid w:val="6960CFD7"/>
    <w:rsid w:val="6A3530E2"/>
    <w:rsid w:val="6A8D149D"/>
    <w:rsid w:val="6AC912FD"/>
    <w:rsid w:val="6C4D513F"/>
    <w:rsid w:val="6D3EFABD"/>
    <w:rsid w:val="6E0E7AA9"/>
    <w:rsid w:val="6EE60083"/>
    <w:rsid w:val="6EE9375D"/>
    <w:rsid w:val="6F47A3E0"/>
    <w:rsid w:val="6F6B186E"/>
    <w:rsid w:val="7138351F"/>
    <w:rsid w:val="716E68D7"/>
    <w:rsid w:val="72874E61"/>
    <w:rsid w:val="751A4734"/>
    <w:rsid w:val="754A6053"/>
    <w:rsid w:val="75CE3D40"/>
    <w:rsid w:val="76D81C70"/>
    <w:rsid w:val="76FA45F3"/>
    <w:rsid w:val="7760022B"/>
    <w:rsid w:val="78DC2C97"/>
    <w:rsid w:val="7904297D"/>
    <w:rsid w:val="7C90E844"/>
    <w:rsid w:val="7CD9B1DB"/>
    <w:rsid w:val="7DE1677E"/>
    <w:rsid w:val="7ED5BCAD"/>
    <w:rsid w:val="7F26F42C"/>
    <w:rsid w:val="7FA34E2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60A8A01"/>
  <w15:chartTrackingRefBased/>
  <w15:docId w15:val="{38BD3896-3C15-42B4-9B6D-4479FB321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C27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7CD9B1DB"/>
    <w:pPr>
      <w:spacing w:after="0"/>
    </w:pPr>
  </w:style>
  <w:style w:type="paragraph" w:styleId="ListParagraph">
    <w:name w:val="List Paragraph"/>
    <w:basedOn w:val="Normal"/>
    <w:uiPriority w:val="34"/>
    <w:qFormat/>
    <w:rsid w:val="7CD9B1DB"/>
    <w:pPr>
      <w:ind w:left="720"/>
      <w:contextualSpacing/>
    </w:pPr>
  </w:style>
  <w:style w:type="paragraph" w:styleId="Header">
    <w:name w:val="header"/>
    <w:basedOn w:val="Normal"/>
    <w:uiPriority w:val="99"/>
    <w:unhideWhenUsed/>
    <w:rsid w:val="7CD9B1DB"/>
    <w:pPr>
      <w:tabs>
        <w:tab w:val="center" w:pos="4680"/>
        <w:tab w:val="right" w:pos="9360"/>
      </w:tabs>
      <w:spacing w:after="0" w:line="240" w:lineRule="auto"/>
    </w:pPr>
  </w:style>
  <w:style w:type="paragraph" w:styleId="Footer">
    <w:name w:val="footer"/>
    <w:basedOn w:val="Normal"/>
    <w:uiPriority w:val="99"/>
    <w:unhideWhenUsed/>
    <w:rsid w:val="7CD9B1D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DC2757"/>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1490</Words>
  <Characters>8498</Characters>
  <Application>Microsoft Office Word</Application>
  <DocSecurity>0</DocSecurity>
  <Lines>70</Lines>
  <Paragraphs>19</Paragraphs>
  <ScaleCrop>false</ScaleCrop>
  <Company/>
  <LinksUpToDate>false</LinksUpToDate>
  <CharactersWithSpaces>9969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Dave Olano Galvan (2430423)</dc:creator>
  <cp:keywords/>
  <dc:description/>
  <cp:lastModifiedBy>Christian Dave Olano Galvan (2430423)</cp:lastModifiedBy>
  <cp:revision>2</cp:revision>
  <dcterms:created xsi:type="dcterms:W3CDTF">2026-04-20T14:09:00Z</dcterms:created>
  <dcterms:modified xsi:type="dcterms:W3CDTF">2026-04-20T14:09:00Z</dcterms:modified>
</cp:coreProperties>
</file>