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DAF6CD" w14:textId="7B9B9576" w:rsidR="00F1203A" w:rsidRDefault="00F1203A" w:rsidP="00F1203A">
      <w:pPr>
        <w:spacing w:line="360" w:lineRule="auto"/>
        <w:rPr>
          <w:rFonts w:ascii="Times New Roman" w:hAnsi="Times New Roman" w:cs="Times New Roman"/>
          <w:b/>
          <w:sz w:val="40"/>
          <w:szCs w:val="40"/>
        </w:rPr>
      </w:pPr>
      <w:bookmarkStart w:id="0" w:name="_ncxmi0gl40ls" w:colFirst="0" w:colLast="0"/>
      <w:bookmarkEnd w:id="0"/>
      <w:r w:rsidRPr="00F1203A">
        <w:rPr>
          <w:rFonts w:ascii="Times New Roman" w:hAnsi="Times New Roman" w:cs="Times New Roman"/>
          <w:b/>
          <w:noProof/>
          <w:sz w:val="40"/>
          <w:szCs w:val="40"/>
        </w:rPr>
        <w:drawing>
          <wp:inline distT="0" distB="0" distL="0" distR="0" wp14:anchorId="1AC1C728" wp14:editId="1702039A">
            <wp:extent cx="2076740" cy="847843"/>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76740" cy="847843"/>
                    </a:xfrm>
                    <a:prstGeom prst="rect">
                      <a:avLst/>
                    </a:prstGeom>
                  </pic:spPr>
                </pic:pic>
              </a:graphicData>
            </a:graphic>
          </wp:inline>
        </w:drawing>
      </w:r>
    </w:p>
    <w:p w14:paraId="313B1421" w14:textId="77777777" w:rsidR="00F1203A" w:rsidRDefault="00F1203A" w:rsidP="00F1203A">
      <w:pPr>
        <w:spacing w:line="360" w:lineRule="auto"/>
        <w:jc w:val="center"/>
        <w:rPr>
          <w:rFonts w:ascii="Times New Roman" w:hAnsi="Times New Roman" w:cs="Times New Roman"/>
          <w:b/>
          <w:sz w:val="40"/>
          <w:szCs w:val="40"/>
        </w:rPr>
      </w:pPr>
    </w:p>
    <w:p w14:paraId="428000FE" w14:textId="77777777" w:rsidR="00F1203A" w:rsidRDefault="00F1203A" w:rsidP="00F1203A">
      <w:pPr>
        <w:spacing w:line="360" w:lineRule="auto"/>
        <w:jc w:val="center"/>
        <w:rPr>
          <w:rFonts w:ascii="Times New Roman" w:hAnsi="Times New Roman" w:cs="Times New Roman"/>
          <w:b/>
          <w:sz w:val="40"/>
          <w:szCs w:val="40"/>
        </w:rPr>
      </w:pPr>
    </w:p>
    <w:p w14:paraId="1DC12298" w14:textId="77777777" w:rsidR="00F1203A" w:rsidRDefault="00F1203A" w:rsidP="00F1203A">
      <w:pPr>
        <w:spacing w:line="360" w:lineRule="auto"/>
        <w:rPr>
          <w:rFonts w:ascii="Times New Roman" w:hAnsi="Times New Roman" w:cs="Times New Roman"/>
          <w:b/>
          <w:sz w:val="40"/>
          <w:szCs w:val="40"/>
        </w:rPr>
      </w:pPr>
    </w:p>
    <w:p w14:paraId="1E9460B5" w14:textId="77777777" w:rsidR="00F1203A" w:rsidRPr="00F1203A" w:rsidRDefault="00F1203A" w:rsidP="00F1203A">
      <w:pPr>
        <w:spacing w:line="360" w:lineRule="auto"/>
        <w:jc w:val="center"/>
        <w:rPr>
          <w:rFonts w:ascii="Times New Roman" w:hAnsi="Times New Roman" w:cs="Times New Roman"/>
          <w:b/>
          <w:sz w:val="40"/>
          <w:szCs w:val="40"/>
        </w:rPr>
      </w:pPr>
      <w:r w:rsidRPr="00F1203A">
        <w:rPr>
          <w:rFonts w:ascii="Times New Roman" w:hAnsi="Times New Roman" w:cs="Times New Roman"/>
          <w:b/>
          <w:sz w:val="40"/>
          <w:szCs w:val="40"/>
        </w:rPr>
        <w:t>Programme: BA Business Management</w:t>
      </w:r>
    </w:p>
    <w:p w14:paraId="3D4ECECE" w14:textId="77777777" w:rsidR="00F1203A" w:rsidRPr="00F1203A" w:rsidRDefault="00F1203A" w:rsidP="00F1203A">
      <w:pPr>
        <w:spacing w:line="360" w:lineRule="auto"/>
        <w:jc w:val="center"/>
        <w:rPr>
          <w:rFonts w:ascii="Times New Roman" w:hAnsi="Times New Roman" w:cs="Times New Roman"/>
          <w:b/>
          <w:sz w:val="40"/>
          <w:szCs w:val="40"/>
        </w:rPr>
      </w:pPr>
      <w:r w:rsidRPr="00F1203A">
        <w:rPr>
          <w:rFonts w:ascii="Times New Roman" w:hAnsi="Times New Roman" w:cs="Times New Roman"/>
          <w:b/>
          <w:sz w:val="40"/>
          <w:szCs w:val="40"/>
        </w:rPr>
        <w:t>Module: Community Engagement</w:t>
      </w:r>
    </w:p>
    <w:p w14:paraId="78E665CA" w14:textId="63B01930" w:rsidR="00F1203A" w:rsidRDefault="00F1203A" w:rsidP="00F1203A">
      <w:pPr>
        <w:spacing w:line="360" w:lineRule="auto"/>
        <w:jc w:val="center"/>
        <w:rPr>
          <w:rFonts w:ascii="Times New Roman" w:hAnsi="Times New Roman" w:cs="Times New Roman"/>
          <w:b/>
          <w:sz w:val="40"/>
          <w:szCs w:val="40"/>
        </w:rPr>
      </w:pPr>
      <w:r w:rsidRPr="00F1203A">
        <w:rPr>
          <w:rFonts w:ascii="Times New Roman" w:hAnsi="Times New Roman" w:cs="Times New Roman"/>
          <w:b/>
          <w:sz w:val="40"/>
          <w:szCs w:val="40"/>
        </w:rPr>
        <w:t>Module code: LCBB4002</w:t>
      </w:r>
    </w:p>
    <w:p w14:paraId="75C32EE2" w14:textId="77777777" w:rsidR="00F1203A" w:rsidRDefault="00F1203A">
      <w:pPr>
        <w:rPr>
          <w:rFonts w:ascii="Times New Roman" w:hAnsi="Times New Roman" w:cs="Times New Roman"/>
          <w:b/>
          <w:sz w:val="40"/>
          <w:szCs w:val="40"/>
        </w:rPr>
      </w:pPr>
      <w:r>
        <w:rPr>
          <w:rFonts w:ascii="Times New Roman" w:hAnsi="Times New Roman" w:cs="Times New Roman"/>
          <w:b/>
          <w:sz w:val="40"/>
          <w:szCs w:val="40"/>
        </w:rPr>
        <w:br w:type="page"/>
      </w:r>
    </w:p>
    <w:sdt>
      <w:sdtPr>
        <w:rPr>
          <w:rFonts w:ascii="Arial" w:eastAsia="Arial" w:hAnsi="Arial" w:cs="Arial"/>
          <w:color w:val="auto"/>
          <w:sz w:val="22"/>
          <w:szCs w:val="22"/>
          <w:lang w:val=""/>
        </w:rPr>
        <w:id w:val="1316232890"/>
        <w:docPartObj>
          <w:docPartGallery w:val="Table of Contents"/>
          <w:docPartUnique/>
        </w:docPartObj>
      </w:sdtPr>
      <w:sdtEndPr>
        <w:rPr>
          <w:b/>
          <w:bCs/>
          <w:noProof/>
        </w:rPr>
      </w:sdtEndPr>
      <w:sdtContent>
        <w:p w14:paraId="3698CBB4" w14:textId="4DF0BAC9" w:rsidR="00F1203A" w:rsidRDefault="00F1203A">
          <w:pPr>
            <w:pStyle w:val="TOCHeading"/>
          </w:pPr>
          <w:r>
            <w:t>Table of Contents</w:t>
          </w:r>
        </w:p>
        <w:p w14:paraId="5D880C1F" w14:textId="77777777" w:rsidR="00F1203A" w:rsidRDefault="00F1203A">
          <w:pPr>
            <w:pStyle w:val="TOC1"/>
            <w:tabs>
              <w:tab w:val="right" w:leader="dot" w:pos="9019"/>
            </w:tabs>
            <w:rPr>
              <w:noProof/>
            </w:rPr>
          </w:pPr>
          <w:r>
            <w:rPr>
              <w:b/>
              <w:bCs/>
              <w:noProof/>
            </w:rPr>
            <w:fldChar w:fldCharType="begin"/>
          </w:r>
          <w:r>
            <w:rPr>
              <w:b/>
              <w:bCs/>
              <w:noProof/>
            </w:rPr>
            <w:instrText xml:space="preserve"> TOC \o "1-3" \h \z \u </w:instrText>
          </w:r>
          <w:r>
            <w:rPr>
              <w:b/>
              <w:bCs/>
              <w:noProof/>
            </w:rPr>
            <w:fldChar w:fldCharType="separate"/>
          </w:r>
          <w:hyperlink w:anchor="_Toc142067662" w:history="1">
            <w:r w:rsidRPr="00177C16">
              <w:rPr>
                <w:rStyle w:val="Hyperlink"/>
                <w:rFonts w:ascii="Times New Roman" w:eastAsia="Times New Roman" w:hAnsi="Times New Roman" w:cs="Times New Roman"/>
                <w:b/>
                <w:noProof/>
              </w:rPr>
              <w:t>Introduction</w:t>
            </w:r>
            <w:r>
              <w:rPr>
                <w:noProof/>
                <w:webHidden/>
              </w:rPr>
              <w:tab/>
            </w:r>
            <w:r>
              <w:rPr>
                <w:noProof/>
                <w:webHidden/>
              </w:rPr>
              <w:fldChar w:fldCharType="begin"/>
            </w:r>
            <w:r>
              <w:rPr>
                <w:noProof/>
                <w:webHidden/>
              </w:rPr>
              <w:instrText xml:space="preserve"> PAGEREF _Toc142067662 \h </w:instrText>
            </w:r>
            <w:r>
              <w:rPr>
                <w:noProof/>
                <w:webHidden/>
              </w:rPr>
            </w:r>
            <w:r>
              <w:rPr>
                <w:noProof/>
                <w:webHidden/>
              </w:rPr>
              <w:fldChar w:fldCharType="separate"/>
            </w:r>
            <w:r>
              <w:rPr>
                <w:noProof/>
                <w:webHidden/>
              </w:rPr>
              <w:t>3</w:t>
            </w:r>
            <w:r>
              <w:rPr>
                <w:noProof/>
                <w:webHidden/>
              </w:rPr>
              <w:fldChar w:fldCharType="end"/>
            </w:r>
          </w:hyperlink>
        </w:p>
        <w:p w14:paraId="4745E67D" w14:textId="77777777" w:rsidR="00F1203A" w:rsidRDefault="00000000">
          <w:pPr>
            <w:pStyle w:val="TOC1"/>
            <w:tabs>
              <w:tab w:val="right" w:leader="dot" w:pos="9019"/>
            </w:tabs>
            <w:rPr>
              <w:noProof/>
            </w:rPr>
          </w:pPr>
          <w:hyperlink w:anchor="_Toc142067663" w:history="1">
            <w:r w:rsidR="00F1203A" w:rsidRPr="00177C16">
              <w:rPr>
                <w:rStyle w:val="Hyperlink"/>
                <w:rFonts w:ascii="Times New Roman" w:eastAsia="Times New Roman" w:hAnsi="Times New Roman" w:cs="Times New Roman"/>
                <w:b/>
                <w:noProof/>
              </w:rPr>
              <w:t>Explanation of the project</w:t>
            </w:r>
            <w:r w:rsidR="00F1203A">
              <w:rPr>
                <w:noProof/>
                <w:webHidden/>
              </w:rPr>
              <w:tab/>
            </w:r>
            <w:r w:rsidR="00F1203A">
              <w:rPr>
                <w:noProof/>
                <w:webHidden/>
              </w:rPr>
              <w:fldChar w:fldCharType="begin"/>
            </w:r>
            <w:r w:rsidR="00F1203A">
              <w:rPr>
                <w:noProof/>
                <w:webHidden/>
              </w:rPr>
              <w:instrText xml:space="preserve"> PAGEREF _Toc142067663 \h </w:instrText>
            </w:r>
            <w:r w:rsidR="00F1203A">
              <w:rPr>
                <w:noProof/>
                <w:webHidden/>
              </w:rPr>
            </w:r>
            <w:r w:rsidR="00F1203A">
              <w:rPr>
                <w:noProof/>
                <w:webHidden/>
              </w:rPr>
              <w:fldChar w:fldCharType="separate"/>
            </w:r>
            <w:r w:rsidR="00F1203A">
              <w:rPr>
                <w:noProof/>
                <w:webHidden/>
              </w:rPr>
              <w:t>3</w:t>
            </w:r>
            <w:r w:rsidR="00F1203A">
              <w:rPr>
                <w:noProof/>
                <w:webHidden/>
              </w:rPr>
              <w:fldChar w:fldCharType="end"/>
            </w:r>
          </w:hyperlink>
        </w:p>
        <w:p w14:paraId="5FA83275" w14:textId="77777777" w:rsidR="00F1203A" w:rsidRDefault="00000000">
          <w:pPr>
            <w:pStyle w:val="TOC1"/>
            <w:tabs>
              <w:tab w:val="right" w:leader="dot" w:pos="9019"/>
            </w:tabs>
            <w:rPr>
              <w:noProof/>
            </w:rPr>
          </w:pPr>
          <w:hyperlink w:anchor="_Toc142067664" w:history="1">
            <w:r w:rsidR="00F1203A" w:rsidRPr="00177C16">
              <w:rPr>
                <w:rStyle w:val="Hyperlink"/>
                <w:rFonts w:ascii="Times New Roman" w:eastAsia="Times New Roman" w:hAnsi="Times New Roman" w:cs="Times New Roman"/>
                <w:b/>
                <w:noProof/>
              </w:rPr>
              <w:t>Objectives of the project</w:t>
            </w:r>
            <w:r w:rsidR="00F1203A">
              <w:rPr>
                <w:noProof/>
                <w:webHidden/>
              </w:rPr>
              <w:tab/>
            </w:r>
            <w:r w:rsidR="00F1203A">
              <w:rPr>
                <w:noProof/>
                <w:webHidden/>
              </w:rPr>
              <w:fldChar w:fldCharType="begin"/>
            </w:r>
            <w:r w:rsidR="00F1203A">
              <w:rPr>
                <w:noProof/>
                <w:webHidden/>
              </w:rPr>
              <w:instrText xml:space="preserve"> PAGEREF _Toc142067664 \h </w:instrText>
            </w:r>
            <w:r w:rsidR="00F1203A">
              <w:rPr>
                <w:noProof/>
                <w:webHidden/>
              </w:rPr>
            </w:r>
            <w:r w:rsidR="00F1203A">
              <w:rPr>
                <w:noProof/>
                <w:webHidden/>
              </w:rPr>
              <w:fldChar w:fldCharType="separate"/>
            </w:r>
            <w:r w:rsidR="00F1203A">
              <w:rPr>
                <w:noProof/>
                <w:webHidden/>
              </w:rPr>
              <w:t>3</w:t>
            </w:r>
            <w:r w:rsidR="00F1203A">
              <w:rPr>
                <w:noProof/>
                <w:webHidden/>
              </w:rPr>
              <w:fldChar w:fldCharType="end"/>
            </w:r>
          </w:hyperlink>
        </w:p>
        <w:p w14:paraId="52A4A5AB" w14:textId="77777777" w:rsidR="00F1203A" w:rsidRDefault="00000000">
          <w:pPr>
            <w:pStyle w:val="TOC1"/>
            <w:tabs>
              <w:tab w:val="right" w:leader="dot" w:pos="9019"/>
            </w:tabs>
            <w:rPr>
              <w:noProof/>
            </w:rPr>
          </w:pPr>
          <w:hyperlink w:anchor="_Toc142067665" w:history="1">
            <w:r w:rsidR="00F1203A" w:rsidRPr="00177C16">
              <w:rPr>
                <w:rStyle w:val="Hyperlink"/>
                <w:rFonts w:ascii="Times New Roman" w:eastAsia="Times New Roman" w:hAnsi="Times New Roman" w:cs="Times New Roman"/>
                <w:b/>
                <w:noProof/>
              </w:rPr>
              <w:t>Potential benefits</w:t>
            </w:r>
            <w:r w:rsidR="00F1203A">
              <w:rPr>
                <w:noProof/>
                <w:webHidden/>
              </w:rPr>
              <w:tab/>
            </w:r>
            <w:r w:rsidR="00F1203A">
              <w:rPr>
                <w:noProof/>
                <w:webHidden/>
              </w:rPr>
              <w:fldChar w:fldCharType="begin"/>
            </w:r>
            <w:r w:rsidR="00F1203A">
              <w:rPr>
                <w:noProof/>
                <w:webHidden/>
              </w:rPr>
              <w:instrText xml:space="preserve"> PAGEREF _Toc142067665 \h </w:instrText>
            </w:r>
            <w:r w:rsidR="00F1203A">
              <w:rPr>
                <w:noProof/>
                <w:webHidden/>
              </w:rPr>
            </w:r>
            <w:r w:rsidR="00F1203A">
              <w:rPr>
                <w:noProof/>
                <w:webHidden/>
              </w:rPr>
              <w:fldChar w:fldCharType="separate"/>
            </w:r>
            <w:r w:rsidR="00F1203A">
              <w:rPr>
                <w:noProof/>
                <w:webHidden/>
              </w:rPr>
              <w:t>4</w:t>
            </w:r>
            <w:r w:rsidR="00F1203A">
              <w:rPr>
                <w:noProof/>
                <w:webHidden/>
              </w:rPr>
              <w:fldChar w:fldCharType="end"/>
            </w:r>
          </w:hyperlink>
        </w:p>
        <w:p w14:paraId="117471EE" w14:textId="77777777" w:rsidR="00F1203A" w:rsidRDefault="00000000">
          <w:pPr>
            <w:pStyle w:val="TOC1"/>
            <w:tabs>
              <w:tab w:val="right" w:leader="dot" w:pos="9019"/>
            </w:tabs>
            <w:rPr>
              <w:noProof/>
            </w:rPr>
          </w:pPr>
          <w:hyperlink w:anchor="_Toc142067666" w:history="1">
            <w:r w:rsidR="00F1203A" w:rsidRPr="00177C16">
              <w:rPr>
                <w:rStyle w:val="Hyperlink"/>
                <w:rFonts w:ascii="Times New Roman" w:eastAsia="Times New Roman" w:hAnsi="Times New Roman" w:cs="Times New Roman"/>
                <w:b/>
                <w:noProof/>
              </w:rPr>
              <w:t>Community engagement of the local community</w:t>
            </w:r>
            <w:r w:rsidR="00F1203A">
              <w:rPr>
                <w:noProof/>
                <w:webHidden/>
              </w:rPr>
              <w:tab/>
            </w:r>
            <w:r w:rsidR="00F1203A">
              <w:rPr>
                <w:noProof/>
                <w:webHidden/>
              </w:rPr>
              <w:fldChar w:fldCharType="begin"/>
            </w:r>
            <w:r w:rsidR="00F1203A">
              <w:rPr>
                <w:noProof/>
                <w:webHidden/>
              </w:rPr>
              <w:instrText xml:space="preserve"> PAGEREF _Toc142067666 \h </w:instrText>
            </w:r>
            <w:r w:rsidR="00F1203A">
              <w:rPr>
                <w:noProof/>
                <w:webHidden/>
              </w:rPr>
            </w:r>
            <w:r w:rsidR="00F1203A">
              <w:rPr>
                <w:noProof/>
                <w:webHidden/>
              </w:rPr>
              <w:fldChar w:fldCharType="separate"/>
            </w:r>
            <w:r w:rsidR="00F1203A">
              <w:rPr>
                <w:noProof/>
                <w:webHidden/>
              </w:rPr>
              <w:t>4</w:t>
            </w:r>
            <w:r w:rsidR="00F1203A">
              <w:rPr>
                <w:noProof/>
                <w:webHidden/>
              </w:rPr>
              <w:fldChar w:fldCharType="end"/>
            </w:r>
          </w:hyperlink>
        </w:p>
        <w:p w14:paraId="3B438503" w14:textId="77777777" w:rsidR="00F1203A" w:rsidRDefault="00000000">
          <w:pPr>
            <w:pStyle w:val="TOC1"/>
            <w:tabs>
              <w:tab w:val="right" w:leader="dot" w:pos="9019"/>
            </w:tabs>
            <w:rPr>
              <w:noProof/>
            </w:rPr>
          </w:pPr>
          <w:hyperlink w:anchor="_Toc142067667" w:history="1">
            <w:r w:rsidR="00F1203A" w:rsidRPr="00177C16">
              <w:rPr>
                <w:rStyle w:val="Hyperlink"/>
                <w:rFonts w:ascii="Times New Roman" w:eastAsia="Times New Roman" w:hAnsi="Times New Roman" w:cs="Times New Roman"/>
                <w:b/>
                <w:noProof/>
              </w:rPr>
              <w:t>Identification of the areas they were mostly active and the reason behind it</w:t>
            </w:r>
            <w:r w:rsidR="00F1203A">
              <w:rPr>
                <w:noProof/>
                <w:webHidden/>
              </w:rPr>
              <w:tab/>
            </w:r>
            <w:r w:rsidR="00F1203A">
              <w:rPr>
                <w:noProof/>
                <w:webHidden/>
              </w:rPr>
              <w:fldChar w:fldCharType="begin"/>
            </w:r>
            <w:r w:rsidR="00F1203A">
              <w:rPr>
                <w:noProof/>
                <w:webHidden/>
              </w:rPr>
              <w:instrText xml:space="preserve"> PAGEREF _Toc142067667 \h </w:instrText>
            </w:r>
            <w:r w:rsidR="00F1203A">
              <w:rPr>
                <w:noProof/>
                <w:webHidden/>
              </w:rPr>
            </w:r>
            <w:r w:rsidR="00F1203A">
              <w:rPr>
                <w:noProof/>
                <w:webHidden/>
              </w:rPr>
              <w:fldChar w:fldCharType="separate"/>
            </w:r>
            <w:r w:rsidR="00F1203A">
              <w:rPr>
                <w:noProof/>
                <w:webHidden/>
              </w:rPr>
              <w:t>5</w:t>
            </w:r>
            <w:r w:rsidR="00F1203A">
              <w:rPr>
                <w:noProof/>
                <w:webHidden/>
              </w:rPr>
              <w:fldChar w:fldCharType="end"/>
            </w:r>
          </w:hyperlink>
        </w:p>
        <w:p w14:paraId="28529DDB" w14:textId="77777777" w:rsidR="00F1203A" w:rsidRDefault="00000000">
          <w:pPr>
            <w:pStyle w:val="TOC1"/>
            <w:tabs>
              <w:tab w:val="right" w:leader="dot" w:pos="9019"/>
            </w:tabs>
            <w:rPr>
              <w:noProof/>
            </w:rPr>
          </w:pPr>
          <w:hyperlink w:anchor="_Toc142067668" w:history="1">
            <w:r w:rsidR="00F1203A" w:rsidRPr="00177C16">
              <w:rPr>
                <w:rStyle w:val="Hyperlink"/>
                <w:rFonts w:ascii="Times New Roman" w:eastAsia="Times New Roman" w:hAnsi="Times New Roman" w:cs="Times New Roman"/>
                <w:b/>
                <w:noProof/>
              </w:rPr>
              <w:t>Adopted approaches</w:t>
            </w:r>
            <w:r w:rsidR="00F1203A">
              <w:rPr>
                <w:noProof/>
                <w:webHidden/>
              </w:rPr>
              <w:tab/>
            </w:r>
            <w:r w:rsidR="00F1203A">
              <w:rPr>
                <w:noProof/>
                <w:webHidden/>
              </w:rPr>
              <w:fldChar w:fldCharType="begin"/>
            </w:r>
            <w:r w:rsidR="00F1203A">
              <w:rPr>
                <w:noProof/>
                <w:webHidden/>
              </w:rPr>
              <w:instrText xml:space="preserve"> PAGEREF _Toc142067668 \h </w:instrText>
            </w:r>
            <w:r w:rsidR="00F1203A">
              <w:rPr>
                <w:noProof/>
                <w:webHidden/>
              </w:rPr>
            </w:r>
            <w:r w:rsidR="00F1203A">
              <w:rPr>
                <w:noProof/>
                <w:webHidden/>
              </w:rPr>
              <w:fldChar w:fldCharType="separate"/>
            </w:r>
            <w:r w:rsidR="00F1203A">
              <w:rPr>
                <w:noProof/>
                <w:webHidden/>
              </w:rPr>
              <w:t>5</w:t>
            </w:r>
            <w:r w:rsidR="00F1203A">
              <w:rPr>
                <w:noProof/>
                <w:webHidden/>
              </w:rPr>
              <w:fldChar w:fldCharType="end"/>
            </w:r>
          </w:hyperlink>
        </w:p>
        <w:p w14:paraId="047EA544" w14:textId="77777777" w:rsidR="00F1203A" w:rsidRDefault="00000000">
          <w:pPr>
            <w:pStyle w:val="TOC1"/>
            <w:tabs>
              <w:tab w:val="right" w:leader="dot" w:pos="9019"/>
            </w:tabs>
            <w:rPr>
              <w:noProof/>
            </w:rPr>
          </w:pPr>
          <w:hyperlink w:anchor="_Toc142067669" w:history="1">
            <w:r w:rsidR="00F1203A" w:rsidRPr="00177C16">
              <w:rPr>
                <w:rStyle w:val="Hyperlink"/>
                <w:rFonts w:ascii="Times New Roman" w:eastAsia="Times New Roman" w:hAnsi="Times New Roman" w:cs="Times New Roman"/>
                <w:b/>
                <w:noProof/>
              </w:rPr>
              <w:t>Options for the engagement of community members via the planning process</w:t>
            </w:r>
            <w:r w:rsidR="00F1203A">
              <w:rPr>
                <w:noProof/>
                <w:webHidden/>
              </w:rPr>
              <w:tab/>
            </w:r>
            <w:r w:rsidR="00F1203A">
              <w:rPr>
                <w:noProof/>
                <w:webHidden/>
              </w:rPr>
              <w:fldChar w:fldCharType="begin"/>
            </w:r>
            <w:r w:rsidR="00F1203A">
              <w:rPr>
                <w:noProof/>
                <w:webHidden/>
              </w:rPr>
              <w:instrText xml:space="preserve"> PAGEREF _Toc142067669 \h </w:instrText>
            </w:r>
            <w:r w:rsidR="00F1203A">
              <w:rPr>
                <w:noProof/>
                <w:webHidden/>
              </w:rPr>
            </w:r>
            <w:r w:rsidR="00F1203A">
              <w:rPr>
                <w:noProof/>
                <w:webHidden/>
              </w:rPr>
              <w:fldChar w:fldCharType="separate"/>
            </w:r>
            <w:r w:rsidR="00F1203A">
              <w:rPr>
                <w:noProof/>
                <w:webHidden/>
              </w:rPr>
              <w:t>6</w:t>
            </w:r>
            <w:r w:rsidR="00F1203A">
              <w:rPr>
                <w:noProof/>
                <w:webHidden/>
              </w:rPr>
              <w:fldChar w:fldCharType="end"/>
            </w:r>
          </w:hyperlink>
        </w:p>
        <w:p w14:paraId="0996D8DB" w14:textId="77777777" w:rsidR="00F1203A" w:rsidRDefault="00000000">
          <w:pPr>
            <w:pStyle w:val="TOC1"/>
            <w:tabs>
              <w:tab w:val="right" w:leader="dot" w:pos="9019"/>
            </w:tabs>
            <w:rPr>
              <w:noProof/>
            </w:rPr>
          </w:pPr>
          <w:hyperlink w:anchor="_Toc142067670" w:history="1">
            <w:r w:rsidR="00F1203A" w:rsidRPr="00177C16">
              <w:rPr>
                <w:rStyle w:val="Hyperlink"/>
                <w:rFonts w:ascii="Times New Roman" w:eastAsia="Times New Roman" w:hAnsi="Times New Roman" w:cs="Times New Roman"/>
                <w:b/>
                <w:noProof/>
              </w:rPr>
              <w:t>Learned lessons</w:t>
            </w:r>
            <w:r w:rsidR="00F1203A">
              <w:rPr>
                <w:noProof/>
                <w:webHidden/>
              </w:rPr>
              <w:tab/>
            </w:r>
            <w:r w:rsidR="00F1203A">
              <w:rPr>
                <w:noProof/>
                <w:webHidden/>
              </w:rPr>
              <w:fldChar w:fldCharType="begin"/>
            </w:r>
            <w:r w:rsidR="00F1203A">
              <w:rPr>
                <w:noProof/>
                <w:webHidden/>
              </w:rPr>
              <w:instrText xml:space="preserve"> PAGEREF _Toc142067670 \h </w:instrText>
            </w:r>
            <w:r w:rsidR="00F1203A">
              <w:rPr>
                <w:noProof/>
                <w:webHidden/>
              </w:rPr>
            </w:r>
            <w:r w:rsidR="00F1203A">
              <w:rPr>
                <w:noProof/>
                <w:webHidden/>
              </w:rPr>
              <w:fldChar w:fldCharType="separate"/>
            </w:r>
            <w:r w:rsidR="00F1203A">
              <w:rPr>
                <w:noProof/>
                <w:webHidden/>
              </w:rPr>
              <w:t>7</w:t>
            </w:r>
            <w:r w:rsidR="00F1203A">
              <w:rPr>
                <w:noProof/>
                <w:webHidden/>
              </w:rPr>
              <w:fldChar w:fldCharType="end"/>
            </w:r>
          </w:hyperlink>
        </w:p>
        <w:p w14:paraId="7B09F10B" w14:textId="77777777" w:rsidR="00F1203A" w:rsidRDefault="00000000">
          <w:pPr>
            <w:pStyle w:val="TOC1"/>
            <w:tabs>
              <w:tab w:val="right" w:leader="dot" w:pos="9019"/>
            </w:tabs>
            <w:rPr>
              <w:noProof/>
            </w:rPr>
          </w:pPr>
          <w:hyperlink w:anchor="_Toc142067671" w:history="1">
            <w:r w:rsidR="00F1203A" w:rsidRPr="00177C16">
              <w:rPr>
                <w:rStyle w:val="Hyperlink"/>
                <w:rFonts w:ascii="Times New Roman" w:eastAsia="Times New Roman" w:hAnsi="Times New Roman" w:cs="Times New Roman"/>
                <w:b/>
                <w:noProof/>
              </w:rPr>
              <w:t>Post-project planning</w:t>
            </w:r>
            <w:r w:rsidR="00F1203A">
              <w:rPr>
                <w:noProof/>
                <w:webHidden/>
              </w:rPr>
              <w:tab/>
            </w:r>
            <w:r w:rsidR="00F1203A">
              <w:rPr>
                <w:noProof/>
                <w:webHidden/>
              </w:rPr>
              <w:fldChar w:fldCharType="begin"/>
            </w:r>
            <w:r w:rsidR="00F1203A">
              <w:rPr>
                <w:noProof/>
                <w:webHidden/>
              </w:rPr>
              <w:instrText xml:space="preserve"> PAGEREF _Toc142067671 \h </w:instrText>
            </w:r>
            <w:r w:rsidR="00F1203A">
              <w:rPr>
                <w:noProof/>
                <w:webHidden/>
              </w:rPr>
            </w:r>
            <w:r w:rsidR="00F1203A">
              <w:rPr>
                <w:noProof/>
                <w:webHidden/>
              </w:rPr>
              <w:fldChar w:fldCharType="separate"/>
            </w:r>
            <w:r w:rsidR="00F1203A">
              <w:rPr>
                <w:noProof/>
                <w:webHidden/>
              </w:rPr>
              <w:t>8</w:t>
            </w:r>
            <w:r w:rsidR="00F1203A">
              <w:rPr>
                <w:noProof/>
                <w:webHidden/>
              </w:rPr>
              <w:fldChar w:fldCharType="end"/>
            </w:r>
          </w:hyperlink>
        </w:p>
        <w:p w14:paraId="477128A2" w14:textId="77777777" w:rsidR="00F1203A" w:rsidRDefault="00000000">
          <w:pPr>
            <w:pStyle w:val="TOC1"/>
            <w:tabs>
              <w:tab w:val="right" w:leader="dot" w:pos="9019"/>
            </w:tabs>
            <w:rPr>
              <w:noProof/>
            </w:rPr>
          </w:pPr>
          <w:hyperlink w:anchor="_Toc142067672" w:history="1">
            <w:r w:rsidR="00F1203A" w:rsidRPr="00177C16">
              <w:rPr>
                <w:rStyle w:val="Hyperlink"/>
                <w:rFonts w:ascii="Times New Roman" w:eastAsia="Times New Roman" w:hAnsi="Times New Roman" w:cs="Times New Roman"/>
                <w:b/>
                <w:noProof/>
              </w:rPr>
              <w:t>Conclusion</w:t>
            </w:r>
            <w:r w:rsidR="00F1203A">
              <w:rPr>
                <w:noProof/>
                <w:webHidden/>
              </w:rPr>
              <w:tab/>
            </w:r>
            <w:r w:rsidR="00F1203A">
              <w:rPr>
                <w:noProof/>
                <w:webHidden/>
              </w:rPr>
              <w:fldChar w:fldCharType="begin"/>
            </w:r>
            <w:r w:rsidR="00F1203A">
              <w:rPr>
                <w:noProof/>
                <w:webHidden/>
              </w:rPr>
              <w:instrText xml:space="preserve"> PAGEREF _Toc142067672 \h </w:instrText>
            </w:r>
            <w:r w:rsidR="00F1203A">
              <w:rPr>
                <w:noProof/>
                <w:webHidden/>
              </w:rPr>
            </w:r>
            <w:r w:rsidR="00F1203A">
              <w:rPr>
                <w:noProof/>
                <w:webHidden/>
              </w:rPr>
              <w:fldChar w:fldCharType="separate"/>
            </w:r>
            <w:r w:rsidR="00F1203A">
              <w:rPr>
                <w:noProof/>
                <w:webHidden/>
              </w:rPr>
              <w:t>8</w:t>
            </w:r>
            <w:r w:rsidR="00F1203A">
              <w:rPr>
                <w:noProof/>
                <w:webHidden/>
              </w:rPr>
              <w:fldChar w:fldCharType="end"/>
            </w:r>
          </w:hyperlink>
        </w:p>
        <w:p w14:paraId="5B30AF95" w14:textId="77777777" w:rsidR="00F1203A" w:rsidRDefault="00000000">
          <w:pPr>
            <w:pStyle w:val="TOC1"/>
            <w:tabs>
              <w:tab w:val="right" w:leader="dot" w:pos="9019"/>
            </w:tabs>
            <w:rPr>
              <w:noProof/>
            </w:rPr>
          </w:pPr>
          <w:hyperlink w:anchor="_Toc142067673" w:history="1">
            <w:r w:rsidR="00F1203A" w:rsidRPr="00177C16">
              <w:rPr>
                <w:rStyle w:val="Hyperlink"/>
                <w:rFonts w:ascii="Times New Roman" w:eastAsia="Times New Roman" w:hAnsi="Times New Roman" w:cs="Times New Roman"/>
                <w:b/>
                <w:noProof/>
              </w:rPr>
              <w:t>Reference list</w:t>
            </w:r>
            <w:r w:rsidR="00F1203A">
              <w:rPr>
                <w:noProof/>
                <w:webHidden/>
              </w:rPr>
              <w:tab/>
            </w:r>
            <w:r w:rsidR="00F1203A">
              <w:rPr>
                <w:noProof/>
                <w:webHidden/>
              </w:rPr>
              <w:fldChar w:fldCharType="begin"/>
            </w:r>
            <w:r w:rsidR="00F1203A">
              <w:rPr>
                <w:noProof/>
                <w:webHidden/>
              </w:rPr>
              <w:instrText xml:space="preserve"> PAGEREF _Toc142067673 \h </w:instrText>
            </w:r>
            <w:r w:rsidR="00F1203A">
              <w:rPr>
                <w:noProof/>
                <w:webHidden/>
              </w:rPr>
            </w:r>
            <w:r w:rsidR="00F1203A">
              <w:rPr>
                <w:noProof/>
                <w:webHidden/>
              </w:rPr>
              <w:fldChar w:fldCharType="separate"/>
            </w:r>
            <w:r w:rsidR="00F1203A">
              <w:rPr>
                <w:noProof/>
                <w:webHidden/>
              </w:rPr>
              <w:t>9</w:t>
            </w:r>
            <w:r w:rsidR="00F1203A">
              <w:rPr>
                <w:noProof/>
                <w:webHidden/>
              </w:rPr>
              <w:fldChar w:fldCharType="end"/>
            </w:r>
          </w:hyperlink>
        </w:p>
        <w:p w14:paraId="1ECB77DB" w14:textId="75CCD412" w:rsidR="00F1203A" w:rsidRDefault="00F1203A">
          <w:r>
            <w:rPr>
              <w:b/>
              <w:bCs/>
              <w:noProof/>
            </w:rPr>
            <w:fldChar w:fldCharType="end"/>
          </w:r>
        </w:p>
      </w:sdtContent>
    </w:sdt>
    <w:p w14:paraId="3BF290F7" w14:textId="77777777" w:rsidR="00F1203A" w:rsidRPr="00F1203A" w:rsidRDefault="00F1203A" w:rsidP="00F1203A">
      <w:pPr>
        <w:spacing w:line="360" w:lineRule="auto"/>
        <w:jc w:val="center"/>
        <w:rPr>
          <w:rFonts w:ascii="Times New Roman" w:hAnsi="Times New Roman" w:cs="Times New Roman"/>
          <w:b/>
          <w:sz w:val="40"/>
          <w:szCs w:val="40"/>
        </w:rPr>
      </w:pPr>
    </w:p>
    <w:p w14:paraId="0A59A26A" w14:textId="77777777" w:rsidR="00F1203A" w:rsidRPr="00F1203A" w:rsidRDefault="00F1203A" w:rsidP="00F1203A">
      <w:pPr>
        <w:spacing w:line="360" w:lineRule="auto"/>
        <w:jc w:val="both"/>
        <w:rPr>
          <w:rFonts w:ascii="Times New Roman" w:eastAsia="Times New Roman" w:hAnsi="Times New Roman" w:cs="Times New Roman"/>
          <w:b/>
          <w:sz w:val="24"/>
          <w:szCs w:val="24"/>
        </w:rPr>
      </w:pPr>
      <w:r w:rsidRPr="00F1203A">
        <w:rPr>
          <w:rFonts w:ascii="Times New Roman" w:eastAsia="Times New Roman" w:hAnsi="Times New Roman" w:cs="Times New Roman"/>
          <w:b/>
          <w:sz w:val="24"/>
          <w:szCs w:val="24"/>
        </w:rPr>
        <w:br w:type="page"/>
      </w:r>
    </w:p>
    <w:p w14:paraId="00000001" w14:textId="76FAB0B2" w:rsidR="00525159" w:rsidRPr="00F1203A" w:rsidRDefault="00295454" w:rsidP="00F1203A">
      <w:pPr>
        <w:pStyle w:val="Heading1"/>
        <w:spacing w:line="360" w:lineRule="auto"/>
        <w:jc w:val="both"/>
        <w:rPr>
          <w:rFonts w:ascii="Times New Roman" w:eastAsia="Times New Roman" w:hAnsi="Times New Roman" w:cs="Times New Roman"/>
          <w:b/>
          <w:sz w:val="24"/>
          <w:szCs w:val="24"/>
        </w:rPr>
      </w:pPr>
      <w:bookmarkStart w:id="1" w:name="_Toc142067662"/>
      <w:r w:rsidRPr="00F1203A">
        <w:rPr>
          <w:rFonts w:ascii="Times New Roman" w:eastAsia="Times New Roman" w:hAnsi="Times New Roman" w:cs="Times New Roman"/>
          <w:b/>
          <w:sz w:val="24"/>
          <w:szCs w:val="24"/>
        </w:rPr>
        <w:lastRenderedPageBreak/>
        <w:t>Introduction</w:t>
      </w:r>
      <w:bookmarkEnd w:id="1"/>
    </w:p>
    <w:p w14:paraId="00000002"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The South West Route Capacity Programme is one of the latest programmes that is to be completed in 2021. This project is considered a social community development project in the UK. Along with Wessex, this programme has been upgraded at Waterloo. The study will provide a brief description of this project. Targeted issues of the project will also be disclosed in this report. Objectives, target stakeholders and potential benefits of the project will be evaluated in this study. The engagement of the community will be discussed in this study. It will also identify those areas in which they are mostly active and the reason behind this. Along with the adopted approaches, several options for engaging members through the planning process will also be discussed. Some learned lessons throughout the process of the project will also be provided in this study. The study will also concentrate on some post-project planning. </w:t>
      </w:r>
    </w:p>
    <w:p w14:paraId="00000003" w14:textId="77777777" w:rsidR="00525159" w:rsidRPr="00F1203A" w:rsidRDefault="00295454" w:rsidP="00F1203A">
      <w:pPr>
        <w:pStyle w:val="Heading1"/>
        <w:spacing w:line="360" w:lineRule="auto"/>
        <w:jc w:val="both"/>
        <w:rPr>
          <w:rFonts w:ascii="Times New Roman" w:eastAsia="Times New Roman" w:hAnsi="Times New Roman" w:cs="Times New Roman"/>
          <w:b/>
          <w:sz w:val="24"/>
          <w:szCs w:val="24"/>
        </w:rPr>
      </w:pPr>
      <w:bookmarkStart w:id="2" w:name="_dfqmt1m05dvy" w:colFirst="0" w:colLast="0"/>
      <w:bookmarkStart w:id="3" w:name="_Toc142067663"/>
      <w:bookmarkEnd w:id="2"/>
      <w:r w:rsidRPr="00F1203A">
        <w:rPr>
          <w:rFonts w:ascii="Times New Roman" w:eastAsia="Times New Roman" w:hAnsi="Times New Roman" w:cs="Times New Roman"/>
          <w:b/>
          <w:sz w:val="24"/>
          <w:szCs w:val="24"/>
        </w:rPr>
        <w:t>Explanation of the project</w:t>
      </w:r>
      <w:bookmarkEnd w:id="3"/>
    </w:p>
    <w:p w14:paraId="00000004"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The name of the project is The South West Route Capacity Programme. This started on July 16, 2012, and was completed on December 31, 2019 (AppGov, 2023). The baseline of the project was 193.72 million euro and the forecast was 226.32 million euro. The variance of the project is 17.00%. This variance occurred due to the rephasing cost of the programme from years 4 to 5. The complete life cost of the project was 734.70 million euro. This programme is also referred to as Wessex Capacity Improvement Programme (WCIP). With the help of this project, passenger flows in longer platforms have been successfully improved. It has also provided 150 extra carriers (AppGov, 2023). </w:t>
      </w:r>
    </w:p>
    <w:p w14:paraId="00000005" w14:textId="77777777" w:rsidR="00525159" w:rsidRPr="00F1203A" w:rsidRDefault="00295454" w:rsidP="00F1203A">
      <w:pPr>
        <w:pStyle w:val="Heading1"/>
        <w:spacing w:line="360" w:lineRule="auto"/>
        <w:jc w:val="both"/>
        <w:rPr>
          <w:rFonts w:ascii="Times New Roman" w:eastAsia="Times New Roman" w:hAnsi="Times New Roman" w:cs="Times New Roman"/>
          <w:b/>
          <w:sz w:val="24"/>
          <w:szCs w:val="24"/>
        </w:rPr>
      </w:pPr>
      <w:bookmarkStart w:id="4" w:name="_7izik6uq7hoy" w:colFirst="0" w:colLast="0"/>
      <w:bookmarkStart w:id="5" w:name="_Toc142067664"/>
      <w:bookmarkEnd w:id="4"/>
      <w:r w:rsidRPr="00F1203A">
        <w:rPr>
          <w:rFonts w:ascii="Times New Roman" w:eastAsia="Times New Roman" w:hAnsi="Times New Roman" w:cs="Times New Roman"/>
          <w:b/>
          <w:sz w:val="24"/>
          <w:szCs w:val="24"/>
        </w:rPr>
        <w:t>Objectives of the project</w:t>
      </w:r>
      <w:bookmarkEnd w:id="5"/>
    </w:p>
    <w:p w14:paraId="00000006" w14:textId="77777777" w:rsidR="00525159" w:rsidRPr="00F1203A" w:rsidRDefault="00295454" w:rsidP="00F1203A">
      <w:pPr>
        <w:pStyle w:val="Normal1"/>
        <w:numPr>
          <w:ilvl w:val="0"/>
          <w:numId w:val="1"/>
        </w:numPr>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The focus of this project was to increase the capacity to carry more load. Reduction of overcrowding was also the focus of this project. With the help of this project, more trains can pass through this line with a large number of passengers. </w:t>
      </w:r>
    </w:p>
    <w:p w14:paraId="00000007" w14:textId="77777777" w:rsidR="00525159" w:rsidRPr="00F1203A" w:rsidRDefault="00295454" w:rsidP="00F1203A">
      <w:pPr>
        <w:pStyle w:val="Normal1"/>
        <w:numPr>
          <w:ilvl w:val="0"/>
          <w:numId w:val="1"/>
        </w:numPr>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The programme of this infrastructure develops in Waterloo (Stacy, 2017). Along with the Wessex route with new rolling stock, it helps to fulfil the State Secretary's Rail Investment Strategy, also known as High-level Output Specification (HLOS) (GOV.UK, 2023). </w:t>
      </w:r>
    </w:p>
    <w:p w14:paraId="00000008" w14:textId="77777777" w:rsidR="00525159" w:rsidRPr="00F1203A" w:rsidRDefault="00295454" w:rsidP="00F1203A">
      <w:pPr>
        <w:pStyle w:val="Normal1"/>
        <w:numPr>
          <w:ilvl w:val="0"/>
          <w:numId w:val="1"/>
        </w:numPr>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Improvement of the rail services related to frequency, quality and reliability have also been the focus of the project. </w:t>
      </w:r>
    </w:p>
    <w:p w14:paraId="00000009" w14:textId="77777777" w:rsidR="00525159" w:rsidRPr="00F1203A" w:rsidRDefault="00295454" w:rsidP="00F1203A">
      <w:pPr>
        <w:pStyle w:val="Normal1"/>
        <w:spacing w:line="360" w:lineRule="auto"/>
        <w:jc w:val="both"/>
        <w:rPr>
          <w:rFonts w:ascii="Times New Roman" w:eastAsia="Times New Roman" w:hAnsi="Times New Roman" w:cs="Times New Roman"/>
          <w:b/>
          <w:sz w:val="24"/>
          <w:szCs w:val="24"/>
        </w:rPr>
      </w:pPr>
      <w:r w:rsidRPr="00F1203A">
        <w:rPr>
          <w:rFonts w:ascii="Times New Roman" w:eastAsia="Times New Roman" w:hAnsi="Times New Roman" w:cs="Times New Roman"/>
          <w:b/>
          <w:sz w:val="24"/>
          <w:szCs w:val="24"/>
        </w:rPr>
        <w:t>Target stakeholders</w:t>
      </w:r>
    </w:p>
    <w:p w14:paraId="0000000A"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lastRenderedPageBreak/>
        <w:t>The target stakeholders of the programme are the director general, rail group, department of the transport board, rail users and government and non-government business platforms. The Secretary of the state was also among the target stakeholders of the programme (GOV.UK, 2023).</w:t>
      </w:r>
    </w:p>
    <w:p w14:paraId="0000000B" w14:textId="77777777" w:rsidR="00525159" w:rsidRPr="00F1203A" w:rsidRDefault="00295454" w:rsidP="00F1203A">
      <w:pPr>
        <w:pStyle w:val="Heading1"/>
        <w:spacing w:line="360" w:lineRule="auto"/>
        <w:jc w:val="both"/>
        <w:rPr>
          <w:rFonts w:ascii="Times New Roman" w:eastAsia="Times New Roman" w:hAnsi="Times New Roman" w:cs="Times New Roman"/>
          <w:b/>
          <w:sz w:val="24"/>
          <w:szCs w:val="24"/>
        </w:rPr>
      </w:pPr>
      <w:bookmarkStart w:id="6" w:name="_u3l0t44zd0p6" w:colFirst="0" w:colLast="0"/>
      <w:bookmarkStart w:id="7" w:name="_Toc142067665"/>
      <w:bookmarkEnd w:id="6"/>
      <w:r w:rsidRPr="00F1203A">
        <w:rPr>
          <w:rFonts w:ascii="Times New Roman" w:eastAsia="Times New Roman" w:hAnsi="Times New Roman" w:cs="Times New Roman"/>
          <w:b/>
          <w:sz w:val="24"/>
          <w:szCs w:val="24"/>
        </w:rPr>
        <w:t>Potential benefits</w:t>
      </w:r>
      <w:bookmarkEnd w:id="7"/>
    </w:p>
    <w:p w14:paraId="0000000C" w14:textId="77777777" w:rsidR="00525159" w:rsidRPr="00F1203A" w:rsidRDefault="00295454" w:rsidP="00F1203A">
      <w:pPr>
        <w:pStyle w:val="Normal1"/>
        <w:numPr>
          <w:ilvl w:val="0"/>
          <w:numId w:val="2"/>
        </w:numPr>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Due to the emergence of The South West Route Capacity Programme, future train delays can be eliminated.</w:t>
      </w:r>
    </w:p>
    <w:p w14:paraId="0000000D" w14:textId="77777777" w:rsidR="00525159" w:rsidRPr="00F1203A" w:rsidRDefault="00295454" w:rsidP="00F1203A">
      <w:pPr>
        <w:pStyle w:val="Normal1"/>
        <w:numPr>
          <w:ilvl w:val="0"/>
          <w:numId w:val="2"/>
        </w:numPr>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More efficient and convenient rail services can be provided which will improve the satisfaction of the passengers.</w:t>
      </w:r>
    </w:p>
    <w:p w14:paraId="0000000E" w14:textId="77777777" w:rsidR="00525159" w:rsidRPr="00F1203A" w:rsidRDefault="00295454" w:rsidP="00F1203A">
      <w:pPr>
        <w:pStyle w:val="Normal1"/>
        <w:numPr>
          <w:ilvl w:val="0"/>
          <w:numId w:val="2"/>
        </w:numPr>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The capacity of the train can also be enhanced. Along with people, industrial goods can also be carried through this route. </w:t>
      </w:r>
    </w:p>
    <w:p w14:paraId="0000000F" w14:textId="77777777" w:rsidR="00525159" w:rsidRPr="00F1203A" w:rsidRDefault="00295454" w:rsidP="00F1203A">
      <w:pPr>
        <w:pStyle w:val="Heading1"/>
        <w:spacing w:line="360" w:lineRule="auto"/>
        <w:jc w:val="both"/>
        <w:rPr>
          <w:rFonts w:ascii="Times New Roman" w:eastAsia="Times New Roman" w:hAnsi="Times New Roman" w:cs="Times New Roman"/>
          <w:b/>
          <w:sz w:val="24"/>
          <w:szCs w:val="24"/>
        </w:rPr>
      </w:pPr>
      <w:bookmarkStart w:id="8" w:name="_rle29il9fp05" w:colFirst="0" w:colLast="0"/>
      <w:bookmarkStart w:id="9" w:name="_Toc142067666"/>
      <w:bookmarkEnd w:id="8"/>
      <w:r w:rsidRPr="00F1203A">
        <w:rPr>
          <w:rFonts w:ascii="Times New Roman" w:eastAsia="Times New Roman" w:hAnsi="Times New Roman" w:cs="Times New Roman"/>
          <w:b/>
          <w:sz w:val="24"/>
          <w:szCs w:val="24"/>
        </w:rPr>
        <w:t>Community engagement of the local community</w:t>
      </w:r>
      <w:bookmarkEnd w:id="9"/>
    </w:p>
    <w:p w14:paraId="00000010"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Community engagement with the local community is quite a crucial factor in the success of a programme. It acts like fuel to the rail engine. The engagement of the local community started with the evaluation of the project. Depth research to know about the stakeholders, involvement of the government and the requirements of the community also triggered community engagement. Through the help of this research, multiple dimensions of the programme were explored. Various challenges, opportunities, advantages and disadvantages were explored with the help of this programme. Through the evaluation of this research, it became easier to take necessary decisions related to the project. Based on the analysis, informed and strong decisions are made. </w:t>
      </w:r>
    </w:p>
    <w:p w14:paraId="00000011"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With the help of community engagement multiple strategies can be formed (</w:t>
      </w:r>
      <w:r w:rsidRPr="00F1203A">
        <w:rPr>
          <w:rFonts w:ascii="Times New Roman" w:hAnsi="Times New Roman" w:cs="Times New Roman"/>
          <w:color w:val="222222"/>
          <w:sz w:val="24"/>
          <w:szCs w:val="24"/>
          <w:highlight w:val="white"/>
        </w:rPr>
        <w:t xml:space="preserve">Holmes </w:t>
      </w:r>
      <w:r w:rsidRPr="00F1203A">
        <w:rPr>
          <w:rFonts w:ascii="Times New Roman" w:hAnsi="Times New Roman" w:cs="Times New Roman"/>
          <w:i/>
          <w:color w:val="222222"/>
          <w:sz w:val="24"/>
          <w:szCs w:val="24"/>
          <w:highlight w:val="white"/>
        </w:rPr>
        <w:t xml:space="preserve">et al. </w:t>
      </w:r>
      <w:r w:rsidRPr="00F1203A">
        <w:rPr>
          <w:rFonts w:ascii="Times New Roman" w:hAnsi="Times New Roman" w:cs="Times New Roman"/>
          <w:color w:val="222222"/>
          <w:sz w:val="24"/>
          <w:szCs w:val="24"/>
          <w:highlight w:val="white"/>
        </w:rPr>
        <w:t>2019)</w:t>
      </w:r>
      <w:r w:rsidRPr="00F1203A">
        <w:rPr>
          <w:rFonts w:ascii="Times New Roman" w:eastAsia="Times New Roman" w:hAnsi="Times New Roman" w:cs="Times New Roman"/>
          <w:sz w:val="24"/>
          <w:szCs w:val="24"/>
        </w:rPr>
        <w:t>. It also focuses on collaboration. Due to the impact of collaboration, it becomes easier for the community to take an effective approach to the growth and development of this project. A platform was necessary to ask relevant questions to the stakeholders. The public consultancy, workshop and community meeting served quite well in this purpose. With the help of these platforms, the local community was able to share their concerns and opinions with others (</w:t>
      </w:r>
      <w:r w:rsidRPr="00F1203A">
        <w:rPr>
          <w:rFonts w:ascii="Times New Roman" w:hAnsi="Times New Roman" w:cs="Times New Roman"/>
          <w:color w:val="222222"/>
          <w:sz w:val="24"/>
          <w:szCs w:val="24"/>
          <w:highlight w:val="white"/>
        </w:rPr>
        <w:t xml:space="preserve">Muttaqin </w:t>
      </w:r>
      <w:r w:rsidRPr="00F1203A">
        <w:rPr>
          <w:rFonts w:ascii="Times New Roman" w:hAnsi="Times New Roman" w:cs="Times New Roman"/>
          <w:i/>
          <w:color w:val="222222"/>
          <w:sz w:val="24"/>
          <w:szCs w:val="24"/>
          <w:highlight w:val="white"/>
        </w:rPr>
        <w:t xml:space="preserve">et al. </w:t>
      </w:r>
      <w:r w:rsidRPr="00F1203A">
        <w:rPr>
          <w:rFonts w:ascii="Times New Roman" w:hAnsi="Times New Roman" w:cs="Times New Roman"/>
          <w:color w:val="222222"/>
          <w:sz w:val="24"/>
          <w:szCs w:val="24"/>
          <w:highlight w:val="white"/>
        </w:rPr>
        <w:t>2019)</w:t>
      </w:r>
      <w:r w:rsidRPr="00F1203A">
        <w:rPr>
          <w:rFonts w:ascii="Times New Roman" w:eastAsia="Times New Roman" w:hAnsi="Times New Roman" w:cs="Times New Roman"/>
          <w:sz w:val="24"/>
          <w:szCs w:val="24"/>
        </w:rPr>
        <w:t xml:space="preserve">. This communication and collaboration help the stakeholders to take the necessary implementations to complete the programme effectively. Through these engagements, a transparency and clear concept of the project is provided. Social media platforms have been quoted as helpful in this scenario. With the help of platforms like </w:t>
      </w:r>
      <w:r w:rsidRPr="00F1203A">
        <w:rPr>
          <w:rFonts w:ascii="Times New Roman" w:eastAsia="Times New Roman" w:hAnsi="Times New Roman" w:cs="Times New Roman"/>
          <w:sz w:val="24"/>
          <w:szCs w:val="24"/>
        </w:rPr>
        <w:lastRenderedPageBreak/>
        <w:t xml:space="preserve">Facebook, Twitter and Instagram, the local community was involved in the programme without having physical evidence. </w:t>
      </w:r>
    </w:p>
    <w:p w14:paraId="00000014" w14:textId="77777777" w:rsidR="00525159" w:rsidRPr="00F1203A" w:rsidRDefault="00295454" w:rsidP="00F1203A">
      <w:pPr>
        <w:pStyle w:val="Heading1"/>
        <w:spacing w:line="360" w:lineRule="auto"/>
        <w:jc w:val="both"/>
        <w:rPr>
          <w:rFonts w:ascii="Times New Roman" w:eastAsia="Times New Roman" w:hAnsi="Times New Roman" w:cs="Times New Roman"/>
          <w:b/>
          <w:sz w:val="24"/>
          <w:szCs w:val="24"/>
        </w:rPr>
      </w:pPr>
      <w:bookmarkStart w:id="10" w:name="_yxkjecp71w1o" w:colFirst="0" w:colLast="0"/>
      <w:bookmarkStart w:id="11" w:name="_Toc142067667"/>
      <w:bookmarkEnd w:id="10"/>
      <w:r w:rsidRPr="00F1203A">
        <w:rPr>
          <w:rFonts w:ascii="Times New Roman" w:eastAsia="Times New Roman" w:hAnsi="Times New Roman" w:cs="Times New Roman"/>
          <w:b/>
          <w:sz w:val="24"/>
          <w:szCs w:val="24"/>
        </w:rPr>
        <w:t>Identification of the areas they were mostly active and the reason behind it</w:t>
      </w:r>
      <w:bookmarkEnd w:id="11"/>
    </w:p>
    <w:p w14:paraId="00000015"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The local community was quite involved with the mentioned project. The reason behind this involvement was this project or programme was directly involved with the development of the society. Having a new train route was a necessity for the local community. Due to the involvement of this programme, multiple facilities can be accessed. Along with the local community, industries of the nearby places can also earn profits. This project was directly linked to the transport convenience of the local people. </w:t>
      </w:r>
    </w:p>
    <w:p w14:paraId="00000016" w14:textId="77777777" w:rsidR="00525159" w:rsidRPr="00F1203A" w:rsidRDefault="00295454" w:rsidP="00F1203A">
      <w:pPr>
        <w:pStyle w:val="Normal1"/>
        <w:spacing w:line="360" w:lineRule="auto"/>
        <w:jc w:val="both"/>
        <w:rPr>
          <w:rFonts w:ascii="Times New Roman" w:eastAsia="Times New Roman" w:hAnsi="Times New Roman" w:cs="Times New Roman"/>
          <w:b/>
          <w:sz w:val="24"/>
          <w:szCs w:val="24"/>
        </w:rPr>
      </w:pPr>
      <w:r w:rsidRPr="00F1203A">
        <w:rPr>
          <w:rFonts w:ascii="Times New Roman" w:eastAsia="Times New Roman" w:hAnsi="Times New Roman" w:cs="Times New Roman"/>
          <w:b/>
          <w:sz w:val="24"/>
          <w:szCs w:val="24"/>
        </w:rPr>
        <w:t>Engagement in social media</w:t>
      </w:r>
    </w:p>
    <w:p w14:paraId="00000017"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Social media platforms are quite a crowded place where people are involved. At present, people are more vocal in this digital media than in reality. The engagement of the social media platforms helped the community to stay engaged with the programme (</w:t>
      </w:r>
      <w:r w:rsidRPr="00F1203A">
        <w:rPr>
          <w:rFonts w:ascii="Times New Roman" w:hAnsi="Times New Roman" w:cs="Times New Roman"/>
          <w:color w:val="222222"/>
          <w:sz w:val="24"/>
          <w:szCs w:val="24"/>
          <w:highlight w:val="white"/>
        </w:rPr>
        <w:t xml:space="preserve">Sterrett </w:t>
      </w:r>
      <w:r w:rsidRPr="00F1203A">
        <w:rPr>
          <w:rFonts w:ascii="Times New Roman" w:hAnsi="Times New Roman" w:cs="Times New Roman"/>
          <w:i/>
          <w:color w:val="222222"/>
          <w:sz w:val="24"/>
          <w:szCs w:val="24"/>
          <w:highlight w:val="white"/>
        </w:rPr>
        <w:t xml:space="preserve">et al. </w:t>
      </w:r>
      <w:r w:rsidRPr="00F1203A">
        <w:rPr>
          <w:rFonts w:ascii="Times New Roman" w:hAnsi="Times New Roman" w:cs="Times New Roman"/>
          <w:color w:val="222222"/>
          <w:sz w:val="24"/>
          <w:szCs w:val="24"/>
          <w:highlight w:val="white"/>
        </w:rPr>
        <w:t>2019)</w:t>
      </w:r>
      <w:r w:rsidRPr="00F1203A">
        <w:rPr>
          <w:rFonts w:ascii="Times New Roman" w:eastAsia="Times New Roman" w:hAnsi="Times New Roman" w:cs="Times New Roman"/>
          <w:sz w:val="24"/>
          <w:szCs w:val="24"/>
        </w:rPr>
        <w:t xml:space="preserve">. The comfort and convenience of the social media platform helped it to stay updated with the programme. Through social media platforms, relevant queries are used to get solved. It also helped the community to stay updated and notified. These platforms also helped them to share their concerns and opinions. Some suggestions were also provided through these social media platforms. It also allowed direct decision-making in complex situations. </w:t>
      </w:r>
    </w:p>
    <w:p w14:paraId="00000018" w14:textId="77777777" w:rsidR="00525159" w:rsidRPr="00F1203A" w:rsidRDefault="00295454" w:rsidP="00F1203A">
      <w:pPr>
        <w:pStyle w:val="Normal1"/>
        <w:spacing w:line="360" w:lineRule="auto"/>
        <w:jc w:val="both"/>
        <w:rPr>
          <w:rFonts w:ascii="Times New Roman" w:eastAsia="Times New Roman" w:hAnsi="Times New Roman" w:cs="Times New Roman"/>
          <w:b/>
          <w:sz w:val="24"/>
          <w:szCs w:val="24"/>
        </w:rPr>
      </w:pPr>
      <w:r w:rsidRPr="00F1203A">
        <w:rPr>
          <w:rFonts w:ascii="Times New Roman" w:eastAsia="Times New Roman" w:hAnsi="Times New Roman" w:cs="Times New Roman"/>
          <w:b/>
          <w:sz w:val="24"/>
          <w:szCs w:val="24"/>
        </w:rPr>
        <w:t>Public consultation</w:t>
      </w:r>
    </w:p>
    <w:p w14:paraId="00000019" w14:textId="77777777" w:rsidR="00525159" w:rsidRPr="00F1203A" w:rsidRDefault="00295454" w:rsidP="00F1203A">
      <w:pPr>
        <w:pStyle w:val="Normal1"/>
        <w:spacing w:line="360" w:lineRule="auto"/>
        <w:jc w:val="both"/>
        <w:rPr>
          <w:rFonts w:ascii="Times New Roman" w:hAnsi="Times New Roman" w:cs="Times New Roman"/>
          <w:color w:val="222222"/>
          <w:sz w:val="24"/>
          <w:szCs w:val="24"/>
          <w:highlight w:val="white"/>
        </w:rPr>
      </w:pPr>
      <w:r w:rsidRPr="00F1203A">
        <w:rPr>
          <w:rFonts w:ascii="Times New Roman" w:eastAsia="Times New Roman" w:hAnsi="Times New Roman" w:cs="Times New Roman"/>
          <w:sz w:val="24"/>
          <w:szCs w:val="24"/>
        </w:rPr>
        <w:t>It is a common fact that whenever a project takes place in society. Nearby people get involved as their interests are also there. The local community was directly involved with the programme. Though online community engagement is quite easy and convenient, offline public engagement is more effective (</w:t>
      </w:r>
      <w:r w:rsidRPr="00F1203A">
        <w:rPr>
          <w:rFonts w:ascii="Times New Roman" w:hAnsi="Times New Roman" w:cs="Times New Roman"/>
          <w:color w:val="222222"/>
          <w:sz w:val="24"/>
          <w:szCs w:val="24"/>
          <w:highlight w:val="white"/>
        </w:rPr>
        <w:t xml:space="preserve">Tyrrell </w:t>
      </w:r>
      <w:r w:rsidRPr="00F1203A">
        <w:rPr>
          <w:rFonts w:ascii="Times New Roman" w:hAnsi="Times New Roman" w:cs="Times New Roman"/>
          <w:i/>
          <w:color w:val="222222"/>
          <w:sz w:val="24"/>
          <w:szCs w:val="24"/>
          <w:highlight w:val="white"/>
        </w:rPr>
        <w:t xml:space="preserve">et al. </w:t>
      </w:r>
      <w:r w:rsidRPr="00F1203A">
        <w:rPr>
          <w:rFonts w:ascii="Times New Roman" w:hAnsi="Times New Roman" w:cs="Times New Roman"/>
          <w:color w:val="222222"/>
          <w:sz w:val="24"/>
          <w:szCs w:val="24"/>
          <w:highlight w:val="white"/>
        </w:rPr>
        <w:t>2021)</w:t>
      </w:r>
      <w:r w:rsidRPr="00F1203A">
        <w:rPr>
          <w:rFonts w:ascii="Times New Roman" w:eastAsia="Times New Roman" w:hAnsi="Times New Roman" w:cs="Times New Roman"/>
          <w:sz w:val="24"/>
          <w:szCs w:val="24"/>
        </w:rPr>
        <w:t xml:space="preserve">. With the help of this public consultation, the local community raises their concern. In difficult situations, the local community also provided their opinions, concerns and suggestions. Public consultation is also considered a direct involvement of the local community. The active involvement of the local community triggered an effective involvement in the decision-making process of the programme. </w:t>
      </w:r>
    </w:p>
    <w:p w14:paraId="0000001A" w14:textId="77777777" w:rsidR="00525159" w:rsidRPr="00F1203A" w:rsidRDefault="00295454" w:rsidP="00F1203A">
      <w:pPr>
        <w:pStyle w:val="Heading1"/>
        <w:spacing w:line="360" w:lineRule="auto"/>
        <w:jc w:val="both"/>
        <w:rPr>
          <w:rFonts w:ascii="Times New Roman" w:eastAsia="Times New Roman" w:hAnsi="Times New Roman" w:cs="Times New Roman"/>
          <w:b/>
          <w:sz w:val="24"/>
          <w:szCs w:val="24"/>
        </w:rPr>
      </w:pPr>
      <w:bookmarkStart w:id="12" w:name="_abzrkiyxrvyq" w:colFirst="0" w:colLast="0"/>
      <w:bookmarkStart w:id="13" w:name="_Toc142067668"/>
      <w:bookmarkEnd w:id="12"/>
      <w:r w:rsidRPr="00F1203A">
        <w:rPr>
          <w:rFonts w:ascii="Times New Roman" w:eastAsia="Times New Roman" w:hAnsi="Times New Roman" w:cs="Times New Roman"/>
          <w:b/>
          <w:sz w:val="24"/>
          <w:szCs w:val="24"/>
        </w:rPr>
        <w:t>Adopted approaches</w:t>
      </w:r>
      <w:bookmarkEnd w:id="13"/>
    </w:p>
    <w:p w14:paraId="0000001B"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As the project was directly related to the development of the community, the local community went through several approaches for the betterment of this project. The very first approach taken by the local community is a collaboration (Shu.ac, 2023). Without the help of the </w:t>
      </w:r>
      <w:r w:rsidRPr="00F1203A">
        <w:rPr>
          <w:rFonts w:ascii="Times New Roman" w:eastAsia="Times New Roman" w:hAnsi="Times New Roman" w:cs="Times New Roman"/>
          <w:sz w:val="24"/>
          <w:szCs w:val="24"/>
        </w:rPr>
        <w:lastRenderedPageBreak/>
        <w:t>collaboration the completion of the project would not have been much effective. With the help of collaboration with the local community, access to various support was earned. This collaborative approach also enhanced collective advocacy. Along with this collaborative approach, deep discussion and knowledge sharing also took place in this case. The adopted approaches of the local community helped severely in the process of this project.</w:t>
      </w:r>
    </w:p>
    <w:p w14:paraId="0000001C"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Deep discussion and knowledge sharing are closely related to each other. With the help of deep discussion necessary information related to the project was evaluated. It also helped the local community to share knowledge related to the project. Through these approaches, transparency among the local community is also set. Because of this aspect, they could share their concern as well as opinions for the betterment of the project. Throughout the course of the project, several other approaches like commitment, diversity and inclusion also emerged. With the help of all these approaches, the mentioned project became more successful. </w:t>
      </w:r>
    </w:p>
    <w:p w14:paraId="0000001D" w14:textId="77777777" w:rsidR="00525159" w:rsidRPr="00F1203A" w:rsidRDefault="00295454" w:rsidP="00F1203A">
      <w:pPr>
        <w:pStyle w:val="Heading1"/>
        <w:spacing w:line="360" w:lineRule="auto"/>
        <w:jc w:val="both"/>
        <w:rPr>
          <w:rFonts w:ascii="Times New Roman" w:eastAsia="Times New Roman" w:hAnsi="Times New Roman" w:cs="Times New Roman"/>
          <w:b/>
          <w:sz w:val="24"/>
          <w:szCs w:val="24"/>
        </w:rPr>
      </w:pPr>
      <w:bookmarkStart w:id="14" w:name="_8vq7dz5ds995" w:colFirst="0" w:colLast="0"/>
      <w:bookmarkStart w:id="15" w:name="_Toc142067669"/>
      <w:bookmarkEnd w:id="14"/>
      <w:r w:rsidRPr="00F1203A">
        <w:rPr>
          <w:rFonts w:ascii="Times New Roman" w:eastAsia="Times New Roman" w:hAnsi="Times New Roman" w:cs="Times New Roman"/>
          <w:b/>
          <w:sz w:val="24"/>
          <w:szCs w:val="24"/>
        </w:rPr>
        <w:t>Options for the engagement of community members via the planning process</w:t>
      </w:r>
      <w:bookmarkEnd w:id="15"/>
    </w:p>
    <w:p w14:paraId="0000001E"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There are several options available through which community members can be connected in the planning process. Engagement of the community members through the planning process is quite helpful in the overall process of the project. Following are some options related to the engagement of community members.</w:t>
      </w:r>
    </w:p>
    <w:p w14:paraId="0000001F" w14:textId="77777777" w:rsidR="00525159" w:rsidRPr="00F1203A" w:rsidRDefault="00295454" w:rsidP="00F1203A">
      <w:pPr>
        <w:pStyle w:val="Normal1"/>
        <w:spacing w:line="360" w:lineRule="auto"/>
        <w:jc w:val="both"/>
        <w:rPr>
          <w:rFonts w:ascii="Times New Roman" w:eastAsia="Times New Roman" w:hAnsi="Times New Roman" w:cs="Times New Roman"/>
          <w:b/>
          <w:sz w:val="24"/>
          <w:szCs w:val="24"/>
        </w:rPr>
      </w:pPr>
      <w:r w:rsidRPr="00F1203A">
        <w:rPr>
          <w:rFonts w:ascii="Times New Roman" w:eastAsia="Times New Roman" w:hAnsi="Times New Roman" w:cs="Times New Roman"/>
          <w:b/>
          <w:sz w:val="24"/>
          <w:szCs w:val="24"/>
        </w:rPr>
        <w:t>Public meetings</w:t>
      </w:r>
    </w:p>
    <w:p w14:paraId="00000020"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Public meetings are quite helpful in this case as it provides a helpful and supportive platform for the local community (</w:t>
      </w:r>
      <w:r w:rsidRPr="00F1203A">
        <w:rPr>
          <w:rFonts w:ascii="Times New Roman" w:hAnsi="Times New Roman" w:cs="Times New Roman"/>
          <w:color w:val="222222"/>
          <w:sz w:val="24"/>
          <w:szCs w:val="24"/>
          <w:highlight w:val="white"/>
        </w:rPr>
        <w:t xml:space="preserve">Galasso </w:t>
      </w:r>
      <w:r w:rsidRPr="00F1203A">
        <w:rPr>
          <w:rFonts w:ascii="Times New Roman" w:hAnsi="Times New Roman" w:cs="Times New Roman"/>
          <w:i/>
          <w:color w:val="222222"/>
          <w:sz w:val="24"/>
          <w:szCs w:val="24"/>
          <w:highlight w:val="white"/>
        </w:rPr>
        <w:t xml:space="preserve">et al. </w:t>
      </w:r>
      <w:r w:rsidRPr="00F1203A">
        <w:rPr>
          <w:rFonts w:ascii="Times New Roman" w:hAnsi="Times New Roman" w:cs="Times New Roman"/>
          <w:color w:val="222222"/>
          <w:sz w:val="24"/>
          <w:szCs w:val="24"/>
          <w:highlight w:val="white"/>
        </w:rPr>
        <w:t>2020)</w:t>
      </w:r>
      <w:r w:rsidRPr="00F1203A">
        <w:rPr>
          <w:rFonts w:ascii="Times New Roman" w:eastAsia="Times New Roman" w:hAnsi="Times New Roman" w:cs="Times New Roman"/>
          <w:sz w:val="24"/>
          <w:szCs w:val="24"/>
        </w:rPr>
        <w:t xml:space="preserve">. Through public meetings, community members can enlighten themselves about the process. Since it is a comfortable platform, it can raise questions related to the project. It also promotes one-to-one discussions. This interaction promotes direct engagement in the community. </w:t>
      </w:r>
    </w:p>
    <w:p w14:paraId="00000021" w14:textId="77777777" w:rsidR="00525159" w:rsidRPr="00F1203A" w:rsidRDefault="00295454" w:rsidP="00F1203A">
      <w:pPr>
        <w:pStyle w:val="Normal1"/>
        <w:spacing w:line="360" w:lineRule="auto"/>
        <w:jc w:val="both"/>
        <w:rPr>
          <w:rFonts w:ascii="Times New Roman" w:eastAsia="Times New Roman" w:hAnsi="Times New Roman" w:cs="Times New Roman"/>
          <w:b/>
          <w:sz w:val="24"/>
          <w:szCs w:val="24"/>
        </w:rPr>
      </w:pPr>
      <w:r w:rsidRPr="00F1203A">
        <w:rPr>
          <w:rFonts w:ascii="Times New Roman" w:eastAsia="Times New Roman" w:hAnsi="Times New Roman" w:cs="Times New Roman"/>
          <w:b/>
          <w:sz w:val="24"/>
          <w:szCs w:val="24"/>
        </w:rPr>
        <w:t>Partnership with local establishments</w:t>
      </w:r>
    </w:p>
    <w:p w14:paraId="00000022"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It is one of the most effective ways through which local people can get connected with the project (</w:t>
      </w:r>
      <w:r w:rsidRPr="00F1203A">
        <w:rPr>
          <w:rFonts w:ascii="Times New Roman" w:hAnsi="Times New Roman" w:cs="Times New Roman"/>
          <w:color w:val="222222"/>
          <w:sz w:val="24"/>
          <w:szCs w:val="24"/>
          <w:highlight w:val="white"/>
        </w:rPr>
        <w:t xml:space="preserve">Mishra </w:t>
      </w:r>
      <w:r w:rsidRPr="00F1203A">
        <w:rPr>
          <w:rFonts w:ascii="Times New Roman" w:hAnsi="Times New Roman" w:cs="Times New Roman"/>
          <w:i/>
          <w:color w:val="222222"/>
          <w:sz w:val="24"/>
          <w:szCs w:val="24"/>
          <w:highlight w:val="white"/>
        </w:rPr>
        <w:t xml:space="preserve">et al. </w:t>
      </w:r>
      <w:r w:rsidRPr="00F1203A">
        <w:rPr>
          <w:rFonts w:ascii="Times New Roman" w:hAnsi="Times New Roman" w:cs="Times New Roman"/>
          <w:color w:val="222222"/>
          <w:sz w:val="24"/>
          <w:szCs w:val="24"/>
          <w:highlight w:val="white"/>
        </w:rPr>
        <w:t>2021)</w:t>
      </w:r>
      <w:r w:rsidRPr="00F1203A">
        <w:rPr>
          <w:rFonts w:ascii="Times New Roman" w:eastAsia="Times New Roman" w:hAnsi="Times New Roman" w:cs="Times New Roman"/>
          <w:sz w:val="24"/>
          <w:szCs w:val="24"/>
        </w:rPr>
        <w:t>. Companies can also get support from local companies and get access to resources. It will also help each other economically. Through outreach efforts, joint initiatives and shared resources, the completion of the project can be more effective.</w:t>
      </w:r>
    </w:p>
    <w:p w14:paraId="00000023" w14:textId="77777777" w:rsidR="00525159" w:rsidRPr="00F1203A" w:rsidRDefault="00295454" w:rsidP="00F1203A">
      <w:pPr>
        <w:pStyle w:val="Normal1"/>
        <w:spacing w:line="360" w:lineRule="auto"/>
        <w:jc w:val="both"/>
        <w:rPr>
          <w:rFonts w:ascii="Times New Roman" w:eastAsia="Times New Roman" w:hAnsi="Times New Roman" w:cs="Times New Roman"/>
          <w:b/>
          <w:sz w:val="24"/>
          <w:szCs w:val="24"/>
        </w:rPr>
      </w:pPr>
      <w:r w:rsidRPr="00F1203A">
        <w:rPr>
          <w:rFonts w:ascii="Times New Roman" w:eastAsia="Times New Roman" w:hAnsi="Times New Roman" w:cs="Times New Roman"/>
          <w:b/>
          <w:sz w:val="24"/>
          <w:szCs w:val="24"/>
        </w:rPr>
        <w:t xml:space="preserve">Information Centre </w:t>
      </w:r>
    </w:p>
    <w:p w14:paraId="00000024"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The community information centre is another option that can be directly involved with the planning process of the community. It provides a certain space for the local community. Due </w:t>
      </w:r>
      <w:r w:rsidRPr="00F1203A">
        <w:rPr>
          <w:rFonts w:ascii="Times New Roman" w:eastAsia="Times New Roman" w:hAnsi="Times New Roman" w:cs="Times New Roman"/>
          <w:sz w:val="24"/>
          <w:szCs w:val="24"/>
        </w:rPr>
        <w:lastRenderedPageBreak/>
        <w:t xml:space="preserve">to this physical space, the members of the community can also receive assistance related to the project. They can also quench their thirst for queries through questionnaires. </w:t>
      </w:r>
    </w:p>
    <w:p w14:paraId="00000025" w14:textId="77777777" w:rsidR="00525159" w:rsidRPr="00F1203A" w:rsidRDefault="00295454" w:rsidP="00F1203A">
      <w:pPr>
        <w:pStyle w:val="Normal1"/>
        <w:spacing w:line="360" w:lineRule="auto"/>
        <w:jc w:val="both"/>
        <w:rPr>
          <w:rFonts w:ascii="Times New Roman" w:eastAsia="Times New Roman" w:hAnsi="Times New Roman" w:cs="Times New Roman"/>
          <w:b/>
          <w:sz w:val="24"/>
          <w:szCs w:val="24"/>
        </w:rPr>
      </w:pPr>
      <w:r w:rsidRPr="00F1203A">
        <w:rPr>
          <w:rFonts w:ascii="Times New Roman" w:eastAsia="Times New Roman" w:hAnsi="Times New Roman" w:cs="Times New Roman"/>
          <w:b/>
          <w:sz w:val="24"/>
          <w:szCs w:val="24"/>
        </w:rPr>
        <w:t>Advisory Committee</w:t>
      </w:r>
    </w:p>
    <w:p w14:paraId="00000026" w14:textId="77777777" w:rsidR="00525159" w:rsidRPr="00F1203A" w:rsidRDefault="00295454" w:rsidP="00F1203A">
      <w:pPr>
        <w:pStyle w:val="Normal1"/>
        <w:spacing w:line="360" w:lineRule="auto"/>
        <w:jc w:val="both"/>
        <w:rPr>
          <w:rFonts w:ascii="Times New Roman" w:hAnsi="Times New Roman" w:cs="Times New Roman"/>
          <w:color w:val="222222"/>
          <w:sz w:val="24"/>
          <w:szCs w:val="24"/>
          <w:highlight w:val="white"/>
        </w:rPr>
      </w:pPr>
      <w:r w:rsidRPr="00F1203A">
        <w:rPr>
          <w:rFonts w:ascii="Times New Roman" w:eastAsia="Times New Roman" w:hAnsi="Times New Roman" w:cs="Times New Roman"/>
          <w:sz w:val="24"/>
          <w:szCs w:val="24"/>
        </w:rPr>
        <w:t>It is probably the most effective option available in the engagement process of the community (</w:t>
      </w:r>
      <w:r w:rsidRPr="00F1203A">
        <w:rPr>
          <w:rFonts w:ascii="Times New Roman" w:hAnsi="Times New Roman" w:cs="Times New Roman"/>
          <w:color w:val="222222"/>
          <w:sz w:val="24"/>
          <w:szCs w:val="24"/>
          <w:highlight w:val="white"/>
        </w:rPr>
        <w:t xml:space="preserve">Thesing </w:t>
      </w:r>
      <w:r w:rsidRPr="00F1203A">
        <w:rPr>
          <w:rFonts w:ascii="Times New Roman" w:hAnsi="Times New Roman" w:cs="Times New Roman"/>
          <w:i/>
          <w:color w:val="222222"/>
          <w:sz w:val="24"/>
          <w:szCs w:val="24"/>
          <w:highlight w:val="white"/>
        </w:rPr>
        <w:t xml:space="preserve">et al. </w:t>
      </w:r>
      <w:r w:rsidRPr="00F1203A">
        <w:rPr>
          <w:rFonts w:ascii="Times New Roman" w:hAnsi="Times New Roman" w:cs="Times New Roman"/>
          <w:color w:val="222222"/>
          <w:sz w:val="24"/>
          <w:szCs w:val="24"/>
          <w:highlight w:val="white"/>
        </w:rPr>
        <w:t>2021)</w:t>
      </w:r>
      <w:r w:rsidRPr="00F1203A">
        <w:rPr>
          <w:rFonts w:ascii="Times New Roman" w:eastAsia="Times New Roman" w:hAnsi="Times New Roman" w:cs="Times New Roman"/>
          <w:sz w:val="24"/>
          <w:szCs w:val="24"/>
        </w:rPr>
        <w:t xml:space="preserve">. In a community advisory committee, multiple locals are involved. Because of these multiple opinions and diverse perceptions are generated. One of the most effective ways in this case is the involvement of online platforms. It helps in planning by considering multiple factors that can affect the process of the project. It is also quite easy to involve all local community members in the project activity. </w:t>
      </w:r>
    </w:p>
    <w:p w14:paraId="00000027" w14:textId="77777777" w:rsidR="00525159" w:rsidRPr="00F1203A" w:rsidRDefault="00295454" w:rsidP="00F1203A">
      <w:pPr>
        <w:pStyle w:val="Heading1"/>
        <w:spacing w:line="360" w:lineRule="auto"/>
        <w:jc w:val="both"/>
        <w:rPr>
          <w:rFonts w:ascii="Times New Roman" w:eastAsia="Times New Roman" w:hAnsi="Times New Roman" w:cs="Times New Roman"/>
          <w:b/>
          <w:sz w:val="24"/>
          <w:szCs w:val="24"/>
        </w:rPr>
      </w:pPr>
      <w:bookmarkStart w:id="16" w:name="_t6rrnx1nedf9" w:colFirst="0" w:colLast="0"/>
      <w:bookmarkStart w:id="17" w:name="_Toc142067670"/>
      <w:bookmarkEnd w:id="16"/>
      <w:r w:rsidRPr="00F1203A">
        <w:rPr>
          <w:rFonts w:ascii="Times New Roman" w:eastAsia="Times New Roman" w:hAnsi="Times New Roman" w:cs="Times New Roman"/>
          <w:b/>
          <w:sz w:val="24"/>
          <w:szCs w:val="24"/>
        </w:rPr>
        <w:t>Learned lessons</w:t>
      </w:r>
      <w:bookmarkEnd w:id="17"/>
    </w:p>
    <w:p w14:paraId="00000028"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The importance of the mentioned project led to multiple lessons. These lessons can be quite helpful in future projects. Following are some learning lessons that have been evaluated.</w:t>
      </w:r>
    </w:p>
    <w:p w14:paraId="00000029" w14:textId="77777777" w:rsidR="00525159" w:rsidRPr="00F1203A" w:rsidRDefault="00295454" w:rsidP="00F1203A">
      <w:pPr>
        <w:pStyle w:val="Normal1"/>
        <w:spacing w:line="360" w:lineRule="auto"/>
        <w:jc w:val="both"/>
        <w:rPr>
          <w:rFonts w:ascii="Times New Roman" w:eastAsia="Times New Roman" w:hAnsi="Times New Roman" w:cs="Times New Roman"/>
          <w:b/>
          <w:sz w:val="24"/>
          <w:szCs w:val="24"/>
        </w:rPr>
      </w:pPr>
      <w:r w:rsidRPr="00F1203A">
        <w:rPr>
          <w:rFonts w:ascii="Times New Roman" w:eastAsia="Times New Roman" w:hAnsi="Times New Roman" w:cs="Times New Roman"/>
          <w:b/>
          <w:sz w:val="24"/>
          <w:szCs w:val="24"/>
        </w:rPr>
        <w:t>Long-term advantages</w:t>
      </w:r>
    </w:p>
    <w:p w14:paraId="0000002A"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Throughout the project and its planning, it has been evaluated that consideration of long-term benefits is crucial for the future. It will have a positive effect on sustainable assistance, transport and economic growth. </w:t>
      </w:r>
    </w:p>
    <w:p w14:paraId="0000002B" w14:textId="77777777" w:rsidR="00525159" w:rsidRPr="00F1203A" w:rsidRDefault="00295454" w:rsidP="00F1203A">
      <w:pPr>
        <w:pStyle w:val="Normal1"/>
        <w:spacing w:line="360" w:lineRule="auto"/>
        <w:jc w:val="both"/>
        <w:rPr>
          <w:rFonts w:ascii="Times New Roman" w:eastAsia="Times New Roman" w:hAnsi="Times New Roman" w:cs="Times New Roman"/>
          <w:b/>
          <w:sz w:val="24"/>
          <w:szCs w:val="24"/>
        </w:rPr>
      </w:pPr>
      <w:r w:rsidRPr="00F1203A">
        <w:rPr>
          <w:rFonts w:ascii="Times New Roman" w:eastAsia="Times New Roman" w:hAnsi="Times New Roman" w:cs="Times New Roman"/>
          <w:b/>
          <w:sz w:val="24"/>
          <w:szCs w:val="24"/>
        </w:rPr>
        <w:t>Effective communication</w:t>
      </w:r>
    </w:p>
    <w:p w14:paraId="0000002C"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The impact of effective communication is severe. It has the ability to solve almost all issues that may occur in a project (</w:t>
      </w:r>
      <w:r w:rsidRPr="00F1203A">
        <w:rPr>
          <w:rFonts w:ascii="Times New Roman" w:hAnsi="Times New Roman" w:cs="Times New Roman"/>
          <w:color w:val="222222"/>
          <w:sz w:val="24"/>
          <w:szCs w:val="24"/>
          <w:highlight w:val="white"/>
        </w:rPr>
        <w:t xml:space="preserve">Geng </w:t>
      </w:r>
      <w:r w:rsidRPr="00F1203A">
        <w:rPr>
          <w:rFonts w:ascii="Times New Roman" w:hAnsi="Times New Roman" w:cs="Times New Roman"/>
          <w:i/>
          <w:color w:val="222222"/>
          <w:sz w:val="24"/>
          <w:szCs w:val="24"/>
          <w:highlight w:val="white"/>
        </w:rPr>
        <w:t xml:space="preserve">et al. </w:t>
      </w:r>
      <w:r w:rsidRPr="00F1203A">
        <w:rPr>
          <w:rFonts w:ascii="Times New Roman" w:hAnsi="Times New Roman" w:cs="Times New Roman"/>
          <w:color w:val="222222"/>
          <w:sz w:val="24"/>
          <w:szCs w:val="24"/>
          <w:highlight w:val="white"/>
        </w:rPr>
        <w:t>2019)</w:t>
      </w:r>
      <w:r w:rsidRPr="00F1203A">
        <w:rPr>
          <w:rFonts w:ascii="Times New Roman" w:eastAsia="Times New Roman" w:hAnsi="Times New Roman" w:cs="Times New Roman"/>
          <w:sz w:val="24"/>
          <w:szCs w:val="24"/>
        </w:rPr>
        <w:t>. Since there are many people involved in the project, the communication process serves a significant purpose. With the help of effective communication, a clear and comprehensive understanding related to matters can be provided to all people. Since communities are an important part of this project, it is crucial to provide them comprehensive understanding. It helps them to be convinced and understand various factors with clarity.</w:t>
      </w:r>
    </w:p>
    <w:p w14:paraId="0000002D" w14:textId="77777777" w:rsidR="00525159" w:rsidRPr="00F1203A" w:rsidRDefault="00295454" w:rsidP="00F1203A">
      <w:pPr>
        <w:pStyle w:val="Normal1"/>
        <w:spacing w:line="360" w:lineRule="auto"/>
        <w:jc w:val="both"/>
        <w:rPr>
          <w:rFonts w:ascii="Times New Roman" w:eastAsia="Times New Roman" w:hAnsi="Times New Roman" w:cs="Times New Roman"/>
          <w:b/>
          <w:sz w:val="24"/>
          <w:szCs w:val="24"/>
        </w:rPr>
      </w:pPr>
      <w:r w:rsidRPr="00F1203A">
        <w:rPr>
          <w:rFonts w:ascii="Times New Roman" w:eastAsia="Times New Roman" w:hAnsi="Times New Roman" w:cs="Times New Roman"/>
          <w:b/>
          <w:sz w:val="24"/>
          <w:szCs w:val="24"/>
        </w:rPr>
        <w:t>Community engagement</w:t>
      </w:r>
    </w:p>
    <w:p w14:paraId="0000002E"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Throughout the process of the project, it has been noticed that the engagement of the community can be quite helpful in this case. With the help of community engagement, a company can have access to multiple help (</w:t>
      </w:r>
      <w:r w:rsidRPr="00F1203A">
        <w:rPr>
          <w:rFonts w:ascii="Times New Roman" w:hAnsi="Times New Roman" w:cs="Times New Roman"/>
          <w:color w:val="222222"/>
          <w:sz w:val="24"/>
          <w:szCs w:val="24"/>
          <w:highlight w:val="white"/>
        </w:rPr>
        <w:t xml:space="preserve">Gilmore </w:t>
      </w:r>
      <w:r w:rsidRPr="00F1203A">
        <w:rPr>
          <w:rFonts w:ascii="Times New Roman" w:hAnsi="Times New Roman" w:cs="Times New Roman"/>
          <w:i/>
          <w:color w:val="222222"/>
          <w:sz w:val="24"/>
          <w:szCs w:val="24"/>
          <w:highlight w:val="white"/>
        </w:rPr>
        <w:t xml:space="preserve">et al. </w:t>
      </w:r>
      <w:r w:rsidRPr="00F1203A">
        <w:rPr>
          <w:rFonts w:ascii="Times New Roman" w:hAnsi="Times New Roman" w:cs="Times New Roman"/>
          <w:color w:val="222222"/>
          <w:sz w:val="24"/>
          <w:szCs w:val="24"/>
          <w:highlight w:val="white"/>
        </w:rPr>
        <w:t>2020)</w:t>
      </w:r>
      <w:r w:rsidRPr="00F1203A">
        <w:rPr>
          <w:rFonts w:ascii="Times New Roman" w:eastAsia="Times New Roman" w:hAnsi="Times New Roman" w:cs="Times New Roman"/>
          <w:sz w:val="24"/>
          <w:szCs w:val="24"/>
        </w:rPr>
        <w:t xml:space="preserve">. Together they can complete the project more effectively. </w:t>
      </w:r>
    </w:p>
    <w:p w14:paraId="0000002F" w14:textId="77777777" w:rsidR="00525159" w:rsidRPr="00F1203A" w:rsidRDefault="00295454" w:rsidP="00F1203A">
      <w:pPr>
        <w:pStyle w:val="Heading1"/>
        <w:spacing w:line="360" w:lineRule="auto"/>
        <w:jc w:val="both"/>
        <w:rPr>
          <w:rFonts w:ascii="Times New Roman" w:eastAsia="Times New Roman" w:hAnsi="Times New Roman" w:cs="Times New Roman"/>
          <w:b/>
          <w:sz w:val="24"/>
          <w:szCs w:val="24"/>
        </w:rPr>
      </w:pPr>
      <w:bookmarkStart w:id="18" w:name="_gup5593ezkkb" w:colFirst="0" w:colLast="0"/>
      <w:bookmarkStart w:id="19" w:name="_Toc142067671"/>
      <w:bookmarkEnd w:id="18"/>
      <w:r w:rsidRPr="00F1203A">
        <w:rPr>
          <w:rFonts w:ascii="Times New Roman" w:eastAsia="Times New Roman" w:hAnsi="Times New Roman" w:cs="Times New Roman"/>
          <w:b/>
          <w:sz w:val="24"/>
          <w:szCs w:val="24"/>
        </w:rPr>
        <w:lastRenderedPageBreak/>
        <w:t>Post-project planning</w:t>
      </w:r>
      <w:bookmarkEnd w:id="19"/>
    </w:p>
    <w:p w14:paraId="00000030" w14:textId="77777777" w:rsidR="00525159" w:rsidRPr="00F1203A" w:rsidRDefault="00295454" w:rsidP="00F1203A">
      <w:pPr>
        <w:pStyle w:val="Normal1"/>
        <w:spacing w:line="360" w:lineRule="auto"/>
        <w:jc w:val="both"/>
        <w:rPr>
          <w:rFonts w:ascii="Times New Roman" w:hAnsi="Times New Roman" w:cs="Times New Roman"/>
          <w:color w:val="222222"/>
          <w:sz w:val="24"/>
          <w:szCs w:val="24"/>
          <w:highlight w:val="white"/>
        </w:rPr>
      </w:pPr>
      <w:r w:rsidRPr="00F1203A">
        <w:rPr>
          <w:rFonts w:ascii="Times New Roman" w:eastAsia="Times New Roman" w:hAnsi="Times New Roman" w:cs="Times New Roman"/>
          <w:sz w:val="24"/>
          <w:szCs w:val="24"/>
        </w:rPr>
        <w:t>Throughout the process of the mentioned project, multiple post-project planning were considered. This post-project planning helped to understand whether the project was completed according to the planning. Defects and errors in the project can also be evaluated with the help of this post-project planning. Multiple post-project planning like analysis, monitoring, evaluation, consideration of the benefits, engagement of the stakeholder, maintenance, learned lessons, knowledge sharing and others are considered. Each of these post-project planning was equally important. For instance, maintenance of the project ensures no damage takes place. Monitoring, on the other hand, takes care of all types of issues (</w:t>
      </w:r>
      <w:r w:rsidRPr="00F1203A">
        <w:rPr>
          <w:rFonts w:ascii="Times New Roman" w:hAnsi="Times New Roman" w:cs="Times New Roman"/>
          <w:color w:val="222222"/>
          <w:sz w:val="24"/>
          <w:szCs w:val="24"/>
          <w:highlight w:val="white"/>
        </w:rPr>
        <w:t xml:space="preserve">Tereso </w:t>
      </w:r>
      <w:r w:rsidRPr="00F1203A">
        <w:rPr>
          <w:rFonts w:ascii="Times New Roman" w:hAnsi="Times New Roman" w:cs="Times New Roman"/>
          <w:i/>
          <w:color w:val="222222"/>
          <w:sz w:val="24"/>
          <w:szCs w:val="24"/>
          <w:highlight w:val="white"/>
        </w:rPr>
        <w:t xml:space="preserve">et al. </w:t>
      </w:r>
      <w:r w:rsidRPr="00F1203A">
        <w:rPr>
          <w:rFonts w:ascii="Times New Roman" w:hAnsi="Times New Roman" w:cs="Times New Roman"/>
          <w:color w:val="222222"/>
          <w:sz w:val="24"/>
          <w:szCs w:val="24"/>
          <w:highlight w:val="white"/>
        </w:rPr>
        <w:t>2019)</w:t>
      </w:r>
      <w:r w:rsidRPr="00F1203A">
        <w:rPr>
          <w:rFonts w:ascii="Times New Roman" w:eastAsia="Times New Roman" w:hAnsi="Times New Roman" w:cs="Times New Roman"/>
          <w:sz w:val="24"/>
          <w:szCs w:val="24"/>
        </w:rPr>
        <w:t xml:space="preserve">. </w:t>
      </w:r>
    </w:p>
    <w:p w14:paraId="00000031"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These plans also consider maintenance, inspection, evaluation of the process and others. Based on this post-project planning, future complications can be avoided (</w:t>
      </w:r>
      <w:r w:rsidRPr="00F1203A">
        <w:rPr>
          <w:rFonts w:ascii="Times New Roman" w:hAnsi="Times New Roman" w:cs="Times New Roman"/>
          <w:color w:val="222222"/>
          <w:sz w:val="24"/>
          <w:szCs w:val="24"/>
          <w:highlight w:val="white"/>
        </w:rPr>
        <w:t>Lin and Fan, 2019)</w:t>
      </w:r>
      <w:r w:rsidRPr="00F1203A">
        <w:rPr>
          <w:rFonts w:ascii="Times New Roman" w:eastAsia="Times New Roman" w:hAnsi="Times New Roman" w:cs="Times New Roman"/>
          <w:sz w:val="24"/>
          <w:szCs w:val="24"/>
        </w:rPr>
        <w:t xml:space="preserve">. In this process, the role of stakeholders is also considered. The importance of stakeholder involvement is quite important in this case. Without the help of community involvement, the completion of a project can not be much effective. Throughout the planning and process of the project, the community keeps interacting with each other and sharing necessary information. Thus, consideration of the involvement of post-project planning is quite important. Participation of a community in the process is quite important as it helps the project team to evolve. </w:t>
      </w:r>
    </w:p>
    <w:p w14:paraId="00000032" w14:textId="77777777" w:rsidR="00525159" w:rsidRPr="00F1203A" w:rsidRDefault="00295454" w:rsidP="00F1203A">
      <w:pPr>
        <w:pStyle w:val="Heading1"/>
        <w:spacing w:line="360" w:lineRule="auto"/>
        <w:jc w:val="both"/>
        <w:rPr>
          <w:rFonts w:ascii="Times New Roman" w:eastAsia="Times New Roman" w:hAnsi="Times New Roman" w:cs="Times New Roman"/>
          <w:b/>
          <w:sz w:val="24"/>
          <w:szCs w:val="24"/>
        </w:rPr>
      </w:pPr>
      <w:bookmarkStart w:id="20" w:name="_131jtlap5kiw" w:colFirst="0" w:colLast="0"/>
      <w:bookmarkStart w:id="21" w:name="_Toc142067672"/>
      <w:bookmarkEnd w:id="20"/>
      <w:r w:rsidRPr="00F1203A">
        <w:rPr>
          <w:rFonts w:ascii="Times New Roman" w:eastAsia="Times New Roman" w:hAnsi="Times New Roman" w:cs="Times New Roman"/>
          <w:b/>
          <w:sz w:val="24"/>
          <w:szCs w:val="24"/>
        </w:rPr>
        <w:t>Conclusion</w:t>
      </w:r>
      <w:bookmarkEnd w:id="21"/>
    </w:p>
    <w:p w14:paraId="00000033"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Based on the above discussion it can be summarised that The South West Route Programme is one of the important projects that has severe involvement in the development of the community. The study has provided a brief description of the project. It has also disclosed the objectives of the project. Target stakeholders and potential benefits of the mentioned project have also been evaluated in the above discussion. The study has also discussed community engagement in the local community. It has also identified the areas in which communities were mostly active. Some adopted approaches are also mentioned in the study. </w:t>
      </w:r>
    </w:p>
    <w:p w14:paraId="00000034"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Based on the summary of the above discussion, it is recommended that partnership with the local companies can be quite helpful in the process of a project. Another recommendation, in this case, is the involvement of an inspector throughout the project. Raw materials of the project must be checked to avoid future reconstruction. It is also recommended to allow open communication and discussion with the local community before making any plan. It will help to solve most of the planning issues before the actual process of the project. </w:t>
      </w:r>
    </w:p>
    <w:p w14:paraId="00000035" w14:textId="77777777" w:rsidR="00525159" w:rsidRPr="00F1203A" w:rsidRDefault="00295454" w:rsidP="00F1203A">
      <w:pPr>
        <w:pStyle w:val="Normal1"/>
        <w:spacing w:line="360" w:lineRule="auto"/>
        <w:jc w:val="both"/>
        <w:rPr>
          <w:rFonts w:ascii="Times New Roman" w:eastAsia="Times New Roman" w:hAnsi="Times New Roman" w:cs="Times New Roman"/>
          <w:sz w:val="24"/>
          <w:szCs w:val="24"/>
        </w:rPr>
      </w:pPr>
      <w:r w:rsidRPr="00F1203A">
        <w:rPr>
          <w:rFonts w:ascii="Times New Roman" w:hAnsi="Times New Roman" w:cs="Times New Roman"/>
          <w:sz w:val="24"/>
          <w:szCs w:val="24"/>
        </w:rPr>
        <w:br w:type="page"/>
      </w:r>
    </w:p>
    <w:p w14:paraId="00000036" w14:textId="77777777" w:rsidR="00525159" w:rsidRPr="00F1203A" w:rsidRDefault="00295454" w:rsidP="00F1203A">
      <w:pPr>
        <w:pStyle w:val="Heading1"/>
        <w:spacing w:line="360" w:lineRule="auto"/>
        <w:jc w:val="both"/>
        <w:rPr>
          <w:rFonts w:ascii="Times New Roman" w:eastAsia="Times New Roman" w:hAnsi="Times New Roman" w:cs="Times New Roman"/>
          <w:b/>
          <w:sz w:val="24"/>
          <w:szCs w:val="24"/>
        </w:rPr>
      </w:pPr>
      <w:bookmarkStart w:id="22" w:name="_opmh42nhbhlp" w:colFirst="0" w:colLast="0"/>
      <w:bookmarkStart w:id="23" w:name="_Toc142067673"/>
      <w:bookmarkEnd w:id="22"/>
      <w:r w:rsidRPr="00F1203A">
        <w:rPr>
          <w:rFonts w:ascii="Times New Roman" w:eastAsia="Times New Roman" w:hAnsi="Times New Roman" w:cs="Times New Roman"/>
          <w:b/>
          <w:sz w:val="24"/>
          <w:szCs w:val="24"/>
        </w:rPr>
        <w:lastRenderedPageBreak/>
        <w:t>Reference list</w:t>
      </w:r>
      <w:bookmarkEnd w:id="23"/>
      <w:r w:rsidRPr="00F1203A">
        <w:rPr>
          <w:rFonts w:ascii="Times New Roman" w:eastAsia="Times New Roman" w:hAnsi="Times New Roman" w:cs="Times New Roman"/>
          <w:b/>
          <w:sz w:val="24"/>
          <w:szCs w:val="24"/>
        </w:rPr>
        <w:t xml:space="preserve"> </w:t>
      </w:r>
    </w:p>
    <w:p w14:paraId="1AF14386" w14:textId="77777777" w:rsidR="00F1203A" w:rsidRPr="00F1203A" w:rsidRDefault="00F1203A" w:rsidP="00F1203A">
      <w:pPr>
        <w:pStyle w:val="Normal1"/>
        <w:spacing w:before="240" w:after="240"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AppGov (2023) </w:t>
      </w:r>
      <w:r w:rsidRPr="00F1203A">
        <w:rPr>
          <w:rFonts w:ascii="Times New Roman" w:eastAsia="Times New Roman" w:hAnsi="Times New Roman" w:cs="Times New Roman"/>
          <w:i/>
          <w:sz w:val="24"/>
          <w:szCs w:val="24"/>
        </w:rPr>
        <w:t>AppGov software and Data Services for Government  support ukraine</w:t>
      </w:r>
      <w:r w:rsidRPr="00F1203A">
        <w:rPr>
          <w:rFonts w:ascii="Times New Roman" w:eastAsia="Times New Roman" w:hAnsi="Times New Roman" w:cs="Times New Roman"/>
          <w:sz w:val="24"/>
          <w:szCs w:val="24"/>
        </w:rPr>
        <w:t xml:space="preserve">, </w:t>
      </w:r>
      <w:r w:rsidRPr="00F1203A">
        <w:rPr>
          <w:rFonts w:ascii="Times New Roman" w:eastAsia="Times New Roman" w:hAnsi="Times New Roman" w:cs="Times New Roman"/>
          <w:i/>
          <w:sz w:val="24"/>
          <w:szCs w:val="24"/>
        </w:rPr>
        <w:t>MP: South West Route Capacity</w:t>
      </w:r>
      <w:r w:rsidRPr="00F1203A">
        <w:rPr>
          <w:rFonts w:ascii="Times New Roman" w:eastAsia="Times New Roman" w:hAnsi="Times New Roman" w:cs="Times New Roman"/>
          <w:sz w:val="24"/>
          <w:szCs w:val="24"/>
        </w:rPr>
        <w:t xml:space="preserve">. Available at: https://www.appgov.org/apg/mp/mpdetail/21128 (Accessed: 04 August 2023). </w:t>
      </w:r>
    </w:p>
    <w:p w14:paraId="34B82CA5" w14:textId="77777777" w:rsidR="00F1203A" w:rsidRPr="00F1203A" w:rsidRDefault="00F1203A" w:rsidP="00F1203A">
      <w:pPr>
        <w:pStyle w:val="Normal1"/>
        <w:spacing w:line="360" w:lineRule="auto"/>
        <w:jc w:val="both"/>
        <w:rPr>
          <w:rFonts w:ascii="Times New Roman" w:hAnsi="Times New Roman" w:cs="Times New Roman"/>
          <w:color w:val="222222"/>
          <w:sz w:val="24"/>
          <w:szCs w:val="24"/>
          <w:highlight w:val="white"/>
        </w:rPr>
      </w:pPr>
      <w:r w:rsidRPr="00F1203A">
        <w:rPr>
          <w:rFonts w:ascii="Times New Roman" w:hAnsi="Times New Roman" w:cs="Times New Roman"/>
          <w:color w:val="222222"/>
          <w:sz w:val="24"/>
          <w:szCs w:val="24"/>
          <w:highlight w:val="white"/>
        </w:rPr>
        <w:t xml:space="preserve">Galasso, V., Pons, V., Profeta, P., Becher, M., Brouard, S. and Foucault, M., (2020). Gender differences in COVID-19 attitudes and behavior: Panel evidence from eight countries. </w:t>
      </w:r>
      <w:r w:rsidRPr="00F1203A">
        <w:rPr>
          <w:rFonts w:ascii="Times New Roman" w:hAnsi="Times New Roman" w:cs="Times New Roman"/>
          <w:i/>
          <w:color w:val="222222"/>
          <w:sz w:val="24"/>
          <w:szCs w:val="24"/>
          <w:highlight w:val="white"/>
        </w:rPr>
        <w:t>Proceedings of the National Academy of Sciences</w:t>
      </w:r>
      <w:r w:rsidRPr="00F1203A">
        <w:rPr>
          <w:rFonts w:ascii="Times New Roman" w:hAnsi="Times New Roman" w:cs="Times New Roman"/>
          <w:color w:val="222222"/>
          <w:sz w:val="24"/>
          <w:szCs w:val="24"/>
          <w:highlight w:val="white"/>
        </w:rPr>
        <w:t xml:space="preserve">, </w:t>
      </w:r>
      <w:r w:rsidRPr="00F1203A">
        <w:rPr>
          <w:rFonts w:ascii="Times New Roman" w:hAnsi="Times New Roman" w:cs="Times New Roman"/>
          <w:i/>
          <w:color w:val="222222"/>
          <w:sz w:val="24"/>
          <w:szCs w:val="24"/>
          <w:highlight w:val="white"/>
        </w:rPr>
        <w:t>117</w:t>
      </w:r>
      <w:r w:rsidRPr="00F1203A">
        <w:rPr>
          <w:rFonts w:ascii="Times New Roman" w:hAnsi="Times New Roman" w:cs="Times New Roman"/>
          <w:color w:val="222222"/>
          <w:sz w:val="24"/>
          <w:szCs w:val="24"/>
          <w:highlight w:val="white"/>
        </w:rPr>
        <w:t>(44), pp.27285-27291.</w:t>
      </w:r>
    </w:p>
    <w:p w14:paraId="18957BED" w14:textId="77777777" w:rsidR="00F1203A" w:rsidRPr="00F1203A" w:rsidRDefault="00F1203A" w:rsidP="00F1203A">
      <w:pPr>
        <w:pStyle w:val="Normal1"/>
        <w:spacing w:line="360" w:lineRule="auto"/>
        <w:jc w:val="both"/>
        <w:rPr>
          <w:rFonts w:ascii="Times New Roman" w:hAnsi="Times New Roman" w:cs="Times New Roman"/>
          <w:color w:val="222222"/>
          <w:sz w:val="24"/>
          <w:szCs w:val="24"/>
          <w:highlight w:val="white"/>
        </w:rPr>
      </w:pPr>
      <w:r w:rsidRPr="00F1203A">
        <w:rPr>
          <w:rFonts w:ascii="Times New Roman" w:hAnsi="Times New Roman" w:cs="Times New Roman"/>
          <w:color w:val="222222"/>
          <w:sz w:val="24"/>
          <w:szCs w:val="24"/>
          <w:highlight w:val="white"/>
        </w:rPr>
        <w:t xml:space="preserve">Geng, S., Law, K.M. and Niu, B., (2019). Investigating self-directed learning and technology readiness in blending learning environment. </w:t>
      </w:r>
      <w:r w:rsidRPr="00F1203A">
        <w:rPr>
          <w:rFonts w:ascii="Times New Roman" w:hAnsi="Times New Roman" w:cs="Times New Roman"/>
          <w:i/>
          <w:color w:val="222222"/>
          <w:sz w:val="24"/>
          <w:szCs w:val="24"/>
          <w:highlight w:val="white"/>
        </w:rPr>
        <w:t>International Journal of Educational Technology in Higher Education</w:t>
      </w:r>
      <w:r w:rsidRPr="00F1203A">
        <w:rPr>
          <w:rFonts w:ascii="Times New Roman" w:hAnsi="Times New Roman" w:cs="Times New Roman"/>
          <w:color w:val="222222"/>
          <w:sz w:val="24"/>
          <w:szCs w:val="24"/>
          <w:highlight w:val="white"/>
        </w:rPr>
        <w:t xml:space="preserve">, </w:t>
      </w:r>
      <w:r w:rsidRPr="00F1203A">
        <w:rPr>
          <w:rFonts w:ascii="Times New Roman" w:hAnsi="Times New Roman" w:cs="Times New Roman"/>
          <w:i/>
          <w:color w:val="222222"/>
          <w:sz w:val="24"/>
          <w:szCs w:val="24"/>
          <w:highlight w:val="white"/>
        </w:rPr>
        <w:t>16</w:t>
      </w:r>
      <w:r w:rsidRPr="00F1203A">
        <w:rPr>
          <w:rFonts w:ascii="Times New Roman" w:hAnsi="Times New Roman" w:cs="Times New Roman"/>
          <w:color w:val="222222"/>
          <w:sz w:val="24"/>
          <w:szCs w:val="24"/>
          <w:highlight w:val="white"/>
        </w:rPr>
        <w:t>(1), pp.1-22.</w:t>
      </w:r>
    </w:p>
    <w:p w14:paraId="39BFFF9A" w14:textId="77777777" w:rsidR="00F1203A" w:rsidRPr="00F1203A" w:rsidRDefault="00F1203A" w:rsidP="00F1203A">
      <w:pPr>
        <w:pStyle w:val="Normal1"/>
        <w:spacing w:line="360" w:lineRule="auto"/>
        <w:jc w:val="both"/>
        <w:rPr>
          <w:rFonts w:ascii="Times New Roman" w:eastAsia="Times New Roman" w:hAnsi="Times New Roman" w:cs="Times New Roman"/>
          <w:sz w:val="24"/>
          <w:szCs w:val="24"/>
        </w:rPr>
      </w:pPr>
      <w:r w:rsidRPr="00F1203A">
        <w:rPr>
          <w:rFonts w:ascii="Times New Roman" w:hAnsi="Times New Roman" w:cs="Times New Roman"/>
          <w:color w:val="222222"/>
          <w:sz w:val="24"/>
          <w:szCs w:val="24"/>
          <w:highlight w:val="white"/>
        </w:rPr>
        <w:t xml:space="preserve">Gilmore, B., Ndejjo, R., Tchetchia, A., de Claro, V., Mago, E., Lopes, C. and Bhattacharyya, S., (2020). Community engagement for COVID-19 prevention and control: a rapid evidence synthesis. </w:t>
      </w:r>
      <w:r w:rsidRPr="00F1203A">
        <w:rPr>
          <w:rFonts w:ascii="Times New Roman" w:hAnsi="Times New Roman" w:cs="Times New Roman"/>
          <w:i/>
          <w:color w:val="222222"/>
          <w:sz w:val="24"/>
          <w:szCs w:val="24"/>
          <w:highlight w:val="white"/>
        </w:rPr>
        <w:t>BMJ global health</w:t>
      </w:r>
      <w:r w:rsidRPr="00F1203A">
        <w:rPr>
          <w:rFonts w:ascii="Times New Roman" w:hAnsi="Times New Roman" w:cs="Times New Roman"/>
          <w:color w:val="222222"/>
          <w:sz w:val="24"/>
          <w:szCs w:val="24"/>
          <w:highlight w:val="white"/>
        </w:rPr>
        <w:t xml:space="preserve">, </w:t>
      </w:r>
      <w:r w:rsidRPr="00F1203A">
        <w:rPr>
          <w:rFonts w:ascii="Times New Roman" w:hAnsi="Times New Roman" w:cs="Times New Roman"/>
          <w:i/>
          <w:color w:val="222222"/>
          <w:sz w:val="24"/>
          <w:szCs w:val="24"/>
          <w:highlight w:val="white"/>
        </w:rPr>
        <w:t>5</w:t>
      </w:r>
      <w:r w:rsidRPr="00F1203A">
        <w:rPr>
          <w:rFonts w:ascii="Times New Roman" w:hAnsi="Times New Roman" w:cs="Times New Roman"/>
          <w:color w:val="222222"/>
          <w:sz w:val="24"/>
          <w:szCs w:val="24"/>
          <w:highlight w:val="white"/>
        </w:rPr>
        <w:t>(10), p.e003188.</w:t>
      </w:r>
    </w:p>
    <w:p w14:paraId="15BD7BE2" w14:textId="77777777" w:rsidR="00F1203A" w:rsidRPr="00F1203A" w:rsidRDefault="00F1203A" w:rsidP="00F1203A">
      <w:pPr>
        <w:pStyle w:val="Normal1"/>
        <w:spacing w:before="240" w:after="240"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GOV.UK (2023) </w:t>
      </w:r>
      <w:r w:rsidRPr="00F1203A">
        <w:rPr>
          <w:rFonts w:ascii="Times New Roman" w:eastAsia="Times New Roman" w:hAnsi="Times New Roman" w:cs="Times New Roman"/>
          <w:i/>
          <w:sz w:val="24"/>
          <w:szCs w:val="24"/>
        </w:rPr>
        <w:t>South West Route Capacity Programme’s SRO appointment letter</w:t>
      </w:r>
      <w:r w:rsidRPr="00F1203A">
        <w:rPr>
          <w:rFonts w:ascii="Times New Roman" w:eastAsia="Times New Roman" w:hAnsi="Times New Roman" w:cs="Times New Roman"/>
          <w:sz w:val="24"/>
          <w:szCs w:val="24"/>
        </w:rPr>
        <w:t xml:space="preserve">, </w:t>
      </w:r>
      <w:r w:rsidRPr="00F1203A">
        <w:rPr>
          <w:rFonts w:ascii="Times New Roman" w:eastAsia="Times New Roman" w:hAnsi="Times New Roman" w:cs="Times New Roman"/>
          <w:i/>
          <w:sz w:val="24"/>
          <w:szCs w:val="24"/>
        </w:rPr>
        <w:t>GOV.UK</w:t>
      </w:r>
      <w:r w:rsidRPr="00F1203A">
        <w:rPr>
          <w:rFonts w:ascii="Times New Roman" w:eastAsia="Times New Roman" w:hAnsi="Times New Roman" w:cs="Times New Roman"/>
          <w:sz w:val="24"/>
          <w:szCs w:val="24"/>
        </w:rPr>
        <w:t xml:space="preserve">. Available at: https://www.gov.uk/government/publications/dft-major-projects-appointment-letters-for-senior-responsible-owners/south-west (Accessed: 04 August 2023). </w:t>
      </w:r>
    </w:p>
    <w:p w14:paraId="214644C7" w14:textId="77777777" w:rsidR="00F1203A" w:rsidRPr="00F1203A" w:rsidRDefault="00F1203A" w:rsidP="00F1203A">
      <w:pPr>
        <w:pStyle w:val="Normal1"/>
        <w:spacing w:line="360" w:lineRule="auto"/>
        <w:jc w:val="both"/>
        <w:rPr>
          <w:rFonts w:ascii="Times New Roman" w:hAnsi="Times New Roman" w:cs="Times New Roman"/>
          <w:color w:val="222222"/>
          <w:sz w:val="24"/>
          <w:szCs w:val="24"/>
          <w:highlight w:val="white"/>
        </w:rPr>
      </w:pPr>
      <w:r w:rsidRPr="00F1203A">
        <w:rPr>
          <w:rFonts w:ascii="Times New Roman" w:hAnsi="Times New Roman" w:cs="Times New Roman"/>
          <w:color w:val="222222"/>
          <w:sz w:val="24"/>
          <w:szCs w:val="24"/>
          <w:highlight w:val="white"/>
        </w:rPr>
        <w:t xml:space="preserve">Holmes, L., Cresswell, K., Williams, S., Parsons, S., Keane, A., Wilson, C., Islam, S., Joseph, O., Miah, J., Robinson, E. and Starling, B., (2019). Innovating public engagement and patient involvement through strategic collaboration and practice. </w:t>
      </w:r>
      <w:r w:rsidRPr="00F1203A">
        <w:rPr>
          <w:rFonts w:ascii="Times New Roman" w:hAnsi="Times New Roman" w:cs="Times New Roman"/>
          <w:i/>
          <w:color w:val="222222"/>
          <w:sz w:val="24"/>
          <w:szCs w:val="24"/>
          <w:highlight w:val="white"/>
        </w:rPr>
        <w:t>Research involvement and engagement</w:t>
      </w:r>
      <w:r w:rsidRPr="00F1203A">
        <w:rPr>
          <w:rFonts w:ascii="Times New Roman" w:hAnsi="Times New Roman" w:cs="Times New Roman"/>
          <w:color w:val="222222"/>
          <w:sz w:val="24"/>
          <w:szCs w:val="24"/>
          <w:highlight w:val="white"/>
        </w:rPr>
        <w:t xml:space="preserve">, </w:t>
      </w:r>
      <w:r w:rsidRPr="00F1203A">
        <w:rPr>
          <w:rFonts w:ascii="Times New Roman" w:hAnsi="Times New Roman" w:cs="Times New Roman"/>
          <w:i/>
          <w:color w:val="222222"/>
          <w:sz w:val="24"/>
          <w:szCs w:val="24"/>
          <w:highlight w:val="white"/>
        </w:rPr>
        <w:t>5</w:t>
      </w:r>
      <w:r w:rsidRPr="00F1203A">
        <w:rPr>
          <w:rFonts w:ascii="Times New Roman" w:hAnsi="Times New Roman" w:cs="Times New Roman"/>
          <w:color w:val="222222"/>
          <w:sz w:val="24"/>
          <w:szCs w:val="24"/>
          <w:highlight w:val="white"/>
        </w:rPr>
        <w:t>, pp.1-12.</w:t>
      </w:r>
    </w:p>
    <w:p w14:paraId="1FC93833" w14:textId="77777777" w:rsidR="00F1203A" w:rsidRPr="00F1203A" w:rsidRDefault="00F1203A" w:rsidP="00F1203A">
      <w:pPr>
        <w:pStyle w:val="Normal1"/>
        <w:spacing w:line="360" w:lineRule="auto"/>
        <w:jc w:val="both"/>
        <w:rPr>
          <w:rFonts w:ascii="Times New Roman" w:eastAsia="Times New Roman" w:hAnsi="Times New Roman" w:cs="Times New Roman"/>
          <w:sz w:val="24"/>
          <w:szCs w:val="24"/>
        </w:rPr>
      </w:pPr>
      <w:r w:rsidRPr="00F1203A">
        <w:rPr>
          <w:rFonts w:ascii="Times New Roman" w:hAnsi="Times New Roman" w:cs="Times New Roman"/>
          <w:color w:val="222222"/>
          <w:sz w:val="24"/>
          <w:szCs w:val="24"/>
          <w:highlight w:val="white"/>
        </w:rPr>
        <w:t xml:space="preserve">Lin, C.L. and Fan, C.L., (2019). Evaluation of CART, CHAID, and QUEST algorithms: a case study of construction defects in Taiwan. </w:t>
      </w:r>
      <w:r w:rsidRPr="00F1203A">
        <w:rPr>
          <w:rFonts w:ascii="Times New Roman" w:hAnsi="Times New Roman" w:cs="Times New Roman"/>
          <w:i/>
          <w:color w:val="222222"/>
          <w:sz w:val="24"/>
          <w:szCs w:val="24"/>
          <w:highlight w:val="white"/>
        </w:rPr>
        <w:t>Journal of Asian Architecture and Building Engineering</w:t>
      </w:r>
      <w:r w:rsidRPr="00F1203A">
        <w:rPr>
          <w:rFonts w:ascii="Times New Roman" w:hAnsi="Times New Roman" w:cs="Times New Roman"/>
          <w:color w:val="222222"/>
          <w:sz w:val="24"/>
          <w:szCs w:val="24"/>
          <w:highlight w:val="white"/>
        </w:rPr>
        <w:t xml:space="preserve">, </w:t>
      </w:r>
      <w:r w:rsidRPr="00F1203A">
        <w:rPr>
          <w:rFonts w:ascii="Times New Roman" w:hAnsi="Times New Roman" w:cs="Times New Roman"/>
          <w:i/>
          <w:color w:val="222222"/>
          <w:sz w:val="24"/>
          <w:szCs w:val="24"/>
          <w:highlight w:val="white"/>
        </w:rPr>
        <w:t>18</w:t>
      </w:r>
      <w:r w:rsidRPr="00F1203A">
        <w:rPr>
          <w:rFonts w:ascii="Times New Roman" w:hAnsi="Times New Roman" w:cs="Times New Roman"/>
          <w:color w:val="222222"/>
          <w:sz w:val="24"/>
          <w:szCs w:val="24"/>
          <w:highlight w:val="white"/>
        </w:rPr>
        <w:t>(6), pp.539-553.</w:t>
      </w:r>
    </w:p>
    <w:p w14:paraId="057DAEF5" w14:textId="77777777" w:rsidR="00F1203A" w:rsidRPr="00F1203A" w:rsidRDefault="00F1203A" w:rsidP="00F1203A">
      <w:pPr>
        <w:pStyle w:val="Normal1"/>
        <w:spacing w:line="360" w:lineRule="auto"/>
        <w:jc w:val="both"/>
        <w:rPr>
          <w:rFonts w:ascii="Times New Roman" w:eastAsia="Times New Roman" w:hAnsi="Times New Roman" w:cs="Times New Roman"/>
          <w:sz w:val="24"/>
          <w:szCs w:val="24"/>
        </w:rPr>
      </w:pPr>
      <w:r w:rsidRPr="00F1203A">
        <w:rPr>
          <w:rFonts w:ascii="Times New Roman" w:hAnsi="Times New Roman" w:cs="Times New Roman"/>
          <w:color w:val="222222"/>
          <w:sz w:val="24"/>
          <w:szCs w:val="24"/>
          <w:highlight w:val="white"/>
        </w:rPr>
        <w:t xml:space="preserve">Mishra, J.L., Chiwenga, K.D. and Ali, K., (2021). Collaboration as an enabler for circular economy: A case study of a developing country. </w:t>
      </w:r>
      <w:r w:rsidRPr="00F1203A">
        <w:rPr>
          <w:rFonts w:ascii="Times New Roman" w:hAnsi="Times New Roman" w:cs="Times New Roman"/>
          <w:i/>
          <w:color w:val="222222"/>
          <w:sz w:val="24"/>
          <w:szCs w:val="24"/>
          <w:highlight w:val="white"/>
        </w:rPr>
        <w:t>Management Decision</w:t>
      </w:r>
      <w:r w:rsidRPr="00F1203A">
        <w:rPr>
          <w:rFonts w:ascii="Times New Roman" w:hAnsi="Times New Roman" w:cs="Times New Roman"/>
          <w:color w:val="222222"/>
          <w:sz w:val="24"/>
          <w:szCs w:val="24"/>
          <w:highlight w:val="white"/>
        </w:rPr>
        <w:t xml:space="preserve">, </w:t>
      </w:r>
      <w:r w:rsidRPr="00F1203A">
        <w:rPr>
          <w:rFonts w:ascii="Times New Roman" w:hAnsi="Times New Roman" w:cs="Times New Roman"/>
          <w:i/>
          <w:color w:val="222222"/>
          <w:sz w:val="24"/>
          <w:szCs w:val="24"/>
          <w:highlight w:val="white"/>
        </w:rPr>
        <w:t>59</w:t>
      </w:r>
      <w:r w:rsidRPr="00F1203A">
        <w:rPr>
          <w:rFonts w:ascii="Times New Roman" w:hAnsi="Times New Roman" w:cs="Times New Roman"/>
          <w:color w:val="222222"/>
          <w:sz w:val="24"/>
          <w:szCs w:val="24"/>
          <w:highlight w:val="white"/>
        </w:rPr>
        <w:t>(8), pp.1784-1800.</w:t>
      </w:r>
      <w:r w:rsidRPr="00F1203A">
        <w:rPr>
          <w:rFonts w:ascii="Times New Roman" w:eastAsia="Times New Roman" w:hAnsi="Times New Roman" w:cs="Times New Roman"/>
          <w:sz w:val="24"/>
          <w:szCs w:val="24"/>
        </w:rPr>
        <w:t xml:space="preserve"> </w:t>
      </w:r>
    </w:p>
    <w:p w14:paraId="41ADA9D9" w14:textId="77777777" w:rsidR="00F1203A" w:rsidRPr="00F1203A" w:rsidRDefault="00F1203A" w:rsidP="00F1203A">
      <w:pPr>
        <w:pStyle w:val="Normal1"/>
        <w:spacing w:line="360" w:lineRule="auto"/>
        <w:jc w:val="both"/>
        <w:rPr>
          <w:rFonts w:ascii="Times New Roman" w:hAnsi="Times New Roman" w:cs="Times New Roman"/>
          <w:color w:val="222222"/>
          <w:sz w:val="24"/>
          <w:szCs w:val="24"/>
          <w:highlight w:val="white"/>
        </w:rPr>
      </w:pPr>
      <w:r w:rsidRPr="00F1203A">
        <w:rPr>
          <w:rFonts w:ascii="Times New Roman" w:hAnsi="Times New Roman" w:cs="Times New Roman"/>
          <w:color w:val="222222"/>
          <w:sz w:val="24"/>
          <w:szCs w:val="24"/>
          <w:highlight w:val="white"/>
        </w:rPr>
        <w:t xml:space="preserve">Muttaqin, M.Z., Alviya, I., Lugina, M. and Hamdani, F.A.U., (2019). Developing community-based forest ecosystem service management to reduce emissions from deforestation and forest degradation. </w:t>
      </w:r>
      <w:r w:rsidRPr="00F1203A">
        <w:rPr>
          <w:rFonts w:ascii="Times New Roman" w:hAnsi="Times New Roman" w:cs="Times New Roman"/>
          <w:i/>
          <w:color w:val="222222"/>
          <w:sz w:val="24"/>
          <w:szCs w:val="24"/>
          <w:highlight w:val="white"/>
        </w:rPr>
        <w:t>Forest policy and economics</w:t>
      </w:r>
      <w:r w:rsidRPr="00F1203A">
        <w:rPr>
          <w:rFonts w:ascii="Times New Roman" w:hAnsi="Times New Roman" w:cs="Times New Roman"/>
          <w:color w:val="222222"/>
          <w:sz w:val="24"/>
          <w:szCs w:val="24"/>
          <w:highlight w:val="white"/>
        </w:rPr>
        <w:t xml:space="preserve">, </w:t>
      </w:r>
      <w:r w:rsidRPr="00F1203A">
        <w:rPr>
          <w:rFonts w:ascii="Times New Roman" w:hAnsi="Times New Roman" w:cs="Times New Roman"/>
          <w:i/>
          <w:color w:val="222222"/>
          <w:sz w:val="24"/>
          <w:szCs w:val="24"/>
          <w:highlight w:val="white"/>
        </w:rPr>
        <w:t>108</w:t>
      </w:r>
      <w:r w:rsidRPr="00F1203A">
        <w:rPr>
          <w:rFonts w:ascii="Times New Roman" w:hAnsi="Times New Roman" w:cs="Times New Roman"/>
          <w:color w:val="222222"/>
          <w:sz w:val="24"/>
          <w:szCs w:val="24"/>
          <w:highlight w:val="white"/>
        </w:rPr>
        <w:t>, p.101938.</w:t>
      </w:r>
    </w:p>
    <w:p w14:paraId="3E59B031" w14:textId="77777777" w:rsidR="00F1203A" w:rsidRPr="00F1203A" w:rsidRDefault="00F1203A" w:rsidP="00F1203A">
      <w:pPr>
        <w:pStyle w:val="Normal1"/>
        <w:spacing w:before="240" w:after="240"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t xml:space="preserve">Shu.ac (2023) </w:t>
      </w:r>
      <w:r w:rsidRPr="00F1203A">
        <w:rPr>
          <w:rFonts w:ascii="Times New Roman" w:eastAsia="Times New Roman" w:hAnsi="Times New Roman" w:cs="Times New Roman"/>
          <w:i/>
          <w:sz w:val="24"/>
          <w:szCs w:val="24"/>
        </w:rPr>
        <w:t>The new deal for communities experience: A final assessment</w:t>
      </w:r>
      <w:r w:rsidRPr="00F1203A">
        <w:rPr>
          <w:rFonts w:ascii="Times New Roman" w:eastAsia="Times New Roman" w:hAnsi="Times New Roman" w:cs="Times New Roman"/>
          <w:sz w:val="24"/>
          <w:szCs w:val="24"/>
        </w:rPr>
        <w:t xml:space="preserve">. Available at: https://extra.shu.ac.uk/ndc/downloads/general/A%20final%20assessment.pdf (Accessed: 04 August 2023). </w:t>
      </w:r>
    </w:p>
    <w:p w14:paraId="11C910C9" w14:textId="77777777" w:rsidR="00F1203A" w:rsidRPr="00F1203A" w:rsidRDefault="00F1203A" w:rsidP="00F1203A">
      <w:pPr>
        <w:pStyle w:val="Normal1"/>
        <w:spacing w:before="240" w:after="240" w:line="360" w:lineRule="auto"/>
        <w:jc w:val="both"/>
        <w:rPr>
          <w:rFonts w:ascii="Times New Roman" w:eastAsia="Times New Roman" w:hAnsi="Times New Roman" w:cs="Times New Roman"/>
          <w:sz w:val="24"/>
          <w:szCs w:val="24"/>
        </w:rPr>
      </w:pPr>
      <w:r w:rsidRPr="00F1203A">
        <w:rPr>
          <w:rFonts w:ascii="Times New Roman" w:eastAsia="Times New Roman" w:hAnsi="Times New Roman" w:cs="Times New Roman"/>
          <w:sz w:val="24"/>
          <w:szCs w:val="24"/>
        </w:rPr>
        <w:lastRenderedPageBreak/>
        <w:t xml:space="preserve">Stacy, M. (2017) </w:t>
      </w:r>
      <w:r w:rsidRPr="00F1203A">
        <w:rPr>
          <w:rFonts w:ascii="Times New Roman" w:eastAsia="Times New Roman" w:hAnsi="Times New Roman" w:cs="Times New Roman"/>
          <w:i/>
          <w:sz w:val="24"/>
          <w:szCs w:val="24"/>
        </w:rPr>
        <w:t>Waterloo and South West Route upgrade</w:t>
      </w:r>
      <w:r w:rsidRPr="00F1203A">
        <w:rPr>
          <w:rFonts w:ascii="Times New Roman" w:eastAsia="Times New Roman" w:hAnsi="Times New Roman" w:cs="Times New Roman"/>
          <w:sz w:val="24"/>
          <w:szCs w:val="24"/>
        </w:rPr>
        <w:t xml:space="preserve">, </w:t>
      </w:r>
      <w:r w:rsidRPr="00F1203A">
        <w:rPr>
          <w:rFonts w:ascii="Times New Roman" w:eastAsia="Times New Roman" w:hAnsi="Times New Roman" w:cs="Times New Roman"/>
          <w:i/>
          <w:sz w:val="24"/>
          <w:szCs w:val="24"/>
        </w:rPr>
        <w:t>Rail Engineer</w:t>
      </w:r>
      <w:r w:rsidRPr="00F1203A">
        <w:rPr>
          <w:rFonts w:ascii="Times New Roman" w:eastAsia="Times New Roman" w:hAnsi="Times New Roman" w:cs="Times New Roman"/>
          <w:sz w:val="24"/>
          <w:szCs w:val="24"/>
        </w:rPr>
        <w:t xml:space="preserve">. Available at: https://www.railengineer.co.uk/waterloo-and-south-west-route-upgrade/ (Accessed: 04 August 2023). </w:t>
      </w:r>
    </w:p>
    <w:p w14:paraId="69959F59" w14:textId="77777777" w:rsidR="00F1203A" w:rsidRPr="00F1203A" w:rsidRDefault="00F1203A" w:rsidP="00F1203A">
      <w:pPr>
        <w:pStyle w:val="Normal1"/>
        <w:spacing w:line="360" w:lineRule="auto"/>
        <w:jc w:val="both"/>
        <w:rPr>
          <w:rFonts w:ascii="Times New Roman" w:eastAsia="Times New Roman" w:hAnsi="Times New Roman" w:cs="Times New Roman"/>
          <w:sz w:val="24"/>
          <w:szCs w:val="24"/>
        </w:rPr>
      </w:pPr>
      <w:r w:rsidRPr="00F1203A">
        <w:rPr>
          <w:rFonts w:ascii="Times New Roman" w:hAnsi="Times New Roman" w:cs="Times New Roman"/>
          <w:color w:val="222222"/>
          <w:sz w:val="24"/>
          <w:szCs w:val="24"/>
          <w:highlight w:val="white"/>
        </w:rPr>
        <w:t xml:space="preserve">Sterrett, D., Malato, D., Benz, J., Kantor, L., Tompson, T., Rosenstiel, T., Sonderman, J. and Loker, K., (2019). Who shared it?: Deciding what news to trust on social media. </w:t>
      </w:r>
      <w:r w:rsidRPr="00F1203A">
        <w:rPr>
          <w:rFonts w:ascii="Times New Roman" w:hAnsi="Times New Roman" w:cs="Times New Roman"/>
          <w:i/>
          <w:color w:val="222222"/>
          <w:sz w:val="24"/>
          <w:szCs w:val="24"/>
          <w:highlight w:val="white"/>
        </w:rPr>
        <w:t>Digital journalism</w:t>
      </w:r>
      <w:r w:rsidRPr="00F1203A">
        <w:rPr>
          <w:rFonts w:ascii="Times New Roman" w:hAnsi="Times New Roman" w:cs="Times New Roman"/>
          <w:color w:val="222222"/>
          <w:sz w:val="24"/>
          <w:szCs w:val="24"/>
          <w:highlight w:val="white"/>
        </w:rPr>
        <w:t xml:space="preserve">, </w:t>
      </w:r>
      <w:r w:rsidRPr="00F1203A">
        <w:rPr>
          <w:rFonts w:ascii="Times New Roman" w:hAnsi="Times New Roman" w:cs="Times New Roman"/>
          <w:i/>
          <w:color w:val="222222"/>
          <w:sz w:val="24"/>
          <w:szCs w:val="24"/>
          <w:highlight w:val="white"/>
        </w:rPr>
        <w:t>7</w:t>
      </w:r>
      <w:r w:rsidRPr="00F1203A">
        <w:rPr>
          <w:rFonts w:ascii="Times New Roman" w:hAnsi="Times New Roman" w:cs="Times New Roman"/>
          <w:color w:val="222222"/>
          <w:sz w:val="24"/>
          <w:szCs w:val="24"/>
          <w:highlight w:val="white"/>
        </w:rPr>
        <w:t>(6), pp.783-801.</w:t>
      </w:r>
    </w:p>
    <w:p w14:paraId="2C0EF93E" w14:textId="77777777" w:rsidR="00F1203A" w:rsidRPr="00F1203A" w:rsidRDefault="00F1203A" w:rsidP="00F1203A">
      <w:pPr>
        <w:pStyle w:val="Normal1"/>
        <w:spacing w:line="360" w:lineRule="auto"/>
        <w:jc w:val="both"/>
        <w:rPr>
          <w:rFonts w:ascii="Times New Roman" w:hAnsi="Times New Roman" w:cs="Times New Roman"/>
          <w:color w:val="222222"/>
          <w:sz w:val="24"/>
          <w:szCs w:val="24"/>
          <w:highlight w:val="white"/>
        </w:rPr>
      </w:pPr>
      <w:r w:rsidRPr="00F1203A">
        <w:rPr>
          <w:rFonts w:ascii="Times New Roman" w:hAnsi="Times New Roman" w:cs="Times New Roman"/>
          <w:color w:val="222222"/>
          <w:sz w:val="24"/>
          <w:szCs w:val="24"/>
          <w:highlight w:val="white"/>
        </w:rPr>
        <w:t xml:space="preserve">Tereso, A., Ribeiro, P., Fernandes, G., Loureiro, I. and Ferreira, M., (2019). Project management practices in private organizations. </w:t>
      </w:r>
      <w:r w:rsidRPr="00F1203A">
        <w:rPr>
          <w:rFonts w:ascii="Times New Roman" w:hAnsi="Times New Roman" w:cs="Times New Roman"/>
          <w:i/>
          <w:color w:val="222222"/>
          <w:sz w:val="24"/>
          <w:szCs w:val="24"/>
          <w:highlight w:val="white"/>
        </w:rPr>
        <w:t>Project Management Journal</w:t>
      </w:r>
      <w:r w:rsidRPr="00F1203A">
        <w:rPr>
          <w:rFonts w:ascii="Times New Roman" w:hAnsi="Times New Roman" w:cs="Times New Roman"/>
          <w:color w:val="222222"/>
          <w:sz w:val="24"/>
          <w:szCs w:val="24"/>
          <w:highlight w:val="white"/>
        </w:rPr>
        <w:t xml:space="preserve">, </w:t>
      </w:r>
      <w:r w:rsidRPr="00F1203A">
        <w:rPr>
          <w:rFonts w:ascii="Times New Roman" w:hAnsi="Times New Roman" w:cs="Times New Roman"/>
          <w:i/>
          <w:color w:val="222222"/>
          <w:sz w:val="24"/>
          <w:szCs w:val="24"/>
          <w:highlight w:val="white"/>
        </w:rPr>
        <w:t>50</w:t>
      </w:r>
      <w:r w:rsidRPr="00F1203A">
        <w:rPr>
          <w:rFonts w:ascii="Times New Roman" w:hAnsi="Times New Roman" w:cs="Times New Roman"/>
          <w:color w:val="222222"/>
          <w:sz w:val="24"/>
          <w:szCs w:val="24"/>
          <w:highlight w:val="white"/>
        </w:rPr>
        <w:t>(1), pp.6-22.</w:t>
      </w:r>
    </w:p>
    <w:p w14:paraId="557C862E" w14:textId="77777777" w:rsidR="00F1203A" w:rsidRPr="00F1203A" w:rsidRDefault="00F1203A" w:rsidP="00F1203A">
      <w:pPr>
        <w:pStyle w:val="Normal1"/>
        <w:spacing w:line="360" w:lineRule="auto"/>
        <w:jc w:val="both"/>
        <w:rPr>
          <w:rFonts w:ascii="Times New Roman" w:hAnsi="Times New Roman" w:cs="Times New Roman"/>
          <w:color w:val="222222"/>
          <w:sz w:val="24"/>
          <w:szCs w:val="24"/>
          <w:highlight w:val="white"/>
        </w:rPr>
      </w:pPr>
      <w:r w:rsidRPr="00F1203A">
        <w:rPr>
          <w:rFonts w:ascii="Times New Roman" w:hAnsi="Times New Roman" w:cs="Times New Roman"/>
          <w:color w:val="222222"/>
          <w:sz w:val="24"/>
          <w:szCs w:val="24"/>
          <w:highlight w:val="white"/>
        </w:rPr>
        <w:t xml:space="preserve">Thesing, T., Feldmann, C. and Burchardt, M., (2021). Agile versus waterfall project management: decision model for selecting the appropriate approach to a project. </w:t>
      </w:r>
      <w:r w:rsidRPr="00F1203A">
        <w:rPr>
          <w:rFonts w:ascii="Times New Roman" w:hAnsi="Times New Roman" w:cs="Times New Roman"/>
          <w:i/>
          <w:color w:val="222222"/>
          <w:sz w:val="24"/>
          <w:szCs w:val="24"/>
          <w:highlight w:val="white"/>
        </w:rPr>
        <w:t>Procedia Computer Science</w:t>
      </w:r>
      <w:r w:rsidRPr="00F1203A">
        <w:rPr>
          <w:rFonts w:ascii="Times New Roman" w:hAnsi="Times New Roman" w:cs="Times New Roman"/>
          <w:color w:val="222222"/>
          <w:sz w:val="24"/>
          <w:szCs w:val="24"/>
          <w:highlight w:val="white"/>
        </w:rPr>
        <w:t xml:space="preserve">, </w:t>
      </w:r>
      <w:r w:rsidRPr="00F1203A">
        <w:rPr>
          <w:rFonts w:ascii="Times New Roman" w:hAnsi="Times New Roman" w:cs="Times New Roman"/>
          <w:i/>
          <w:color w:val="222222"/>
          <w:sz w:val="24"/>
          <w:szCs w:val="24"/>
          <w:highlight w:val="white"/>
        </w:rPr>
        <w:t>181</w:t>
      </w:r>
      <w:r w:rsidRPr="00F1203A">
        <w:rPr>
          <w:rFonts w:ascii="Times New Roman" w:hAnsi="Times New Roman" w:cs="Times New Roman"/>
          <w:color w:val="222222"/>
          <w:sz w:val="24"/>
          <w:szCs w:val="24"/>
          <w:highlight w:val="white"/>
        </w:rPr>
        <w:t>, pp.746-756.</w:t>
      </w:r>
    </w:p>
    <w:p w14:paraId="25347791" w14:textId="77777777" w:rsidR="00F1203A" w:rsidRPr="00F1203A" w:rsidRDefault="00F1203A" w:rsidP="00F1203A">
      <w:pPr>
        <w:pStyle w:val="Normal1"/>
        <w:spacing w:line="360" w:lineRule="auto"/>
        <w:jc w:val="both"/>
        <w:rPr>
          <w:rFonts w:ascii="Times New Roman" w:hAnsi="Times New Roman" w:cs="Times New Roman"/>
          <w:color w:val="222222"/>
          <w:sz w:val="24"/>
          <w:szCs w:val="24"/>
          <w:highlight w:val="white"/>
        </w:rPr>
      </w:pPr>
      <w:r w:rsidRPr="00F1203A">
        <w:rPr>
          <w:rFonts w:ascii="Times New Roman" w:hAnsi="Times New Roman" w:cs="Times New Roman"/>
          <w:color w:val="222222"/>
          <w:sz w:val="24"/>
          <w:szCs w:val="24"/>
          <w:highlight w:val="white"/>
        </w:rPr>
        <w:t xml:space="preserve">Tyrrell, C.S., Mytton, O.T., Gentry, S.V., Thomas-Meyer, M., Allen, J.L.Y., Narula, A.A., McGrath, B., Lupton, M., Broadbent, J., Ahmed, A. and Mavrodaris, A., (2021). Managing intensive care admissions when there are not enough beds during the COVID-19 pandemic: a systematic review. </w:t>
      </w:r>
      <w:r w:rsidRPr="00F1203A">
        <w:rPr>
          <w:rFonts w:ascii="Times New Roman" w:hAnsi="Times New Roman" w:cs="Times New Roman"/>
          <w:i/>
          <w:color w:val="222222"/>
          <w:sz w:val="24"/>
          <w:szCs w:val="24"/>
          <w:highlight w:val="white"/>
        </w:rPr>
        <w:t>Thorax</w:t>
      </w:r>
      <w:r w:rsidRPr="00F1203A">
        <w:rPr>
          <w:rFonts w:ascii="Times New Roman" w:hAnsi="Times New Roman" w:cs="Times New Roman"/>
          <w:color w:val="222222"/>
          <w:sz w:val="24"/>
          <w:szCs w:val="24"/>
          <w:highlight w:val="white"/>
        </w:rPr>
        <w:t xml:space="preserve">, </w:t>
      </w:r>
      <w:r w:rsidRPr="00F1203A">
        <w:rPr>
          <w:rFonts w:ascii="Times New Roman" w:hAnsi="Times New Roman" w:cs="Times New Roman"/>
          <w:i/>
          <w:color w:val="222222"/>
          <w:sz w:val="24"/>
          <w:szCs w:val="24"/>
          <w:highlight w:val="white"/>
        </w:rPr>
        <w:t>76</w:t>
      </w:r>
      <w:r w:rsidRPr="00F1203A">
        <w:rPr>
          <w:rFonts w:ascii="Times New Roman" w:hAnsi="Times New Roman" w:cs="Times New Roman"/>
          <w:color w:val="222222"/>
          <w:sz w:val="24"/>
          <w:szCs w:val="24"/>
          <w:highlight w:val="white"/>
        </w:rPr>
        <w:t>(3), pp.302-312.</w:t>
      </w:r>
    </w:p>
    <w:sectPr w:rsidR="00F1203A" w:rsidRPr="00F1203A" w:rsidSect="00F1203A">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92A8B" w14:textId="77777777" w:rsidR="00C728FB" w:rsidRDefault="00C728FB" w:rsidP="00F1203A">
      <w:pPr>
        <w:spacing w:line="240" w:lineRule="auto"/>
      </w:pPr>
      <w:r>
        <w:separator/>
      </w:r>
    </w:p>
  </w:endnote>
  <w:endnote w:type="continuationSeparator" w:id="0">
    <w:p w14:paraId="2DCCF68F" w14:textId="77777777" w:rsidR="00C728FB" w:rsidRDefault="00C728FB" w:rsidP="00F120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4495001"/>
      <w:docPartObj>
        <w:docPartGallery w:val="Page Numbers (Bottom of Page)"/>
        <w:docPartUnique/>
      </w:docPartObj>
    </w:sdtPr>
    <w:sdtEndPr>
      <w:rPr>
        <w:noProof/>
      </w:rPr>
    </w:sdtEndPr>
    <w:sdtContent>
      <w:p w14:paraId="361AC557" w14:textId="00D8D731" w:rsidR="00F1203A" w:rsidRDefault="00F1203A">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147824AC" w14:textId="77777777" w:rsidR="00F1203A" w:rsidRDefault="00F120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16659" w14:textId="77777777" w:rsidR="00C728FB" w:rsidRDefault="00C728FB" w:rsidP="00F1203A">
      <w:pPr>
        <w:spacing w:line="240" w:lineRule="auto"/>
      </w:pPr>
      <w:r>
        <w:separator/>
      </w:r>
    </w:p>
  </w:footnote>
  <w:footnote w:type="continuationSeparator" w:id="0">
    <w:p w14:paraId="7A3726AD" w14:textId="77777777" w:rsidR="00C728FB" w:rsidRDefault="00C728FB" w:rsidP="00F1203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4913D3"/>
    <w:multiLevelType w:val="hybridMultilevel"/>
    <w:tmpl w:val="00000000"/>
    <w:lvl w:ilvl="0" w:tplc="604CA8E8">
      <w:start w:val="1"/>
      <w:numFmt w:val="decimal"/>
      <w:lvlText w:val="%1."/>
      <w:lvlJc w:val="left"/>
      <w:pPr>
        <w:ind w:left="720" w:hanging="360"/>
      </w:pPr>
      <w:rPr>
        <w:u w:val="none"/>
      </w:rPr>
    </w:lvl>
    <w:lvl w:ilvl="1" w:tplc="6744FB78">
      <w:start w:val="1"/>
      <w:numFmt w:val="lowerLetter"/>
      <w:lvlText w:val="%2."/>
      <w:lvlJc w:val="left"/>
      <w:pPr>
        <w:ind w:left="1440" w:hanging="360"/>
      </w:pPr>
      <w:rPr>
        <w:u w:val="none"/>
      </w:rPr>
    </w:lvl>
    <w:lvl w:ilvl="2" w:tplc="E3EC81F4">
      <w:start w:val="1"/>
      <w:numFmt w:val="lowerRoman"/>
      <w:lvlText w:val="%3."/>
      <w:lvlJc w:val="right"/>
      <w:pPr>
        <w:ind w:left="2160" w:hanging="360"/>
      </w:pPr>
      <w:rPr>
        <w:u w:val="none"/>
      </w:rPr>
    </w:lvl>
    <w:lvl w:ilvl="3" w:tplc="FB34AE30">
      <w:start w:val="1"/>
      <w:numFmt w:val="decimal"/>
      <w:lvlText w:val="%4."/>
      <w:lvlJc w:val="left"/>
      <w:pPr>
        <w:ind w:left="2880" w:hanging="360"/>
      </w:pPr>
      <w:rPr>
        <w:u w:val="none"/>
      </w:rPr>
    </w:lvl>
    <w:lvl w:ilvl="4" w:tplc="EABE10EC">
      <w:start w:val="1"/>
      <w:numFmt w:val="lowerLetter"/>
      <w:lvlText w:val="%5."/>
      <w:lvlJc w:val="left"/>
      <w:pPr>
        <w:ind w:left="3600" w:hanging="360"/>
      </w:pPr>
      <w:rPr>
        <w:u w:val="none"/>
      </w:rPr>
    </w:lvl>
    <w:lvl w:ilvl="5" w:tplc="97647AAC">
      <w:start w:val="1"/>
      <w:numFmt w:val="lowerRoman"/>
      <w:lvlText w:val="%6."/>
      <w:lvlJc w:val="right"/>
      <w:pPr>
        <w:ind w:left="4320" w:hanging="360"/>
      </w:pPr>
      <w:rPr>
        <w:u w:val="none"/>
      </w:rPr>
    </w:lvl>
    <w:lvl w:ilvl="6" w:tplc="B3403E48">
      <w:start w:val="1"/>
      <w:numFmt w:val="decimal"/>
      <w:lvlText w:val="%7."/>
      <w:lvlJc w:val="left"/>
      <w:pPr>
        <w:ind w:left="5040" w:hanging="360"/>
      </w:pPr>
      <w:rPr>
        <w:u w:val="none"/>
      </w:rPr>
    </w:lvl>
    <w:lvl w:ilvl="7" w:tplc="AEEE7A78">
      <w:start w:val="1"/>
      <w:numFmt w:val="lowerLetter"/>
      <w:lvlText w:val="%8."/>
      <w:lvlJc w:val="left"/>
      <w:pPr>
        <w:ind w:left="5760" w:hanging="360"/>
      </w:pPr>
      <w:rPr>
        <w:u w:val="none"/>
      </w:rPr>
    </w:lvl>
    <w:lvl w:ilvl="8" w:tplc="EA02F0D8">
      <w:start w:val="1"/>
      <w:numFmt w:val="lowerRoman"/>
      <w:lvlText w:val="%9."/>
      <w:lvlJc w:val="right"/>
      <w:pPr>
        <w:ind w:left="6480" w:hanging="360"/>
      </w:pPr>
      <w:rPr>
        <w:u w:val="none"/>
      </w:rPr>
    </w:lvl>
  </w:abstractNum>
  <w:abstractNum w:abstractNumId="1" w15:restartNumberingAfterBreak="0">
    <w:nsid w:val="42BC6AD1"/>
    <w:multiLevelType w:val="hybridMultilevel"/>
    <w:tmpl w:val="00000000"/>
    <w:lvl w:ilvl="0" w:tplc="39ACD828">
      <w:start w:val="1"/>
      <w:numFmt w:val="bullet"/>
      <w:lvlText w:val="●"/>
      <w:lvlJc w:val="left"/>
      <w:pPr>
        <w:ind w:left="720" w:hanging="360"/>
      </w:pPr>
      <w:rPr>
        <w:u w:val="none"/>
      </w:rPr>
    </w:lvl>
    <w:lvl w:ilvl="1" w:tplc="F0802250">
      <w:start w:val="1"/>
      <w:numFmt w:val="bullet"/>
      <w:lvlText w:val="○"/>
      <w:lvlJc w:val="left"/>
      <w:pPr>
        <w:ind w:left="1440" w:hanging="360"/>
      </w:pPr>
      <w:rPr>
        <w:u w:val="none"/>
      </w:rPr>
    </w:lvl>
    <w:lvl w:ilvl="2" w:tplc="A66CEA40">
      <w:start w:val="1"/>
      <w:numFmt w:val="bullet"/>
      <w:lvlText w:val="■"/>
      <w:lvlJc w:val="left"/>
      <w:pPr>
        <w:ind w:left="2160" w:hanging="360"/>
      </w:pPr>
      <w:rPr>
        <w:u w:val="none"/>
      </w:rPr>
    </w:lvl>
    <w:lvl w:ilvl="3" w:tplc="2E10A53C">
      <w:start w:val="1"/>
      <w:numFmt w:val="bullet"/>
      <w:lvlText w:val="●"/>
      <w:lvlJc w:val="left"/>
      <w:pPr>
        <w:ind w:left="2880" w:hanging="360"/>
      </w:pPr>
      <w:rPr>
        <w:u w:val="none"/>
      </w:rPr>
    </w:lvl>
    <w:lvl w:ilvl="4" w:tplc="849A8872">
      <w:start w:val="1"/>
      <w:numFmt w:val="bullet"/>
      <w:lvlText w:val="○"/>
      <w:lvlJc w:val="left"/>
      <w:pPr>
        <w:ind w:left="3600" w:hanging="360"/>
      </w:pPr>
      <w:rPr>
        <w:u w:val="none"/>
      </w:rPr>
    </w:lvl>
    <w:lvl w:ilvl="5" w:tplc="1CBCBBD8">
      <w:start w:val="1"/>
      <w:numFmt w:val="bullet"/>
      <w:lvlText w:val="■"/>
      <w:lvlJc w:val="left"/>
      <w:pPr>
        <w:ind w:left="4320" w:hanging="360"/>
      </w:pPr>
      <w:rPr>
        <w:u w:val="none"/>
      </w:rPr>
    </w:lvl>
    <w:lvl w:ilvl="6" w:tplc="F772846E">
      <w:start w:val="1"/>
      <w:numFmt w:val="bullet"/>
      <w:lvlText w:val="●"/>
      <w:lvlJc w:val="left"/>
      <w:pPr>
        <w:ind w:left="5040" w:hanging="360"/>
      </w:pPr>
      <w:rPr>
        <w:u w:val="none"/>
      </w:rPr>
    </w:lvl>
    <w:lvl w:ilvl="7" w:tplc="01928292">
      <w:start w:val="1"/>
      <w:numFmt w:val="bullet"/>
      <w:lvlText w:val="○"/>
      <w:lvlJc w:val="left"/>
      <w:pPr>
        <w:ind w:left="5760" w:hanging="360"/>
      </w:pPr>
      <w:rPr>
        <w:u w:val="none"/>
      </w:rPr>
    </w:lvl>
    <w:lvl w:ilvl="8" w:tplc="873A4728">
      <w:start w:val="1"/>
      <w:numFmt w:val="bullet"/>
      <w:lvlText w:val="■"/>
      <w:lvlJc w:val="left"/>
      <w:pPr>
        <w:ind w:left="6480" w:hanging="360"/>
      </w:pPr>
      <w:rPr>
        <w:u w:val="none"/>
      </w:rPr>
    </w:lvl>
  </w:abstractNum>
  <w:num w:numId="1" w16cid:durableId="703020261">
    <w:abstractNumId w:val="1"/>
  </w:num>
  <w:num w:numId="2" w16cid:durableId="1990282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5159"/>
    <w:rsid w:val="00295454"/>
    <w:rsid w:val="00525159"/>
    <w:rsid w:val="0053148C"/>
    <w:rsid w:val="00C728FB"/>
    <w:rsid w:val="00F1203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8A008D3-E09D-477B-B54E-E0A5172C8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F1203A"/>
    <w:pPr>
      <w:tabs>
        <w:tab w:val="center" w:pos="4513"/>
        <w:tab w:val="right" w:pos="9026"/>
      </w:tabs>
      <w:spacing w:line="240" w:lineRule="auto"/>
    </w:pPr>
  </w:style>
  <w:style w:type="character" w:customStyle="1" w:styleId="HeaderChar">
    <w:name w:val="Header Char"/>
    <w:basedOn w:val="DefaultParagraphFont"/>
    <w:link w:val="Header"/>
    <w:uiPriority w:val="99"/>
    <w:rsid w:val="00F1203A"/>
  </w:style>
  <w:style w:type="paragraph" w:styleId="Footer">
    <w:name w:val="footer"/>
    <w:basedOn w:val="Normal"/>
    <w:link w:val="FooterChar"/>
    <w:uiPriority w:val="99"/>
    <w:unhideWhenUsed/>
    <w:rsid w:val="00F1203A"/>
    <w:pPr>
      <w:tabs>
        <w:tab w:val="center" w:pos="4513"/>
        <w:tab w:val="right" w:pos="9026"/>
      </w:tabs>
      <w:spacing w:line="240" w:lineRule="auto"/>
    </w:pPr>
  </w:style>
  <w:style w:type="character" w:customStyle="1" w:styleId="FooterChar">
    <w:name w:val="Footer Char"/>
    <w:basedOn w:val="DefaultParagraphFont"/>
    <w:link w:val="Footer"/>
    <w:uiPriority w:val="99"/>
    <w:rsid w:val="00F1203A"/>
  </w:style>
  <w:style w:type="paragraph" w:styleId="TOCHeading">
    <w:name w:val="TOC Heading"/>
    <w:basedOn w:val="Heading1"/>
    <w:next w:val="Normal"/>
    <w:uiPriority w:val="39"/>
    <w:unhideWhenUsed/>
    <w:qFormat/>
    <w:rsid w:val="00F1203A"/>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F1203A"/>
    <w:pPr>
      <w:spacing w:after="100"/>
    </w:pPr>
  </w:style>
  <w:style w:type="character" w:styleId="Hyperlink">
    <w:name w:val="Hyperlink"/>
    <w:basedOn w:val="DefaultParagraphFont"/>
    <w:uiPriority w:val="99"/>
    <w:unhideWhenUsed/>
    <w:rsid w:val="00F1203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D8D7F4-CAA6-48AB-9680-EA75C5F2A8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2836</Words>
  <Characters>16171</Characters>
  <Application>Microsoft Office Word</Application>
  <DocSecurity>0</DocSecurity>
  <Lines>134</Lines>
  <Paragraphs>37</Paragraphs>
  <ScaleCrop>false</ScaleCrop>
  <Company/>
  <LinksUpToDate>false</LinksUpToDate>
  <CharactersWithSpaces>18970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SANHITA</dc:creator>
  <cp:lastModifiedBy>Sanhita Chatterjee</cp:lastModifiedBy>
  <cp:revision>2</cp:revision>
  <dcterms:created xsi:type="dcterms:W3CDTF">2023-08-04T16:38:00Z</dcterms:created>
  <dcterms:modified xsi:type="dcterms:W3CDTF">2023-08-04T16:38:00Z</dcterms:modified>
</cp:coreProperties>
</file>