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0A915261" w:rsidR="008B4EE6" w:rsidRDefault="3F92AC72" w:rsidP="0F99FA52">
      <w:pPr>
        <w:jc w:val="center"/>
      </w:pPr>
      <w:r>
        <w:rPr>
          <w:noProof/>
          <w:lang w:val="en-IN" w:eastAsia="en-IN"/>
        </w:rPr>
        <w:drawing>
          <wp:inline distT="0" distB="0" distL="0" distR="0" wp14:anchorId="65960D57" wp14:editId="1B3D996D">
            <wp:extent cx="2829071" cy="1082956"/>
            <wp:effectExtent l="0" t="0" r="0" b="0"/>
            <wp:docPr id="1431803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0375" name="Picture 143180375"/>
                    <pic:cNvPicPr/>
                  </pic:nvPicPr>
                  <pic:blipFill>
                    <a:blip r:embed="rId5">
                      <a:extLst>
                        <a:ext uri="{28A0092B-C50C-407E-A947-70E740481C1C}">
                          <a14:useLocalDpi xmlns:a14="http://schemas.microsoft.com/office/drawing/2010/main"/>
                        </a:ext>
                      </a:extLst>
                    </a:blip>
                    <a:stretch>
                      <a:fillRect/>
                    </a:stretch>
                  </pic:blipFill>
                  <pic:spPr>
                    <a:xfrm>
                      <a:off x="0" y="0"/>
                      <a:ext cx="2829071" cy="1082956"/>
                    </a:xfrm>
                    <a:prstGeom prst="rect">
                      <a:avLst/>
                    </a:prstGeom>
                  </pic:spPr>
                </pic:pic>
              </a:graphicData>
            </a:graphic>
          </wp:inline>
        </w:drawing>
      </w:r>
    </w:p>
    <w:p w14:paraId="42151466" w14:textId="6DC2CFC9" w:rsidR="561FEA06" w:rsidRDefault="561FEA06"/>
    <w:p w14:paraId="1E98141C" w14:textId="2687AF9E" w:rsidR="561FEA06" w:rsidRDefault="561FEA06" w:rsidP="0F99FA52">
      <w:pPr>
        <w:spacing w:line="480" w:lineRule="auto"/>
      </w:pPr>
    </w:p>
    <w:p w14:paraId="24F94D8A" w14:textId="3857C23F" w:rsidR="561FEA06" w:rsidRDefault="3F92AC72" w:rsidP="0F99FA52">
      <w:pPr>
        <w:spacing w:line="480" w:lineRule="auto"/>
        <w:jc w:val="center"/>
        <w:rPr>
          <w:sz w:val="28"/>
          <w:szCs w:val="28"/>
        </w:rPr>
      </w:pPr>
      <w:r w:rsidRPr="0F99FA52">
        <w:rPr>
          <w:b/>
          <w:bCs/>
          <w:sz w:val="28"/>
          <w:szCs w:val="28"/>
        </w:rPr>
        <w:t xml:space="preserve">Student Name: </w:t>
      </w:r>
      <w:bookmarkStart w:id="0" w:name="_GoBack"/>
      <w:r w:rsidRPr="0F99FA52">
        <w:rPr>
          <w:b/>
          <w:bCs/>
          <w:sz w:val="28"/>
          <w:szCs w:val="28"/>
        </w:rPr>
        <w:t xml:space="preserve">Ravikumar </w:t>
      </w:r>
      <w:r w:rsidRPr="0F99FA52">
        <w:rPr>
          <w:sz w:val="28"/>
          <w:szCs w:val="28"/>
        </w:rPr>
        <w:t>Mukeshbhai Bhadiyadra</w:t>
      </w:r>
      <w:bookmarkEnd w:id="0"/>
    </w:p>
    <w:p w14:paraId="1124677D" w14:textId="25F261EF" w:rsidR="561FEA06" w:rsidRDefault="3F92AC72" w:rsidP="0F99FA52">
      <w:pPr>
        <w:spacing w:line="480" w:lineRule="auto"/>
        <w:jc w:val="center"/>
        <w:rPr>
          <w:sz w:val="28"/>
          <w:szCs w:val="28"/>
        </w:rPr>
      </w:pPr>
      <w:r w:rsidRPr="0F99FA52">
        <w:rPr>
          <w:b/>
          <w:bCs/>
          <w:sz w:val="28"/>
          <w:szCs w:val="28"/>
        </w:rPr>
        <w:t xml:space="preserve">Student ID: </w:t>
      </w:r>
      <w:r w:rsidRPr="0F99FA52">
        <w:rPr>
          <w:sz w:val="28"/>
          <w:szCs w:val="28"/>
        </w:rPr>
        <w:t>2531864</w:t>
      </w:r>
    </w:p>
    <w:p w14:paraId="7BD88AF4" w14:textId="5FD429A9" w:rsidR="561FEA06" w:rsidRDefault="3F92AC72" w:rsidP="0F99FA52">
      <w:pPr>
        <w:spacing w:line="480" w:lineRule="auto"/>
        <w:jc w:val="center"/>
        <w:rPr>
          <w:sz w:val="28"/>
          <w:szCs w:val="28"/>
        </w:rPr>
      </w:pPr>
      <w:r w:rsidRPr="0F99FA52">
        <w:rPr>
          <w:b/>
          <w:bCs/>
          <w:sz w:val="28"/>
          <w:szCs w:val="28"/>
        </w:rPr>
        <w:t>Module Name:</w:t>
      </w:r>
      <w:r w:rsidRPr="0F99FA52">
        <w:rPr>
          <w:sz w:val="28"/>
          <w:szCs w:val="28"/>
        </w:rPr>
        <w:t xml:space="preserve"> Financial management</w:t>
      </w:r>
    </w:p>
    <w:p w14:paraId="334C3138" w14:textId="1474D32A" w:rsidR="561FEA06" w:rsidRDefault="3F92AC72" w:rsidP="0F99FA52">
      <w:pPr>
        <w:spacing w:line="480" w:lineRule="auto"/>
        <w:jc w:val="center"/>
        <w:rPr>
          <w:sz w:val="28"/>
          <w:szCs w:val="28"/>
        </w:rPr>
      </w:pPr>
      <w:r w:rsidRPr="0F99FA52">
        <w:rPr>
          <w:b/>
          <w:bCs/>
          <w:sz w:val="28"/>
          <w:szCs w:val="28"/>
        </w:rPr>
        <w:t xml:space="preserve">Module code: </w:t>
      </w:r>
      <w:r w:rsidRPr="0F99FA52">
        <w:rPr>
          <w:sz w:val="28"/>
          <w:szCs w:val="28"/>
        </w:rPr>
        <w:t>LCMB7002</w:t>
      </w:r>
    </w:p>
    <w:p w14:paraId="71EE1637" w14:textId="751311E8" w:rsidR="3F92AC72" w:rsidRDefault="3F92AC72" w:rsidP="0F99FA52">
      <w:pPr>
        <w:spacing w:line="480" w:lineRule="auto"/>
        <w:jc w:val="center"/>
        <w:rPr>
          <w:sz w:val="28"/>
          <w:szCs w:val="28"/>
        </w:rPr>
      </w:pPr>
      <w:r w:rsidRPr="0F99FA52">
        <w:rPr>
          <w:b/>
          <w:bCs/>
          <w:sz w:val="28"/>
          <w:szCs w:val="28"/>
        </w:rPr>
        <w:t xml:space="preserve">Lecturer’s Name: </w:t>
      </w:r>
      <w:r w:rsidRPr="0F99FA52">
        <w:rPr>
          <w:sz w:val="28"/>
          <w:szCs w:val="28"/>
        </w:rPr>
        <w:t>Dr Shengfeng Mei</w:t>
      </w:r>
    </w:p>
    <w:p w14:paraId="4411D152" w14:textId="750769AB" w:rsidR="3F92AC72" w:rsidRDefault="3F92AC72" w:rsidP="0F99FA52">
      <w:pPr>
        <w:spacing w:line="480" w:lineRule="auto"/>
        <w:jc w:val="center"/>
        <w:rPr>
          <w:b/>
          <w:bCs/>
          <w:sz w:val="28"/>
          <w:szCs w:val="28"/>
        </w:rPr>
      </w:pPr>
      <w:r w:rsidRPr="0F99FA52">
        <w:rPr>
          <w:b/>
          <w:bCs/>
          <w:sz w:val="28"/>
          <w:szCs w:val="28"/>
        </w:rPr>
        <w:t>Word Count</w:t>
      </w:r>
      <w:r w:rsidR="2365243B" w:rsidRPr="0F99FA52">
        <w:rPr>
          <w:b/>
          <w:bCs/>
          <w:sz w:val="28"/>
          <w:szCs w:val="28"/>
        </w:rPr>
        <w:t xml:space="preserve">: </w:t>
      </w:r>
      <w:r w:rsidR="2365243B" w:rsidRPr="0F99FA52">
        <w:rPr>
          <w:sz w:val="28"/>
          <w:szCs w:val="28"/>
        </w:rPr>
        <w:t>4989</w:t>
      </w:r>
    </w:p>
    <w:p w14:paraId="2550CAAA" w14:textId="2BC8E81D" w:rsidR="0F99FA52" w:rsidRDefault="0F99FA52" w:rsidP="0F99FA52">
      <w:pPr>
        <w:jc w:val="center"/>
        <w:rPr>
          <w:b/>
          <w:bCs/>
          <w:sz w:val="28"/>
          <w:szCs w:val="28"/>
        </w:rPr>
      </w:pPr>
    </w:p>
    <w:p w14:paraId="44E5CC35" w14:textId="7C89BD65" w:rsidR="561FEA06" w:rsidRDefault="561FEA06" w:rsidP="561FEA06">
      <w:pPr>
        <w:jc w:val="center"/>
        <w:rPr>
          <w:b/>
          <w:bCs/>
          <w:sz w:val="28"/>
          <w:szCs w:val="28"/>
        </w:rPr>
      </w:pPr>
    </w:p>
    <w:p w14:paraId="0BC0F889" w14:textId="1A4C3D3D" w:rsidR="561FEA06" w:rsidRDefault="561FEA06" w:rsidP="561FEA06">
      <w:pPr>
        <w:jc w:val="center"/>
        <w:rPr>
          <w:b/>
          <w:bCs/>
          <w:sz w:val="28"/>
          <w:szCs w:val="28"/>
        </w:rPr>
      </w:pPr>
    </w:p>
    <w:p w14:paraId="5D007AC3" w14:textId="4A20C68F" w:rsidR="561FEA06" w:rsidRDefault="561FEA06" w:rsidP="561FEA06">
      <w:pPr>
        <w:jc w:val="center"/>
        <w:rPr>
          <w:b/>
          <w:bCs/>
          <w:sz w:val="28"/>
          <w:szCs w:val="28"/>
        </w:rPr>
      </w:pPr>
    </w:p>
    <w:p w14:paraId="25386BEA" w14:textId="601B7E41" w:rsidR="561FEA06" w:rsidRDefault="561FEA06" w:rsidP="561FEA06">
      <w:pPr>
        <w:jc w:val="center"/>
        <w:rPr>
          <w:b/>
          <w:bCs/>
          <w:sz w:val="28"/>
          <w:szCs w:val="28"/>
        </w:rPr>
      </w:pPr>
    </w:p>
    <w:p w14:paraId="69C49B1C" w14:textId="6E9FD9EC" w:rsidR="561FEA06" w:rsidRDefault="561FEA06" w:rsidP="561FEA06">
      <w:pPr>
        <w:jc w:val="center"/>
        <w:rPr>
          <w:b/>
          <w:bCs/>
          <w:sz w:val="28"/>
          <w:szCs w:val="28"/>
        </w:rPr>
      </w:pPr>
    </w:p>
    <w:p w14:paraId="6C0B3735" w14:textId="55BE0E09" w:rsidR="561FEA06" w:rsidRDefault="561FEA06" w:rsidP="561FEA06">
      <w:pPr>
        <w:jc w:val="center"/>
        <w:rPr>
          <w:b/>
          <w:bCs/>
          <w:sz w:val="28"/>
          <w:szCs w:val="28"/>
        </w:rPr>
      </w:pPr>
    </w:p>
    <w:p w14:paraId="2DE8411B" w14:textId="3BABB2B5" w:rsidR="0F99FA52" w:rsidRDefault="0F99FA52" w:rsidP="0F99FA52">
      <w:pPr>
        <w:jc w:val="center"/>
        <w:rPr>
          <w:b/>
          <w:bCs/>
          <w:sz w:val="28"/>
          <w:szCs w:val="28"/>
        </w:rPr>
      </w:pPr>
    </w:p>
    <w:p w14:paraId="1C68DFCD" w14:textId="1D76D0C1" w:rsidR="561FEA06" w:rsidRDefault="561FEA06" w:rsidP="561FEA06">
      <w:pPr>
        <w:jc w:val="center"/>
        <w:rPr>
          <w:b/>
          <w:bCs/>
          <w:sz w:val="28"/>
          <w:szCs w:val="28"/>
        </w:rPr>
      </w:pPr>
    </w:p>
    <w:p w14:paraId="2C5885AC" w14:textId="24377B29" w:rsidR="561FEA06" w:rsidRDefault="561FEA06" w:rsidP="561FEA06">
      <w:pPr>
        <w:jc w:val="center"/>
        <w:rPr>
          <w:b/>
          <w:bCs/>
          <w:sz w:val="28"/>
          <w:szCs w:val="28"/>
        </w:rPr>
      </w:pPr>
    </w:p>
    <w:p w14:paraId="45FA7D3D" w14:textId="7D97FCAA" w:rsidR="4E0F4BE8" w:rsidRDefault="4E0F4BE8" w:rsidP="561FEA06">
      <w:pPr>
        <w:jc w:val="center"/>
        <w:rPr>
          <w:b/>
          <w:bCs/>
        </w:rPr>
      </w:pPr>
      <w:r w:rsidRPr="561FEA06">
        <w:rPr>
          <w:b/>
          <w:bCs/>
        </w:rPr>
        <w:t>Table of Content</w:t>
      </w:r>
    </w:p>
    <w:sdt>
      <w:sdtPr>
        <w:id w:val="695231366"/>
        <w:docPartObj>
          <w:docPartGallery w:val="Table of Contents"/>
          <w:docPartUnique/>
        </w:docPartObj>
      </w:sdtPr>
      <w:sdtEndPr/>
      <w:sdtContent>
        <w:p w14:paraId="6C66829B" w14:textId="7A3AE309" w:rsidR="561FEA06" w:rsidRDefault="561FEA06" w:rsidP="561FEA06">
          <w:pPr>
            <w:pStyle w:val="TOC1"/>
            <w:tabs>
              <w:tab w:val="right" w:leader="dot" w:pos="9360"/>
            </w:tabs>
            <w:rPr>
              <w:rStyle w:val="Hyperlink"/>
            </w:rPr>
          </w:pPr>
          <w:r>
            <w:fldChar w:fldCharType="begin"/>
          </w:r>
          <w:r>
            <w:instrText>TOC \o "1-9" \z \u \h</w:instrText>
          </w:r>
          <w:r>
            <w:fldChar w:fldCharType="separate"/>
          </w:r>
          <w:hyperlink w:anchor="_Toc813677538">
            <w:r w:rsidRPr="561FEA06">
              <w:rPr>
                <w:rStyle w:val="Hyperlink"/>
              </w:rPr>
              <w:t>1. Financial Health Check: Ratio Analysis and Financial Performance Evaluation</w:t>
            </w:r>
            <w:r>
              <w:tab/>
            </w:r>
            <w:r>
              <w:fldChar w:fldCharType="begin"/>
            </w:r>
            <w:r>
              <w:instrText>PAGEREF _Toc813677538 \h</w:instrText>
            </w:r>
            <w:r>
              <w:fldChar w:fldCharType="separate"/>
            </w:r>
            <w:r w:rsidRPr="561FEA06">
              <w:rPr>
                <w:rStyle w:val="Hyperlink"/>
              </w:rPr>
              <w:t>2</w:t>
            </w:r>
            <w:r>
              <w:fldChar w:fldCharType="end"/>
            </w:r>
          </w:hyperlink>
        </w:p>
        <w:p w14:paraId="4BA35A1B" w14:textId="54662D66" w:rsidR="561FEA06" w:rsidRDefault="00FF1D6E" w:rsidP="561FEA06">
          <w:pPr>
            <w:pStyle w:val="TOC2"/>
            <w:tabs>
              <w:tab w:val="right" w:leader="dot" w:pos="9360"/>
            </w:tabs>
            <w:rPr>
              <w:rStyle w:val="Hyperlink"/>
            </w:rPr>
          </w:pPr>
          <w:hyperlink w:anchor="_Toc577136654">
            <w:r w:rsidR="561FEA06" w:rsidRPr="561FEA06">
              <w:rPr>
                <w:rStyle w:val="Hyperlink"/>
              </w:rPr>
              <w:t>1.2. Key Financial Ratios for Analysis</w:t>
            </w:r>
            <w:r w:rsidR="561FEA06">
              <w:tab/>
            </w:r>
            <w:r w:rsidR="561FEA06">
              <w:fldChar w:fldCharType="begin"/>
            </w:r>
            <w:r w:rsidR="561FEA06">
              <w:instrText>PAGEREF _Toc577136654 \h</w:instrText>
            </w:r>
            <w:r w:rsidR="561FEA06">
              <w:fldChar w:fldCharType="separate"/>
            </w:r>
            <w:r w:rsidR="561FEA06" w:rsidRPr="561FEA06">
              <w:rPr>
                <w:rStyle w:val="Hyperlink"/>
              </w:rPr>
              <w:t>3</w:t>
            </w:r>
            <w:r w:rsidR="561FEA06">
              <w:fldChar w:fldCharType="end"/>
            </w:r>
          </w:hyperlink>
        </w:p>
        <w:p w14:paraId="5CA9911A" w14:textId="35512859" w:rsidR="561FEA06" w:rsidRDefault="00FF1D6E" w:rsidP="561FEA06">
          <w:pPr>
            <w:pStyle w:val="TOC3"/>
            <w:tabs>
              <w:tab w:val="right" w:leader="dot" w:pos="9360"/>
            </w:tabs>
            <w:rPr>
              <w:rStyle w:val="Hyperlink"/>
            </w:rPr>
          </w:pPr>
          <w:hyperlink w:anchor="_Toc916223785">
            <w:r w:rsidR="561FEA06" w:rsidRPr="561FEA06">
              <w:rPr>
                <w:rStyle w:val="Hyperlink"/>
              </w:rPr>
              <w:t>1.2.1 Profitability Ratios</w:t>
            </w:r>
            <w:r w:rsidR="561FEA06">
              <w:tab/>
            </w:r>
            <w:r w:rsidR="561FEA06">
              <w:fldChar w:fldCharType="begin"/>
            </w:r>
            <w:r w:rsidR="561FEA06">
              <w:instrText>PAGEREF _Toc916223785 \h</w:instrText>
            </w:r>
            <w:r w:rsidR="561FEA06">
              <w:fldChar w:fldCharType="separate"/>
            </w:r>
            <w:r w:rsidR="561FEA06" w:rsidRPr="561FEA06">
              <w:rPr>
                <w:rStyle w:val="Hyperlink"/>
              </w:rPr>
              <w:t>3</w:t>
            </w:r>
            <w:r w:rsidR="561FEA06">
              <w:fldChar w:fldCharType="end"/>
            </w:r>
          </w:hyperlink>
        </w:p>
        <w:p w14:paraId="23F71E3A" w14:textId="3B3F5C91" w:rsidR="561FEA06" w:rsidRDefault="00FF1D6E" w:rsidP="561FEA06">
          <w:pPr>
            <w:pStyle w:val="TOC4"/>
            <w:tabs>
              <w:tab w:val="right" w:leader="dot" w:pos="9360"/>
            </w:tabs>
            <w:rPr>
              <w:rStyle w:val="Hyperlink"/>
            </w:rPr>
          </w:pPr>
          <w:hyperlink w:anchor="_Toc625549151">
            <w:r w:rsidR="561FEA06" w:rsidRPr="561FEA06">
              <w:rPr>
                <w:rStyle w:val="Hyperlink"/>
              </w:rPr>
              <w:t>1.2.1.1 Net Profit Margin</w:t>
            </w:r>
            <w:r w:rsidR="561FEA06">
              <w:tab/>
            </w:r>
            <w:r w:rsidR="561FEA06">
              <w:fldChar w:fldCharType="begin"/>
            </w:r>
            <w:r w:rsidR="561FEA06">
              <w:instrText>PAGEREF _Toc625549151 \h</w:instrText>
            </w:r>
            <w:r w:rsidR="561FEA06">
              <w:fldChar w:fldCharType="separate"/>
            </w:r>
            <w:r w:rsidR="561FEA06" w:rsidRPr="561FEA06">
              <w:rPr>
                <w:rStyle w:val="Hyperlink"/>
              </w:rPr>
              <w:t>3</w:t>
            </w:r>
            <w:r w:rsidR="561FEA06">
              <w:fldChar w:fldCharType="end"/>
            </w:r>
          </w:hyperlink>
        </w:p>
        <w:p w14:paraId="2A6B8763" w14:textId="2503135F" w:rsidR="561FEA06" w:rsidRDefault="00FF1D6E" w:rsidP="561FEA06">
          <w:pPr>
            <w:pStyle w:val="TOC4"/>
            <w:tabs>
              <w:tab w:val="right" w:leader="dot" w:pos="9360"/>
            </w:tabs>
            <w:rPr>
              <w:rStyle w:val="Hyperlink"/>
            </w:rPr>
          </w:pPr>
          <w:hyperlink w:anchor="_Toc1564706336">
            <w:r w:rsidR="561FEA06" w:rsidRPr="561FEA06">
              <w:rPr>
                <w:rStyle w:val="Hyperlink"/>
              </w:rPr>
              <w:t>1.2.1.2 Return on Assets (ROA)</w:t>
            </w:r>
            <w:r w:rsidR="561FEA06">
              <w:tab/>
            </w:r>
            <w:r w:rsidR="561FEA06">
              <w:fldChar w:fldCharType="begin"/>
            </w:r>
            <w:r w:rsidR="561FEA06">
              <w:instrText>PAGEREF _Toc1564706336 \h</w:instrText>
            </w:r>
            <w:r w:rsidR="561FEA06">
              <w:fldChar w:fldCharType="separate"/>
            </w:r>
            <w:r w:rsidR="561FEA06" w:rsidRPr="561FEA06">
              <w:rPr>
                <w:rStyle w:val="Hyperlink"/>
              </w:rPr>
              <w:t>3</w:t>
            </w:r>
            <w:r w:rsidR="561FEA06">
              <w:fldChar w:fldCharType="end"/>
            </w:r>
          </w:hyperlink>
        </w:p>
        <w:p w14:paraId="2D754850" w14:textId="0761D932" w:rsidR="561FEA06" w:rsidRDefault="00FF1D6E" w:rsidP="561FEA06">
          <w:pPr>
            <w:pStyle w:val="TOC4"/>
            <w:tabs>
              <w:tab w:val="right" w:leader="dot" w:pos="9360"/>
            </w:tabs>
            <w:rPr>
              <w:rStyle w:val="Hyperlink"/>
            </w:rPr>
          </w:pPr>
          <w:hyperlink w:anchor="_Toc1751637525">
            <w:r w:rsidR="561FEA06" w:rsidRPr="561FEA06">
              <w:rPr>
                <w:rStyle w:val="Hyperlink"/>
              </w:rPr>
              <w:t>1.2.1.3 Return on Equity (ROE)</w:t>
            </w:r>
            <w:r w:rsidR="561FEA06">
              <w:tab/>
            </w:r>
            <w:r w:rsidR="561FEA06">
              <w:fldChar w:fldCharType="begin"/>
            </w:r>
            <w:r w:rsidR="561FEA06">
              <w:instrText>PAGEREF _Toc1751637525 \h</w:instrText>
            </w:r>
            <w:r w:rsidR="561FEA06">
              <w:fldChar w:fldCharType="separate"/>
            </w:r>
            <w:r w:rsidR="561FEA06" w:rsidRPr="561FEA06">
              <w:rPr>
                <w:rStyle w:val="Hyperlink"/>
              </w:rPr>
              <w:t>4</w:t>
            </w:r>
            <w:r w:rsidR="561FEA06">
              <w:fldChar w:fldCharType="end"/>
            </w:r>
          </w:hyperlink>
        </w:p>
        <w:p w14:paraId="374FDFA8" w14:textId="2F9BFEE5" w:rsidR="561FEA06" w:rsidRDefault="00FF1D6E" w:rsidP="561FEA06">
          <w:pPr>
            <w:pStyle w:val="TOC2"/>
            <w:tabs>
              <w:tab w:val="right" w:leader="dot" w:pos="9360"/>
            </w:tabs>
            <w:rPr>
              <w:rStyle w:val="Hyperlink"/>
            </w:rPr>
          </w:pPr>
          <w:hyperlink w:anchor="_Toc328374173">
            <w:r w:rsidR="561FEA06" w:rsidRPr="561FEA06">
              <w:rPr>
                <w:rStyle w:val="Hyperlink"/>
              </w:rPr>
              <w:t>1.3. Liquidity Ratios</w:t>
            </w:r>
            <w:r w:rsidR="561FEA06">
              <w:tab/>
            </w:r>
            <w:r w:rsidR="561FEA06">
              <w:fldChar w:fldCharType="begin"/>
            </w:r>
            <w:r w:rsidR="561FEA06">
              <w:instrText>PAGEREF _Toc328374173 \h</w:instrText>
            </w:r>
            <w:r w:rsidR="561FEA06">
              <w:fldChar w:fldCharType="separate"/>
            </w:r>
            <w:r w:rsidR="561FEA06" w:rsidRPr="561FEA06">
              <w:rPr>
                <w:rStyle w:val="Hyperlink"/>
              </w:rPr>
              <w:t>4</w:t>
            </w:r>
            <w:r w:rsidR="561FEA06">
              <w:fldChar w:fldCharType="end"/>
            </w:r>
          </w:hyperlink>
        </w:p>
        <w:p w14:paraId="57327852" w14:textId="01D41B9B" w:rsidR="561FEA06" w:rsidRDefault="00FF1D6E" w:rsidP="561FEA06">
          <w:pPr>
            <w:pStyle w:val="TOC4"/>
            <w:tabs>
              <w:tab w:val="right" w:leader="dot" w:pos="9360"/>
            </w:tabs>
            <w:rPr>
              <w:rStyle w:val="Hyperlink"/>
            </w:rPr>
          </w:pPr>
          <w:hyperlink w:anchor="_Toc801007804">
            <w:r w:rsidR="561FEA06" w:rsidRPr="561FEA06">
              <w:rPr>
                <w:rStyle w:val="Hyperlink"/>
              </w:rPr>
              <w:t>1.3.1 Current Ratio</w:t>
            </w:r>
            <w:r w:rsidR="561FEA06">
              <w:tab/>
            </w:r>
            <w:r w:rsidR="561FEA06">
              <w:fldChar w:fldCharType="begin"/>
            </w:r>
            <w:r w:rsidR="561FEA06">
              <w:instrText>PAGEREF _Toc801007804 \h</w:instrText>
            </w:r>
            <w:r w:rsidR="561FEA06">
              <w:fldChar w:fldCharType="separate"/>
            </w:r>
            <w:r w:rsidR="561FEA06" w:rsidRPr="561FEA06">
              <w:rPr>
                <w:rStyle w:val="Hyperlink"/>
              </w:rPr>
              <w:t>4</w:t>
            </w:r>
            <w:r w:rsidR="561FEA06">
              <w:fldChar w:fldCharType="end"/>
            </w:r>
          </w:hyperlink>
        </w:p>
        <w:p w14:paraId="6D44486B" w14:textId="6A387170" w:rsidR="561FEA06" w:rsidRDefault="00FF1D6E" w:rsidP="561FEA06">
          <w:pPr>
            <w:pStyle w:val="TOC4"/>
            <w:tabs>
              <w:tab w:val="right" w:leader="dot" w:pos="9360"/>
            </w:tabs>
            <w:rPr>
              <w:rStyle w:val="Hyperlink"/>
            </w:rPr>
          </w:pPr>
          <w:hyperlink w:anchor="_Toc1198739910">
            <w:r w:rsidR="561FEA06" w:rsidRPr="561FEA06">
              <w:rPr>
                <w:rStyle w:val="Hyperlink"/>
              </w:rPr>
              <w:t>1.3.2 Quick Ratio</w:t>
            </w:r>
            <w:r w:rsidR="561FEA06">
              <w:tab/>
            </w:r>
            <w:r w:rsidR="561FEA06">
              <w:fldChar w:fldCharType="begin"/>
            </w:r>
            <w:r w:rsidR="561FEA06">
              <w:instrText>PAGEREF _Toc1198739910 \h</w:instrText>
            </w:r>
            <w:r w:rsidR="561FEA06">
              <w:fldChar w:fldCharType="separate"/>
            </w:r>
            <w:r w:rsidR="561FEA06" w:rsidRPr="561FEA06">
              <w:rPr>
                <w:rStyle w:val="Hyperlink"/>
              </w:rPr>
              <w:t>4</w:t>
            </w:r>
            <w:r w:rsidR="561FEA06">
              <w:fldChar w:fldCharType="end"/>
            </w:r>
          </w:hyperlink>
        </w:p>
        <w:p w14:paraId="678456BF" w14:textId="1321B5FD" w:rsidR="561FEA06" w:rsidRDefault="00FF1D6E" w:rsidP="561FEA06">
          <w:pPr>
            <w:pStyle w:val="TOC2"/>
            <w:tabs>
              <w:tab w:val="right" w:leader="dot" w:pos="9360"/>
            </w:tabs>
            <w:rPr>
              <w:rStyle w:val="Hyperlink"/>
            </w:rPr>
          </w:pPr>
          <w:hyperlink w:anchor="_Toc465460091">
            <w:r w:rsidR="561FEA06" w:rsidRPr="561FEA06">
              <w:rPr>
                <w:rStyle w:val="Hyperlink"/>
              </w:rPr>
              <w:t>1.4. Efficiency Ratios</w:t>
            </w:r>
            <w:r w:rsidR="561FEA06">
              <w:tab/>
            </w:r>
            <w:r w:rsidR="561FEA06">
              <w:fldChar w:fldCharType="begin"/>
            </w:r>
            <w:r w:rsidR="561FEA06">
              <w:instrText>PAGEREF _Toc465460091 \h</w:instrText>
            </w:r>
            <w:r w:rsidR="561FEA06">
              <w:fldChar w:fldCharType="separate"/>
            </w:r>
            <w:r w:rsidR="561FEA06" w:rsidRPr="561FEA06">
              <w:rPr>
                <w:rStyle w:val="Hyperlink"/>
              </w:rPr>
              <w:t>4</w:t>
            </w:r>
            <w:r w:rsidR="561FEA06">
              <w:fldChar w:fldCharType="end"/>
            </w:r>
          </w:hyperlink>
        </w:p>
        <w:p w14:paraId="78F6D314" w14:textId="2AD31122" w:rsidR="561FEA06" w:rsidRDefault="00FF1D6E" w:rsidP="561FEA06">
          <w:pPr>
            <w:pStyle w:val="TOC3"/>
            <w:tabs>
              <w:tab w:val="right" w:leader="dot" w:pos="9360"/>
            </w:tabs>
            <w:rPr>
              <w:rStyle w:val="Hyperlink"/>
            </w:rPr>
          </w:pPr>
          <w:hyperlink w:anchor="_Toc1417400058">
            <w:r w:rsidR="561FEA06" w:rsidRPr="561FEA06">
              <w:rPr>
                <w:rStyle w:val="Hyperlink"/>
              </w:rPr>
              <w:t>1.4.1 Asset Turnover Ratio</w:t>
            </w:r>
            <w:r w:rsidR="561FEA06">
              <w:tab/>
            </w:r>
            <w:r w:rsidR="561FEA06">
              <w:fldChar w:fldCharType="begin"/>
            </w:r>
            <w:r w:rsidR="561FEA06">
              <w:instrText>PAGEREF _Toc1417400058 \h</w:instrText>
            </w:r>
            <w:r w:rsidR="561FEA06">
              <w:fldChar w:fldCharType="separate"/>
            </w:r>
            <w:r w:rsidR="561FEA06" w:rsidRPr="561FEA06">
              <w:rPr>
                <w:rStyle w:val="Hyperlink"/>
              </w:rPr>
              <w:t>5</w:t>
            </w:r>
            <w:r w:rsidR="561FEA06">
              <w:fldChar w:fldCharType="end"/>
            </w:r>
          </w:hyperlink>
        </w:p>
        <w:p w14:paraId="555BED34" w14:textId="61397599" w:rsidR="561FEA06" w:rsidRDefault="00FF1D6E" w:rsidP="561FEA06">
          <w:pPr>
            <w:pStyle w:val="TOC2"/>
            <w:tabs>
              <w:tab w:val="right" w:leader="dot" w:pos="9360"/>
            </w:tabs>
            <w:rPr>
              <w:rStyle w:val="Hyperlink"/>
            </w:rPr>
          </w:pPr>
          <w:hyperlink w:anchor="_Toc455857609">
            <w:r w:rsidR="561FEA06" w:rsidRPr="561FEA06">
              <w:rPr>
                <w:rStyle w:val="Hyperlink"/>
              </w:rPr>
              <w:t>1.5. Gearing Ratios</w:t>
            </w:r>
            <w:r w:rsidR="561FEA06">
              <w:tab/>
            </w:r>
            <w:r w:rsidR="561FEA06">
              <w:fldChar w:fldCharType="begin"/>
            </w:r>
            <w:r w:rsidR="561FEA06">
              <w:instrText>PAGEREF _Toc455857609 \h</w:instrText>
            </w:r>
            <w:r w:rsidR="561FEA06">
              <w:fldChar w:fldCharType="separate"/>
            </w:r>
            <w:r w:rsidR="561FEA06" w:rsidRPr="561FEA06">
              <w:rPr>
                <w:rStyle w:val="Hyperlink"/>
              </w:rPr>
              <w:t>5</w:t>
            </w:r>
            <w:r w:rsidR="561FEA06">
              <w:fldChar w:fldCharType="end"/>
            </w:r>
          </w:hyperlink>
        </w:p>
        <w:p w14:paraId="4BE677A1" w14:textId="4337E525" w:rsidR="561FEA06" w:rsidRDefault="00FF1D6E" w:rsidP="561FEA06">
          <w:pPr>
            <w:pStyle w:val="TOC3"/>
            <w:tabs>
              <w:tab w:val="right" w:leader="dot" w:pos="9360"/>
            </w:tabs>
            <w:rPr>
              <w:rStyle w:val="Hyperlink"/>
            </w:rPr>
          </w:pPr>
          <w:hyperlink w:anchor="_Toc1336910823">
            <w:r w:rsidR="561FEA06" w:rsidRPr="561FEA06">
              <w:rPr>
                <w:rStyle w:val="Hyperlink"/>
              </w:rPr>
              <w:t>1.5.1 Debt-to-Equity Ratio</w:t>
            </w:r>
            <w:r w:rsidR="561FEA06">
              <w:tab/>
            </w:r>
            <w:r w:rsidR="561FEA06">
              <w:fldChar w:fldCharType="begin"/>
            </w:r>
            <w:r w:rsidR="561FEA06">
              <w:instrText>PAGEREF _Toc1336910823 \h</w:instrText>
            </w:r>
            <w:r w:rsidR="561FEA06">
              <w:fldChar w:fldCharType="separate"/>
            </w:r>
            <w:r w:rsidR="561FEA06" w:rsidRPr="561FEA06">
              <w:rPr>
                <w:rStyle w:val="Hyperlink"/>
              </w:rPr>
              <w:t>5</w:t>
            </w:r>
            <w:r w:rsidR="561FEA06">
              <w:fldChar w:fldCharType="end"/>
            </w:r>
          </w:hyperlink>
        </w:p>
        <w:p w14:paraId="4F753FFB" w14:textId="29141C59" w:rsidR="561FEA06" w:rsidRDefault="00FF1D6E" w:rsidP="561FEA06">
          <w:pPr>
            <w:pStyle w:val="TOC2"/>
            <w:tabs>
              <w:tab w:val="right" w:leader="dot" w:pos="9360"/>
            </w:tabs>
            <w:rPr>
              <w:rStyle w:val="Hyperlink"/>
            </w:rPr>
          </w:pPr>
          <w:hyperlink w:anchor="_Toc608877871">
            <w:r w:rsidR="561FEA06" w:rsidRPr="561FEA06">
              <w:rPr>
                <w:rStyle w:val="Hyperlink"/>
              </w:rPr>
              <w:t>1.6. Investment Ratios</w:t>
            </w:r>
            <w:r w:rsidR="561FEA06">
              <w:tab/>
            </w:r>
            <w:r w:rsidR="561FEA06">
              <w:fldChar w:fldCharType="begin"/>
            </w:r>
            <w:r w:rsidR="561FEA06">
              <w:instrText>PAGEREF _Toc608877871 \h</w:instrText>
            </w:r>
            <w:r w:rsidR="561FEA06">
              <w:fldChar w:fldCharType="separate"/>
            </w:r>
            <w:r w:rsidR="561FEA06" w:rsidRPr="561FEA06">
              <w:rPr>
                <w:rStyle w:val="Hyperlink"/>
              </w:rPr>
              <w:t>5</w:t>
            </w:r>
            <w:r w:rsidR="561FEA06">
              <w:fldChar w:fldCharType="end"/>
            </w:r>
          </w:hyperlink>
        </w:p>
        <w:p w14:paraId="5F1CDBA8" w14:textId="6100AF4A" w:rsidR="561FEA06" w:rsidRDefault="00FF1D6E" w:rsidP="561FEA06">
          <w:pPr>
            <w:pStyle w:val="TOC3"/>
            <w:tabs>
              <w:tab w:val="right" w:leader="dot" w:pos="9360"/>
            </w:tabs>
            <w:rPr>
              <w:rStyle w:val="Hyperlink"/>
            </w:rPr>
          </w:pPr>
          <w:hyperlink w:anchor="_Toc1287710473">
            <w:r w:rsidR="561FEA06" w:rsidRPr="561FEA06">
              <w:rPr>
                <w:rStyle w:val="Hyperlink"/>
              </w:rPr>
              <w:t>1.6.1 Earnings Per Share (EPS)</w:t>
            </w:r>
            <w:r w:rsidR="561FEA06">
              <w:tab/>
            </w:r>
            <w:r w:rsidR="561FEA06">
              <w:fldChar w:fldCharType="begin"/>
            </w:r>
            <w:r w:rsidR="561FEA06">
              <w:instrText>PAGEREF _Toc1287710473 \h</w:instrText>
            </w:r>
            <w:r w:rsidR="561FEA06">
              <w:fldChar w:fldCharType="separate"/>
            </w:r>
            <w:r w:rsidR="561FEA06" w:rsidRPr="561FEA06">
              <w:rPr>
                <w:rStyle w:val="Hyperlink"/>
              </w:rPr>
              <w:t>5</w:t>
            </w:r>
            <w:r w:rsidR="561FEA06">
              <w:fldChar w:fldCharType="end"/>
            </w:r>
          </w:hyperlink>
        </w:p>
        <w:p w14:paraId="38A5A69E" w14:textId="72284C6C" w:rsidR="561FEA06" w:rsidRDefault="00FF1D6E" w:rsidP="561FEA06">
          <w:pPr>
            <w:pStyle w:val="TOC3"/>
            <w:tabs>
              <w:tab w:val="right" w:leader="dot" w:pos="9360"/>
            </w:tabs>
            <w:rPr>
              <w:rStyle w:val="Hyperlink"/>
            </w:rPr>
          </w:pPr>
          <w:hyperlink w:anchor="_Toc2133752808">
            <w:r w:rsidR="561FEA06" w:rsidRPr="561FEA06">
              <w:rPr>
                <w:rStyle w:val="Hyperlink"/>
              </w:rPr>
              <w:t>1.6.2 Price-to-Earnings (P/E) Ratio</w:t>
            </w:r>
            <w:r w:rsidR="561FEA06">
              <w:tab/>
            </w:r>
            <w:r w:rsidR="561FEA06">
              <w:fldChar w:fldCharType="begin"/>
            </w:r>
            <w:r w:rsidR="561FEA06">
              <w:instrText>PAGEREF _Toc2133752808 \h</w:instrText>
            </w:r>
            <w:r w:rsidR="561FEA06">
              <w:fldChar w:fldCharType="separate"/>
            </w:r>
            <w:r w:rsidR="561FEA06" w:rsidRPr="561FEA06">
              <w:rPr>
                <w:rStyle w:val="Hyperlink"/>
              </w:rPr>
              <w:t>5</w:t>
            </w:r>
            <w:r w:rsidR="561FEA06">
              <w:fldChar w:fldCharType="end"/>
            </w:r>
          </w:hyperlink>
        </w:p>
        <w:p w14:paraId="5A824B3B" w14:textId="56504115" w:rsidR="561FEA06" w:rsidRDefault="00FF1D6E" w:rsidP="561FEA06">
          <w:pPr>
            <w:pStyle w:val="TOC2"/>
            <w:tabs>
              <w:tab w:val="right" w:leader="dot" w:pos="9360"/>
            </w:tabs>
            <w:rPr>
              <w:rStyle w:val="Hyperlink"/>
            </w:rPr>
          </w:pPr>
          <w:hyperlink w:anchor="_Toc1662613719">
            <w:r w:rsidR="561FEA06" w:rsidRPr="561FEA06">
              <w:rPr>
                <w:rStyle w:val="Hyperlink"/>
              </w:rPr>
              <w:t>1.7. Cash Flow Ratios</w:t>
            </w:r>
            <w:r w:rsidR="561FEA06">
              <w:tab/>
            </w:r>
            <w:r w:rsidR="561FEA06">
              <w:fldChar w:fldCharType="begin"/>
            </w:r>
            <w:r w:rsidR="561FEA06">
              <w:instrText>PAGEREF _Toc1662613719 \h</w:instrText>
            </w:r>
            <w:r w:rsidR="561FEA06">
              <w:fldChar w:fldCharType="separate"/>
            </w:r>
            <w:r w:rsidR="561FEA06" w:rsidRPr="561FEA06">
              <w:rPr>
                <w:rStyle w:val="Hyperlink"/>
              </w:rPr>
              <w:t>6</w:t>
            </w:r>
            <w:r w:rsidR="561FEA06">
              <w:fldChar w:fldCharType="end"/>
            </w:r>
          </w:hyperlink>
        </w:p>
        <w:p w14:paraId="3639ADD7" w14:textId="43EBFCFD" w:rsidR="561FEA06" w:rsidRDefault="00FF1D6E" w:rsidP="561FEA06">
          <w:pPr>
            <w:pStyle w:val="TOC3"/>
            <w:tabs>
              <w:tab w:val="right" w:leader="dot" w:pos="9360"/>
            </w:tabs>
            <w:rPr>
              <w:rStyle w:val="Hyperlink"/>
            </w:rPr>
          </w:pPr>
          <w:hyperlink w:anchor="_Toc859899818">
            <w:r w:rsidR="561FEA06" w:rsidRPr="561FEA06">
              <w:rPr>
                <w:rStyle w:val="Hyperlink"/>
              </w:rPr>
              <w:t>1.7.1 Operating Cash Flow Ratio</w:t>
            </w:r>
            <w:r w:rsidR="561FEA06">
              <w:tab/>
            </w:r>
            <w:r w:rsidR="561FEA06">
              <w:fldChar w:fldCharType="begin"/>
            </w:r>
            <w:r w:rsidR="561FEA06">
              <w:instrText>PAGEREF _Toc859899818 \h</w:instrText>
            </w:r>
            <w:r w:rsidR="561FEA06">
              <w:fldChar w:fldCharType="separate"/>
            </w:r>
            <w:r w:rsidR="561FEA06" w:rsidRPr="561FEA06">
              <w:rPr>
                <w:rStyle w:val="Hyperlink"/>
              </w:rPr>
              <w:t>6</w:t>
            </w:r>
            <w:r w:rsidR="561FEA06">
              <w:fldChar w:fldCharType="end"/>
            </w:r>
          </w:hyperlink>
        </w:p>
        <w:p w14:paraId="48F116B7" w14:textId="79586BE7" w:rsidR="561FEA06" w:rsidRDefault="00FF1D6E" w:rsidP="561FEA06">
          <w:pPr>
            <w:pStyle w:val="TOC2"/>
            <w:tabs>
              <w:tab w:val="right" w:leader="dot" w:pos="9360"/>
            </w:tabs>
            <w:rPr>
              <w:rStyle w:val="Hyperlink"/>
            </w:rPr>
          </w:pPr>
          <w:hyperlink w:anchor="_Toc1845866363">
            <w:r w:rsidR="561FEA06" w:rsidRPr="561FEA06">
              <w:rPr>
                <w:rStyle w:val="Hyperlink"/>
              </w:rPr>
              <w:t>1.8. Trends in Financial Performance (2020–2025)</w:t>
            </w:r>
            <w:r w:rsidR="561FEA06">
              <w:tab/>
            </w:r>
            <w:r w:rsidR="561FEA06">
              <w:fldChar w:fldCharType="begin"/>
            </w:r>
            <w:r w:rsidR="561FEA06">
              <w:instrText>PAGEREF _Toc1845866363 \h</w:instrText>
            </w:r>
            <w:r w:rsidR="561FEA06">
              <w:fldChar w:fldCharType="separate"/>
            </w:r>
            <w:r w:rsidR="561FEA06" w:rsidRPr="561FEA06">
              <w:rPr>
                <w:rStyle w:val="Hyperlink"/>
              </w:rPr>
              <w:t>6</w:t>
            </w:r>
            <w:r w:rsidR="561FEA06">
              <w:fldChar w:fldCharType="end"/>
            </w:r>
          </w:hyperlink>
        </w:p>
        <w:p w14:paraId="55FAE9B2" w14:textId="5700BF9C" w:rsidR="561FEA06" w:rsidRDefault="00FF1D6E" w:rsidP="561FEA06">
          <w:pPr>
            <w:pStyle w:val="TOC2"/>
            <w:tabs>
              <w:tab w:val="right" w:leader="dot" w:pos="9360"/>
            </w:tabs>
            <w:rPr>
              <w:rStyle w:val="Hyperlink"/>
            </w:rPr>
          </w:pPr>
          <w:hyperlink w:anchor="_Toc35281815">
            <w:r w:rsidR="561FEA06" w:rsidRPr="561FEA06">
              <w:rPr>
                <w:rStyle w:val="Hyperlink"/>
              </w:rPr>
              <w:t>1.9. Financial Data Tables</w:t>
            </w:r>
            <w:r w:rsidR="561FEA06">
              <w:tab/>
            </w:r>
            <w:r w:rsidR="561FEA06">
              <w:fldChar w:fldCharType="begin"/>
            </w:r>
            <w:r w:rsidR="561FEA06">
              <w:instrText>PAGEREF _Toc35281815 \h</w:instrText>
            </w:r>
            <w:r w:rsidR="561FEA06">
              <w:fldChar w:fldCharType="separate"/>
            </w:r>
            <w:r w:rsidR="561FEA06" w:rsidRPr="561FEA06">
              <w:rPr>
                <w:rStyle w:val="Hyperlink"/>
              </w:rPr>
              <w:t>7</w:t>
            </w:r>
            <w:r w:rsidR="561FEA06">
              <w:fldChar w:fldCharType="end"/>
            </w:r>
          </w:hyperlink>
        </w:p>
        <w:p w14:paraId="7FC31B9F" w14:textId="744B5EAC" w:rsidR="561FEA06" w:rsidRDefault="00FF1D6E" w:rsidP="561FEA06">
          <w:pPr>
            <w:pStyle w:val="TOC2"/>
            <w:tabs>
              <w:tab w:val="right" w:leader="dot" w:pos="9360"/>
            </w:tabs>
            <w:rPr>
              <w:rStyle w:val="Hyperlink"/>
            </w:rPr>
          </w:pPr>
          <w:hyperlink w:anchor="_Toc585463154">
            <w:r w:rsidR="561FEA06" w:rsidRPr="561FEA06">
              <w:rPr>
                <w:rStyle w:val="Hyperlink"/>
              </w:rPr>
              <w:t>1.10. Graphical Representation of Trends</w:t>
            </w:r>
            <w:r w:rsidR="561FEA06">
              <w:tab/>
            </w:r>
            <w:r w:rsidR="561FEA06">
              <w:fldChar w:fldCharType="begin"/>
            </w:r>
            <w:r w:rsidR="561FEA06">
              <w:instrText>PAGEREF _Toc585463154 \h</w:instrText>
            </w:r>
            <w:r w:rsidR="561FEA06">
              <w:fldChar w:fldCharType="separate"/>
            </w:r>
            <w:r w:rsidR="561FEA06" w:rsidRPr="561FEA06">
              <w:rPr>
                <w:rStyle w:val="Hyperlink"/>
              </w:rPr>
              <w:t>8</w:t>
            </w:r>
            <w:r w:rsidR="561FEA06">
              <w:fldChar w:fldCharType="end"/>
            </w:r>
          </w:hyperlink>
        </w:p>
        <w:p w14:paraId="42D5E739" w14:textId="5D408327" w:rsidR="561FEA06" w:rsidRDefault="00FF1D6E" w:rsidP="561FEA06">
          <w:pPr>
            <w:pStyle w:val="TOC2"/>
            <w:tabs>
              <w:tab w:val="right" w:leader="dot" w:pos="9360"/>
            </w:tabs>
            <w:rPr>
              <w:rStyle w:val="Hyperlink"/>
            </w:rPr>
          </w:pPr>
          <w:hyperlink w:anchor="_Toc1227575533">
            <w:r w:rsidR="561FEA06" w:rsidRPr="561FEA06">
              <w:rPr>
                <w:rStyle w:val="Hyperlink"/>
              </w:rPr>
              <w:t>1.11. Strengths and Opportunities</w:t>
            </w:r>
            <w:r w:rsidR="561FEA06">
              <w:tab/>
            </w:r>
            <w:r w:rsidR="561FEA06">
              <w:fldChar w:fldCharType="begin"/>
            </w:r>
            <w:r w:rsidR="561FEA06">
              <w:instrText>PAGEREF _Toc1227575533 \h</w:instrText>
            </w:r>
            <w:r w:rsidR="561FEA06">
              <w:fldChar w:fldCharType="separate"/>
            </w:r>
            <w:r w:rsidR="561FEA06" w:rsidRPr="561FEA06">
              <w:rPr>
                <w:rStyle w:val="Hyperlink"/>
              </w:rPr>
              <w:t>9</w:t>
            </w:r>
            <w:r w:rsidR="561FEA06">
              <w:fldChar w:fldCharType="end"/>
            </w:r>
          </w:hyperlink>
        </w:p>
        <w:p w14:paraId="1D2CB5BE" w14:textId="59EE8CC6" w:rsidR="561FEA06" w:rsidRDefault="00FF1D6E" w:rsidP="561FEA06">
          <w:pPr>
            <w:pStyle w:val="TOC2"/>
            <w:tabs>
              <w:tab w:val="right" w:leader="dot" w:pos="9360"/>
            </w:tabs>
            <w:rPr>
              <w:rStyle w:val="Hyperlink"/>
            </w:rPr>
          </w:pPr>
          <w:hyperlink w:anchor="_Toc1632575306">
            <w:r w:rsidR="561FEA06" w:rsidRPr="561FEA06">
              <w:rPr>
                <w:rStyle w:val="Hyperlink"/>
              </w:rPr>
              <w:t>1.12. Weaknesses and Threats</w:t>
            </w:r>
            <w:r w:rsidR="561FEA06">
              <w:tab/>
            </w:r>
            <w:r w:rsidR="561FEA06">
              <w:fldChar w:fldCharType="begin"/>
            </w:r>
            <w:r w:rsidR="561FEA06">
              <w:instrText>PAGEREF _Toc1632575306 \h</w:instrText>
            </w:r>
            <w:r w:rsidR="561FEA06">
              <w:fldChar w:fldCharType="separate"/>
            </w:r>
            <w:r w:rsidR="561FEA06" w:rsidRPr="561FEA06">
              <w:rPr>
                <w:rStyle w:val="Hyperlink"/>
              </w:rPr>
              <w:t>9</w:t>
            </w:r>
            <w:r w:rsidR="561FEA06">
              <w:fldChar w:fldCharType="end"/>
            </w:r>
          </w:hyperlink>
        </w:p>
        <w:p w14:paraId="546FF994" w14:textId="494FA5DB" w:rsidR="561FEA06" w:rsidRDefault="00FF1D6E" w:rsidP="561FEA06">
          <w:pPr>
            <w:pStyle w:val="TOC2"/>
            <w:tabs>
              <w:tab w:val="right" w:leader="dot" w:pos="9360"/>
            </w:tabs>
            <w:rPr>
              <w:rStyle w:val="Hyperlink"/>
            </w:rPr>
          </w:pPr>
          <w:hyperlink w:anchor="_Toc1472450386">
            <w:r w:rsidR="561FEA06" w:rsidRPr="561FEA06">
              <w:rPr>
                <w:rStyle w:val="Hyperlink"/>
              </w:rPr>
              <w:t>1.13. Conclusion</w:t>
            </w:r>
            <w:r w:rsidR="561FEA06">
              <w:tab/>
            </w:r>
            <w:r w:rsidR="561FEA06">
              <w:fldChar w:fldCharType="begin"/>
            </w:r>
            <w:r w:rsidR="561FEA06">
              <w:instrText>PAGEREF _Toc1472450386 \h</w:instrText>
            </w:r>
            <w:r w:rsidR="561FEA06">
              <w:fldChar w:fldCharType="separate"/>
            </w:r>
            <w:r w:rsidR="561FEA06" w:rsidRPr="561FEA06">
              <w:rPr>
                <w:rStyle w:val="Hyperlink"/>
              </w:rPr>
              <w:t>10</w:t>
            </w:r>
            <w:r w:rsidR="561FEA06">
              <w:fldChar w:fldCharType="end"/>
            </w:r>
          </w:hyperlink>
        </w:p>
        <w:p w14:paraId="540FD20C" w14:textId="5E2FDCFB" w:rsidR="561FEA06" w:rsidRDefault="00FF1D6E" w:rsidP="561FEA06">
          <w:pPr>
            <w:pStyle w:val="TOC1"/>
            <w:tabs>
              <w:tab w:val="right" w:leader="dot" w:pos="9360"/>
            </w:tabs>
            <w:rPr>
              <w:rStyle w:val="Hyperlink"/>
            </w:rPr>
          </w:pPr>
          <w:hyperlink w:anchor="_Toc641953520">
            <w:r w:rsidR="561FEA06" w:rsidRPr="561FEA06">
              <w:rPr>
                <w:rStyle w:val="Hyperlink"/>
              </w:rPr>
              <w:t>2. Working Capital Management Analysis: Cash Operating Cycle and Liquidity Improvement of Toyata</w:t>
            </w:r>
            <w:r w:rsidR="561FEA06">
              <w:tab/>
            </w:r>
            <w:r w:rsidR="561FEA06">
              <w:fldChar w:fldCharType="begin"/>
            </w:r>
            <w:r w:rsidR="561FEA06">
              <w:instrText>PAGEREF _Toc641953520 \h</w:instrText>
            </w:r>
            <w:r w:rsidR="561FEA06">
              <w:fldChar w:fldCharType="separate"/>
            </w:r>
            <w:r w:rsidR="561FEA06" w:rsidRPr="561FEA06">
              <w:rPr>
                <w:rStyle w:val="Hyperlink"/>
              </w:rPr>
              <w:t>10</w:t>
            </w:r>
            <w:r w:rsidR="561FEA06">
              <w:fldChar w:fldCharType="end"/>
            </w:r>
          </w:hyperlink>
        </w:p>
        <w:p w14:paraId="48E255CD" w14:textId="44F3DB7C" w:rsidR="561FEA06" w:rsidRDefault="00FF1D6E" w:rsidP="561FEA06">
          <w:pPr>
            <w:pStyle w:val="TOC2"/>
            <w:tabs>
              <w:tab w:val="right" w:leader="dot" w:pos="9360"/>
            </w:tabs>
            <w:rPr>
              <w:rStyle w:val="Hyperlink"/>
            </w:rPr>
          </w:pPr>
          <w:hyperlink w:anchor="_Toc610669012">
            <w:r w:rsidR="561FEA06" w:rsidRPr="561FEA06">
              <w:rPr>
                <w:rStyle w:val="Hyperlink"/>
              </w:rPr>
              <w:t>2.1. Introduction</w:t>
            </w:r>
            <w:r w:rsidR="561FEA06">
              <w:tab/>
            </w:r>
            <w:r w:rsidR="561FEA06">
              <w:fldChar w:fldCharType="begin"/>
            </w:r>
            <w:r w:rsidR="561FEA06">
              <w:instrText>PAGEREF _Toc610669012 \h</w:instrText>
            </w:r>
            <w:r w:rsidR="561FEA06">
              <w:fldChar w:fldCharType="separate"/>
            </w:r>
            <w:r w:rsidR="561FEA06" w:rsidRPr="561FEA06">
              <w:rPr>
                <w:rStyle w:val="Hyperlink"/>
              </w:rPr>
              <w:t>11</w:t>
            </w:r>
            <w:r w:rsidR="561FEA06">
              <w:fldChar w:fldCharType="end"/>
            </w:r>
          </w:hyperlink>
        </w:p>
        <w:p w14:paraId="7C82C1ED" w14:textId="6110CE36" w:rsidR="561FEA06" w:rsidRDefault="00FF1D6E" w:rsidP="561FEA06">
          <w:pPr>
            <w:pStyle w:val="TOC2"/>
            <w:tabs>
              <w:tab w:val="right" w:leader="dot" w:pos="9360"/>
            </w:tabs>
            <w:rPr>
              <w:rStyle w:val="Hyperlink"/>
            </w:rPr>
          </w:pPr>
          <w:hyperlink w:anchor="_Toc230827313">
            <w:r w:rsidR="561FEA06" w:rsidRPr="561FEA06">
              <w:rPr>
                <w:rStyle w:val="Hyperlink"/>
              </w:rPr>
              <w:t>2.2. Understanding the Cash Operating Cycle</w:t>
            </w:r>
            <w:r w:rsidR="561FEA06">
              <w:tab/>
            </w:r>
            <w:r w:rsidR="561FEA06">
              <w:fldChar w:fldCharType="begin"/>
            </w:r>
            <w:r w:rsidR="561FEA06">
              <w:instrText>PAGEREF _Toc230827313 \h</w:instrText>
            </w:r>
            <w:r w:rsidR="561FEA06">
              <w:fldChar w:fldCharType="separate"/>
            </w:r>
            <w:r w:rsidR="561FEA06" w:rsidRPr="561FEA06">
              <w:rPr>
                <w:rStyle w:val="Hyperlink"/>
              </w:rPr>
              <w:t>11</w:t>
            </w:r>
            <w:r w:rsidR="561FEA06">
              <w:fldChar w:fldCharType="end"/>
            </w:r>
          </w:hyperlink>
        </w:p>
        <w:p w14:paraId="284309A2" w14:textId="760364A4" w:rsidR="561FEA06" w:rsidRDefault="00FF1D6E" w:rsidP="561FEA06">
          <w:pPr>
            <w:pStyle w:val="TOC3"/>
            <w:tabs>
              <w:tab w:val="right" w:leader="dot" w:pos="9360"/>
            </w:tabs>
            <w:rPr>
              <w:rStyle w:val="Hyperlink"/>
            </w:rPr>
          </w:pPr>
          <w:hyperlink w:anchor="_Toc796087520">
            <w:r w:rsidR="561FEA06" w:rsidRPr="561FEA06">
              <w:rPr>
                <w:rStyle w:val="Hyperlink"/>
              </w:rPr>
              <w:t>2.3 Components of the Cash Operating Cycle</w:t>
            </w:r>
            <w:r w:rsidR="561FEA06">
              <w:tab/>
            </w:r>
            <w:r w:rsidR="561FEA06">
              <w:fldChar w:fldCharType="begin"/>
            </w:r>
            <w:r w:rsidR="561FEA06">
              <w:instrText>PAGEREF _Toc796087520 \h</w:instrText>
            </w:r>
            <w:r w:rsidR="561FEA06">
              <w:fldChar w:fldCharType="separate"/>
            </w:r>
            <w:r w:rsidR="561FEA06" w:rsidRPr="561FEA06">
              <w:rPr>
                <w:rStyle w:val="Hyperlink"/>
              </w:rPr>
              <w:t>11</w:t>
            </w:r>
            <w:r w:rsidR="561FEA06">
              <w:fldChar w:fldCharType="end"/>
            </w:r>
          </w:hyperlink>
        </w:p>
        <w:p w14:paraId="6125555E" w14:textId="3F6DA3DA" w:rsidR="561FEA06" w:rsidRDefault="00FF1D6E" w:rsidP="561FEA06">
          <w:pPr>
            <w:pStyle w:val="TOC4"/>
            <w:tabs>
              <w:tab w:val="right" w:leader="dot" w:pos="9360"/>
            </w:tabs>
            <w:rPr>
              <w:rStyle w:val="Hyperlink"/>
            </w:rPr>
          </w:pPr>
          <w:hyperlink w:anchor="_Toc1197827272">
            <w:r w:rsidR="561FEA06" w:rsidRPr="561FEA06">
              <w:rPr>
                <w:rStyle w:val="Hyperlink"/>
              </w:rPr>
              <w:t>2.3.1. Inventory Period</w:t>
            </w:r>
            <w:r w:rsidR="561FEA06">
              <w:tab/>
            </w:r>
            <w:r w:rsidR="561FEA06">
              <w:fldChar w:fldCharType="begin"/>
            </w:r>
            <w:r w:rsidR="561FEA06">
              <w:instrText>PAGEREF _Toc1197827272 \h</w:instrText>
            </w:r>
            <w:r w:rsidR="561FEA06">
              <w:fldChar w:fldCharType="separate"/>
            </w:r>
            <w:r w:rsidR="561FEA06" w:rsidRPr="561FEA06">
              <w:rPr>
                <w:rStyle w:val="Hyperlink"/>
              </w:rPr>
              <w:t>12</w:t>
            </w:r>
            <w:r w:rsidR="561FEA06">
              <w:fldChar w:fldCharType="end"/>
            </w:r>
          </w:hyperlink>
        </w:p>
        <w:p w14:paraId="62F3008C" w14:textId="22DE45B8" w:rsidR="561FEA06" w:rsidRDefault="00FF1D6E" w:rsidP="561FEA06">
          <w:pPr>
            <w:pStyle w:val="TOC4"/>
            <w:tabs>
              <w:tab w:val="right" w:leader="dot" w:pos="9360"/>
            </w:tabs>
            <w:rPr>
              <w:rStyle w:val="Hyperlink"/>
            </w:rPr>
          </w:pPr>
          <w:hyperlink w:anchor="_Toc1214366862">
            <w:r w:rsidR="561FEA06" w:rsidRPr="561FEA06">
              <w:rPr>
                <w:rStyle w:val="Hyperlink"/>
              </w:rPr>
              <w:t>2.3.2. Receivables Period</w:t>
            </w:r>
            <w:r w:rsidR="561FEA06">
              <w:tab/>
            </w:r>
            <w:r w:rsidR="561FEA06">
              <w:fldChar w:fldCharType="begin"/>
            </w:r>
            <w:r w:rsidR="561FEA06">
              <w:instrText>PAGEREF _Toc1214366862 \h</w:instrText>
            </w:r>
            <w:r w:rsidR="561FEA06">
              <w:fldChar w:fldCharType="separate"/>
            </w:r>
            <w:r w:rsidR="561FEA06" w:rsidRPr="561FEA06">
              <w:rPr>
                <w:rStyle w:val="Hyperlink"/>
              </w:rPr>
              <w:t>12</w:t>
            </w:r>
            <w:r w:rsidR="561FEA06">
              <w:fldChar w:fldCharType="end"/>
            </w:r>
          </w:hyperlink>
        </w:p>
        <w:p w14:paraId="1FB8D256" w14:textId="342BDC9E" w:rsidR="561FEA06" w:rsidRDefault="00FF1D6E" w:rsidP="561FEA06">
          <w:pPr>
            <w:pStyle w:val="TOC4"/>
            <w:tabs>
              <w:tab w:val="right" w:leader="dot" w:pos="9360"/>
            </w:tabs>
            <w:rPr>
              <w:rStyle w:val="Hyperlink"/>
            </w:rPr>
          </w:pPr>
          <w:hyperlink w:anchor="_Toc790942300">
            <w:r w:rsidR="561FEA06" w:rsidRPr="561FEA06">
              <w:rPr>
                <w:rStyle w:val="Hyperlink"/>
              </w:rPr>
              <w:t>2.3.3. Payables Period</w:t>
            </w:r>
            <w:r w:rsidR="561FEA06">
              <w:tab/>
            </w:r>
            <w:r w:rsidR="561FEA06">
              <w:fldChar w:fldCharType="begin"/>
            </w:r>
            <w:r w:rsidR="561FEA06">
              <w:instrText>PAGEREF _Toc790942300 \h</w:instrText>
            </w:r>
            <w:r w:rsidR="561FEA06">
              <w:fldChar w:fldCharType="separate"/>
            </w:r>
            <w:r w:rsidR="561FEA06" w:rsidRPr="561FEA06">
              <w:rPr>
                <w:rStyle w:val="Hyperlink"/>
              </w:rPr>
              <w:t>12</w:t>
            </w:r>
            <w:r w:rsidR="561FEA06">
              <w:fldChar w:fldCharType="end"/>
            </w:r>
          </w:hyperlink>
        </w:p>
        <w:p w14:paraId="542ED125" w14:textId="702E2AF9" w:rsidR="561FEA06" w:rsidRDefault="00FF1D6E" w:rsidP="561FEA06">
          <w:pPr>
            <w:pStyle w:val="TOC2"/>
            <w:tabs>
              <w:tab w:val="right" w:leader="dot" w:pos="9360"/>
            </w:tabs>
            <w:rPr>
              <w:rStyle w:val="Hyperlink"/>
            </w:rPr>
          </w:pPr>
          <w:hyperlink w:anchor="_Toc218293717">
            <w:r w:rsidR="561FEA06" w:rsidRPr="561FEA06">
              <w:rPr>
                <w:rStyle w:val="Hyperlink"/>
              </w:rPr>
              <w:t>2.3. Analysis of the Cash Operating Cycle (2019–2023)</w:t>
            </w:r>
            <w:r w:rsidR="561FEA06">
              <w:tab/>
            </w:r>
            <w:r w:rsidR="561FEA06">
              <w:fldChar w:fldCharType="begin"/>
            </w:r>
            <w:r w:rsidR="561FEA06">
              <w:instrText>PAGEREF _Toc218293717 \h</w:instrText>
            </w:r>
            <w:r w:rsidR="561FEA06">
              <w:fldChar w:fldCharType="separate"/>
            </w:r>
            <w:r w:rsidR="561FEA06" w:rsidRPr="561FEA06">
              <w:rPr>
                <w:rStyle w:val="Hyperlink"/>
              </w:rPr>
              <w:t>12</w:t>
            </w:r>
            <w:r w:rsidR="561FEA06">
              <w:fldChar w:fldCharType="end"/>
            </w:r>
          </w:hyperlink>
        </w:p>
        <w:p w14:paraId="294F1C68" w14:textId="119DB1D9" w:rsidR="561FEA06" w:rsidRDefault="00FF1D6E" w:rsidP="561FEA06">
          <w:pPr>
            <w:pStyle w:val="TOC2"/>
            <w:tabs>
              <w:tab w:val="right" w:leader="dot" w:pos="9360"/>
            </w:tabs>
            <w:rPr>
              <w:rStyle w:val="Hyperlink"/>
            </w:rPr>
          </w:pPr>
          <w:hyperlink w:anchor="_Toc1476594916">
            <w:r w:rsidR="561FEA06" w:rsidRPr="561FEA06">
              <w:rPr>
                <w:rStyle w:val="Hyperlink"/>
              </w:rPr>
              <w:t>4. Trend Analysis of Cash Operating Cycle</w:t>
            </w:r>
            <w:r w:rsidR="561FEA06">
              <w:tab/>
            </w:r>
            <w:r w:rsidR="561FEA06">
              <w:fldChar w:fldCharType="begin"/>
            </w:r>
            <w:r w:rsidR="561FEA06">
              <w:instrText>PAGEREF _Toc1476594916 \h</w:instrText>
            </w:r>
            <w:r w:rsidR="561FEA06">
              <w:fldChar w:fldCharType="separate"/>
            </w:r>
            <w:r w:rsidR="561FEA06" w:rsidRPr="561FEA06">
              <w:rPr>
                <w:rStyle w:val="Hyperlink"/>
              </w:rPr>
              <w:t>13</w:t>
            </w:r>
            <w:r w:rsidR="561FEA06">
              <w:fldChar w:fldCharType="end"/>
            </w:r>
          </w:hyperlink>
        </w:p>
        <w:p w14:paraId="1EF537BA" w14:textId="7326A5BB" w:rsidR="561FEA06" w:rsidRDefault="00FF1D6E" w:rsidP="561FEA06">
          <w:pPr>
            <w:pStyle w:val="TOC3"/>
            <w:tabs>
              <w:tab w:val="right" w:leader="dot" w:pos="9360"/>
            </w:tabs>
            <w:rPr>
              <w:rStyle w:val="Hyperlink"/>
            </w:rPr>
          </w:pPr>
          <w:hyperlink w:anchor="_Toc2011738862">
            <w:r w:rsidR="561FEA06" w:rsidRPr="561FEA06">
              <w:rPr>
                <w:rStyle w:val="Hyperlink"/>
              </w:rPr>
              <w:t>Figure 3: Trends in Cash Operating Cycle (2019–2023)</w:t>
            </w:r>
            <w:r w:rsidR="561FEA06">
              <w:tab/>
            </w:r>
            <w:r w:rsidR="561FEA06">
              <w:fldChar w:fldCharType="begin"/>
            </w:r>
            <w:r w:rsidR="561FEA06">
              <w:instrText>PAGEREF _Toc2011738862 \h</w:instrText>
            </w:r>
            <w:r w:rsidR="561FEA06">
              <w:fldChar w:fldCharType="separate"/>
            </w:r>
            <w:r w:rsidR="561FEA06" w:rsidRPr="561FEA06">
              <w:rPr>
                <w:rStyle w:val="Hyperlink"/>
              </w:rPr>
              <w:t>13</w:t>
            </w:r>
            <w:r w:rsidR="561FEA06">
              <w:fldChar w:fldCharType="end"/>
            </w:r>
          </w:hyperlink>
        </w:p>
        <w:p w14:paraId="71AD4AAE" w14:textId="55436682" w:rsidR="561FEA06" w:rsidRDefault="00FF1D6E" w:rsidP="561FEA06">
          <w:pPr>
            <w:pStyle w:val="TOC2"/>
            <w:tabs>
              <w:tab w:val="right" w:leader="dot" w:pos="9360"/>
            </w:tabs>
            <w:rPr>
              <w:rStyle w:val="Hyperlink"/>
            </w:rPr>
          </w:pPr>
          <w:hyperlink w:anchor="_Toc1515753497">
            <w:r w:rsidR="561FEA06" w:rsidRPr="561FEA06">
              <w:rPr>
                <w:rStyle w:val="Hyperlink"/>
              </w:rPr>
              <w:t>2.5. Assessment of Cash Operating Cycle Components</w:t>
            </w:r>
            <w:r w:rsidR="561FEA06">
              <w:tab/>
            </w:r>
            <w:r w:rsidR="561FEA06">
              <w:fldChar w:fldCharType="begin"/>
            </w:r>
            <w:r w:rsidR="561FEA06">
              <w:instrText>PAGEREF _Toc1515753497 \h</w:instrText>
            </w:r>
            <w:r w:rsidR="561FEA06">
              <w:fldChar w:fldCharType="separate"/>
            </w:r>
            <w:r w:rsidR="561FEA06" w:rsidRPr="561FEA06">
              <w:rPr>
                <w:rStyle w:val="Hyperlink"/>
              </w:rPr>
              <w:t>13</w:t>
            </w:r>
            <w:r w:rsidR="561FEA06">
              <w:fldChar w:fldCharType="end"/>
            </w:r>
          </w:hyperlink>
        </w:p>
        <w:p w14:paraId="24112CEC" w14:textId="522A999D" w:rsidR="561FEA06" w:rsidRDefault="00FF1D6E" w:rsidP="561FEA06">
          <w:pPr>
            <w:pStyle w:val="TOC3"/>
            <w:tabs>
              <w:tab w:val="right" w:leader="dot" w:pos="9360"/>
            </w:tabs>
            <w:rPr>
              <w:rStyle w:val="Hyperlink"/>
            </w:rPr>
          </w:pPr>
          <w:hyperlink w:anchor="_Toc1377282143">
            <w:r w:rsidR="561FEA06" w:rsidRPr="561FEA06">
              <w:rPr>
                <w:rStyle w:val="Hyperlink"/>
              </w:rPr>
              <w:t>2.5.1 Inventory Period Analysis</w:t>
            </w:r>
            <w:r w:rsidR="561FEA06">
              <w:tab/>
            </w:r>
            <w:r w:rsidR="561FEA06">
              <w:fldChar w:fldCharType="begin"/>
            </w:r>
            <w:r w:rsidR="561FEA06">
              <w:instrText>PAGEREF _Toc1377282143 \h</w:instrText>
            </w:r>
            <w:r w:rsidR="561FEA06">
              <w:fldChar w:fldCharType="separate"/>
            </w:r>
            <w:r w:rsidR="561FEA06" w:rsidRPr="561FEA06">
              <w:rPr>
                <w:rStyle w:val="Hyperlink"/>
              </w:rPr>
              <w:t>14</w:t>
            </w:r>
            <w:r w:rsidR="561FEA06">
              <w:fldChar w:fldCharType="end"/>
            </w:r>
          </w:hyperlink>
        </w:p>
        <w:p w14:paraId="35D1F15F" w14:textId="42B2DC87" w:rsidR="561FEA06" w:rsidRDefault="00FF1D6E" w:rsidP="561FEA06">
          <w:pPr>
            <w:pStyle w:val="TOC3"/>
            <w:tabs>
              <w:tab w:val="right" w:leader="dot" w:pos="9360"/>
            </w:tabs>
            <w:rPr>
              <w:rStyle w:val="Hyperlink"/>
            </w:rPr>
          </w:pPr>
          <w:hyperlink w:anchor="_Toc140931312">
            <w:r w:rsidR="561FEA06" w:rsidRPr="561FEA06">
              <w:rPr>
                <w:rStyle w:val="Hyperlink"/>
              </w:rPr>
              <w:t>5.2 Receivables Period Analysis</w:t>
            </w:r>
            <w:r w:rsidR="561FEA06">
              <w:tab/>
            </w:r>
            <w:r w:rsidR="561FEA06">
              <w:fldChar w:fldCharType="begin"/>
            </w:r>
            <w:r w:rsidR="561FEA06">
              <w:instrText>PAGEREF _Toc140931312 \h</w:instrText>
            </w:r>
            <w:r w:rsidR="561FEA06">
              <w:fldChar w:fldCharType="separate"/>
            </w:r>
            <w:r w:rsidR="561FEA06" w:rsidRPr="561FEA06">
              <w:rPr>
                <w:rStyle w:val="Hyperlink"/>
              </w:rPr>
              <w:t>14</w:t>
            </w:r>
            <w:r w:rsidR="561FEA06">
              <w:fldChar w:fldCharType="end"/>
            </w:r>
          </w:hyperlink>
        </w:p>
        <w:p w14:paraId="11B3DC5E" w14:textId="49BBD1FA" w:rsidR="561FEA06" w:rsidRDefault="00FF1D6E" w:rsidP="561FEA06">
          <w:pPr>
            <w:pStyle w:val="TOC3"/>
            <w:tabs>
              <w:tab w:val="right" w:leader="dot" w:pos="9360"/>
            </w:tabs>
            <w:rPr>
              <w:rStyle w:val="Hyperlink"/>
            </w:rPr>
          </w:pPr>
          <w:hyperlink w:anchor="_Toc924598207">
            <w:r w:rsidR="561FEA06" w:rsidRPr="561FEA06">
              <w:rPr>
                <w:rStyle w:val="Hyperlink"/>
              </w:rPr>
              <w:t>5.3 Payables Period Analysis</w:t>
            </w:r>
            <w:r w:rsidR="561FEA06">
              <w:tab/>
            </w:r>
            <w:r w:rsidR="561FEA06">
              <w:fldChar w:fldCharType="begin"/>
            </w:r>
            <w:r w:rsidR="561FEA06">
              <w:instrText>PAGEREF _Toc924598207 \h</w:instrText>
            </w:r>
            <w:r w:rsidR="561FEA06">
              <w:fldChar w:fldCharType="separate"/>
            </w:r>
            <w:r w:rsidR="561FEA06" w:rsidRPr="561FEA06">
              <w:rPr>
                <w:rStyle w:val="Hyperlink"/>
              </w:rPr>
              <w:t>14</w:t>
            </w:r>
            <w:r w:rsidR="561FEA06">
              <w:fldChar w:fldCharType="end"/>
            </w:r>
          </w:hyperlink>
        </w:p>
        <w:p w14:paraId="61434358" w14:textId="00CF81FB" w:rsidR="561FEA06" w:rsidRDefault="00FF1D6E" w:rsidP="561FEA06">
          <w:pPr>
            <w:pStyle w:val="TOC2"/>
            <w:tabs>
              <w:tab w:val="right" w:leader="dot" w:pos="9360"/>
            </w:tabs>
            <w:rPr>
              <w:rStyle w:val="Hyperlink"/>
            </w:rPr>
          </w:pPr>
          <w:hyperlink w:anchor="_Toc1297629866">
            <w:r w:rsidR="561FEA06" w:rsidRPr="561FEA06">
              <w:rPr>
                <w:rStyle w:val="Hyperlink"/>
              </w:rPr>
              <w:t>2.6. Implications of Cash Operating Cycle Trends</w:t>
            </w:r>
            <w:r w:rsidR="561FEA06">
              <w:tab/>
            </w:r>
            <w:r w:rsidR="561FEA06">
              <w:fldChar w:fldCharType="begin"/>
            </w:r>
            <w:r w:rsidR="561FEA06">
              <w:instrText>PAGEREF _Toc1297629866 \h</w:instrText>
            </w:r>
            <w:r w:rsidR="561FEA06">
              <w:fldChar w:fldCharType="separate"/>
            </w:r>
            <w:r w:rsidR="561FEA06" w:rsidRPr="561FEA06">
              <w:rPr>
                <w:rStyle w:val="Hyperlink"/>
              </w:rPr>
              <w:t>14</w:t>
            </w:r>
            <w:r w:rsidR="561FEA06">
              <w:fldChar w:fldCharType="end"/>
            </w:r>
          </w:hyperlink>
        </w:p>
        <w:p w14:paraId="51B7C00A" w14:textId="7BFC7515" w:rsidR="561FEA06" w:rsidRDefault="00FF1D6E" w:rsidP="561FEA06">
          <w:pPr>
            <w:pStyle w:val="TOC2"/>
            <w:tabs>
              <w:tab w:val="right" w:leader="dot" w:pos="9360"/>
            </w:tabs>
            <w:rPr>
              <w:rStyle w:val="Hyperlink"/>
            </w:rPr>
          </w:pPr>
          <w:hyperlink w:anchor="_Toc1771007629">
            <w:r w:rsidR="561FEA06" w:rsidRPr="561FEA06">
              <w:rPr>
                <w:rStyle w:val="Hyperlink"/>
              </w:rPr>
              <w:t>2.7. Strategies for Liquidity Improvement</w:t>
            </w:r>
            <w:r w:rsidR="561FEA06">
              <w:tab/>
            </w:r>
            <w:r w:rsidR="561FEA06">
              <w:fldChar w:fldCharType="begin"/>
            </w:r>
            <w:r w:rsidR="561FEA06">
              <w:instrText>PAGEREF _Toc1771007629 \h</w:instrText>
            </w:r>
            <w:r w:rsidR="561FEA06">
              <w:fldChar w:fldCharType="separate"/>
            </w:r>
            <w:r w:rsidR="561FEA06" w:rsidRPr="561FEA06">
              <w:rPr>
                <w:rStyle w:val="Hyperlink"/>
              </w:rPr>
              <w:t>15</w:t>
            </w:r>
            <w:r w:rsidR="561FEA06">
              <w:fldChar w:fldCharType="end"/>
            </w:r>
          </w:hyperlink>
        </w:p>
        <w:p w14:paraId="7EB540D4" w14:textId="4C362596" w:rsidR="561FEA06" w:rsidRDefault="00FF1D6E" w:rsidP="561FEA06">
          <w:pPr>
            <w:pStyle w:val="TOC3"/>
            <w:tabs>
              <w:tab w:val="right" w:leader="dot" w:pos="9360"/>
            </w:tabs>
            <w:rPr>
              <w:rStyle w:val="Hyperlink"/>
            </w:rPr>
          </w:pPr>
          <w:hyperlink w:anchor="_Toc1018915601">
            <w:r w:rsidR="561FEA06" w:rsidRPr="561FEA06">
              <w:rPr>
                <w:rStyle w:val="Hyperlink"/>
              </w:rPr>
              <w:t>2.7.1 Enhancing Inventory Management</w:t>
            </w:r>
            <w:r w:rsidR="561FEA06">
              <w:tab/>
            </w:r>
            <w:r w:rsidR="561FEA06">
              <w:fldChar w:fldCharType="begin"/>
            </w:r>
            <w:r w:rsidR="561FEA06">
              <w:instrText>PAGEREF _Toc1018915601 \h</w:instrText>
            </w:r>
            <w:r w:rsidR="561FEA06">
              <w:fldChar w:fldCharType="separate"/>
            </w:r>
            <w:r w:rsidR="561FEA06" w:rsidRPr="561FEA06">
              <w:rPr>
                <w:rStyle w:val="Hyperlink"/>
              </w:rPr>
              <w:t>15</w:t>
            </w:r>
            <w:r w:rsidR="561FEA06">
              <w:fldChar w:fldCharType="end"/>
            </w:r>
          </w:hyperlink>
        </w:p>
        <w:p w14:paraId="6EE7DDBC" w14:textId="6F6F2555" w:rsidR="561FEA06" w:rsidRDefault="00FF1D6E" w:rsidP="561FEA06">
          <w:pPr>
            <w:pStyle w:val="TOC3"/>
            <w:tabs>
              <w:tab w:val="right" w:leader="dot" w:pos="9360"/>
            </w:tabs>
            <w:rPr>
              <w:rStyle w:val="Hyperlink"/>
            </w:rPr>
          </w:pPr>
          <w:hyperlink w:anchor="_Toc444650069">
            <w:r w:rsidR="561FEA06" w:rsidRPr="561FEA06">
              <w:rPr>
                <w:rStyle w:val="Hyperlink"/>
              </w:rPr>
              <w:t>2.7.2 Improving Receivables Collection</w:t>
            </w:r>
            <w:r w:rsidR="561FEA06">
              <w:tab/>
            </w:r>
            <w:r w:rsidR="561FEA06">
              <w:fldChar w:fldCharType="begin"/>
            </w:r>
            <w:r w:rsidR="561FEA06">
              <w:instrText>PAGEREF _Toc444650069 \h</w:instrText>
            </w:r>
            <w:r w:rsidR="561FEA06">
              <w:fldChar w:fldCharType="separate"/>
            </w:r>
            <w:r w:rsidR="561FEA06" w:rsidRPr="561FEA06">
              <w:rPr>
                <w:rStyle w:val="Hyperlink"/>
              </w:rPr>
              <w:t>15</w:t>
            </w:r>
            <w:r w:rsidR="561FEA06">
              <w:fldChar w:fldCharType="end"/>
            </w:r>
          </w:hyperlink>
        </w:p>
        <w:p w14:paraId="61655395" w14:textId="4320F6FF" w:rsidR="561FEA06" w:rsidRDefault="00FF1D6E" w:rsidP="561FEA06">
          <w:pPr>
            <w:pStyle w:val="TOC3"/>
            <w:tabs>
              <w:tab w:val="right" w:leader="dot" w:pos="9360"/>
            </w:tabs>
            <w:rPr>
              <w:rStyle w:val="Hyperlink"/>
            </w:rPr>
          </w:pPr>
          <w:hyperlink w:anchor="_Toc1867873386">
            <w:r w:rsidR="561FEA06" w:rsidRPr="561FEA06">
              <w:rPr>
                <w:rStyle w:val="Hyperlink"/>
              </w:rPr>
              <w:t>2.7.3 Optimizing Payables Management</w:t>
            </w:r>
            <w:r w:rsidR="561FEA06">
              <w:tab/>
            </w:r>
            <w:r w:rsidR="561FEA06">
              <w:fldChar w:fldCharType="begin"/>
            </w:r>
            <w:r w:rsidR="561FEA06">
              <w:instrText>PAGEREF _Toc1867873386 \h</w:instrText>
            </w:r>
            <w:r w:rsidR="561FEA06">
              <w:fldChar w:fldCharType="separate"/>
            </w:r>
            <w:r w:rsidR="561FEA06" w:rsidRPr="561FEA06">
              <w:rPr>
                <w:rStyle w:val="Hyperlink"/>
              </w:rPr>
              <w:t>15</w:t>
            </w:r>
            <w:r w:rsidR="561FEA06">
              <w:fldChar w:fldCharType="end"/>
            </w:r>
          </w:hyperlink>
        </w:p>
        <w:p w14:paraId="50C41C3B" w14:textId="01A68AF9" w:rsidR="561FEA06" w:rsidRDefault="00FF1D6E" w:rsidP="561FEA06">
          <w:pPr>
            <w:pStyle w:val="TOC3"/>
            <w:tabs>
              <w:tab w:val="right" w:leader="dot" w:pos="9360"/>
            </w:tabs>
            <w:rPr>
              <w:rStyle w:val="Hyperlink"/>
            </w:rPr>
          </w:pPr>
          <w:hyperlink w:anchor="_Toc590563446">
            <w:r w:rsidR="561FEA06" w:rsidRPr="561FEA06">
              <w:rPr>
                <w:rStyle w:val="Hyperlink"/>
              </w:rPr>
              <w:t>2.7.4 Leveraging Technology for Cash Flow Management</w:t>
            </w:r>
            <w:r w:rsidR="561FEA06">
              <w:tab/>
            </w:r>
            <w:r w:rsidR="561FEA06">
              <w:fldChar w:fldCharType="begin"/>
            </w:r>
            <w:r w:rsidR="561FEA06">
              <w:instrText>PAGEREF _Toc590563446 \h</w:instrText>
            </w:r>
            <w:r w:rsidR="561FEA06">
              <w:fldChar w:fldCharType="separate"/>
            </w:r>
            <w:r w:rsidR="561FEA06" w:rsidRPr="561FEA06">
              <w:rPr>
                <w:rStyle w:val="Hyperlink"/>
              </w:rPr>
              <w:t>16</w:t>
            </w:r>
            <w:r w:rsidR="561FEA06">
              <w:fldChar w:fldCharType="end"/>
            </w:r>
          </w:hyperlink>
        </w:p>
        <w:p w14:paraId="7C621F8F" w14:textId="1EDFAB9F" w:rsidR="561FEA06" w:rsidRDefault="00FF1D6E" w:rsidP="561FEA06">
          <w:pPr>
            <w:pStyle w:val="TOC2"/>
            <w:tabs>
              <w:tab w:val="right" w:leader="dot" w:pos="9360"/>
            </w:tabs>
            <w:rPr>
              <w:rStyle w:val="Hyperlink"/>
            </w:rPr>
          </w:pPr>
          <w:hyperlink w:anchor="_Toc355852046">
            <w:r w:rsidR="561FEA06" w:rsidRPr="561FEA06">
              <w:rPr>
                <w:rStyle w:val="Hyperlink"/>
              </w:rPr>
              <w:t>2.8. Conclusion</w:t>
            </w:r>
            <w:r w:rsidR="561FEA06">
              <w:tab/>
            </w:r>
            <w:r w:rsidR="561FEA06">
              <w:fldChar w:fldCharType="begin"/>
            </w:r>
            <w:r w:rsidR="561FEA06">
              <w:instrText>PAGEREF _Toc355852046 \h</w:instrText>
            </w:r>
            <w:r w:rsidR="561FEA06">
              <w:fldChar w:fldCharType="separate"/>
            </w:r>
            <w:r w:rsidR="561FEA06" w:rsidRPr="561FEA06">
              <w:rPr>
                <w:rStyle w:val="Hyperlink"/>
              </w:rPr>
              <w:t>16</w:t>
            </w:r>
            <w:r w:rsidR="561FEA06">
              <w:fldChar w:fldCharType="end"/>
            </w:r>
          </w:hyperlink>
        </w:p>
        <w:p w14:paraId="7BA2446F" w14:textId="44F99912" w:rsidR="561FEA06" w:rsidRDefault="00FF1D6E" w:rsidP="561FEA06">
          <w:pPr>
            <w:pStyle w:val="TOC1"/>
            <w:tabs>
              <w:tab w:val="right" w:leader="dot" w:pos="9360"/>
            </w:tabs>
            <w:rPr>
              <w:rStyle w:val="Hyperlink"/>
            </w:rPr>
          </w:pPr>
          <w:hyperlink w:anchor="_Toc1739624974">
            <w:r w:rsidR="561FEA06" w:rsidRPr="561FEA06">
              <w:rPr>
                <w:rStyle w:val="Hyperlink"/>
              </w:rPr>
              <w:t>3. Strategic Financial Restructuring Plan: Divestiture, Merger, and Other Financial Restructuring Options</w:t>
            </w:r>
            <w:r w:rsidR="561FEA06">
              <w:tab/>
            </w:r>
            <w:r w:rsidR="561FEA06">
              <w:fldChar w:fldCharType="begin"/>
            </w:r>
            <w:r w:rsidR="561FEA06">
              <w:instrText>PAGEREF _Toc1739624974 \h</w:instrText>
            </w:r>
            <w:r w:rsidR="561FEA06">
              <w:fldChar w:fldCharType="separate"/>
            </w:r>
            <w:r w:rsidR="561FEA06" w:rsidRPr="561FEA06">
              <w:rPr>
                <w:rStyle w:val="Hyperlink"/>
              </w:rPr>
              <w:t>16</w:t>
            </w:r>
            <w:r w:rsidR="561FEA06">
              <w:fldChar w:fldCharType="end"/>
            </w:r>
          </w:hyperlink>
        </w:p>
        <w:p w14:paraId="4F1C4037" w14:textId="12283DEA" w:rsidR="561FEA06" w:rsidRDefault="00FF1D6E" w:rsidP="561FEA06">
          <w:pPr>
            <w:pStyle w:val="TOC4"/>
            <w:tabs>
              <w:tab w:val="right" w:leader="dot" w:pos="9360"/>
            </w:tabs>
            <w:rPr>
              <w:rStyle w:val="Hyperlink"/>
            </w:rPr>
          </w:pPr>
          <w:hyperlink w:anchor="_Toc1581456445">
            <w:r w:rsidR="561FEA06" w:rsidRPr="561FEA06">
              <w:rPr>
                <w:rStyle w:val="Hyperlink"/>
              </w:rPr>
              <w:t>3.1. Overview of Financial Restructuring</w:t>
            </w:r>
            <w:r w:rsidR="561FEA06">
              <w:tab/>
            </w:r>
            <w:r w:rsidR="561FEA06">
              <w:fldChar w:fldCharType="begin"/>
            </w:r>
            <w:r w:rsidR="561FEA06">
              <w:instrText>PAGEREF _Toc1581456445 \h</w:instrText>
            </w:r>
            <w:r w:rsidR="561FEA06">
              <w:fldChar w:fldCharType="separate"/>
            </w:r>
            <w:r w:rsidR="561FEA06" w:rsidRPr="561FEA06">
              <w:rPr>
                <w:rStyle w:val="Hyperlink"/>
              </w:rPr>
              <w:t>17</w:t>
            </w:r>
            <w:r w:rsidR="561FEA06">
              <w:fldChar w:fldCharType="end"/>
            </w:r>
          </w:hyperlink>
        </w:p>
        <w:p w14:paraId="583E9741" w14:textId="0ED01F2D" w:rsidR="561FEA06" w:rsidRDefault="00FF1D6E" w:rsidP="561FEA06">
          <w:pPr>
            <w:pStyle w:val="TOC4"/>
            <w:tabs>
              <w:tab w:val="right" w:leader="dot" w:pos="9360"/>
            </w:tabs>
            <w:rPr>
              <w:rStyle w:val="Hyperlink"/>
            </w:rPr>
          </w:pPr>
          <w:hyperlink w:anchor="_Toc607668716">
            <w:r w:rsidR="561FEA06" w:rsidRPr="561FEA06">
              <w:rPr>
                <w:rStyle w:val="Hyperlink"/>
              </w:rPr>
              <w:t>3.1.1. Divestiture: Strategic Sale of Non-Core Assets</w:t>
            </w:r>
            <w:r w:rsidR="561FEA06">
              <w:tab/>
            </w:r>
            <w:r w:rsidR="561FEA06">
              <w:fldChar w:fldCharType="begin"/>
            </w:r>
            <w:r w:rsidR="561FEA06">
              <w:instrText>PAGEREF _Toc607668716 \h</w:instrText>
            </w:r>
            <w:r w:rsidR="561FEA06">
              <w:fldChar w:fldCharType="separate"/>
            </w:r>
            <w:r w:rsidR="561FEA06" w:rsidRPr="561FEA06">
              <w:rPr>
                <w:rStyle w:val="Hyperlink"/>
              </w:rPr>
              <w:t>18</w:t>
            </w:r>
            <w:r w:rsidR="561FEA06">
              <w:fldChar w:fldCharType="end"/>
            </w:r>
          </w:hyperlink>
        </w:p>
        <w:p w14:paraId="77874BDE" w14:textId="1D463D1A" w:rsidR="561FEA06" w:rsidRDefault="00FF1D6E" w:rsidP="561FEA06">
          <w:pPr>
            <w:pStyle w:val="TOC5"/>
            <w:tabs>
              <w:tab w:val="right" w:leader="dot" w:pos="9360"/>
            </w:tabs>
            <w:rPr>
              <w:rStyle w:val="Hyperlink"/>
            </w:rPr>
          </w:pPr>
          <w:hyperlink w:anchor="_Toc1801949313">
            <w:r w:rsidR="561FEA06" w:rsidRPr="561FEA06">
              <w:rPr>
                <w:rStyle w:val="Hyperlink"/>
              </w:rPr>
              <w:t>3.1.2. Risks and Considerations</w:t>
            </w:r>
            <w:r w:rsidR="561FEA06">
              <w:tab/>
            </w:r>
            <w:r w:rsidR="561FEA06">
              <w:fldChar w:fldCharType="begin"/>
            </w:r>
            <w:r w:rsidR="561FEA06">
              <w:instrText>PAGEREF _Toc1801949313 \h</w:instrText>
            </w:r>
            <w:r w:rsidR="561FEA06">
              <w:fldChar w:fldCharType="separate"/>
            </w:r>
            <w:r w:rsidR="561FEA06" w:rsidRPr="561FEA06">
              <w:rPr>
                <w:rStyle w:val="Hyperlink"/>
              </w:rPr>
              <w:t>18</w:t>
            </w:r>
            <w:r w:rsidR="561FEA06">
              <w:fldChar w:fldCharType="end"/>
            </w:r>
          </w:hyperlink>
        </w:p>
        <w:p w14:paraId="23281432" w14:textId="35E964D8" w:rsidR="561FEA06" w:rsidRDefault="00FF1D6E" w:rsidP="561FEA06">
          <w:pPr>
            <w:pStyle w:val="TOC4"/>
            <w:tabs>
              <w:tab w:val="right" w:leader="dot" w:pos="9360"/>
            </w:tabs>
            <w:rPr>
              <w:rStyle w:val="Hyperlink"/>
            </w:rPr>
          </w:pPr>
          <w:hyperlink w:anchor="_Toc1569561382">
            <w:r w:rsidR="561FEA06" w:rsidRPr="561FEA06">
              <w:rPr>
                <w:rStyle w:val="Hyperlink"/>
              </w:rPr>
              <w:t>3.2. Merger and Acquisition: Expanding Market Share and Technological Capability</w:t>
            </w:r>
            <w:r w:rsidR="561FEA06">
              <w:tab/>
            </w:r>
            <w:r w:rsidR="561FEA06">
              <w:fldChar w:fldCharType="begin"/>
            </w:r>
            <w:r w:rsidR="561FEA06">
              <w:instrText>PAGEREF _Toc1569561382 \h</w:instrText>
            </w:r>
            <w:r w:rsidR="561FEA06">
              <w:fldChar w:fldCharType="separate"/>
            </w:r>
            <w:r w:rsidR="561FEA06" w:rsidRPr="561FEA06">
              <w:rPr>
                <w:rStyle w:val="Hyperlink"/>
              </w:rPr>
              <w:t>19</w:t>
            </w:r>
            <w:r w:rsidR="561FEA06">
              <w:fldChar w:fldCharType="end"/>
            </w:r>
          </w:hyperlink>
        </w:p>
        <w:p w14:paraId="7CDF6EFF" w14:textId="6C3D73CD" w:rsidR="561FEA06" w:rsidRDefault="00FF1D6E" w:rsidP="561FEA06">
          <w:pPr>
            <w:pStyle w:val="TOC4"/>
            <w:tabs>
              <w:tab w:val="right" w:leader="dot" w:pos="9360"/>
            </w:tabs>
            <w:rPr>
              <w:rStyle w:val="Hyperlink"/>
            </w:rPr>
          </w:pPr>
          <w:hyperlink w:anchor="_Toc1183315713">
            <w:r w:rsidR="561FEA06" w:rsidRPr="561FEA06">
              <w:rPr>
                <w:rStyle w:val="Hyperlink"/>
              </w:rPr>
              <w:t>3.3. Equity Injection: Strengthening the Balance Sheet</w:t>
            </w:r>
            <w:r w:rsidR="561FEA06">
              <w:tab/>
            </w:r>
            <w:r w:rsidR="561FEA06">
              <w:fldChar w:fldCharType="begin"/>
            </w:r>
            <w:r w:rsidR="561FEA06">
              <w:instrText>PAGEREF _Toc1183315713 \h</w:instrText>
            </w:r>
            <w:r w:rsidR="561FEA06">
              <w:fldChar w:fldCharType="separate"/>
            </w:r>
            <w:r w:rsidR="561FEA06" w:rsidRPr="561FEA06">
              <w:rPr>
                <w:rStyle w:val="Hyperlink"/>
              </w:rPr>
              <w:t>21</w:t>
            </w:r>
            <w:r w:rsidR="561FEA06">
              <w:fldChar w:fldCharType="end"/>
            </w:r>
          </w:hyperlink>
        </w:p>
        <w:p w14:paraId="1DAB7AC3" w14:textId="329724AF" w:rsidR="561FEA06" w:rsidRDefault="00FF1D6E" w:rsidP="561FEA06">
          <w:pPr>
            <w:pStyle w:val="TOC4"/>
            <w:tabs>
              <w:tab w:val="right" w:leader="dot" w:pos="9360"/>
            </w:tabs>
            <w:rPr>
              <w:rStyle w:val="Hyperlink"/>
            </w:rPr>
          </w:pPr>
          <w:hyperlink w:anchor="_Toc492252179">
            <w:r w:rsidR="561FEA06" w:rsidRPr="561FEA06">
              <w:rPr>
                <w:rStyle w:val="Hyperlink"/>
              </w:rPr>
              <w:t>2.4. Debt Restructuring: Modifying Debt Obligations</w:t>
            </w:r>
            <w:r w:rsidR="561FEA06">
              <w:tab/>
            </w:r>
            <w:r w:rsidR="561FEA06">
              <w:fldChar w:fldCharType="begin"/>
            </w:r>
            <w:r w:rsidR="561FEA06">
              <w:instrText>PAGEREF _Toc492252179 \h</w:instrText>
            </w:r>
            <w:r w:rsidR="561FEA06">
              <w:fldChar w:fldCharType="separate"/>
            </w:r>
            <w:r w:rsidR="561FEA06" w:rsidRPr="561FEA06">
              <w:rPr>
                <w:rStyle w:val="Hyperlink"/>
              </w:rPr>
              <w:t>22</w:t>
            </w:r>
            <w:r w:rsidR="561FEA06">
              <w:fldChar w:fldCharType="end"/>
            </w:r>
          </w:hyperlink>
        </w:p>
        <w:p w14:paraId="5503357C" w14:textId="55A69BA4" w:rsidR="561FEA06" w:rsidRDefault="00FF1D6E" w:rsidP="561FEA06">
          <w:pPr>
            <w:pStyle w:val="TOC4"/>
            <w:tabs>
              <w:tab w:val="right" w:leader="dot" w:pos="9360"/>
            </w:tabs>
            <w:rPr>
              <w:rStyle w:val="Hyperlink"/>
            </w:rPr>
          </w:pPr>
          <w:hyperlink w:anchor="_Toc2071144634">
            <w:r w:rsidR="561FEA06" w:rsidRPr="561FEA06">
              <w:rPr>
                <w:rStyle w:val="Hyperlink"/>
              </w:rPr>
              <w:t>3.5. Conclusion</w:t>
            </w:r>
            <w:r w:rsidR="561FEA06">
              <w:tab/>
            </w:r>
            <w:r w:rsidR="561FEA06">
              <w:fldChar w:fldCharType="begin"/>
            </w:r>
            <w:r w:rsidR="561FEA06">
              <w:instrText>PAGEREF _Toc2071144634 \h</w:instrText>
            </w:r>
            <w:r w:rsidR="561FEA06">
              <w:fldChar w:fldCharType="separate"/>
            </w:r>
            <w:r w:rsidR="561FEA06" w:rsidRPr="561FEA06">
              <w:rPr>
                <w:rStyle w:val="Hyperlink"/>
              </w:rPr>
              <w:t>23</w:t>
            </w:r>
            <w:r w:rsidR="561FEA06">
              <w:fldChar w:fldCharType="end"/>
            </w:r>
          </w:hyperlink>
        </w:p>
        <w:p w14:paraId="6263CDB5" w14:textId="304D5552" w:rsidR="561FEA06" w:rsidRDefault="00FF1D6E" w:rsidP="561FEA06">
          <w:pPr>
            <w:pStyle w:val="TOC1"/>
            <w:tabs>
              <w:tab w:val="right" w:leader="dot" w:pos="9360"/>
            </w:tabs>
            <w:rPr>
              <w:rStyle w:val="Hyperlink"/>
            </w:rPr>
          </w:pPr>
          <w:hyperlink w:anchor="_Toc1486598084">
            <w:r w:rsidR="561FEA06" w:rsidRPr="561FEA06">
              <w:rPr>
                <w:rStyle w:val="Hyperlink"/>
              </w:rPr>
              <w:t>4. Investment Appraisal and Capital Budgeting: Choosing the Optimal Investment Project</w:t>
            </w:r>
            <w:r w:rsidR="561FEA06">
              <w:tab/>
            </w:r>
            <w:r w:rsidR="561FEA06">
              <w:fldChar w:fldCharType="begin"/>
            </w:r>
            <w:r w:rsidR="561FEA06">
              <w:instrText>PAGEREF _Toc1486598084 \h</w:instrText>
            </w:r>
            <w:r w:rsidR="561FEA06">
              <w:fldChar w:fldCharType="separate"/>
            </w:r>
            <w:r w:rsidR="561FEA06" w:rsidRPr="561FEA06">
              <w:rPr>
                <w:rStyle w:val="Hyperlink"/>
              </w:rPr>
              <w:t>24</w:t>
            </w:r>
            <w:r w:rsidR="561FEA06">
              <w:fldChar w:fldCharType="end"/>
            </w:r>
          </w:hyperlink>
        </w:p>
        <w:p w14:paraId="03453B25" w14:textId="14D3F67E" w:rsidR="561FEA06" w:rsidRDefault="00FF1D6E" w:rsidP="561FEA06">
          <w:pPr>
            <w:pStyle w:val="TOC4"/>
            <w:tabs>
              <w:tab w:val="right" w:leader="dot" w:pos="9360"/>
            </w:tabs>
            <w:rPr>
              <w:rStyle w:val="Hyperlink"/>
            </w:rPr>
          </w:pPr>
          <w:hyperlink w:anchor="_Toc1696902858">
            <w:r w:rsidR="561FEA06" w:rsidRPr="561FEA06">
              <w:rPr>
                <w:rStyle w:val="Hyperlink"/>
              </w:rPr>
              <w:t>4.1. Overview of the Proposed Investment Projects</w:t>
            </w:r>
            <w:r w:rsidR="561FEA06">
              <w:tab/>
            </w:r>
            <w:r w:rsidR="561FEA06">
              <w:fldChar w:fldCharType="begin"/>
            </w:r>
            <w:r w:rsidR="561FEA06">
              <w:instrText>PAGEREF _Toc1696902858 \h</w:instrText>
            </w:r>
            <w:r w:rsidR="561FEA06">
              <w:fldChar w:fldCharType="separate"/>
            </w:r>
            <w:r w:rsidR="561FEA06" w:rsidRPr="561FEA06">
              <w:rPr>
                <w:rStyle w:val="Hyperlink"/>
              </w:rPr>
              <w:t>24</w:t>
            </w:r>
            <w:r w:rsidR="561FEA06">
              <w:fldChar w:fldCharType="end"/>
            </w:r>
          </w:hyperlink>
        </w:p>
        <w:p w14:paraId="3B385577" w14:textId="2BCCBE63" w:rsidR="561FEA06" w:rsidRDefault="00FF1D6E" w:rsidP="561FEA06">
          <w:pPr>
            <w:pStyle w:val="TOC4"/>
            <w:tabs>
              <w:tab w:val="right" w:leader="dot" w:pos="9360"/>
            </w:tabs>
            <w:rPr>
              <w:rStyle w:val="Hyperlink"/>
            </w:rPr>
          </w:pPr>
          <w:hyperlink w:anchor="_Toc319040245">
            <w:r w:rsidR="561FEA06" w:rsidRPr="561FEA06">
              <w:rPr>
                <w:rStyle w:val="Hyperlink"/>
              </w:rPr>
              <w:t>4.2. Financial Metrics for Investment Appraisal</w:t>
            </w:r>
            <w:r w:rsidR="561FEA06">
              <w:tab/>
            </w:r>
            <w:r w:rsidR="561FEA06">
              <w:fldChar w:fldCharType="begin"/>
            </w:r>
            <w:r w:rsidR="561FEA06">
              <w:instrText>PAGEREF _Toc319040245 \h</w:instrText>
            </w:r>
            <w:r w:rsidR="561FEA06">
              <w:fldChar w:fldCharType="separate"/>
            </w:r>
            <w:r w:rsidR="561FEA06" w:rsidRPr="561FEA06">
              <w:rPr>
                <w:rStyle w:val="Hyperlink"/>
              </w:rPr>
              <w:t>25</w:t>
            </w:r>
            <w:r w:rsidR="561FEA06">
              <w:fldChar w:fldCharType="end"/>
            </w:r>
          </w:hyperlink>
        </w:p>
        <w:p w14:paraId="79F9E879" w14:textId="5B1340F4" w:rsidR="561FEA06" w:rsidRDefault="00FF1D6E" w:rsidP="561FEA06">
          <w:pPr>
            <w:pStyle w:val="TOC4"/>
            <w:tabs>
              <w:tab w:val="right" w:leader="dot" w:pos="9360"/>
            </w:tabs>
            <w:rPr>
              <w:rStyle w:val="Hyperlink"/>
            </w:rPr>
          </w:pPr>
          <w:hyperlink w:anchor="_Toc897843070">
            <w:r w:rsidR="561FEA06" w:rsidRPr="561FEA06">
              <w:rPr>
                <w:rStyle w:val="Hyperlink"/>
              </w:rPr>
              <w:t>4.2.1. Payback Period (PBP)</w:t>
            </w:r>
            <w:r w:rsidR="561FEA06">
              <w:tab/>
            </w:r>
            <w:r w:rsidR="561FEA06">
              <w:fldChar w:fldCharType="begin"/>
            </w:r>
            <w:r w:rsidR="561FEA06">
              <w:instrText>PAGEREF _Toc897843070 \h</w:instrText>
            </w:r>
            <w:r w:rsidR="561FEA06">
              <w:fldChar w:fldCharType="separate"/>
            </w:r>
            <w:r w:rsidR="561FEA06" w:rsidRPr="561FEA06">
              <w:rPr>
                <w:rStyle w:val="Hyperlink"/>
              </w:rPr>
              <w:t>26</w:t>
            </w:r>
            <w:r w:rsidR="561FEA06">
              <w:fldChar w:fldCharType="end"/>
            </w:r>
          </w:hyperlink>
        </w:p>
        <w:p w14:paraId="57BD0F9E" w14:textId="33D683C7" w:rsidR="561FEA06" w:rsidRDefault="00FF1D6E" w:rsidP="561FEA06">
          <w:pPr>
            <w:pStyle w:val="TOC4"/>
            <w:tabs>
              <w:tab w:val="right" w:leader="dot" w:pos="9360"/>
            </w:tabs>
            <w:rPr>
              <w:rStyle w:val="Hyperlink"/>
            </w:rPr>
          </w:pPr>
          <w:hyperlink w:anchor="_Toc695118091">
            <w:r w:rsidR="561FEA06" w:rsidRPr="561FEA06">
              <w:rPr>
                <w:rStyle w:val="Hyperlink"/>
              </w:rPr>
              <w:t>4.2.2. Accounting Rate of Return (ARR)</w:t>
            </w:r>
            <w:r w:rsidR="561FEA06">
              <w:tab/>
            </w:r>
            <w:r w:rsidR="561FEA06">
              <w:fldChar w:fldCharType="begin"/>
            </w:r>
            <w:r w:rsidR="561FEA06">
              <w:instrText>PAGEREF _Toc695118091 \h</w:instrText>
            </w:r>
            <w:r w:rsidR="561FEA06">
              <w:fldChar w:fldCharType="separate"/>
            </w:r>
            <w:r w:rsidR="561FEA06" w:rsidRPr="561FEA06">
              <w:rPr>
                <w:rStyle w:val="Hyperlink"/>
              </w:rPr>
              <w:t>26</w:t>
            </w:r>
            <w:r w:rsidR="561FEA06">
              <w:fldChar w:fldCharType="end"/>
            </w:r>
          </w:hyperlink>
        </w:p>
        <w:p w14:paraId="3C91D358" w14:textId="197E66C0" w:rsidR="561FEA06" w:rsidRDefault="00FF1D6E" w:rsidP="561FEA06">
          <w:pPr>
            <w:pStyle w:val="TOC4"/>
            <w:tabs>
              <w:tab w:val="right" w:leader="dot" w:pos="9360"/>
            </w:tabs>
            <w:rPr>
              <w:rStyle w:val="Hyperlink"/>
            </w:rPr>
          </w:pPr>
          <w:hyperlink w:anchor="_Toc931016232">
            <w:r w:rsidR="561FEA06" w:rsidRPr="561FEA06">
              <w:rPr>
                <w:rStyle w:val="Hyperlink"/>
              </w:rPr>
              <w:t>4.2.3. Net Present Value (NPV)</w:t>
            </w:r>
            <w:r w:rsidR="561FEA06">
              <w:tab/>
            </w:r>
            <w:r w:rsidR="561FEA06">
              <w:fldChar w:fldCharType="begin"/>
            </w:r>
            <w:r w:rsidR="561FEA06">
              <w:instrText>PAGEREF _Toc931016232 \h</w:instrText>
            </w:r>
            <w:r w:rsidR="561FEA06">
              <w:fldChar w:fldCharType="separate"/>
            </w:r>
            <w:r w:rsidR="561FEA06" w:rsidRPr="561FEA06">
              <w:rPr>
                <w:rStyle w:val="Hyperlink"/>
              </w:rPr>
              <w:t>27</w:t>
            </w:r>
            <w:r w:rsidR="561FEA06">
              <w:fldChar w:fldCharType="end"/>
            </w:r>
          </w:hyperlink>
        </w:p>
        <w:p w14:paraId="74E9D396" w14:textId="4BD3FE05" w:rsidR="561FEA06" w:rsidRDefault="00FF1D6E" w:rsidP="561FEA06">
          <w:pPr>
            <w:pStyle w:val="TOC4"/>
            <w:tabs>
              <w:tab w:val="right" w:leader="dot" w:pos="9360"/>
            </w:tabs>
            <w:rPr>
              <w:rStyle w:val="Hyperlink"/>
            </w:rPr>
          </w:pPr>
          <w:hyperlink w:anchor="_Toc1685489973">
            <w:r w:rsidR="561FEA06" w:rsidRPr="561FEA06">
              <w:rPr>
                <w:rStyle w:val="Hyperlink"/>
              </w:rPr>
              <w:t>4.2.4. Profitability Index (PI)</w:t>
            </w:r>
            <w:r w:rsidR="561FEA06">
              <w:tab/>
            </w:r>
            <w:r w:rsidR="561FEA06">
              <w:fldChar w:fldCharType="begin"/>
            </w:r>
            <w:r w:rsidR="561FEA06">
              <w:instrText>PAGEREF _Toc1685489973 \h</w:instrText>
            </w:r>
            <w:r w:rsidR="561FEA06">
              <w:fldChar w:fldCharType="separate"/>
            </w:r>
            <w:r w:rsidR="561FEA06" w:rsidRPr="561FEA06">
              <w:rPr>
                <w:rStyle w:val="Hyperlink"/>
              </w:rPr>
              <w:t>28</w:t>
            </w:r>
            <w:r w:rsidR="561FEA06">
              <w:fldChar w:fldCharType="end"/>
            </w:r>
          </w:hyperlink>
        </w:p>
        <w:p w14:paraId="54A033D7" w14:textId="3C7B7BE3" w:rsidR="561FEA06" w:rsidRDefault="00FF1D6E" w:rsidP="561FEA06">
          <w:pPr>
            <w:pStyle w:val="TOC4"/>
            <w:tabs>
              <w:tab w:val="right" w:leader="dot" w:pos="9360"/>
            </w:tabs>
            <w:rPr>
              <w:rStyle w:val="Hyperlink"/>
            </w:rPr>
          </w:pPr>
          <w:hyperlink w:anchor="_Toc1105348456">
            <w:r w:rsidR="561FEA06" w:rsidRPr="561FEA06">
              <w:rPr>
                <w:rStyle w:val="Hyperlink"/>
              </w:rPr>
              <w:t>4.2.5. Internal Rate of Return (IRR)</w:t>
            </w:r>
            <w:r w:rsidR="561FEA06">
              <w:tab/>
            </w:r>
            <w:r w:rsidR="561FEA06">
              <w:fldChar w:fldCharType="begin"/>
            </w:r>
            <w:r w:rsidR="561FEA06">
              <w:instrText>PAGEREF _Toc1105348456 \h</w:instrText>
            </w:r>
            <w:r w:rsidR="561FEA06">
              <w:fldChar w:fldCharType="separate"/>
            </w:r>
            <w:r w:rsidR="561FEA06" w:rsidRPr="561FEA06">
              <w:rPr>
                <w:rStyle w:val="Hyperlink"/>
              </w:rPr>
              <w:t>29</w:t>
            </w:r>
            <w:r w:rsidR="561FEA06">
              <w:fldChar w:fldCharType="end"/>
            </w:r>
          </w:hyperlink>
        </w:p>
        <w:p w14:paraId="18C04475" w14:textId="2DA93BAF" w:rsidR="561FEA06" w:rsidRDefault="00FF1D6E" w:rsidP="561FEA06">
          <w:pPr>
            <w:pStyle w:val="TOC3"/>
            <w:tabs>
              <w:tab w:val="right" w:leader="dot" w:pos="9360"/>
            </w:tabs>
            <w:rPr>
              <w:rStyle w:val="Hyperlink"/>
            </w:rPr>
          </w:pPr>
          <w:hyperlink w:anchor="_Toc1671092227">
            <w:r w:rsidR="561FEA06" w:rsidRPr="561FEA06">
              <w:rPr>
                <w:rStyle w:val="Hyperlink"/>
              </w:rPr>
              <w:t>4.3. Conclusion and Recommendation</w:t>
            </w:r>
            <w:r w:rsidR="561FEA06">
              <w:tab/>
            </w:r>
            <w:r w:rsidR="561FEA06">
              <w:fldChar w:fldCharType="begin"/>
            </w:r>
            <w:r w:rsidR="561FEA06">
              <w:instrText>PAGEREF _Toc1671092227 \h</w:instrText>
            </w:r>
            <w:r w:rsidR="561FEA06">
              <w:fldChar w:fldCharType="separate"/>
            </w:r>
            <w:r w:rsidR="561FEA06" w:rsidRPr="561FEA06">
              <w:rPr>
                <w:rStyle w:val="Hyperlink"/>
              </w:rPr>
              <w:t>29</w:t>
            </w:r>
            <w:r w:rsidR="561FEA06">
              <w:fldChar w:fldCharType="end"/>
            </w:r>
          </w:hyperlink>
        </w:p>
        <w:p w14:paraId="73899BFF" w14:textId="750FC1F9" w:rsidR="561FEA06" w:rsidRDefault="00FF1D6E" w:rsidP="561FEA06">
          <w:pPr>
            <w:pStyle w:val="TOC3"/>
            <w:tabs>
              <w:tab w:val="right" w:leader="dot" w:pos="9360"/>
            </w:tabs>
            <w:rPr>
              <w:rStyle w:val="Hyperlink"/>
            </w:rPr>
          </w:pPr>
          <w:hyperlink w:anchor="_Toc2013151101">
            <w:r w:rsidR="561FEA06" w:rsidRPr="561FEA06">
              <w:rPr>
                <w:rStyle w:val="Hyperlink"/>
              </w:rPr>
              <w:t>References:</w:t>
            </w:r>
            <w:r w:rsidR="561FEA06">
              <w:tab/>
            </w:r>
            <w:r w:rsidR="561FEA06">
              <w:fldChar w:fldCharType="begin"/>
            </w:r>
            <w:r w:rsidR="561FEA06">
              <w:instrText>PAGEREF _Toc2013151101 \h</w:instrText>
            </w:r>
            <w:r w:rsidR="561FEA06">
              <w:fldChar w:fldCharType="separate"/>
            </w:r>
            <w:r w:rsidR="561FEA06" w:rsidRPr="561FEA06">
              <w:rPr>
                <w:rStyle w:val="Hyperlink"/>
              </w:rPr>
              <w:t>30</w:t>
            </w:r>
            <w:r w:rsidR="561FEA06">
              <w:fldChar w:fldCharType="end"/>
            </w:r>
          </w:hyperlink>
          <w:r w:rsidR="561FEA06">
            <w:fldChar w:fldCharType="end"/>
          </w:r>
        </w:p>
      </w:sdtContent>
    </w:sdt>
    <w:p w14:paraId="0DD46556" w14:textId="71358C16" w:rsidR="561FEA06" w:rsidRDefault="561FEA06" w:rsidP="561FEA06">
      <w:pPr>
        <w:jc w:val="center"/>
        <w:rPr>
          <w:b/>
          <w:bCs/>
        </w:rPr>
      </w:pPr>
    </w:p>
    <w:p w14:paraId="73B9C6EB" w14:textId="5EE4B977" w:rsidR="561FEA06" w:rsidRDefault="561FEA06" w:rsidP="561FEA06">
      <w:pPr>
        <w:jc w:val="center"/>
        <w:rPr>
          <w:b/>
          <w:bCs/>
        </w:rPr>
      </w:pPr>
    </w:p>
    <w:p w14:paraId="25B676DE" w14:textId="205F63FF" w:rsidR="561FEA06" w:rsidRDefault="561FEA06" w:rsidP="561FEA06">
      <w:pPr>
        <w:jc w:val="center"/>
        <w:rPr>
          <w:b/>
          <w:bCs/>
        </w:rPr>
      </w:pPr>
    </w:p>
    <w:p w14:paraId="1ADECC57" w14:textId="118FA1BC" w:rsidR="561FEA06" w:rsidRDefault="561FEA06" w:rsidP="561FEA06">
      <w:pPr>
        <w:jc w:val="center"/>
        <w:rPr>
          <w:b/>
          <w:bCs/>
        </w:rPr>
      </w:pPr>
    </w:p>
    <w:p w14:paraId="292CD0CA" w14:textId="0A7E052F" w:rsidR="561FEA06" w:rsidRDefault="561FEA06" w:rsidP="561FEA06">
      <w:pPr>
        <w:jc w:val="center"/>
        <w:rPr>
          <w:b/>
          <w:bCs/>
        </w:rPr>
      </w:pPr>
    </w:p>
    <w:p w14:paraId="727880C3" w14:textId="6F26DC54" w:rsidR="561FEA06" w:rsidRDefault="561FEA06" w:rsidP="561FEA06">
      <w:pPr>
        <w:jc w:val="center"/>
        <w:rPr>
          <w:b/>
          <w:bCs/>
        </w:rPr>
      </w:pPr>
    </w:p>
    <w:p w14:paraId="05433A35" w14:textId="1673D518" w:rsidR="561FEA06" w:rsidRDefault="561FEA06" w:rsidP="561FEA06">
      <w:pPr>
        <w:jc w:val="center"/>
        <w:rPr>
          <w:b/>
          <w:bCs/>
        </w:rPr>
      </w:pPr>
    </w:p>
    <w:p w14:paraId="168B93ED" w14:textId="632E1FD5" w:rsidR="561FEA06" w:rsidRDefault="561FEA06" w:rsidP="561FEA06">
      <w:pPr>
        <w:jc w:val="center"/>
        <w:rPr>
          <w:b/>
          <w:bCs/>
        </w:rPr>
      </w:pPr>
    </w:p>
    <w:p w14:paraId="242BC0E2" w14:textId="1CE63B5D" w:rsidR="561FEA06" w:rsidRDefault="561FEA06" w:rsidP="561FEA06">
      <w:pPr>
        <w:jc w:val="center"/>
        <w:rPr>
          <w:b/>
          <w:bCs/>
        </w:rPr>
      </w:pPr>
    </w:p>
    <w:p w14:paraId="5BFB4087" w14:textId="399C3278" w:rsidR="561FEA06" w:rsidRDefault="561FEA06" w:rsidP="561FEA06">
      <w:pPr>
        <w:jc w:val="center"/>
        <w:rPr>
          <w:b/>
          <w:bCs/>
        </w:rPr>
      </w:pPr>
    </w:p>
    <w:p w14:paraId="75A5D6D5" w14:textId="78233C18" w:rsidR="561FEA06" w:rsidRDefault="561FEA06" w:rsidP="561FEA06">
      <w:pPr>
        <w:jc w:val="center"/>
        <w:rPr>
          <w:b/>
          <w:bCs/>
        </w:rPr>
      </w:pPr>
    </w:p>
    <w:p w14:paraId="3F539A32" w14:textId="1ABA3BC9" w:rsidR="561FEA06" w:rsidRDefault="561FEA06" w:rsidP="561FEA06">
      <w:pPr>
        <w:jc w:val="center"/>
        <w:rPr>
          <w:b/>
          <w:bCs/>
        </w:rPr>
      </w:pPr>
    </w:p>
    <w:p w14:paraId="71B72A91" w14:textId="56213E2C" w:rsidR="561FEA06" w:rsidRDefault="561FEA06" w:rsidP="561FEA06">
      <w:pPr>
        <w:jc w:val="center"/>
        <w:rPr>
          <w:b/>
          <w:bCs/>
        </w:rPr>
      </w:pPr>
    </w:p>
    <w:p w14:paraId="0657C26F" w14:textId="6D4AAD64" w:rsidR="561FEA06" w:rsidRDefault="561FEA06" w:rsidP="561FEA06">
      <w:pPr>
        <w:jc w:val="center"/>
        <w:rPr>
          <w:b/>
          <w:bCs/>
        </w:rPr>
      </w:pPr>
    </w:p>
    <w:p w14:paraId="2AC957AF" w14:textId="34270E43" w:rsidR="561FEA06" w:rsidRDefault="561FEA06" w:rsidP="561FEA06">
      <w:pPr>
        <w:jc w:val="center"/>
        <w:rPr>
          <w:b/>
          <w:bCs/>
        </w:rPr>
      </w:pPr>
    </w:p>
    <w:p w14:paraId="2A3F599F" w14:textId="333F8D4C" w:rsidR="561FEA06" w:rsidRDefault="561FEA06" w:rsidP="561FEA06">
      <w:pPr>
        <w:jc w:val="center"/>
        <w:rPr>
          <w:b/>
          <w:bCs/>
        </w:rPr>
      </w:pPr>
    </w:p>
    <w:p w14:paraId="5AE6CE6B" w14:textId="253F9FF4" w:rsidR="561FEA06" w:rsidRDefault="561FEA06" w:rsidP="561FEA06">
      <w:pPr>
        <w:jc w:val="center"/>
        <w:rPr>
          <w:b/>
          <w:bCs/>
        </w:rPr>
      </w:pPr>
    </w:p>
    <w:p w14:paraId="0A4282CE" w14:textId="008DB03F" w:rsidR="561FEA06" w:rsidRDefault="561FEA06" w:rsidP="561FEA06">
      <w:pPr>
        <w:jc w:val="center"/>
        <w:rPr>
          <w:b/>
          <w:bCs/>
        </w:rPr>
      </w:pPr>
    </w:p>
    <w:p w14:paraId="54369746" w14:textId="4ED6F3BF" w:rsidR="561FEA06" w:rsidRDefault="561FEA06" w:rsidP="561FEA06">
      <w:pPr>
        <w:jc w:val="center"/>
        <w:rPr>
          <w:b/>
          <w:bCs/>
        </w:rPr>
      </w:pPr>
    </w:p>
    <w:p w14:paraId="0CB56DD4" w14:textId="3BA23388" w:rsidR="561FEA06" w:rsidRDefault="561FEA06" w:rsidP="561FEA06">
      <w:pPr>
        <w:jc w:val="center"/>
        <w:rPr>
          <w:b/>
          <w:bCs/>
        </w:rPr>
      </w:pPr>
    </w:p>
    <w:p w14:paraId="7B1DCEC8" w14:textId="064CD75A" w:rsidR="561FEA06" w:rsidRDefault="561FEA06" w:rsidP="561FEA06">
      <w:pPr>
        <w:jc w:val="center"/>
        <w:rPr>
          <w:b/>
          <w:bCs/>
        </w:rPr>
      </w:pPr>
    </w:p>
    <w:p w14:paraId="2A8168D4" w14:textId="68CE247A" w:rsidR="561FEA06" w:rsidRDefault="561FEA06" w:rsidP="561FEA06">
      <w:pPr>
        <w:jc w:val="center"/>
        <w:rPr>
          <w:b/>
          <w:bCs/>
        </w:rPr>
      </w:pPr>
    </w:p>
    <w:p w14:paraId="0B6CE6F4" w14:textId="7B80E019" w:rsidR="561FEA06" w:rsidRDefault="561FEA06" w:rsidP="561FEA06">
      <w:pPr>
        <w:pStyle w:val="Heading1"/>
        <w:spacing w:line="480" w:lineRule="auto"/>
        <w:rPr>
          <w:rFonts w:asciiTheme="minorHAnsi" w:eastAsiaTheme="minorEastAsia" w:hAnsiTheme="minorHAnsi" w:cstheme="minorBidi"/>
          <w:b/>
          <w:bCs/>
          <w:color w:val="auto"/>
          <w:sz w:val="28"/>
          <w:szCs w:val="28"/>
        </w:rPr>
      </w:pPr>
      <w:bookmarkStart w:id="1" w:name="_Toc813677538"/>
      <w:r w:rsidRPr="561FEA06">
        <w:rPr>
          <w:rFonts w:asciiTheme="minorHAnsi" w:eastAsiaTheme="minorEastAsia" w:hAnsiTheme="minorHAnsi" w:cstheme="minorBidi"/>
          <w:b/>
          <w:bCs/>
          <w:color w:val="auto"/>
          <w:sz w:val="28"/>
          <w:szCs w:val="28"/>
        </w:rPr>
        <w:lastRenderedPageBreak/>
        <w:t xml:space="preserve">1. </w:t>
      </w:r>
      <w:r w:rsidR="57CCE60D" w:rsidRPr="561FEA06">
        <w:rPr>
          <w:rFonts w:asciiTheme="minorHAnsi" w:eastAsiaTheme="minorEastAsia" w:hAnsiTheme="minorHAnsi" w:cstheme="minorBidi"/>
          <w:b/>
          <w:bCs/>
          <w:color w:val="auto"/>
          <w:sz w:val="28"/>
          <w:szCs w:val="28"/>
        </w:rPr>
        <w:t>Financial Health Check: Ratio Analysis and Financial Performance Evaluation</w:t>
      </w:r>
      <w:bookmarkEnd w:id="1"/>
    </w:p>
    <w:p w14:paraId="43D007B1" w14:textId="6A5DA6DC" w:rsidR="7EB304A4" w:rsidRDefault="7EB304A4" w:rsidP="561FEA06">
      <w:pPr>
        <w:spacing w:before="240" w:after="240" w:line="480" w:lineRule="auto"/>
        <w:jc w:val="both"/>
      </w:pPr>
      <w:r w:rsidRPr="561FEA06">
        <w:rPr>
          <w:rFonts w:ascii="Times New Roman" w:eastAsia="Times New Roman" w:hAnsi="Times New Roman" w:cs="Times New Roman"/>
        </w:rPr>
        <w:t xml:space="preserve">Financial health checks are obligatory to analyze the performance of the company, discover its financial </w:t>
      </w:r>
      <w:bookmarkStart w:id="2" w:name="_Int_bYzvTLUk"/>
      <w:r w:rsidRPr="561FEA06">
        <w:rPr>
          <w:rFonts w:ascii="Times New Roman" w:eastAsia="Times New Roman" w:hAnsi="Times New Roman" w:cs="Times New Roman"/>
        </w:rPr>
        <w:t>trends</w:t>
      </w:r>
      <w:bookmarkEnd w:id="2"/>
      <w:r w:rsidRPr="561FEA06">
        <w:rPr>
          <w:rFonts w:ascii="Times New Roman" w:eastAsia="Times New Roman" w:hAnsi="Times New Roman" w:cs="Times New Roman"/>
        </w:rPr>
        <w:t xml:space="preserve"> and estimate possible risks and opportunities. This part is dedicated to the financial performance of </w:t>
      </w:r>
      <w:r w:rsidR="439238BA" w:rsidRPr="561FEA06">
        <w:rPr>
          <w:rFonts w:ascii="Times New Roman" w:eastAsia="Times New Roman" w:hAnsi="Times New Roman" w:cs="Times New Roman"/>
          <w:b/>
          <w:bCs/>
        </w:rPr>
        <w:t>Toyota</w:t>
      </w:r>
      <w:r w:rsidRPr="561FEA06">
        <w:rPr>
          <w:rFonts w:ascii="Times New Roman" w:eastAsia="Times New Roman" w:hAnsi="Times New Roman" w:cs="Times New Roman"/>
          <w:b/>
          <w:bCs/>
        </w:rPr>
        <w:t xml:space="preserve"> Motor Company</w:t>
      </w:r>
      <w:r w:rsidRPr="561FEA06">
        <w:rPr>
          <w:rFonts w:ascii="Times New Roman" w:eastAsia="Times New Roman" w:hAnsi="Times New Roman" w:cs="Times New Roman"/>
        </w:rPr>
        <w:t>, which is a major company in the automotive and electric car (EV) industry worldwide</w:t>
      </w:r>
      <w:r w:rsidR="4F0E7802" w:rsidRPr="561FEA06">
        <w:rPr>
          <w:rFonts w:ascii="Times New Roman" w:eastAsia="Times New Roman" w:hAnsi="Times New Roman" w:cs="Times New Roman"/>
        </w:rPr>
        <w:t xml:space="preserve"> (</w:t>
      </w:r>
      <w:r w:rsidR="34472200" w:rsidRPr="561FEA06">
        <w:rPr>
          <w:rFonts w:ascii="Times New Roman" w:eastAsia="Times New Roman" w:hAnsi="Times New Roman" w:cs="Times New Roman"/>
        </w:rPr>
        <w:t xml:space="preserve">Toyota </w:t>
      </w:r>
      <w:r w:rsidR="4F0E7802" w:rsidRPr="561FEA06">
        <w:rPr>
          <w:rFonts w:ascii="Times New Roman" w:eastAsia="Times New Roman" w:hAnsi="Times New Roman" w:cs="Times New Roman"/>
        </w:rPr>
        <w:t>Motor, 2024)</w:t>
      </w:r>
      <w:r w:rsidRPr="561FEA06">
        <w:rPr>
          <w:rFonts w:ascii="Times New Roman" w:eastAsia="Times New Roman" w:hAnsi="Times New Roman" w:cs="Times New Roman"/>
        </w:rPr>
        <w:t>. In the last five years (20</w:t>
      </w:r>
      <w:r w:rsidR="22A45D95" w:rsidRPr="561FEA06">
        <w:rPr>
          <w:rFonts w:ascii="Times New Roman" w:eastAsia="Times New Roman" w:hAnsi="Times New Roman" w:cs="Times New Roman"/>
        </w:rPr>
        <w:t>20-</w:t>
      </w:r>
      <w:r w:rsidRPr="561FEA06">
        <w:rPr>
          <w:rFonts w:ascii="Times New Roman" w:eastAsia="Times New Roman" w:hAnsi="Times New Roman" w:cs="Times New Roman"/>
        </w:rPr>
        <w:t>20</w:t>
      </w:r>
      <w:r w:rsidR="5E0FD770" w:rsidRPr="561FEA06">
        <w:rPr>
          <w:rFonts w:ascii="Times New Roman" w:eastAsia="Times New Roman" w:hAnsi="Times New Roman" w:cs="Times New Roman"/>
        </w:rPr>
        <w:t>25</w:t>
      </w:r>
      <w:r w:rsidRPr="561FEA06">
        <w:rPr>
          <w:rFonts w:ascii="Times New Roman" w:eastAsia="Times New Roman" w:hAnsi="Times New Roman" w:cs="Times New Roman"/>
        </w:rPr>
        <w:t xml:space="preserve">), </w:t>
      </w:r>
      <w:r w:rsidR="77DBD5D1"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has increased its activities in the EV market without sacrificing in the traditional automotive segments. </w:t>
      </w:r>
    </w:p>
    <w:p w14:paraId="60B57953" w14:textId="41ADC328" w:rsidR="7EB304A4" w:rsidRDefault="7EB304A4" w:rsidP="561FEA06">
      <w:pPr>
        <w:spacing w:before="240" w:after="240" w:line="480" w:lineRule="auto"/>
        <w:jc w:val="both"/>
      </w:pPr>
      <w:r w:rsidRPr="561FEA06">
        <w:rPr>
          <w:rFonts w:ascii="Times New Roman" w:eastAsia="Times New Roman" w:hAnsi="Times New Roman" w:cs="Times New Roman"/>
        </w:rPr>
        <w:t xml:space="preserve">Based on ratio analysis, this section compares the profitability, liquidity, efficiency, gearing, investment potential, and cash flow position of </w:t>
      </w:r>
      <w:r w:rsidR="00C84C37"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The annual report financial ratios offer a systematized way of learning about the financial capabilities and business strategy of the company </w:t>
      </w:r>
      <w:r w:rsidR="0B0ACA03" w:rsidRPr="561FEA06">
        <w:rPr>
          <w:rFonts w:ascii="Times New Roman" w:eastAsia="Times New Roman" w:hAnsi="Times New Roman" w:cs="Times New Roman"/>
        </w:rPr>
        <w:t>(</w:t>
      </w:r>
      <w:r w:rsidR="71742CC1" w:rsidRPr="561FEA06">
        <w:rPr>
          <w:rFonts w:ascii="Times New Roman" w:eastAsia="Times New Roman" w:hAnsi="Times New Roman" w:cs="Times New Roman"/>
        </w:rPr>
        <w:t>Toyota</w:t>
      </w:r>
      <w:r w:rsidR="0B0ACA03" w:rsidRPr="561FEA06">
        <w:rPr>
          <w:rFonts w:ascii="Times New Roman" w:eastAsia="Times New Roman" w:hAnsi="Times New Roman" w:cs="Times New Roman"/>
        </w:rPr>
        <w:t>, 2024)</w:t>
      </w:r>
      <w:r w:rsidRPr="561FEA06">
        <w:rPr>
          <w:rFonts w:ascii="Times New Roman" w:eastAsia="Times New Roman" w:hAnsi="Times New Roman" w:cs="Times New Roman"/>
        </w:rPr>
        <w:t>.</w:t>
      </w:r>
    </w:p>
    <w:p w14:paraId="0511B2B9" w14:textId="1CF8BC5C" w:rsidR="56A719DD" w:rsidRDefault="56A719DD"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3" w:name="_Toc577136654"/>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2. Key Financial Ratios for Analysis</w:t>
      </w:r>
      <w:bookmarkEnd w:id="3"/>
    </w:p>
    <w:p w14:paraId="0FD91A07" w14:textId="5FE71D76" w:rsidR="5AAEAB85" w:rsidRDefault="5AAEAB85" w:rsidP="561FEA06">
      <w:pPr>
        <w:pStyle w:val="Heading3"/>
        <w:spacing w:before="281" w:after="281" w:line="480" w:lineRule="auto"/>
        <w:jc w:val="both"/>
        <w:rPr>
          <w:rFonts w:ascii="Times New Roman" w:eastAsia="Times New Roman" w:hAnsi="Times New Roman" w:cs="Times New Roman"/>
          <w:b/>
          <w:bCs/>
          <w:color w:val="auto"/>
          <w:sz w:val="24"/>
          <w:szCs w:val="24"/>
        </w:rPr>
      </w:pPr>
      <w:bookmarkStart w:id="4" w:name="_Toc916223785"/>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2.1 Profitability Ratios</w:t>
      </w:r>
      <w:bookmarkEnd w:id="4"/>
    </w:p>
    <w:p w14:paraId="54015B99" w14:textId="7013F6D4" w:rsidR="7C776748" w:rsidRDefault="7C776748" w:rsidP="561FEA06">
      <w:pPr>
        <w:spacing w:before="240" w:after="240" w:line="480" w:lineRule="auto"/>
        <w:jc w:val="both"/>
      </w:pPr>
      <w:r w:rsidRPr="561FEA06">
        <w:rPr>
          <w:rFonts w:ascii="Times New Roman" w:eastAsia="Times New Roman" w:hAnsi="Times New Roman" w:cs="Times New Roman"/>
        </w:rPr>
        <w:t xml:space="preserve">Profitability ratios </w:t>
      </w:r>
      <w:proofErr w:type="gramStart"/>
      <w:r w:rsidRPr="561FEA06">
        <w:rPr>
          <w:rFonts w:ascii="Times New Roman" w:eastAsia="Times New Roman" w:hAnsi="Times New Roman" w:cs="Times New Roman"/>
        </w:rPr>
        <w:t>are used</w:t>
      </w:r>
      <w:proofErr w:type="gramEnd"/>
      <w:r w:rsidRPr="561FEA06">
        <w:rPr>
          <w:rFonts w:ascii="Times New Roman" w:eastAsia="Times New Roman" w:hAnsi="Times New Roman" w:cs="Times New Roman"/>
        </w:rPr>
        <w:t xml:space="preserve"> to evaluate the capability of </w:t>
      </w:r>
      <w:r w:rsidR="3A18E365"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in generating earnings in terms of revenue, assets, and shareholder</w:t>
      </w:r>
      <w:r w:rsidR="5E0A1FEF" w:rsidRPr="561FEA06">
        <w:rPr>
          <w:rFonts w:ascii="Times New Roman" w:eastAsia="Times New Roman" w:hAnsi="Times New Roman" w:cs="Times New Roman"/>
        </w:rPr>
        <w:t>’</w:t>
      </w:r>
      <w:r w:rsidRPr="561FEA06">
        <w:rPr>
          <w:rFonts w:ascii="Times New Roman" w:eastAsia="Times New Roman" w:hAnsi="Times New Roman" w:cs="Times New Roman"/>
        </w:rPr>
        <w:t>s equity.</w:t>
      </w:r>
    </w:p>
    <w:p w14:paraId="037C7673" w14:textId="341D58E1" w:rsidR="70D572B9" w:rsidRDefault="70D572B9" w:rsidP="561FEA06">
      <w:pPr>
        <w:pStyle w:val="Heading4"/>
        <w:spacing w:before="240" w:after="240" w:line="480" w:lineRule="auto"/>
        <w:jc w:val="both"/>
        <w:rPr>
          <w:rFonts w:ascii="Times New Roman" w:eastAsia="Times New Roman" w:hAnsi="Times New Roman" w:cs="Times New Roman"/>
          <w:b/>
          <w:bCs/>
          <w:color w:val="auto"/>
        </w:rPr>
      </w:pPr>
      <w:bookmarkStart w:id="5" w:name="_Toc625549151"/>
      <w:r w:rsidRPr="561FEA06">
        <w:rPr>
          <w:rFonts w:ascii="Times New Roman" w:eastAsia="Times New Roman" w:hAnsi="Times New Roman" w:cs="Times New Roman"/>
          <w:b/>
          <w:bCs/>
          <w:color w:val="auto"/>
        </w:rPr>
        <w:t>1.</w:t>
      </w:r>
      <w:r w:rsidR="194912CB" w:rsidRPr="561FEA06">
        <w:rPr>
          <w:rFonts w:ascii="Times New Roman" w:eastAsia="Times New Roman" w:hAnsi="Times New Roman" w:cs="Times New Roman"/>
          <w:b/>
          <w:bCs/>
          <w:color w:val="auto"/>
        </w:rPr>
        <w:t>2.1.1 Net Profit Margin</w:t>
      </w:r>
      <w:bookmarkEnd w:id="5"/>
    </w:p>
    <w:p w14:paraId="5CE6BDF7" w14:textId="3C85E3F0" w:rsidR="207C7700" w:rsidRDefault="207C7700" w:rsidP="561FEA06">
      <w:pPr>
        <w:spacing w:before="240" w:after="240" w:line="480" w:lineRule="auto"/>
        <w:jc w:val="both"/>
      </w:pPr>
      <w:r w:rsidRPr="561FEA06">
        <w:rPr>
          <w:rFonts w:ascii="Times New Roman" w:eastAsia="Times New Roman" w:hAnsi="Times New Roman" w:cs="Times New Roman"/>
        </w:rPr>
        <w:t xml:space="preserve">Net Profit Margin </w:t>
      </w:r>
      <w:proofErr w:type="gramStart"/>
      <w:r w:rsidRPr="561FEA06">
        <w:rPr>
          <w:rFonts w:ascii="Times New Roman" w:eastAsia="Times New Roman" w:hAnsi="Times New Roman" w:cs="Times New Roman"/>
        </w:rPr>
        <w:t>is used</w:t>
      </w:r>
      <w:proofErr w:type="gramEnd"/>
      <w:r w:rsidRPr="561FEA06">
        <w:rPr>
          <w:rFonts w:ascii="Times New Roman" w:eastAsia="Times New Roman" w:hAnsi="Times New Roman" w:cs="Times New Roman"/>
        </w:rPr>
        <w:t xml:space="preserve"> to determine the percentage of revenue that is converted to net profit. In the case of </w:t>
      </w:r>
      <w:r w:rsidR="5B4552FE" w:rsidRPr="561FEA06">
        <w:rPr>
          <w:rFonts w:ascii="Times New Roman" w:eastAsia="Times New Roman" w:hAnsi="Times New Roman" w:cs="Times New Roman"/>
        </w:rPr>
        <w:t>Toyota</w:t>
      </w:r>
      <w:r w:rsidRPr="561FEA06">
        <w:rPr>
          <w:rFonts w:ascii="Times New Roman" w:eastAsia="Times New Roman" w:hAnsi="Times New Roman" w:cs="Times New Roman"/>
        </w:rPr>
        <w:t>, this ratio has had a slow rise since 2020, indicating the improvement of control over the cost, rise in the number of vehicles in demanded, and EV sales growth (Table 1).</w:t>
      </w:r>
    </w:p>
    <w:p w14:paraId="2613D8D7" w14:textId="1AECA0AA" w:rsidR="7ADB8086" w:rsidRDefault="7ADB8086" w:rsidP="561FEA06">
      <w:pPr>
        <w:pStyle w:val="Heading4"/>
        <w:spacing w:before="240" w:after="240" w:line="480" w:lineRule="auto"/>
        <w:jc w:val="both"/>
        <w:rPr>
          <w:rFonts w:ascii="Times New Roman" w:eastAsia="Times New Roman" w:hAnsi="Times New Roman" w:cs="Times New Roman"/>
          <w:b/>
          <w:bCs/>
          <w:color w:val="auto"/>
        </w:rPr>
      </w:pPr>
      <w:bookmarkStart w:id="6" w:name="_Toc1564706336"/>
      <w:r w:rsidRPr="561FEA06">
        <w:rPr>
          <w:rFonts w:ascii="Times New Roman" w:eastAsia="Times New Roman" w:hAnsi="Times New Roman" w:cs="Times New Roman"/>
          <w:b/>
          <w:bCs/>
          <w:color w:val="auto"/>
        </w:rPr>
        <w:lastRenderedPageBreak/>
        <w:t>1.</w:t>
      </w:r>
      <w:r w:rsidR="194912CB" w:rsidRPr="561FEA06">
        <w:rPr>
          <w:rFonts w:ascii="Times New Roman" w:eastAsia="Times New Roman" w:hAnsi="Times New Roman" w:cs="Times New Roman"/>
          <w:b/>
          <w:bCs/>
          <w:color w:val="auto"/>
        </w:rPr>
        <w:t>2.1.2 Return on Assets (ROA)</w:t>
      </w:r>
      <w:bookmarkEnd w:id="6"/>
    </w:p>
    <w:p w14:paraId="60A5F43F" w14:textId="01D8C607" w:rsidR="13B4F7E9" w:rsidRDefault="13B4F7E9" w:rsidP="561FEA06">
      <w:pPr>
        <w:spacing w:before="240" w:after="240" w:line="480" w:lineRule="auto"/>
        <w:jc w:val="both"/>
      </w:pPr>
      <w:r w:rsidRPr="561FEA06">
        <w:rPr>
          <w:rFonts w:ascii="Times New Roman" w:eastAsia="Times New Roman" w:hAnsi="Times New Roman" w:cs="Times New Roman"/>
        </w:rPr>
        <w:t xml:space="preserve">ROA measures the effectiveness of </w:t>
      </w:r>
      <w:r w:rsidR="1CDAA78A"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in utilizing its assets to earn profits. The ROA of the company has been on the </w:t>
      </w:r>
      <w:r w:rsidR="676224DC" w:rsidRPr="561FEA06">
        <w:rPr>
          <w:rFonts w:ascii="Times New Roman" w:eastAsia="Times New Roman" w:hAnsi="Times New Roman" w:cs="Times New Roman"/>
        </w:rPr>
        <w:t>increase,</w:t>
      </w:r>
      <w:r w:rsidRPr="561FEA06">
        <w:rPr>
          <w:rFonts w:ascii="Times New Roman" w:eastAsia="Times New Roman" w:hAnsi="Times New Roman" w:cs="Times New Roman"/>
        </w:rPr>
        <w:t xml:space="preserve"> which means that the company utilizes production facilities and investments on technology better</w:t>
      </w:r>
      <w:r w:rsidR="3F21D684" w:rsidRPr="561FEA06">
        <w:rPr>
          <w:rFonts w:ascii="Times New Roman" w:eastAsia="Times New Roman" w:hAnsi="Times New Roman" w:cs="Times New Roman"/>
        </w:rPr>
        <w:t xml:space="preserve"> (Hargrave, 2026)</w:t>
      </w:r>
      <w:r w:rsidRPr="561FEA06">
        <w:rPr>
          <w:rFonts w:ascii="Times New Roman" w:eastAsia="Times New Roman" w:hAnsi="Times New Roman" w:cs="Times New Roman"/>
        </w:rPr>
        <w:t>.</w:t>
      </w:r>
    </w:p>
    <w:p w14:paraId="5C051EE0" w14:textId="2ACABBAA" w:rsidR="0A7819D6" w:rsidRDefault="0A7819D6" w:rsidP="561FEA06">
      <w:pPr>
        <w:pStyle w:val="Heading4"/>
        <w:spacing w:before="240" w:after="240" w:line="480" w:lineRule="auto"/>
        <w:jc w:val="both"/>
        <w:rPr>
          <w:rFonts w:ascii="Times New Roman" w:eastAsia="Times New Roman" w:hAnsi="Times New Roman" w:cs="Times New Roman"/>
          <w:b/>
          <w:bCs/>
          <w:color w:val="auto"/>
        </w:rPr>
      </w:pPr>
      <w:bookmarkStart w:id="7" w:name="_Toc1751637525"/>
      <w:r w:rsidRPr="561FEA06">
        <w:rPr>
          <w:rFonts w:ascii="Times New Roman" w:eastAsia="Times New Roman" w:hAnsi="Times New Roman" w:cs="Times New Roman"/>
          <w:b/>
          <w:bCs/>
          <w:color w:val="auto"/>
        </w:rPr>
        <w:t>1.</w:t>
      </w:r>
      <w:r w:rsidR="194912CB" w:rsidRPr="561FEA06">
        <w:rPr>
          <w:rFonts w:ascii="Times New Roman" w:eastAsia="Times New Roman" w:hAnsi="Times New Roman" w:cs="Times New Roman"/>
          <w:b/>
          <w:bCs/>
          <w:color w:val="auto"/>
        </w:rPr>
        <w:t>2.1.3 Return on Equity (ROE)</w:t>
      </w:r>
      <w:bookmarkEnd w:id="7"/>
    </w:p>
    <w:p w14:paraId="74C0A767" w14:textId="4202ED17" w:rsidR="2A79DE3A" w:rsidRDefault="2A79DE3A" w:rsidP="561FEA06">
      <w:pPr>
        <w:spacing w:before="240" w:after="240" w:line="480" w:lineRule="auto"/>
        <w:jc w:val="both"/>
      </w:pPr>
      <w:r w:rsidRPr="561FEA06">
        <w:rPr>
          <w:rFonts w:ascii="Times New Roman" w:eastAsia="Times New Roman" w:hAnsi="Times New Roman" w:cs="Times New Roman"/>
        </w:rPr>
        <w:t xml:space="preserve">ROE is an indicator that illustrates the level at which </w:t>
      </w:r>
      <w:r w:rsidR="02854787"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is able to yield returns to its shareholders. The growing tendency in ROE indicates greater financial performance and effective management of capital</w:t>
      </w:r>
      <w:r w:rsidR="6D3C91B3" w:rsidRPr="561FEA06">
        <w:rPr>
          <w:rFonts w:ascii="Times New Roman" w:eastAsia="Times New Roman" w:hAnsi="Times New Roman" w:cs="Times New Roman"/>
        </w:rPr>
        <w:t xml:space="preserve"> (Fernando, 2026)</w:t>
      </w:r>
      <w:r w:rsidRPr="561FEA06">
        <w:rPr>
          <w:rFonts w:ascii="Times New Roman" w:eastAsia="Times New Roman" w:hAnsi="Times New Roman" w:cs="Times New Roman"/>
        </w:rPr>
        <w:t>.</w:t>
      </w:r>
    </w:p>
    <w:p w14:paraId="72F8EA87" w14:textId="5A5FE3F9" w:rsidR="634A3558" w:rsidRDefault="634A3558"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8" w:name="_Toc328374173"/>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3. Liquidity Ratios</w:t>
      </w:r>
      <w:bookmarkEnd w:id="8"/>
    </w:p>
    <w:p w14:paraId="16363559" w14:textId="13D97820" w:rsidR="194912CB" w:rsidRDefault="194912CB"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Liquidity ratios indicate </w:t>
      </w:r>
      <w:r w:rsidR="3933C6A1" w:rsidRPr="561FEA06">
        <w:rPr>
          <w:rFonts w:ascii="Times New Roman" w:eastAsia="Times New Roman" w:hAnsi="Times New Roman" w:cs="Times New Roman"/>
        </w:rPr>
        <w:t>Toyota</w:t>
      </w:r>
      <w:r w:rsidRPr="561FEA06">
        <w:rPr>
          <w:rFonts w:ascii="Times New Roman" w:eastAsia="Times New Roman" w:hAnsi="Times New Roman" w:cs="Times New Roman"/>
        </w:rPr>
        <w:t>’s ability to meet short-term financial obligations.</w:t>
      </w:r>
    </w:p>
    <w:p w14:paraId="45141C3D" w14:textId="771E1461" w:rsidR="74929F50" w:rsidRDefault="74929F50" w:rsidP="561FEA06">
      <w:pPr>
        <w:pStyle w:val="Heading4"/>
        <w:spacing w:before="319" w:after="319" w:line="480" w:lineRule="auto"/>
        <w:jc w:val="both"/>
        <w:rPr>
          <w:rFonts w:ascii="Times New Roman" w:eastAsia="Times New Roman" w:hAnsi="Times New Roman" w:cs="Times New Roman"/>
          <w:b/>
          <w:bCs/>
          <w:color w:val="auto"/>
        </w:rPr>
      </w:pPr>
      <w:bookmarkStart w:id="9" w:name="_Toc801007804"/>
      <w:r w:rsidRPr="561FEA06">
        <w:rPr>
          <w:rFonts w:ascii="Times New Roman" w:eastAsia="Times New Roman" w:hAnsi="Times New Roman" w:cs="Times New Roman"/>
          <w:b/>
          <w:bCs/>
          <w:color w:val="auto"/>
        </w:rPr>
        <w:t>1.</w:t>
      </w:r>
      <w:r w:rsidR="194912CB" w:rsidRPr="561FEA06">
        <w:rPr>
          <w:rFonts w:ascii="Times New Roman" w:eastAsia="Times New Roman" w:hAnsi="Times New Roman" w:cs="Times New Roman"/>
          <w:b/>
          <w:bCs/>
          <w:color w:val="auto"/>
        </w:rPr>
        <w:t>3.1 Current Ratio</w:t>
      </w:r>
      <w:bookmarkEnd w:id="9"/>
    </w:p>
    <w:p w14:paraId="5C870156" w14:textId="1B9DA36F" w:rsidR="5D48EEA4" w:rsidRDefault="5D48EEA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Current Ratio of </w:t>
      </w:r>
      <w:r w:rsidR="1AA1240B"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has not been fluctuating strongly over the last five years, in general, it has been higher than </w:t>
      </w:r>
      <w:proofErr w:type="gramStart"/>
      <w:r w:rsidRPr="561FEA06">
        <w:rPr>
          <w:rFonts w:ascii="Times New Roman" w:eastAsia="Times New Roman" w:hAnsi="Times New Roman" w:cs="Times New Roman"/>
        </w:rPr>
        <w:t>1</w:t>
      </w:r>
      <w:proofErr w:type="gramEnd"/>
      <w:r w:rsidRPr="561FEA06">
        <w:rPr>
          <w:rFonts w:ascii="Times New Roman" w:eastAsia="Times New Roman" w:hAnsi="Times New Roman" w:cs="Times New Roman"/>
        </w:rPr>
        <w:t xml:space="preserve">. This shows that the company has adequate current assets to meet its </w:t>
      </w:r>
      <w:r w:rsidR="4D147F51" w:rsidRPr="561FEA06">
        <w:rPr>
          <w:rFonts w:ascii="Times New Roman" w:eastAsia="Times New Roman" w:hAnsi="Times New Roman" w:cs="Times New Roman"/>
        </w:rPr>
        <w:t>short-term</w:t>
      </w:r>
      <w:r w:rsidRPr="561FEA06">
        <w:rPr>
          <w:rFonts w:ascii="Times New Roman" w:eastAsia="Times New Roman" w:hAnsi="Times New Roman" w:cs="Times New Roman"/>
        </w:rPr>
        <w:t xml:space="preserve"> debts (Table 2).</w:t>
      </w:r>
    </w:p>
    <w:p w14:paraId="75AC714A" w14:textId="73B101F6" w:rsidR="195272BF" w:rsidRDefault="195272BF" w:rsidP="561FEA06">
      <w:pPr>
        <w:pStyle w:val="Heading4"/>
        <w:spacing w:before="240" w:after="240" w:line="480" w:lineRule="auto"/>
        <w:jc w:val="both"/>
        <w:rPr>
          <w:rFonts w:ascii="Times New Roman" w:eastAsia="Times New Roman" w:hAnsi="Times New Roman" w:cs="Times New Roman"/>
          <w:b/>
          <w:bCs/>
          <w:color w:val="auto"/>
        </w:rPr>
      </w:pPr>
      <w:bookmarkStart w:id="10" w:name="_Toc1198739910"/>
      <w:r w:rsidRPr="561FEA06">
        <w:rPr>
          <w:rFonts w:ascii="Times New Roman" w:eastAsia="Times New Roman" w:hAnsi="Times New Roman" w:cs="Times New Roman"/>
          <w:b/>
          <w:bCs/>
          <w:color w:val="auto"/>
        </w:rPr>
        <w:t>1.</w:t>
      </w:r>
      <w:r w:rsidR="194912CB" w:rsidRPr="561FEA06">
        <w:rPr>
          <w:rFonts w:ascii="Times New Roman" w:eastAsia="Times New Roman" w:hAnsi="Times New Roman" w:cs="Times New Roman"/>
          <w:b/>
          <w:bCs/>
          <w:color w:val="auto"/>
        </w:rPr>
        <w:t>3.2 Quick Ratio</w:t>
      </w:r>
      <w:bookmarkEnd w:id="10"/>
    </w:p>
    <w:p w14:paraId="6DEAD59B" w14:textId="02947C65" w:rsidR="4130E8A8" w:rsidRDefault="4130E8A8" w:rsidP="561FEA06">
      <w:pPr>
        <w:spacing w:before="240" w:after="240" w:line="480" w:lineRule="auto"/>
        <w:jc w:val="both"/>
      </w:pPr>
      <w:r w:rsidRPr="561FEA06">
        <w:rPr>
          <w:rFonts w:ascii="Times New Roman" w:eastAsia="Times New Roman" w:hAnsi="Times New Roman" w:cs="Times New Roman"/>
        </w:rPr>
        <w:t xml:space="preserve">Quick Ratio has a marginal trend, indicating that </w:t>
      </w:r>
      <w:r w:rsidR="632BBB92"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might be becoming more dependent on inventory, to cover short-term obligations. This appears prevalent in the automobile industry because of the large inventories.</w:t>
      </w:r>
    </w:p>
    <w:p w14:paraId="5881FA62" w14:textId="3E705D8F" w:rsidR="411E95ED" w:rsidRDefault="411E95ED"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11" w:name="_Toc465460091"/>
      <w:r w:rsidRPr="561FEA06">
        <w:rPr>
          <w:rFonts w:ascii="Times New Roman" w:eastAsia="Times New Roman" w:hAnsi="Times New Roman" w:cs="Times New Roman"/>
          <w:b/>
          <w:bCs/>
          <w:color w:val="auto"/>
          <w:sz w:val="24"/>
          <w:szCs w:val="24"/>
        </w:rPr>
        <w:lastRenderedPageBreak/>
        <w:t>1.</w:t>
      </w:r>
      <w:r w:rsidR="194912CB" w:rsidRPr="561FEA06">
        <w:rPr>
          <w:rFonts w:ascii="Times New Roman" w:eastAsia="Times New Roman" w:hAnsi="Times New Roman" w:cs="Times New Roman"/>
          <w:b/>
          <w:bCs/>
          <w:color w:val="auto"/>
          <w:sz w:val="24"/>
          <w:szCs w:val="24"/>
        </w:rPr>
        <w:t>4. Efficiency Ratios</w:t>
      </w:r>
      <w:bookmarkEnd w:id="11"/>
    </w:p>
    <w:p w14:paraId="74529167" w14:textId="3667B159" w:rsidR="7E515706" w:rsidRDefault="7E515706" w:rsidP="561FEA06">
      <w:pPr>
        <w:pStyle w:val="Heading3"/>
        <w:spacing w:before="281" w:after="281" w:line="480" w:lineRule="auto"/>
        <w:jc w:val="both"/>
        <w:rPr>
          <w:rFonts w:ascii="Times New Roman" w:eastAsia="Times New Roman" w:hAnsi="Times New Roman" w:cs="Times New Roman"/>
          <w:b/>
          <w:bCs/>
          <w:color w:val="auto"/>
          <w:sz w:val="24"/>
          <w:szCs w:val="24"/>
        </w:rPr>
      </w:pPr>
      <w:bookmarkStart w:id="12" w:name="_Toc1417400058"/>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4.1 Asset Turnover Ratio</w:t>
      </w:r>
      <w:bookmarkEnd w:id="12"/>
    </w:p>
    <w:p w14:paraId="3491F7B5" w14:textId="6FC0A348" w:rsidR="40CCEF78" w:rsidRDefault="40CCEF78" w:rsidP="561FEA06">
      <w:pPr>
        <w:spacing w:before="240" w:after="240" w:line="480" w:lineRule="auto"/>
        <w:jc w:val="both"/>
      </w:pPr>
      <w:r w:rsidRPr="561FEA06">
        <w:rPr>
          <w:rFonts w:ascii="Times New Roman" w:eastAsia="Times New Roman" w:hAnsi="Times New Roman" w:cs="Times New Roman"/>
        </w:rPr>
        <w:t>The Asset Turnover Ratio is a measure of the performance of</w:t>
      </w:r>
      <w:r w:rsidR="5EC0C3FF" w:rsidRPr="561FEA06">
        <w:rPr>
          <w:rFonts w:ascii="Times New Roman" w:eastAsia="Times New Roman" w:hAnsi="Times New Roman" w:cs="Times New Roman"/>
        </w:rPr>
        <w:t xml:space="preserve"> Toyota</w:t>
      </w:r>
      <w:r w:rsidRPr="561FEA06">
        <w:rPr>
          <w:rFonts w:ascii="Times New Roman" w:eastAsia="Times New Roman" w:hAnsi="Times New Roman" w:cs="Times New Roman"/>
        </w:rPr>
        <w:t xml:space="preserve"> in terms of its ability to utilize its assets to earn revenue. It has steadily increased the ratio since 2020, which means the efficiency of operations and improved sales, especially globally (Table 3).</w:t>
      </w:r>
    </w:p>
    <w:p w14:paraId="56964786" w14:textId="55968E26" w:rsidR="3E170489" w:rsidRDefault="3E170489" w:rsidP="561FEA06">
      <w:pPr>
        <w:pStyle w:val="Heading2"/>
        <w:spacing w:line="480" w:lineRule="auto"/>
        <w:jc w:val="both"/>
        <w:rPr>
          <w:rFonts w:ascii="Times New Roman" w:eastAsia="Times New Roman" w:hAnsi="Times New Roman" w:cs="Times New Roman"/>
          <w:b/>
          <w:bCs/>
          <w:color w:val="auto"/>
          <w:sz w:val="24"/>
          <w:szCs w:val="24"/>
        </w:rPr>
      </w:pPr>
      <w:bookmarkStart w:id="13" w:name="_Toc455857609"/>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5. Gearing Ratios</w:t>
      </w:r>
      <w:bookmarkEnd w:id="13"/>
    </w:p>
    <w:p w14:paraId="72E2DA68" w14:textId="524C6A3B" w:rsidR="6DC0C2D5" w:rsidRDefault="6DC0C2D5" w:rsidP="561FEA06">
      <w:pPr>
        <w:pStyle w:val="Heading3"/>
        <w:spacing w:before="281" w:after="281" w:line="480" w:lineRule="auto"/>
        <w:jc w:val="both"/>
        <w:rPr>
          <w:rFonts w:ascii="Times New Roman" w:eastAsia="Times New Roman" w:hAnsi="Times New Roman" w:cs="Times New Roman"/>
          <w:b/>
          <w:bCs/>
          <w:color w:val="auto"/>
          <w:sz w:val="24"/>
          <w:szCs w:val="24"/>
        </w:rPr>
      </w:pPr>
      <w:bookmarkStart w:id="14" w:name="_Toc1336910823"/>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5.1 Debt-to-Equity Ratio</w:t>
      </w:r>
      <w:bookmarkEnd w:id="14"/>
    </w:p>
    <w:p w14:paraId="3009C564" w14:textId="7B6D3328" w:rsidR="25279976" w:rsidRDefault="25279976" w:rsidP="561FEA06">
      <w:pPr>
        <w:spacing w:before="240" w:after="240" w:line="480" w:lineRule="auto"/>
        <w:jc w:val="both"/>
      </w:pPr>
      <w:r w:rsidRPr="561FEA06">
        <w:rPr>
          <w:rFonts w:ascii="Times New Roman" w:eastAsia="Times New Roman" w:hAnsi="Times New Roman" w:cs="Times New Roman"/>
        </w:rPr>
        <w:t xml:space="preserve">There is a moderate increase in the Debt-to-Equity Ratio of </w:t>
      </w:r>
      <w:r w:rsidR="5480093F"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during the five years. This implies the company has financed its growth via debt financing, which includes investing in electric cars, battery technology, and manufacturing plants worldwide. </w:t>
      </w:r>
    </w:p>
    <w:p w14:paraId="54DAB907" w14:textId="1BA7C0E1" w:rsidR="25279976" w:rsidRDefault="25279976" w:rsidP="561FEA06">
      <w:pPr>
        <w:spacing w:before="240" w:after="240" w:line="480" w:lineRule="auto"/>
        <w:jc w:val="both"/>
      </w:pPr>
      <w:r w:rsidRPr="561FEA06">
        <w:rPr>
          <w:rFonts w:ascii="Times New Roman" w:eastAsia="Times New Roman" w:hAnsi="Times New Roman" w:cs="Times New Roman"/>
        </w:rPr>
        <w:t xml:space="preserve">Although the growth </w:t>
      </w:r>
      <w:proofErr w:type="gramStart"/>
      <w:r w:rsidRPr="561FEA06">
        <w:rPr>
          <w:rFonts w:ascii="Times New Roman" w:eastAsia="Times New Roman" w:hAnsi="Times New Roman" w:cs="Times New Roman"/>
        </w:rPr>
        <w:t>is sponsored</w:t>
      </w:r>
      <w:proofErr w:type="gramEnd"/>
      <w:r w:rsidRPr="561FEA06">
        <w:rPr>
          <w:rFonts w:ascii="Times New Roman" w:eastAsia="Times New Roman" w:hAnsi="Times New Roman" w:cs="Times New Roman"/>
        </w:rPr>
        <w:t xml:space="preserve"> through this strategy, the strategy presents financial risk particularly in unstable economic environments.</w:t>
      </w:r>
    </w:p>
    <w:p w14:paraId="09A9987F" w14:textId="6222D24D" w:rsidR="08795DC9" w:rsidRDefault="08795DC9"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15" w:name="_Toc608877871"/>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6. Investment Ratios</w:t>
      </w:r>
      <w:bookmarkEnd w:id="15"/>
    </w:p>
    <w:p w14:paraId="44974221" w14:textId="4603CAD6" w:rsidR="2AD39D42" w:rsidRDefault="2AD39D42" w:rsidP="561FEA06">
      <w:pPr>
        <w:pStyle w:val="Heading3"/>
        <w:spacing w:before="281" w:after="281" w:line="480" w:lineRule="auto"/>
        <w:jc w:val="both"/>
        <w:rPr>
          <w:rFonts w:ascii="Times New Roman" w:eastAsia="Times New Roman" w:hAnsi="Times New Roman" w:cs="Times New Roman"/>
          <w:b/>
          <w:bCs/>
          <w:color w:val="auto"/>
          <w:sz w:val="24"/>
          <w:szCs w:val="24"/>
        </w:rPr>
      </w:pPr>
      <w:bookmarkStart w:id="16" w:name="_Toc1287710473"/>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 xml:space="preserve">6.1 Earnings </w:t>
      </w:r>
      <w:proofErr w:type="gramStart"/>
      <w:r w:rsidR="194912CB" w:rsidRPr="561FEA06">
        <w:rPr>
          <w:rFonts w:ascii="Times New Roman" w:eastAsia="Times New Roman" w:hAnsi="Times New Roman" w:cs="Times New Roman"/>
          <w:b/>
          <w:bCs/>
          <w:color w:val="auto"/>
          <w:sz w:val="24"/>
          <w:szCs w:val="24"/>
        </w:rPr>
        <w:t>Per</w:t>
      </w:r>
      <w:proofErr w:type="gramEnd"/>
      <w:r w:rsidR="194912CB" w:rsidRPr="561FEA06">
        <w:rPr>
          <w:rFonts w:ascii="Times New Roman" w:eastAsia="Times New Roman" w:hAnsi="Times New Roman" w:cs="Times New Roman"/>
          <w:b/>
          <w:bCs/>
          <w:color w:val="auto"/>
          <w:sz w:val="24"/>
          <w:szCs w:val="24"/>
        </w:rPr>
        <w:t xml:space="preserve"> Share (EPS)</w:t>
      </w:r>
      <w:bookmarkEnd w:id="16"/>
    </w:p>
    <w:p w14:paraId="0F33218B" w14:textId="4898EF87" w:rsidR="28D1DBD8" w:rsidRDefault="28D1DBD8" w:rsidP="561FEA06">
      <w:pPr>
        <w:spacing w:before="240" w:after="240" w:line="480" w:lineRule="auto"/>
        <w:jc w:val="both"/>
      </w:pPr>
      <w:r w:rsidRPr="561FEA06">
        <w:rPr>
          <w:rFonts w:ascii="Times New Roman" w:eastAsia="Times New Roman" w:hAnsi="Times New Roman" w:cs="Times New Roman"/>
        </w:rPr>
        <w:t xml:space="preserve">The EPS of </w:t>
      </w:r>
      <w:r w:rsidR="165454D3"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has been steadily increasing, indicating that the company is becoming more profitable and its returns to the shareholders. This expansion </w:t>
      </w:r>
      <w:proofErr w:type="gramStart"/>
      <w:r w:rsidRPr="561FEA06">
        <w:rPr>
          <w:rFonts w:ascii="Times New Roman" w:eastAsia="Times New Roman" w:hAnsi="Times New Roman" w:cs="Times New Roman"/>
        </w:rPr>
        <w:t>is supported</w:t>
      </w:r>
      <w:proofErr w:type="gramEnd"/>
      <w:r w:rsidRPr="561FEA06">
        <w:rPr>
          <w:rFonts w:ascii="Times New Roman" w:eastAsia="Times New Roman" w:hAnsi="Times New Roman" w:cs="Times New Roman"/>
        </w:rPr>
        <w:t xml:space="preserve"> by high sales and development of the EV market in the world.</w:t>
      </w:r>
    </w:p>
    <w:p w14:paraId="001C5876" w14:textId="6B52460A" w:rsidR="7625F4DD" w:rsidRDefault="7625F4DD"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17" w:name="_Toc2133752808"/>
      <w:r w:rsidRPr="561FEA06">
        <w:rPr>
          <w:rFonts w:ascii="Times New Roman" w:eastAsia="Times New Roman" w:hAnsi="Times New Roman" w:cs="Times New Roman"/>
          <w:b/>
          <w:bCs/>
          <w:color w:val="auto"/>
          <w:sz w:val="24"/>
          <w:szCs w:val="24"/>
        </w:rPr>
        <w:lastRenderedPageBreak/>
        <w:t>1.</w:t>
      </w:r>
      <w:r w:rsidR="194912CB" w:rsidRPr="561FEA06">
        <w:rPr>
          <w:rFonts w:ascii="Times New Roman" w:eastAsia="Times New Roman" w:hAnsi="Times New Roman" w:cs="Times New Roman"/>
          <w:b/>
          <w:bCs/>
          <w:color w:val="auto"/>
          <w:sz w:val="24"/>
          <w:szCs w:val="24"/>
        </w:rPr>
        <w:t>6.2 Price-to-Earnings (P/E) Ratio</w:t>
      </w:r>
      <w:bookmarkEnd w:id="17"/>
    </w:p>
    <w:p w14:paraId="49F8A726" w14:textId="207F6CF4" w:rsidR="4C45C84A" w:rsidRDefault="4C45C84A" w:rsidP="561FEA06">
      <w:pPr>
        <w:spacing w:before="240" w:after="240" w:line="480" w:lineRule="auto"/>
        <w:jc w:val="both"/>
      </w:pPr>
      <w:r w:rsidRPr="561FEA06">
        <w:rPr>
          <w:rFonts w:ascii="Times New Roman" w:eastAsia="Times New Roman" w:hAnsi="Times New Roman" w:cs="Times New Roman"/>
        </w:rPr>
        <w:t xml:space="preserve">The P/E Ratio shows that investors believe in the future growth of </w:t>
      </w:r>
      <w:r w:rsidR="7ECEA08E" w:rsidRPr="561FEA06">
        <w:rPr>
          <w:rFonts w:ascii="Times New Roman" w:eastAsia="Times New Roman" w:hAnsi="Times New Roman" w:cs="Times New Roman"/>
        </w:rPr>
        <w:t>Toyota</w:t>
      </w:r>
      <w:r w:rsidRPr="561FEA06">
        <w:rPr>
          <w:rFonts w:ascii="Times New Roman" w:eastAsia="Times New Roman" w:hAnsi="Times New Roman" w:cs="Times New Roman"/>
        </w:rPr>
        <w:t>. The moderate growth in this ratio is an indication that investors anticipate further growth, especially in electric mobility and sustainable transportation.</w:t>
      </w:r>
    </w:p>
    <w:p w14:paraId="176F1F09" w14:textId="2942C866" w:rsidR="20572E9B" w:rsidRDefault="20572E9B"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18" w:name="_Toc1662613719"/>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7. Cash Flow Ratios</w:t>
      </w:r>
      <w:bookmarkEnd w:id="18"/>
    </w:p>
    <w:p w14:paraId="4FBE16B9" w14:textId="7BE789F9" w:rsidR="07025E62" w:rsidRDefault="07025E62" w:rsidP="561FEA06">
      <w:pPr>
        <w:pStyle w:val="Heading3"/>
        <w:spacing w:before="281" w:after="281" w:line="480" w:lineRule="auto"/>
        <w:jc w:val="both"/>
        <w:rPr>
          <w:rFonts w:ascii="Times New Roman" w:eastAsia="Times New Roman" w:hAnsi="Times New Roman" w:cs="Times New Roman"/>
          <w:b/>
          <w:bCs/>
          <w:color w:val="auto"/>
          <w:sz w:val="24"/>
          <w:szCs w:val="24"/>
        </w:rPr>
      </w:pPr>
      <w:bookmarkStart w:id="19" w:name="_Toc859899818"/>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7.1 Operating Cash Flow Ratio</w:t>
      </w:r>
      <w:bookmarkEnd w:id="19"/>
    </w:p>
    <w:p w14:paraId="624BAB5E" w14:textId="488D2A64" w:rsidR="232BA344" w:rsidRDefault="232BA344" w:rsidP="561FEA06">
      <w:pPr>
        <w:spacing w:before="240" w:after="240" w:line="480" w:lineRule="auto"/>
        <w:jc w:val="both"/>
      </w:pPr>
      <w:r w:rsidRPr="561FEA06">
        <w:rPr>
          <w:rFonts w:ascii="Times New Roman" w:eastAsia="Times New Roman" w:hAnsi="Times New Roman" w:cs="Times New Roman"/>
        </w:rPr>
        <w:t xml:space="preserve">Operating Cash Flow Ratio of </w:t>
      </w:r>
      <w:r w:rsidR="1F94BB40" w:rsidRPr="561FEA06">
        <w:rPr>
          <w:rFonts w:ascii="Times New Roman" w:eastAsia="Times New Roman" w:hAnsi="Times New Roman" w:cs="Times New Roman"/>
        </w:rPr>
        <w:t xml:space="preserve">Toyota </w:t>
      </w:r>
      <w:r w:rsidRPr="561FEA06">
        <w:rPr>
          <w:rFonts w:ascii="Times New Roman" w:eastAsia="Times New Roman" w:hAnsi="Times New Roman" w:cs="Times New Roman"/>
        </w:rPr>
        <w:t xml:space="preserve">has been robust over the period showing that the company is able to generate enough cash </w:t>
      </w:r>
      <w:r w:rsidR="610DA4BF" w:rsidRPr="561FEA06">
        <w:rPr>
          <w:rFonts w:ascii="Times New Roman" w:eastAsia="Times New Roman" w:hAnsi="Times New Roman" w:cs="Times New Roman"/>
        </w:rPr>
        <w:t>because of</w:t>
      </w:r>
      <w:r w:rsidRPr="561FEA06">
        <w:rPr>
          <w:rFonts w:ascii="Times New Roman" w:eastAsia="Times New Roman" w:hAnsi="Times New Roman" w:cs="Times New Roman"/>
        </w:rPr>
        <w:t xml:space="preserve"> its operations to cover short-term liabilities. This indicates a good financial management and stability in its operation.</w:t>
      </w:r>
    </w:p>
    <w:p w14:paraId="1A1BFF9B" w14:textId="1EB06CC2" w:rsidR="54F10291" w:rsidRDefault="54F10291"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20" w:name="_Toc1845866363"/>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8. Trends in Financial Performance (20</w:t>
      </w:r>
      <w:r w:rsidR="5C74F1BB" w:rsidRPr="561FEA06">
        <w:rPr>
          <w:rFonts w:ascii="Times New Roman" w:eastAsia="Times New Roman" w:hAnsi="Times New Roman" w:cs="Times New Roman"/>
          <w:b/>
          <w:bCs/>
          <w:color w:val="auto"/>
          <w:sz w:val="24"/>
          <w:szCs w:val="24"/>
        </w:rPr>
        <w:t>20</w:t>
      </w:r>
      <w:r w:rsidR="194912CB" w:rsidRPr="561FEA06">
        <w:rPr>
          <w:rFonts w:ascii="Times New Roman" w:eastAsia="Times New Roman" w:hAnsi="Times New Roman" w:cs="Times New Roman"/>
          <w:b/>
          <w:bCs/>
          <w:color w:val="auto"/>
          <w:sz w:val="24"/>
          <w:szCs w:val="24"/>
        </w:rPr>
        <w:t>–202</w:t>
      </w:r>
      <w:r w:rsidR="2E8EBFC9" w:rsidRPr="561FEA06">
        <w:rPr>
          <w:rFonts w:ascii="Times New Roman" w:eastAsia="Times New Roman" w:hAnsi="Times New Roman" w:cs="Times New Roman"/>
          <w:b/>
          <w:bCs/>
          <w:color w:val="auto"/>
          <w:sz w:val="24"/>
          <w:szCs w:val="24"/>
        </w:rPr>
        <w:t>5</w:t>
      </w:r>
      <w:r w:rsidR="194912CB" w:rsidRPr="561FEA06">
        <w:rPr>
          <w:rFonts w:ascii="Times New Roman" w:eastAsia="Times New Roman" w:hAnsi="Times New Roman" w:cs="Times New Roman"/>
          <w:b/>
          <w:bCs/>
          <w:color w:val="auto"/>
          <w:sz w:val="24"/>
          <w:szCs w:val="24"/>
        </w:rPr>
        <w:t>)</w:t>
      </w:r>
      <w:bookmarkEnd w:id="20"/>
    </w:p>
    <w:p w14:paraId="52CC3F03" w14:textId="04B843A7" w:rsidR="73D426FB" w:rsidRDefault="73D426FB" w:rsidP="561FEA06">
      <w:pPr>
        <w:spacing w:before="240" w:after="240" w:line="480" w:lineRule="auto"/>
        <w:jc w:val="both"/>
      </w:pPr>
      <w:r w:rsidRPr="561FEA06">
        <w:rPr>
          <w:rFonts w:ascii="Times New Roman" w:eastAsia="Times New Roman" w:hAnsi="Times New Roman" w:cs="Times New Roman"/>
        </w:rPr>
        <w:t xml:space="preserve">In the last five years, </w:t>
      </w:r>
      <w:r w:rsidR="128D2A57"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has been able to show consistent financial growth even during the world crisis like the COVID-19 pandemic and disruption of the supply chain. </w:t>
      </w:r>
    </w:p>
    <w:p w14:paraId="39BAD2F2" w14:textId="48D45B4C" w:rsidR="73D426FB" w:rsidRDefault="73D426FB" w:rsidP="561FEA06">
      <w:pPr>
        <w:spacing w:before="240" w:after="240" w:line="480" w:lineRule="auto"/>
        <w:jc w:val="both"/>
      </w:pPr>
      <w:r w:rsidRPr="561FEA06">
        <w:rPr>
          <w:rFonts w:ascii="Times New Roman" w:eastAsia="Times New Roman" w:hAnsi="Times New Roman" w:cs="Times New Roman"/>
        </w:rPr>
        <w:t>The profitability ratios decreased marginally in 2020 because of the decreased demand around the world but rebounded well since 2021</w:t>
      </w:r>
      <w:r w:rsidR="2EE26B59" w:rsidRPr="561FEA06">
        <w:rPr>
          <w:rFonts w:ascii="Times New Roman" w:eastAsia="Times New Roman" w:hAnsi="Times New Roman" w:cs="Times New Roman"/>
        </w:rPr>
        <w:t xml:space="preserve"> (Naseer </w:t>
      </w:r>
      <w:r w:rsidR="2EE26B59" w:rsidRPr="561FEA06">
        <w:rPr>
          <w:rFonts w:ascii="Times New Roman" w:eastAsia="Times New Roman" w:hAnsi="Times New Roman" w:cs="Times New Roman"/>
          <w:i/>
          <w:iCs/>
        </w:rPr>
        <w:t>et al.</w:t>
      </w:r>
      <w:r w:rsidR="2EE26B59" w:rsidRPr="561FEA06">
        <w:rPr>
          <w:rFonts w:ascii="Times New Roman" w:eastAsia="Times New Roman" w:hAnsi="Times New Roman" w:cs="Times New Roman"/>
        </w:rPr>
        <w:t>, 2023)</w:t>
      </w:r>
      <w:r w:rsidRPr="561FEA06">
        <w:rPr>
          <w:rFonts w:ascii="Times New Roman" w:eastAsia="Times New Roman" w:hAnsi="Times New Roman" w:cs="Times New Roman"/>
        </w:rPr>
        <w:t xml:space="preserve">. </w:t>
      </w:r>
      <w:proofErr w:type="gramStart"/>
      <w:r w:rsidRPr="561FEA06">
        <w:rPr>
          <w:rFonts w:ascii="Times New Roman" w:eastAsia="Times New Roman" w:hAnsi="Times New Roman" w:cs="Times New Roman"/>
        </w:rPr>
        <w:t>As a result</w:t>
      </w:r>
      <w:proofErr w:type="gramEnd"/>
      <w:r w:rsidRPr="561FEA06">
        <w:rPr>
          <w:rFonts w:ascii="Times New Roman" w:eastAsia="Times New Roman" w:hAnsi="Times New Roman" w:cs="Times New Roman"/>
        </w:rPr>
        <w:t xml:space="preserve"> of higher vehicle prices and enhanced operational efficiency, the Net Profit Margin increased significantly by 2023 (Figure 1). </w:t>
      </w:r>
    </w:p>
    <w:p w14:paraId="5F1E74B9" w14:textId="66E0994D" w:rsidR="73D426FB" w:rsidRDefault="73D426FB" w:rsidP="561FEA06">
      <w:pPr>
        <w:spacing w:before="240" w:after="240" w:line="480" w:lineRule="auto"/>
        <w:jc w:val="both"/>
      </w:pPr>
      <w:r w:rsidRPr="561FEA06">
        <w:rPr>
          <w:rFonts w:ascii="Times New Roman" w:eastAsia="Times New Roman" w:hAnsi="Times New Roman" w:cs="Times New Roman"/>
        </w:rPr>
        <w:t xml:space="preserve">There are also improvements in ROA and ROE suggesting efficiency in utilizing assets and equity. These advances </w:t>
      </w:r>
      <w:proofErr w:type="gramStart"/>
      <w:r w:rsidRPr="561FEA06">
        <w:rPr>
          <w:rFonts w:ascii="Times New Roman" w:eastAsia="Times New Roman" w:hAnsi="Times New Roman" w:cs="Times New Roman"/>
        </w:rPr>
        <w:t>are based</w:t>
      </w:r>
      <w:proofErr w:type="gramEnd"/>
      <w:r w:rsidRPr="561FEA06">
        <w:rPr>
          <w:rFonts w:ascii="Times New Roman" w:eastAsia="Times New Roman" w:hAnsi="Times New Roman" w:cs="Times New Roman"/>
        </w:rPr>
        <w:t xml:space="preserve"> on strategic investment of Hyundai in innovation and electrification. </w:t>
      </w:r>
    </w:p>
    <w:p w14:paraId="0D313842" w14:textId="681BFE26" w:rsidR="73D426FB" w:rsidRDefault="73D426FB" w:rsidP="561FEA06">
      <w:pPr>
        <w:spacing w:before="240" w:after="240" w:line="480" w:lineRule="auto"/>
        <w:jc w:val="both"/>
      </w:pPr>
      <w:r w:rsidRPr="561FEA06">
        <w:rPr>
          <w:rFonts w:ascii="Times New Roman" w:eastAsia="Times New Roman" w:hAnsi="Times New Roman" w:cs="Times New Roman"/>
        </w:rPr>
        <w:lastRenderedPageBreak/>
        <w:t>The Debt-to-Equity Ratio indicates a slow growth (Figure 2)</w:t>
      </w:r>
      <w:proofErr w:type="gramStart"/>
      <w:r w:rsidRPr="561FEA06">
        <w:rPr>
          <w:rFonts w:ascii="Times New Roman" w:eastAsia="Times New Roman" w:hAnsi="Times New Roman" w:cs="Times New Roman"/>
        </w:rPr>
        <w:t>,</w:t>
      </w:r>
      <w:proofErr w:type="gramEnd"/>
      <w:r w:rsidRPr="561FEA06">
        <w:rPr>
          <w:rFonts w:ascii="Times New Roman" w:eastAsia="Times New Roman" w:hAnsi="Times New Roman" w:cs="Times New Roman"/>
        </w:rPr>
        <w:t xml:space="preserve"> thereby indicating that </w:t>
      </w:r>
      <w:r w:rsidR="7D0A9F66"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relied on debt in funding growth. Although this trend </w:t>
      </w:r>
      <w:proofErr w:type="gramStart"/>
      <w:r w:rsidRPr="561FEA06">
        <w:rPr>
          <w:rFonts w:ascii="Times New Roman" w:eastAsia="Times New Roman" w:hAnsi="Times New Roman" w:cs="Times New Roman"/>
        </w:rPr>
        <w:t>can be managed</w:t>
      </w:r>
      <w:proofErr w:type="gramEnd"/>
      <w:r w:rsidRPr="561FEA06">
        <w:rPr>
          <w:rFonts w:ascii="Times New Roman" w:eastAsia="Times New Roman" w:hAnsi="Times New Roman" w:cs="Times New Roman"/>
        </w:rPr>
        <w:t xml:space="preserve">, there is a need to have a close observation. </w:t>
      </w:r>
    </w:p>
    <w:p w14:paraId="642BFFDA" w14:textId="71A010AC" w:rsidR="73D426FB" w:rsidRDefault="73D426FB" w:rsidP="561FEA06">
      <w:pPr>
        <w:spacing w:before="240" w:after="240" w:line="480" w:lineRule="auto"/>
        <w:jc w:val="both"/>
      </w:pPr>
      <w:r w:rsidRPr="561FEA06">
        <w:rPr>
          <w:rFonts w:ascii="Times New Roman" w:eastAsia="Times New Roman" w:hAnsi="Times New Roman" w:cs="Times New Roman"/>
        </w:rPr>
        <w:t xml:space="preserve">Liquidity ratios have ambivalent signals. Although there is no significant change in the Current Ratio, the Quick Ratio has decreased a bit, which indicates that liquidity constraints </w:t>
      </w:r>
      <w:proofErr w:type="gramStart"/>
      <w:r w:rsidRPr="561FEA06">
        <w:rPr>
          <w:rFonts w:ascii="Times New Roman" w:eastAsia="Times New Roman" w:hAnsi="Times New Roman" w:cs="Times New Roman"/>
        </w:rPr>
        <w:t>may be experienced</w:t>
      </w:r>
      <w:proofErr w:type="gramEnd"/>
      <w:r w:rsidRPr="561FEA06">
        <w:rPr>
          <w:rFonts w:ascii="Times New Roman" w:eastAsia="Times New Roman" w:hAnsi="Times New Roman" w:cs="Times New Roman"/>
        </w:rPr>
        <w:t xml:space="preserve"> in the short-term</w:t>
      </w:r>
      <w:r w:rsidR="19BB413F" w:rsidRPr="561FEA06">
        <w:rPr>
          <w:rFonts w:ascii="Times New Roman" w:eastAsia="Times New Roman" w:hAnsi="Times New Roman" w:cs="Times New Roman"/>
        </w:rPr>
        <w:t xml:space="preserve"> (Team, 2025)</w:t>
      </w:r>
      <w:r w:rsidRPr="561FEA06">
        <w:rPr>
          <w:rFonts w:ascii="Times New Roman" w:eastAsia="Times New Roman" w:hAnsi="Times New Roman" w:cs="Times New Roman"/>
        </w:rPr>
        <w:t xml:space="preserve">. </w:t>
      </w:r>
    </w:p>
    <w:p w14:paraId="407B5C7B" w14:textId="56E333B7" w:rsidR="73D426FB" w:rsidRDefault="73D426FB" w:rsidP="561FEA06">
      <w:pPr>
        <w:spacing w:before="240" w:after="240" w:line="480" w:lineRule="auto"/>
        <w:jc w:val="both"/>
      </w:pPr>
      <w:r w:rsidRPr="561FEA06">
        <w:rPr>
          <w:rFonts w:ascii="Times New Roman" w:eastAsia="Times New Roman" w:hAnsi="Times New Roman" w:cs="Times New Roman"/>
        </w:rPr>
        <w:t xml:space="preserve">Efficiency ratios include efficiency ratios especially the Asset Turnover Ratio </w:t>
      </w:r>
      <w:proofErr w:type="gramStart"/>
      <w:r w:rsidRPr="561FEA06">
        <w:rPr>
          <w:rFonts w:ascii="Times New Roman" w:eastAsia="Times New Roman" w:hAnsi="Times New Roman" w:cs="Times New Roman"/>
        </w:rPr>
        <w:t>which</w:t>
      </w:r>
      <w:proofErr w:type="gramEnd"/>
      <w:r w:rsidRPr="561FEA06">
        <w:rPr>
          <w:rFonts w:ascii="Times New Roman" w:eastAsia="Times New Roman" w:hAnsi="Times New Roman" w:cs="Times New Roman"/>
        </w:rPr>
        <w:t xml:space="preserve"> has enhanced as </w:t>
      </w:r>
      <w:r w:rsidR="43DEAD0A"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is able to sell more out of its assets. Nevertheless, international supply shortages of semiconductors and supply-chain challenges have occasionally affected performance.</w:t>
      </w:r>
    </w:p>
    <w:p w14:paraId="1AB9B674" w14:textId="2EC9B4CF" w:rsidR="4F6E2D1A" w:rsidRDefault="4F6E2D1A"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21" w:name="_Toc35281815"/>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9. Financial Data Tables</w:t>
      </w:r>
      <w:bookmarkEnd w:id="21"/>
    </w:p>
    <w:p w14:paraId="5310E1E5" w14:textId="29E48238" w:rsidR="194912CB" w:rsidRDefault="194912CB" w:rsidP="561FEA06">
      <w:pPr>
        <w:rPr>
          <w:b/>
          <w:bCs/>
        </w:rPr>
      </w:pPr>
      <w:r w:rsidRPr="561FEA06">
        <w:rPr>
          <w:b/>
          <w:bCs/>
        </w:rPr>
        <w:t>Table 1: Profitability Ratios (20</w:t>
      </w:r>
      <w:r w:rsidR="1F463B87" w:rsidRPr="561FEA06">
        <w:rPr>
          <w:b/>
          <w:bCs/>
        </w:rPr>
        <w:t>20</w:t>
      </w:r>
      <w:r w:rsidRPr="561FEA06">
        <w:rPr>
          <w:b/>
          <w:bCs/>
        </w:rPr>
        <w:t>–202</w:t>
      </w:r>
      <w:r w:rsidR="70286173" w:rsidRPr="561FEA06">
        <w:rPr>
          <w:b/>
          <w:bCs/>
        </w:rPr>
        <w:t>4</w:t>
      </w:r>
      <w:r w:rsidRPr="561FEA06">
        <w:rPr>
          <w:b/>
          <w:bCs/>
        </w:rPr>
        <w:t>)</w:t>
      </w:r>
    </w:p>
    <w:tbl>
      <w:tblPr>
        <w:tblStyle w:val="PlainTable2"/>
        <w:tblW w:w="0" w:type="auto"/>
        <w:tblLook w:val="06A0" w:firstRow="1" w:lastRow="0" w:firstColumn="1" w:lastColumn="0" w:noHBand="1" w:noVBand="1"/>
      </w:tblPr>
      <w:tblGrid>
        <w:gridCol w:w="1647"/>
        <w:gridCol w:w="2992"/>
        <w:gridCol w:w="2295"/>
        <w:gridCol w:w="2426"/>
      </w:tblGrid>
      <w:tr w:rsidR="561FEA06" w14:paraId="795C5AD6" w14:textId="77777777" w:rsidTr="561FEA0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65" w:type="dxa"/>
          </w:tcPr>
          <w:p w14:paraId="4478728F" w14:textId="6A271D2E" w:rsidR="561FEA06" w:rsidRDefault="561FEA06" w:rsidP="561FEA06">
            <w:pPr>
              <w:jc w:val="center"/>
            </w:pPr>
            <w:r w:rsidRPr="561FEA06">
              <w:t>Year</w:t>
            </w:r>
          </w:p>
        </w:tc>
        <w:tc>
          <w:tcPr>
            <w:tcW w:w="3030" w:type="dxa"/>
          </w:tcPr>
          <w:p w14:paraId="24B13416" w14:textId="17C3549A" w:rsidR="561FEA06" w:rsidRDefault="561FEA06" w:rsidP="561FEA06">
            <w:pPr>
              <w:jc w:val="center"/>
              <w:cnfStyle w:val="100000000000" w:firstRow="1" w:lastRow="0" w:firstColumn="0" w:lastColumn="0" w:oddVBand="0" w:evenVBand="0" w:oddHBand="0" w:evenHBand="0" w:firstRowFirstColumn="0" w:firstRowLastColumn="0" w:lastRowFirstColumn="0" w:lastRowLastColumn="0"/>
              <w:rPr>
                <w:b w:val="0"/>
                <w:bCs w:val="0"/>
              </w:rPr>
            </w:pPr>
            <w:r w:rsidRPr="561FEA06">
              <w:t>Net Profit Margin (%)</w:t>
            </w:r>
          </w:p>
        </w:tc>
        <w:tc>
          <w:tcPr>
            <w:tcW w:w="2325" w:type="dxa"/>
          </w:tcPr>
          <w:p w14:paraId="383EC1BC" w14:textId="343B0C69" w:rsidR="561FEA06" w:rsidRDefault="561FEA06" w:rsidP="561FEA06">
            <w:pPr>
              <w:jc w:val="center"/>
              <w:cnfStyle w:val="100000000000" w:firstRow="1" w:lastRow="0" w:firstColumn="0" w:lastColumn="0" w:oddVBand="0" w:evenVBand="0" w:oddHBand="0" w:evenHBand="0" w:firstRowFirstColumn="0" w:firstRowLastColumn="0" w:lastRowFirstColumn="0" w:lastRowLastColumn="0"/>
              <w:rPr>
                <w:b w:val="0"/>
                <w:bCs w:val="0"/>
              </w:rPr>
            </w:pPr>
            <w:r w:rsidRPr="561FEA06">
              <w:t>ROA (%)</w:t>
            </w:r>
          </w:p>
        </w:tc>
        <w:tc>
          <w:tcPr>
            <w:tcW w:w="2458" w:type="dxa"/>
          </w:tcPr>
          <w:p w14:paraId="1C331E6F" w14:textId="6B80D9B7" w:rsidR="561FEA06" w:rsidRDefault="561FEA06" w:rsidP="561FEA06">
            <w:pPr>
              <w:jc w:val="center"/>
              <w:cnfStyle w:val="100000000000" w:firstRow="1" w:lastRow="0" w:firstColumn="0" w:lastColumn="0" w:oddVBand="0" w:evenVBand="0" w:oddHBand="0" w:evenHBand="0" w:firstRowFirstColumn="0" w:firstRowLastColumn="0" w:lastRowFirstColumn="0" w:lastRowLastColumn="0"/>
              <w:rPr>
                <w:b w:val="0"/>
                <w:bCs w:val="0"/>
              </w:rPr>
            </w:pPr>
            <w:r w:rsidRPr="561FEA06">
              <w:t>ROE (%)</w:t>
            </w:r>
          </w:p>
        </w:tc>
      </w:tr>
      <w:tr w:rsidR="561FEA06" w14:paraId="776922A1"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665" w:type="dxa"/>
          </w:tcPr>
          <w:p w14:paraId="69F3AE59" w14:textId="15F50626" w:rsidR="561FEA06" w:rsidRDefault="561FEA06" w:rsidP="561FEA06">
            <w:pPr>
              <w:jc w:val="center"/>
            </w:pPr>
            <w:r w:rsidRPr="561FEA06">
              <w:t>20</w:t>
            </w:r>
            <w:r w:rsidR="42908A46" w:rsidRPr="561FEA06">
              <w:t>20</w:t>
            </w:r>
          </w:p>
        </w:tc>
        <w:tc>
          <w:tcPr>
            <w:tcW w:w="3030" w:type="dxa"/>
          </w:tcPr>
          <w:p w14:paraId="19C06559" w14:textId="151D965C"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3.5</w:t>
            </w:r>
          </w:p>
        </w:tc>
        <w:tc>
          <w:tcPr>
            <w:tcW w:w="2325" w:type="dxa"/>
          </w:tcPr>
          <w:p w14:paraId="1E47A4D9" w14:textId="0D924221"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2.8</w:t>
            </w:r>
          </w:p>
        </w:tc>
        <w:tc>
          <w:tcPr>
            <w:tcW w:w="2458" w:type="dxa"/>
          </w:tcPr>
          <w:p w14:paraId="603A3945" w14:textId="052DC520"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6.2</w:t>
            </w:r>
          </w:p>
        </w:tc>
      </w:tr>
      <w:tr w:rsidR="561FEA06" w14:paraId="6EF05DF9"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665" w:type="dxa"/>
          </w:tcPr>
          <w:p w14:paraId="74E0A98B" w14:textId="3F307CD4" w:rsidR="561FEA06" w:rsidRDefault="561FEA06" w:rsidP="561FEA06">
            <w:pPr>
              <w:jc w:val="center"/>
            </w:pPr>
            <w:r w:rsidRPr="561FEA06">
              <w:t>202</w:t>
            </w:r>
            <w:r w:rsidR="0444A006" w:rsidRPr="561FEA06">
              <w:t>1</w:t>
            </w:r>
          </w:p>
        </w:tc>
        <w:tc>
          <w:tcPr>
            <w:tcW w:w="3030" w:type="dxa"/>
          </w:tcPr>
          <w:p w14:paraId="6CB17B32" w14:textId="6E286EF3"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2.9</w:t>
            </w:r>
          </w:p>
        </w:tc>
        <w:tc>
          <w:tcPr>
            <w:tcW w:w="2325" w:type="dxa"/>
          </w:tcPr>
          <w:p w14:paraId="4C57620D" w14:textId="54D5DC9B"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2.3</w:t>
            </w:r>
          </w:p>
        </w:tc>
        <w:tc>
          <w:tcPr>
            <w:tcW w:w="2458" w:type="dxa"/>
          </w:tcPr>
          <w:p w14:paraId="3F0229A6" w14:textId="0041706F"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5.1</w:t>
            </w:r>
          </w:p>
        </w:tc>
      </w:tr>
      <w:tr w:rsidR="561FEA06" w14:paraId="79D161FB"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665" w:type="dxa"/>
          </w:tcPr>
          <w:p w14:paraId="78EEED8F" w14:textId="35DE6493" w:rsidR="561FEA06" w:rsidRDefault="561FEA06" w:rsidP="561FEA06">
            <w:pPr>
              <w:jc w:val="center"/>
            </w:pPr>
            <w:r w:rsidRPr="561FEA06">
              <w:t>202</w:t>
            </w:r>
            <w:r w:rsidR="495B09D1" w:rsidRPr="561FEA06">
              <w:t>2</w:t>
            </w:r>
          </w:p>
        </w:tc>
        <w:tc>
          <w:tcPr>
            <w:tcW w:w="3030" w:type="dxa"/>
          </w:tcPr>
          <w:p w14:paraId="58F5B806" w14:textId="3FB62B97"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4.7</w:t>
            </w:r>
          </w:p>
        </w:tc>
        <w:tc>
          <w:tcPr>
            <w:tcW w:w="2325" w:type="dxa"/>
          </w:tcPr>
          <w:p w14:paraId="36670C74" w14:textId="22E537CB"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3.6</w:t>
            </w:r>
          </w:p>
        </w:tc>
        <w:tc>
          <w:tcPr>
            <w:tcW w:w="2458" w:type="dxa"/>
          </w:tcPr>
          <w:p w14:paraId="5D7B2923" w14:textId="38729C23"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8.9</w:t>
            </w:r>
          </w:p>
        </w:tc>
      </w:tr>
      <w:tr w:rsidR="561FEA06" w14:paraId="56F14278"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665" w:type="dxa"/>
          </w:tcPr>
          <w:p w14:paraId="7D649463" w14:textId="415B044A" w:rsidR="561FEA06" w:rsidRDefault="561FEA06" w:rsidP="561FEA06">
            <w:pPr>
              <w:jc w:val="center"/>
            </w:pPr>
            <w:r w:rsidRPr="561FEA06">
              <w:t>202</w:t>
            </w:r>
            <w:r w:rsidR="632558D7" w:rsidRPr="561FEA06">
              <w:t>3</w:t>
            </w:r>
          </w:p>
        </w:tc>
        <w:tc>
          <w:tcPr>
            <w:tcW w:w="3030" w:type="dxa"/>
          </w:tcPr>
          <w:p w14:paraId="2469AFE1" w14:textId="3EC635B1"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6.1</w:t>
            </w:r>
          </w:p>
        </w:tc>
        <w:tc>
          <w:tcPr>
            <w:tcW w:w="2325" w:type="dxa"/>
          </w:tcPr>
          <w:p w14:paraId="30C7768C" w14:textId="663FEBD2"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4.8</w:t>
            </w:r>
          </w:p>
        </w:tc>
        <w:tc>
          <w:tcPr>
            <w:tcW w:w="2458" w:type="dxa"/>
          </w:tcPr>
          <w:p w14:paraId="7750383B" w14:textId="15689EBA"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11.5</w:t>
            </w:r>
          </w:p>
        </w:tc>
      </w:tr>
      <w:tr w:rsidR="561FEA06" w14:paraId="04682C52"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665" w:type="dxa"/>
          </w:tcPr>
          <w:p w14:paraId="2F8E3A56" w14:textId="0C438055" w:rsidR="561FEA06" w:rsidRDefault="561FEA06" w:rsidP="561FEA06">
            <w:pPr>
              <w:jc w:val="center"/>
            </w:pPr>
            <w:r w:rsidRPr="561FEA06">
              <w:t>202</w:t>
            </w:r>
            <w:r w:rsidR="2CF7ED3E" w:rsidRPr="561FEA06">
              <w:t>4</w:t>
            </w:r>
          </w:p>
        </w:tc>
        <w:tc>
          <w:tcPr>
            <w:tcW w:w="3030" w:type="dxa"/>
          </w:tcPr>
          <w:p w14:paraId="75BB7FE9" w14:textId="63CF6298"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7.4</w:t>
            </w:r>
          </w:p>
        </w:tc>
        <w:tc>
          <w:tcPr>
            <w:tcW w:w="2325" w:type="dxa"/>
          </w:tcPr>
          <w:p w14:paraId="253A3248" w14:textId="0B8A44F8"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5.5</w:t>
            </w:r>
          </w:p>
        </w:tc>
        <w:tc>
          <w:tcPr>
            <w:tcW w:w="2458" w:type="dxa"/>
          </w:tcPr>
          <w:p w14:paraId="65775110" w14:textId="13C8CBBC"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13.2</w:t>
            </w:r>
          </w:p>
        </w:tc>
      </w:tr>
    </w:tbl>
    <w:p w14:paraId="5E9B558B" w14:textId="6F6A6940" w:rsidR="52EF30B2" w:rsidRDefault="52EF30B2" w:rsidP="561FEA06">
      <w:pPr>
        <w:spacing w:before="240" w:after="240"/>
        <w:rPr>
          <w:rFonts w:ascii="Times New Roman" w:eastAsia="Times New Roman" w:hAnsi="Times New Roman" w:cs="Times New Roman"/>
          <w:i/>
          <w:iCs/>
        </w:rPr>
      </w:pPr>
      <w:r w:rsidRPr="561FEA06">
        <w:rPr>
          <w:rFonts w:ascii="Times New Roman" w:eastAsia="Times New Roman" w:hAnsi="Times New Roman" w:cs="Times New Roman"/>
          <w:i/>
          <w:iCs/>
        </w:rPr>
        <w:t xml:space="preserve">(Source: </w:t>
      </w:r>
      <w:r w:rsidR="3E5B2FAF" w:rsidRPr="561FEA06">
        <w:rPr>
          <w:rFonts w:ascii="Times New Roman" w:eastAsia="Times New Roman" w:hAnsi="Times New Roman" w:cs="Times New Roman"/>
          <w:i/>
          <w:iCs/>
        </w:rPr>
        <w:t xml:space="preserve">Toyota </w:t>
      </w:r>
      <w:r w:rsidRPr="561FEA06">
        <w:rPr>
          <w:rFonts w:ascii="Times New Roman" w:eastAsia="Times New Roman" w:hAnsi="Times New Roman" w:cs="Times New Roman"/>
          <w:i/>
          <w:iCs/>
        </w:rPr>
        <w:t>Annual Reports, 20</w:t>
      </w:r>
      <w:r w:rsidR="5B42A887" w:rsidRPr="561FEA06">
        <w:rPr>
          <w:rFonts w:ascii="Times New Roman" w:eastAsia="Times New Roman" w:hAnsi="Times New Roman" w:cs="Times New Roman"/>
          <w:i/>
          <w:iCs/>
        </w:rPr>
        <w:t>20</w:t>
      </w:r>
      <w:r w:rsidRPr="561FEA06">
        <w:rPr>
          <w:rFonts w:ascii="Times New Roman" w:eastAsia="Times New Roman" w:hAnsi="Times New Roman" w:cs="Times New Roman"/>
          <w:i/>
          <w:iCs/>
        </w:rPr>
        <w:t>–202</w:t>
      </w:r>
      <w:r w:rsidR="66BA19FE" w:rsidRPr="561FEA06">
        <w:rPr>
          <w:rFonts w:ascii="Times New Roman" w:eastAsia="Times New Roman" w:hAnsi="Times New Roman" w:cs="Times New Roman"/>
          <w:i/>
          <w:iCs/>
        </w:rPr>
        <w:t>4</w:t>
      </w:r>
      <w:r w:rsidRPr="561FEA06">
        <w:rPr>
          <w:rFonts w:ascii="Times New Roman" w:eastAsia="Times New Roman" w:hAnsi="Times New Roman" w:cs="Times New Roman"/>
          <w:i/>
          <w:iCs/>
        </w:rPr>
        <w:t>)</w:t>
      </w:r>
    </w:p>
    <w:p w14:paraId="4811CB71" w14:textId="1A9C8176" w:rsidR="194912CB" w:rsidRDefault="194912CB" w:rsidP="561FEA06">
      <w:pPr>
        <w:spacing w:before="240" w:after="240"/>
        <w:rPr>
          <w:rFonts w:ascii="Times New Roman" w:eastAsia="Times New Roman" w:hAnsi="Times New Roman" w:cs="Times New Roman"/>
          <w:b/>
          <w:bCs/>
        </w:rPr>
      </w:pPr>
      <w:r w:rsidRPr="561FEA06">
        <w:rPr>
          <w:rFonts w:ascii="Times New Roman" w:eastAsia="Times New Roman" w:hAnsi="Times New Roman" w:cs="Times New Roman"/>
          <w:b/>
          <w:bCs/>
        </w:rPr>
        <w:t>Table 2: Liquidity Ratios (20</w:t>
      </w:r>
      <w:r w:rsidR="0B894642" w:rsidRPr="561FEA06">
        <w:rPr>
          <w:rFonts w:ascii="Times New Roman" w:eastAsia="Times New Roman" w:hAnsi="Times New Roman" w:cs="Times New Roman"/>
          <w:b/>
          <w:bCs/>
        </w:rPr>
        <w:t>20</w:t>
      </w:r>
      <w:r w:rsidRPr="561FEA06">
        <w:rPr>
          <w:rFonts w:ascii="Times New Roman" w:eastAsia="Times New Roman" w:hAnsi="Times New Roman" w:cs="Times New Roman"/>
          <w:b/>
          <w:bCs/>
        </w:rPr>
        <w:t>–202</w:t>
      </w:r>
      <w:r w:rsidR="51A7F81B" w:rsidRPr="561FEA06">
        <w:rPr>
          <w:rFonts w:ascii="Times New Roman" w:eastAsia="Times New Roman" w:hAnsi="Times New Roman" w:cs="Times New Roman"/>
          <w:b/>
          <w:bCs/>
        </w:rPr>
        <w:t>4</w:t>
      </w:r>
      <w:r w:rsidRPr="561FEA06">
        <w:rPr>
          <w:rFonts w:ascii="Times New Roman" w:eastAsia="Times New Roman" w:hAnsi="Times New Roman" w:cs="Times New Roman"/>
          <w:b/>
          <w:bCs/>
        </w:rPr>
        <w:t>)</w:t>
      </w:r>
    </w:p>
    <w:tbl>
      <w:tblPr>
        <w:tblStyle w:val="PlainTable2"/>
        <w:tblW w:w="0" w:type="auto"/>
        <w:jc w:val="center"/>
        <w:tblLook w:val="06A0" w:firstRow="1" w:lastRow="0" w:firstColumn="1" w:lastColumn="0" w:noHBand="1" w:noVBand="1"/>
      </w:tblPr>
      <w:tblGrid>
        <w:gridCol w:w="2805"/>
        <w:gridCol w:w="3090"/>
        <w:gridCol w:w="2505"/>
      </w:tblGrid>
      <w:tr w:rsidR="561FEA06" w14:paraId="29727993" w14:textId="77777777" w:rsidTr="561FEA0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05" w:type="dxa"/>
          </w:tcPr>
          <w:p w14:paraId="3ADD4B95" w14:textId="1E0A7E5B" w:rsidR="561FEA06" w:rsidRDefault="561FEA06" w:rsidP="561FEA06">
            <w:pPr>
              <w:jc w:val="center"/>
            </w:pPr>
            <w:r w:rsidRPr="561FEA06">
              <w:t>Year</w:t>
            </w:r>
          </w:p>
        </w:tc>
        <w:tc>
          <w:tcPr>
            <w:tcW w:w="3090" w:type="dxa"/>
          </w:tcPr>
          <w:p w14:paraId="42AD0B04" w14:textId="37D8FA8E" w:rsidR="561FEA06" w:rsidRDefault="561FEA06" w:rsidP="561FEA06">
            <w:pPr>
              <w:jc w:val="center"/>
              <w:cnfStyle w:val="100000000000" w:firstRow="1" w:lastRow="0" w:firstColumn="0" w:lastColumn="0" w:oddVBand="0" w:evenVBand="0" w:oddHBand="0" w:evenHBand="0" w:firstRowFirstColumn="0" w:firstRowLastColumn="0" w:lastRowFirstColumn="0" w:lastRowLastColumn="0"/>
              <w:rPr>
                <w:b w:val="0"/>
                <w:bCs w:val="0"/>
              </w:rPr>
            </w:pPr>
            <w:r w:rsidRPr="561FEA06">
              <w:t>Current Ratio</w:t>
            </w:r>
          </w:p>
        </w:tc>
        <w:tc>
          <w:tcPr>
            <w:tcW w:w="2505" w:type="dxa"/>
          </w:tcPr>
          <w:p w14:paraId="70737C86" w14:textId="5978976C" w:rsidR="561FEA06" w:rsidRDefault="561FEA06" w:rsidP="561FEA06">
            <w:pPr>
              <w:jc w:val="center"/>
              <w:cnfStyle w:val="100000000000" w:firstRow="1" w:lastRow="0" w:firstColumn="0" w:lastColumn="0" w:oddVBand="0" w:evenVBand="0" w:oddHBand="0" w:evenHBand="0" w:firstRowFirstColumn="0" w:firstRowLastColumn="0" w:lastRowFirstColumn="0" w:lastRowLastColumn="0"/>
              <w:rPr>
                <w:b w:val="0"/>
                <w:bCs w:val="0"/>
              </w:rPr>
            </w:pPr>
            <w:r w:rsidRPr="561FEA06">
              <w:t>Quick Ratio</w:t>
            </w:r>
          </w:p>
        </w:tc>
      </w:tr>
      <w:tr w:rsidR="561FEA06" w14:paraId="431CC058"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805" w:type="dxa"/>
          </w:tcPr>
          <w:p w14:paraId="37CAEB88" w14:textId="3DF21C21" w:rsidR="561FEA06" w:rsidRDefault="561FEA06" w:rsidP="561FEA06">
            <w:pPr>
              <w:jc w:val="center"/>
            </w:pPr>
            <w:r w:rsidRPr="561FEA06">
              <w:t>20</w:t>
            </w:r>
            <w:r w:rsidR="0F97FCFE" w:rsidRPr="561FEA06">
              <w:t>20</w:t>
            </w:r>
          </w:p>
        </w:tc>
        <w:tc>
          <w:tcPr>
            <w:tcW w:w="3090" w:type="dxa"/>
          </w:tcPr>
          <w:p w14:paraId="10908912" w14:textId="7FFB8F84"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1.30</w:t>
            </w:r>
          </w:p>
        </w:tc>
        <w:tc>
          <w:tcPr>
            <w:tcW w:w="2505" w:type="dxa"/>
          </w:tcPr>
          <w:p w14:paraId="0494BD7D" w14:textId="08032E28"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1.05</w:t>
            </w:r>
          </w:p>
        </w:tc>
      </w:tr>
      <w:tr w:rsidR="561FEA06" w14:paraId="57BD2984"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805" w:type="dxa"/>
          </w:tcPr>
          <w:p w14:paraId="72AAD563" w14:textId="3D99E737" w:rsidR="561FEA06" w:rsidRDefault="561FEA06" w:rsidP="561FEA06">
            <w:pPr>
              <w:jc w:val="center"/>
            </w:pPr>
            <w:r w:rsidRPr="561FEA06">
              <w:t>202</w:t>
            </w:r>
            <w:r w:rsidR="5D088F79" w:rsidRPr="561FEA06">
              <w:t>1</w:t>
            </w:r>
          </w:p>
        </w:tc>
        <w:tc>
          <w:tcPr>
            <w:tcW w:w="3090" w:type="dxa"/>
          </w:tcPr>
          <w:p w14:paraId="6CF385BF" w14:textId="43808BD8"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1.35</w:t>
            </w:r>
          </w:p>
        </w:tc>
        <w:tc>
          <w:tcPr>
            <w:tcW w:w="2505" w:type="dxa"/>
          </w:tcPr>
          <w:p w14:paraId="799BD846" w14:textId="5EDD8705"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1.02</w:t>
            </w:r>
          </w:p>
        </w:tc>
      </w:tr>
      <w:tr w:rsidR="561FEA06" w14:paraId="2968A831"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805" w:type="dxa"/>
          </w:tcPr>
          <w:p w14:paraId="563088AB" w14:textId="046982E2" w:rsidR="561FEA06" w:rsidRDefault="561FEA06" w:rsidP="561FEA06">
            <w:pPr>
              <w:jc w:val="center"/>
            </w:pPr>
            <w:r w:rsidRPr="561FEA06">
              <w:t>202</w:t>
            </w:r>
            <w:r w:rsidR="0E40B4C4" w:rsidRPr="561FEA06">
              <w:t>2</w:t>
            </w:r>
          </w:p>
        </w:tc>
        <w:tc>
          <w:tcPr>
            <w:tcW w:w="3090" w:type="dxa"/>
          </w:tcPr>
          <w:p w14:paraId="09333784" w14:textId="3327F7AD"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1.33</w:t>
            </w:r>
          </w:p>
        </w:tc>
        <w:tc>
          <w:tcPr>
            <w:tcW w:w="2505" w:type="dxa"/>
          </w:tcPr>
          <w:p w14:paraId="32D5065F" w14:textId="407592E1"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1.00</w:t>
            </w:r>
          </w:p>
        </w:tc>
      </w:tr>
      <w:tr w:rsidR="561FEA06" w14:paraId="5CA54355"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805" w:type="dxa"/>
          </w:tcPr>
          <w:p w14:paraId="54EB0B3A" w14:textId="02E95416" w:rsidR="561FEA06" w:rsidRDefault="561FEA06" w:rsidP="561FEA06">
            <w:pPr>
              <w:jc w:val="center"/>
            </w:pPr>
            <w:r w:rsidRPr="561FEA06">
              <w:t>202</w:t>
            </w:r>
            <w:r w:rsidR="5CF5D125" w:rsidRPr="561FEA06">
              <w:t>3</w:t>
            </w:r>
          </w:p>
        </w:tc>
        <w:tc>
          <w:tcPr>
            <w:tcW w:w="3090" w:type="dxa"/>
          </w:tcPr>
          <w:p w14:paraId="170BF3C2" w14:textId="1548DA98"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1.38</w:t>
            </w:r>
          </w:p>
        </w:tc>
        <w:tc>
          <w:tcPr>
            <w:tcW w:w="2505" w:type="dxa"/>
          </w:tcPr>
          <w:p w14:paraId="15A3AA7B" w14:textId="731EA7DA"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0.97</w:t>
            </w:r>
          </w:p>
        </w:tc>
      </w:tr>
      <w:tr w:rsidR="561FEA06" w14:paraId="25C1C415"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805" w:type="dxa"/>
          </w:tcPr>
          <w:p w14:paraId="7DBD42A7" w14:textId="7280E40A" w:rsidR="561FEA06" w:rsidRDefault="561FEA06" w:rsidP="561FEA06">
            <w:pPr>
              <w:jc w:val="center"/>
            </w:pPr>
            <w:r w:rsidRPr="561FEA06">
              <w:t>202</w:t>
            </w:r>
            <w:r w:rsidR="6417D219" w:rsidRPr="561FEA06">
              <w:t>4</w:t>
            </w:r>
          </w:p>
        </w:tc>
        <w:tc>
          <w:tcPr>
            <w:tcW w:w="3090" w:type="dxa"/>
          </w:tcPr>
          <w:p w14:paraId="79E8AC15" w14:textId="67F34AED"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1.40</w:t>
            </w:r>
          </w:p>
        </w:tc>
        <w:tc>
          <w:tcPr>
            <w:tcW w:w="2505" w:type="dxa"/>
          </w:tcPr>
          <w:p w14:paraId="3BCC3FCD" w14:textId="4C92BC6D"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0.95</w:t>
            </w:r>
          </w:p>
        </w:tc>
      </w:tr>
    </w:tbl>
    <w:p w14:paraId="14F29FF1" w14:textId="68D7E19D" w:rsidR="54FC85AB" w:rsidRDefault="54FC85AB" w:rsidP="561FEA06">
      <w:pPr>
        <w:spacing w:before="240" w:after="240"/>
        <w:rPr>
          <w:rFonts w:ascii="Times New Roman" w:eastAsia="Times New Roman" w:hAnsi="Times New Roman" w:cs="Times New Roman"/>
          <w:i/>
          <w:iCs/>
        </w:rPr>
      </w:pPr>
      <w:r w:rsidRPr="561FEA06">
        <w:rPr>
          <w:rFonts w:ascii="Times New Roman" w:eastAsia="Times New Roman" w:hAnsi="Times New Roman" w:cs="Times New Roman"/>
          <w:i/>
          <w:iCs/>
        </w:rPr>
        <w:t xml:space="preserve">(Source: </w:t>
      </w:r>
      <w:r w:rsidR="2110F110" w:rsidRPr="561FEA06">
        <w:rPr>
          <w:rFonts w:ascii="Times New Roman" w:eastAsia="Times New Roman" w:hAnsi="Times New Roman" w:cs="Times New Roman"/>
          <w:i/>
          <w:iCs/>
        </w:rPr>
        <w:t>Toyota</w:t>
      </w:r>
      <w:r w:rsidRPr="561FEA06">
        <w:rPr>
          <w:rFonts w:ascii="Times New Roman" w:eastAsia="Times New Roman" w:hAnsi="Times New Roman" w:cs="Times New Roman"/>
          <w:i/>
          <w:iCs/>
        </w:rPr>
        <w:t xml:space="preserve"> Annual Reports, 20</w:t>
      </w:r>
      <w:r w:rsidR="42CFBB61" w:rsidRPr="561FEA06">
        <w:rPr>
          <w:rFonts w:ascii="Times New Roman" w:eastAsia="Times New Roman" w:hAnsi="Times New Roman" w:cs="Times New Roman"/>
          <w:i/>
          <w:iCs/>
        </w:rPr>
        <w:t>20</w:t>
      </w:r>
      <w:r w:rsidRPr="561FEA06">
        <w:rPr>
          <w:rFonts w:ascii="Times New Roman" w:eastAsia="Times New Roman" w:hAnsi="Times New Roman" w:cs="Times New Roman"/>
          <w:i/>
          <w:iCs/>
        </w:rPr>
        <w:t>–202</w:t>
      </w:r>
      <w:r w:rsidR="6238C3E1" w:rsidRPr="561FEA06">
        <w:rPr>
          <w:rFonts w:ascii="Times New Roman" w:eastAsia="Times New Roman" w:hAnsi="Times New Roman" w:cs="Times New Roman"/>
          <w:i/>
          <w:iCs/>
        </w:rPr>
        <w:t>4</w:t>
      </w:r>
      <w:r w:rsidRPr="561FEA06">
        <w:rPr>
          <w:rFonts w:ascii="Times New Roman" w:eastAsia="Times New Roman" w:hAnsi="Times New Roman" w:cs="Times New Roman"/>
          <w:i/>
          <w:iCs/>
        </w:rPr>
        <w:t>)</w:t>
      </w:r>
    </w:p>
    <w:p w14:paraId="1C6A05D5" w14:textId="55931540" w:rsidR="194912CB" w:rsidRDefault="194912CB" w:rsidP="561FEA06">
      <w:pPr>
        <w:spacing w:before="240" w:after="240"/>
        <w:rPr>
          <w:rFonts w:ascii="Times New Roman" w:eastAsia="Times New Roman" w:hAnsi="Times New Roman" w:cs="Times New Roman"/>
          <w:b/>
          <w:bCs/>
        </w:rPr>
      </w:pPr>
      <w:r w:rsidRPr="561FEA06">
        <w:rPr>
          <w:rFonts w:ascii="Times New Roman" w:eastAsia="Times New Roman" w:hAnsi="Times New Roman" w:cs="Times New Roman"/>
          <w:b/>
          <w:bCs/>
        </w:rPr>
        <w:lastRenderedPageBreak/>
        <w:t>Table 3: Efficiency Ratios (20</w:t>
      </w:r>
      <w:r w:rsidR="0E28B8E4" w:rsidRPr="561FEA06">
        <w:rPr>
          <w:rFonts w:ascii="Times New Roman" w:eastAsia="Times New Roman" w:hAnsi="Times New Roman" w:cs="Times New Roman"/>
          <w:b/>
          <w:bCs/>
        </w:rPr>
        <w:t>20</w:t>
      </w:r>
      <w:r w:rsidRPr="561FEA06">
        <w:rPr>
          <w:rFonts w:ascii="Times New Roman" w:eastAsia="Times New Roman" w:hAnsi="Times New Roman" w:cs="Times New Roman"/>
          <w:b/>
          <w:bCs/>
        </w:rPr>
        <w:t>–202</w:t>
      </w:r>
      <w:r w:rsidR="78FCB2D7" w:rsidRPr="561FEA06">
        <w:rPr>
          <w:rFonts w:ascii="Times New Roman" w:eastAsia="Times New Roman" w:hAnsi="Times New Roman" w:cs="Times New Roman"/>
          <w:b/>
          <w:bCs/>
        </w:rPr>
        <w:t>4</w:t>
      </w:r>
      <w:r w:rsidRPr="561FEA06">
        <w:rPr>
          <w:rFonts w:ascii="Times New Roman" w:eastAsia="Times New Roman" w:hAnsi="Times New Roman" w:cs="Times New Roman"/>
          <w:b/>
          <w:bCs/>
        </w:rPr>
        <w:t>)</w:t>
      </w:r>
    </w:p>
    <w:tbl>
      <w:tblPr>
        <w:tblStyle w:val="PlainTable2"/>
        <w:tblW w:w="0" w:type="auto"/>
        <w:jc w:val="center"/>
        <w:tblLook w:val="06A0" w:firstRow="1" w:lastRow="0" w:firstColumn="1" w:lastColumn="0" w:noHBand="1" w:noVBand="1"/>
      </w:tblPr>
      <w:tblGrid>
        <w:gridCol w:w="2595"/>
        <w:gridCol w:w="2040"/>
      </w:tblGrid>
      <w:tr w:rsidR="561FEA06" w14:paraId="405AB3A4" w14:textId="77777777" w:rsidTr="561FEA0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95" w:type="dxa"/>
          </w:tcPr>
          <w:p w14:paraId="0036EB33" w14:textId="4D010D0F" w:rsidR="561FEA06" w:rsidRDefault="561FEA06" w:rsidP="561FEA06">
            <w:pPr>
              <w:jc w:val="center"/>
            </w:pPr>
            <w:r w:rsidRPr="561FEA06">
              <w:t>Year</w:t>
            </w:r>
          </w:p>
        </w:tc>
        <w:tc>
          <w:tcPr>
            <w:tcW w:w="2040" w:type="dxa"/>
          </w:tcPr>
          <w:p w14:paraId="43151260" w14:textId="129137DE" w:rsidR="561FEA06" w:rsidRDefault="561FEA06" w:rsidP="561FEA06">
            <w:pPr>
              <w:jc w:val="center"/>
              <w:cnfStyle w:val="100000000000" w:firstRow="1" w:lastRow="0" w:firstColumn="0" w:lastColumn="0" w:oddVBand="0" w:evenVBand="0" w:oddHBand="0" w:evenHBand="0" w:firstRowFirstColumn="0" w:firstRowLastColumn="0" w:lastRowFirstColumn="0" w:lastRowLastColumn="0"/>
              <w:rPr>
                <w:b w:val="0"/>
                <w:bCs w:val="0"/>
              </w:rPr>
            </w:pPr>
            <w:r w:rsidRPr="561FEA06">
              <w:t>Asset Turnover Ratio</w:t>
            </w:r>
          </w:p>
        </w:tc>
      </w:tr>
      <w:tr w:rsidR="561FEA06" w14:paraId="03D88417"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595" w:type="dxa"/>
          </w:tcPr>
          <w:p w14:paraId="031D627E" w14:textId="084D8487" w:rsidR="561FEA06" w:rsidRDefault="561FEA06" w:rsidP="561FEA06">
            <w:pPr>
              <w:jc w:val="center"/>
            </w:pPr>
            <w:r w:rsidRPr="561FEA06">
              <w:t>20</w:t>
            </w:r>
            <w:r w:rsidR="3FA6B240" w:rsidRPr="561FEA06">
              <w:t>20</w:t>
            </w:r>
          </w:p>
        </w:tc>
        <w:tc>
          <w:tcPr>
            <w:tcW w:w="2040" w:type="dxa"/>
          </w:tcPr>
          <w:p w14:paraId="1171D0FA" w14:textId="0461597F"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0.58</w:t>
            </w:r>
          </w:p>
        </w:tc>
      </w:tr>
      <w:tr w:rsidR="561FEA06" w14:paraId="0AF4EF74"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595" w:type="dxa"/>
          </w:tcPr>
          <w:p w14:paraId="32B4D1F1" w14:textId="49CBDA52" w:rsidR="561FEA06" w:rsidRDefault="561FEA06" w:rsidP="561FEA06">
            <w:pPr>
              <w:jc w:val="center"/>
            </w:pPr>
            <w:r w:rsidRPr="561FEA06">
              <w:t>202</w:t>
            </w:r>
            <w:r w:rsidR="15086E6B" w:rsidRPr="561FEA06">
              <w:t>1</w:t>
            </w:r>
          </w:p>
        </w:tc>
        <w:tc>
          <w:tcPr>
            <w:tcW w:w="2040" w:type="dxa"/>
          </w:tcPr>
          <w:p w14:paraId="7AE0E760" w14:textId="25948812"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0.52</w:t>
            </w:r>
          </w:p>
        </w:tc>
      </w:tr>
      <w:tr w:rsidR="561FEA06" w14:paraId="5D194135"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595" w:type="dxa"/>
          </w:tcPr>
          <w:p w14:paraId="244859D0" w14:textId="7354512E" w:rsidR="561FEA06" w:rsidRDefault="561FEA06" w:rsidP="561FEA06">
            <w:pPr>
              <w:jc w:val="center"/>
            </w:pPr>
            <w:r w:rsidRPr="561FEA06">
              <w:t>202</w:t>
            </w:r>
            <w:r w:rsidR="6590C715" w:rsidRPr="561FEA06">
              <w:t>2</w:t>
            </w:r>
          </w:p>
        </w:tc>
        <w:tc>
          <w:tcPr>
            <w:tcW w:w="2040" w:type="dxa"/>
          </w:tcPr>
          <w:p w14:paraId="3A354FBE" w14:textId="3CF8BADA"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0.65</w:t>
            </w:r>
          </w:p>
        </w:tc>
      </w:tr>
      <w:tr w:rsidR="561FEA06" w14:paraId="4B520612"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595" w:type="dxa"/>
          </w:tcPr>
          <w:p w14:paraId="55E50585" w14:textId="3772F890" w:rsidR="561FEA06" w:rsidRDefault="561FEA06" w:rsidP="561FEA06">
            <w:pPr>
              <w:jc w:val="center"/>
            </w:pPr>
            <w:r w:rsidRPr="561FEA06">
              <w:t>202</w:t>
            </w:r>
            <w:r w:rsidR="08EBB4C3" w:rsidRPr="561FEA06">
              <w:t>3</w:t>
            </w:r>
          </w:p>
        </w:tc>
        <w:tc>
          <w:tcPr>
            <w:tcW w:w="2040" w:type="dxa"/>
          </w:tcPr>
          <w:p w14:paraId="080585B0" w14:textId="5FE112EB"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0.73</w:t>
            </w:r>
          </w:p>
        </w:tc>
      </w:tr>
      <w:tr w:rsidR="561FEA06" w14:paraId="3AE2BEA2"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595" w:type="dxa"/>
          </w:tcPr>
          <w:p w14:paraId="4D56B7BF" w14:textId="640C681E" w:rsidR="561FEA06" w:rsidRDefault="561FEA06" w:rsidP="561FEA06">
            <w:pPr>
              <w:jc w:val="center"/>
            </w:pPr>
            <w:r w:rsidRPr="561FEA06">
              <w:t>202</w:t>
            </w:r>
            <w:r w:rsidR="5ACAB5A4" w:rsidRPr="561FEA06">
              <w:t>4</w:t>
            </w:r>
          </w:p>
        </w:tc>
        <w:tc>
          <w:tcPr>
            <w:tcW w:w="2040" w:type="dxa"/>
          </w:tcPr>
          <w:p w14:paraId="16276220" w14:textId="74495640" w:rsidR="561FEA06" w:rsidRDefault="561FEA06" w:rsidP="561FEA06">
            <w:pPr>
              <w:jc w:val="center"/>
              <w:cnfStyle w:val="000000000000" w:firstRow="0" w:lastRow="0" w:firstColumn="0" w:lastColumn="0" w:oddVBand="0" w:evenVBand="0" w:oddHBand="0" w:evenHBand="0" w:firstRowFirstColumn="0" w:firstRowLastColumn="0" w:lastRowFirstColumn="0" w:lastRowLastColumn="0"/>
            </w:pPr>
            <w:r w:rsidRPr="561FEA06">
              <w:t>0.79</w:t>
            </w:r>
          </w:p>
        </w:tc>
      </w:tr>
    </w:tbl>
    <w:p w14:paraId="764FF967" w14:textId="233AD2C3" w:rsidR="65301F03" w:rsidRDefault="65301F03" w:rsidP="561FEA06">
      <w:pPr>
        <w:spacing w:before="240" w:after="240"/>
        <w:rPr>
          <w:rFonts w:ascii="Times New Roman" w:eastAsia="Times New Roman" w:hAnsi="Times New Roman" w:cs="Times New Roman"/>
          <w:i/>
          <w:iCs/>
        </w:rPr>
      </w:pPr>
      <w:r w:rsidRPr="561FEA06">
        <w:rPr>
          <w:rFonts w:ascii="Times New Roman" w:eastAsia="Times New Roman" w:hAnsi="Times New Roman" w:cs="Times New Roman"/>
          <w:i/>
          <w:iCs/>
        </w:rPr>
        <w:t xml:space="preserve">(Source: </w:t>
      </w:r>
      <w:r w:rsidR="6558A897" w:rsidRPr="561FEA06">
        <w:rPr>
          <w:rFonts w:ascii="Times New Roman" w:eastAsia="Times New Roman" w:hAnsi="Times New Roman" w:cs="Times New Roman"/>
          <w:i/>
          <w:iCs/>
        </w:rPr>
        <w:t>Toyota</w:t>
      </w:r>
      <w:r w:rsidRPr="561FEA06">
        <w:rPr>
          <w:rFonts w:ascii="Times New Roman" w:eastAsia="Times New Roman" w:hAnsi="Times New Roman" w:cs="Times New Roman"/>
          <w:i/>
          <w:iCs/>
        </w:rPr>
        <w:t xml:space="preserve"> Annual Reports, 20</w:t>
      </w:r>
      <w:r w:rsidR="7E5CC49C" w:rsidRPr="561FEA06">
        <w:rPr>
          <w:rFonts w:ascii="Times New Roman" w:eastAsia="Times New Roman" w:hAnsi="Times New Roman" w:cs="Times New Roman"/>
          <w:i/>
          <w:iCs/>
        </w:rPr>
        <w:t>20</w:t>
      </w:r>
      <w:r w:rsidRPr="561FEA06">
        <w:rPr>
          <w:rFonts w:ascii="Times New Roman" w:eastAsia="Times New Roman" w:hAnsi="Times New Roman" w:cs="Times New Roman"/>
          <w:i/>
          <w:iCs/>
        </w:rPr>
        <w:t>–202</w:t>
      </w:r>
      <w:r w:rsidR="0B9E1082" w:rsidRPr="561FEA06">
        <w:rPr>
          <w:rFonts w:ascii="Times New Roman" w:eastAsia="Times New Roman" w:hAnsi="Times New Roman" w:cs="Times New Roman"/>
          <w:i/>
          <w:iCs/>
        </w:rPr>
        <w:t>4</w:t>
      </w:r>
      <w:r w:rsidRPr="561FEA06">
        <w:rPr>
          <w:rFonts w:ascii="Times New Roman" w:eastAsia="Times New Roman" w:hAnsi="Times New Roman" w:cs="Times New Roman"/>
          <w:i/>
          <w:iCs/>
        </w:rPr>
        <w:t>)</w:t>
      </w:r>
    </w:p>
    <w:p w14:paraId="42136FFC" w14:textId="03452BB7" w:rsidR="481B0517" w:rsidRDefault="481B0517" w:rsidP="561FEA06">
      <w:pPr>
        <w:pStyle w:val="Heading2"/>
        <w:rPr>
          <w:rFonts w:ascii="Times New Roman" w:eastAsia="Times New Roman" w:hAnsi="Times New Roman" w:cs="Times New Roman"/>
          <w:b/>
          <w:bCs/>
          <w:color w:val="auto"/>
          <w:sz w:val="24"/>
          <w:szCs w:val="24"/>
        </w:rPr>
      </w:pPr>
      <w:bookmarkStart w:id="22" w:name="_Toc585463154"/>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10. Graphical Representation of Trends</w:t>
      </w:r>
      <w:bookmarkEnd w:id="22"/>
    </w:p>
    <w:p w14:paraId="3FF4E2E8" w14:textId="33B27BF3" w:rsidR="194912CB" w:rsidRDefault="194912CB" w:rsidP="561FEA06">
      <w:pPr>
        <w:rPr>
          <w:b/>
          <w:bCs/>
        </w:rPr>
      </w:pPr>
      <w:r w:rsidRPr="561FEA06">
        <w:rPr>
          <w:b/>
          <w:bCs/>
        </w:rPr>
        <w:t>Figure 1: Trends in Profitability Over 5 Years</w:t>
      </w:r>
    </w:p>
    <w:p w14:paraId="703C302F" w14:textId="0D1DDE47" w:rsidR="0798D4C3" w:rsidRDefault="0798D4C3" w:rsidP="561FEA06">
      <w:pPr>
        <w:spacing w:line="480" w:lineRule="auto"/>
        <w:jc w:val="center"/>
        <w:rPr>
          <w:rFonts w:ascii="Times New Roman" w:eastAsia="Times New Roman" w:hAnsi="Times New Roman" w:cs="Times New Roman"/>
        </w:rPr>
      </w:pPr>
      <w:r>
        <w:rPr>
          <w:noProof/>
          <w:lang w:val="en-IN" w:eastAsia="en-IN"/>
        </w:rPr>
        <w:drawing>
          <wp:inline distT="0" distB="0" distL="0" distR="0" wp14:anchorId="022BE9C2" wp14:editId="1AF1FC6C">
            <wp:extent cx="5114943" cy="2790838"/>
            <wp:effectExtent l="0" t="0" r="0" b="0"/>
            <wp:docPr id="2939073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07367" name="Picture 293907367"/>
                    <pic:cNvPicPr/>
                  </pic:nvPicPr>
                  <pic:blipFill>
                    <a:blip r:embed="rId6">
                      <a:extLst>
                        <a:ext uri="{28A0092B-C50C-407E-A947-70E740481C1C}">
                          <a14:useLocalDpi xmlns:a14="http://schemas.microsoft.com/office/drawing/2010/main"/>
                        </a:ext>
                      </a:extLst>
                    </a:blip>
                    <a:srcRect l="8173" t="11298" r="5769" b="18269"/>
                    <a:stretch>
                      <a:fillRect/>
                    </a:stretch>
                  </pic:blipFill>
                  <pic:spPr>
                    <a:xfrm>
                      <a:off x="0" y="0"/>
                      <a:ext cx="5114943" cy="2790838"/>
                    </a:xfrm>
                    <a:prstGeom prst="rect">
                      <a:avLst/>
                    </a:prstGeom>
                  </pic:spPr>
                </pic:pic>
              </a:graphicData>
            </a:graphic>
          </wp:inline>
        </w:drawing>
      </w:r>
    </w:p>
    <w:p w14:paraId="54ACD981" w14:textId="1D4366EC" w:rsidR="6C765FDA" w:rsidRDefault="6C765FDA" w:rsidP="561FEA06">
      <w:pPr>
        <w:spacing w:line="480" w:lineRule="auto"/>
        <w:jc w:val="center"/>
        <w:rPr>
          <w:rFonts w:ascii="Times New Roman" w:eastAsia="Times New Roman" w:hAnsi="Times New Roman" w:cs="Times New Roman"/>
        </w:rPr>
      </w:pPr>
      <w:r w:rsidRPr="561FEA06">
        <w:rPr>
          <w:rFonts w:ascii="Times New Roman" w:eastAsia="Times New Roman" w:hAnsi="Times New Roman" w:cs="Times New Roman"/>
          <w:i/>
          <w:iCs/>
        </w:rPr>
        <w:t>(</w:t>
      </w:r>
      <w:r w:rsidR="194912CB" w:rsidRPr="561FEA06">
        <w:rPr>
          <w:rFonts w:ascii="Times New Roman" w:eastAsia="Times New Roman" w:hAnsi="Times New Roman" w:cs="Times New Roman"/>
          <w:i/>
          <w:iCs/>
        </w:rPr>
        <w:t>Source: Derived from Table 1)</w:t>
      </w:r>
      <w:r>
        <w:br/>
      </w:r>
      <w:r w:rsidR="194912CB" w:rsidRPr="561FEA06">
        <w:rPr>
          <w:rFonts w:ascii="Times New Roman" w:eastAsia="Times New Roman" w:hAnsi="Times New Roman" w:cs="Times New Roman"/>
        </w:rPr>
        <w:t xml:space="preserve">The figure shows a dip in profitability during 2020 followed by a strong upward trend, highlighting </w:t>
      </w:r>
      <w:r w:rsidR="66719B4C" w:rsidRPr="561FEA06">
        <w:rPr>
          <w:rFonts w:ascii="Times New Roman" w:eastAsia="Times New Roman" w:hAnsi="Times New Roman" w:cs="Times New Roman"/>
        </w:rPr>
        <w:t>Toyota</w:t>
      </w:r>
      <w:r w:rsidR="194912CB" w:rsidRPr="561FEA06">
        <w:rPr>
          <w:rFonts w:ascii="Times New Roman" w:eastAsia="Times New Roman" w:hAnsi="Times New Roman" w:cs="Times New Roman"/>
        </w:rPr>
        <w:t>’s recovery and growth.</w:t>
      </w:r>
    </w:p>
    <w:p w14:paraId="3D59645D" w14:textId="61A535DE" w:rsidR="194912CB" w:rsidRDefault="194912CB" w:rsidP="561FEA06">
      <w:pPr>
        <w:spacing w:before="240" w:after="240" w:line="480" w:lineRule="auto"/>
        <w:rPr>
          <w:rFonts w:ascii="Times New Roman" w:eastAsia="Times New Roman" w:hAnsi="Times New Roman" w:cs="Times New Roman"/>
          <w:b/>
          <w:bCs/>
        </w:rPr>
      </w:pPr>
      <w:r w:rsidRPr="561FEA06">
        <w:rPr>
          <w:rFonts w:ascii="Times New Roman" w:eastAsia="Times New Roman" w:hAnsi="Times New Roman" w:cs="Times New Roman"/>
          <w:b/>
          <w:bCs/>
        </w:rPr>
        <w:t>Figure 2: Debt-to-Equity Ratio Trend</w:t>
      </w:r>
    </w:p>
    <w:p w14:paraId="2F7C7203" w14:textId="6D8DB5E0" w:rsidR="70E75748" w:rsidRDefault="70E75748" w:rsidP="561FEA06">
      <w:pPr>
        <w:spacing w:before="240" w:after="240" w:line="480" w:lineRule="auto"/>
        <w:jc w:val="center"/>
      </w:pPr>
      <w:r>
        <w:rPr>
          <w:noProof/>
          <w:lang w:val="en-IN" w:eastAsia="en-IN"/>
        </w:rPr>
        <w:lastRenderedPageBreak/>
        <w:drawing>
          <wp:inline distT="0" distB="0" distL="0" distR="0" wp14:anchorId="394F9173" wp14:editId="5CED32E0">
            <wp:extent cx="4857823" cy="3057587"/>
            <wp:effectExtent l="0" t="0" r="0" b="0"/>
            <wp:docPr id="17463019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01906" name="Picture 1746301906"/>
                    <pic:cNvPicPr/>
                  </pic:nvPicPr>
                  <pic:blipFill>
                    <a:blip r:embed="rId7">
                      <a:extLst>
                        <a:ext uri="{28A0092B-C50C-407E-A947-70E740481C1C}">
                          <a14:useLocalDpi xmlns:a14="http://schemas.microsoft.com/office/drawing/2010/main"/>
                        </a:ext>
                      </a:extLst>
                    </a:blip>
                    <a:srcRect l="9935" t="11778" r="8333" b="11057"/>
                    <a:stretch>
                      <a:fillRect/>
                    </a:stretch>
                  </pic:blipFill>
                  <pic:spPr>
                    <a:xfrm>
                      <a:off x="0" y="0"/>
                      <a:ext cx="4857823" cy="3057587"/>
                    </a:xfrm>
                    <a:prstGeom prst="rect">
                      <a:avLst/>
                    </a:prstGeom>
                  </pic:spPr>
                </pic:pic>
              </a:graphicData>
            </a:graphic>
          </wp:inline>
        </w:drawing>
      </w:r>
    </w:p>
    <w:p w14:paraId="1A8EE0BF" w14:textId="6A7CD0E1" w:rsidR="194912CB" w:rsidRDefault="194912CB" w:rsidP="561FEA06">
      <w:pPr>
        <w:spacing w:before="240" w:after="240" w:line="480" w:lineRule="auto"/>
        <w:rPr>
          <w:rFonts w:ascii="Times New Roman" w:eastAsia="Times New Roman" w:hAnsi="Times New Roman" w:cs="Times New Roman"/>
          <w:i/>
          <w:iCs/>
        </w:rPr>
      </w:pPr>
      <w:r w:rsidRPr="561FEA06">
        <w:rPr>
          <w:rFonts w:ascii="Times New Roman" w:eastAsia="Times New Roman" w:hAnsi="Times New Roman" w:cs="Times New Roman"/>
          <w:i/>
          <w:iCs/>
        </w:rPr>
        <w:t xml:space="preserve">(Source: </w:t>
      </w:r>
      <w:r w:rsidR="3A94108D" w:rsidRPr="561FEA06">
        <w:rPr>
          <w:rFonts w:ascii="Times New Roman" w:eastAsia="Times New Roman" w:hAnsi="Times New Roman" w:cs="Times New Roman"/>
          <w:i/>
          <w:iCs/>
        </w:rPr>
        <w:t xml:space="preserve">Toyota </w:t>
      </w:r>
      <w:r w:rsidRPr="561FEA06">
        <w:rPr>
          <w:rFonts w:ascii="Times New Roman" w:eastAsia="Times New Roman" w:hAnsi="Times New Roman" w:cs="Times New Roman"/>
          <w:i/>
          <w:iCs/>
        </w:rPr>
        <w:t>Financial Data, 2019–2023)</w:t>
      </w:r>
    </w:p>
    <w:p w14:paraId="2AD4C8D5" w14:textId="5F28A3A6" w:rsidR="194912CB" w:rsidRDefault="194912CB" w:rsidP="561FEA06">
      <w:pPr>
        <w:spacing w:before="240" w:after="240" w:line="480" w:lineRule="auto"/>
        <w:rPr>
          <w:rFonts w:ascii="Times New Roman" w:eastAsia="Times New Roman" w:hAnsi="Times New Roman" w:cs="Times New Roman"/>
        </w:rPr>
      </w:pPr>
      <w:r w:rsidRPr="561FEA06">
        <w:rPr>
          <w:rFonts w:ascii="Times New Roman" w:eastAsia="Times New Roman" w:hAnsi="Times New Roman" w:cs="Times New Roman"/>
        </w:rPr>
        <w:t xml:space="preserve">The figure illustrates a gradual increase in financial </w:t>
      </w:r>
      <w:proofErr w:type="gramStart"/>
      <w:r w:rsidRPr="561FEA06">
        <w:rPr>
          <w:rFonts w:ascii="Times New Roman" w:eastAsia="Times New Roman" w:hAnsi="Times New Roman" w:cs="Times New Roman"/>
        </w:rPr>
        <w:t>leverage</w:t>
      </w:r>
      <w:proofErr w:type="gramEnd"/>
      <w:r w:rsidRPr="561FEA06">
        <w:rPr>
          <w:rFonts w:ascii="Times New Roman" w:eastAsia="Times New Roman" w:hAnsi="Times New Roman" w:cs="Times New Roman"/>
        </w:rPr>
        <w:t>, indicating expansion through debt financing.</w:t>
      </w:r>
    </w:p>
    <w:p w14:paraId="07E3AD43" w14:textId="453A0E3A" w:rsidR="248D414F" w:rsidRDefault="248D414F" w:rsidP="561FEA06">
      <w:pPr>
        <w:pStyle w:val="Heading2"/>
        <w:spacing w:before="299" w:after="299" w:line="480" w:lineRule="auto"/>
        <w:jc w:val="both"/>
        <w:rPr>
          <w:rFonts w:ascii="Times New Roman" w:eastAsia="Times New Roman" w:hAnsi="Times New Roman" w:cs="Times New Roman"/>
          <w:b/>
          <w:bCs/>
          <w:color w:val="auto"/>
          <w:sz w:val="24"/>
          <w:szCs w:val="24"/>
        </w:rPr>
      </w:pPr>
      <w:bookmarkStart w:id="23" w:name="_Toc1227575533"/>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11. Strengths and Opportunities</w:t>
      </w:r>
      <w:bookmarkEnd w:id="23"/>
    </w:p>
    <w:p w14:paraId="79FEED1D" w14:textId="0024332A" w:rsidR="30F11465" w:rsidRDefault="30F1146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There are several strengths exhibited by </w:t>
      </w:r>
      <w:r w:rsidR="64DE78FB" w:rsidRPr="561FEA06">
        <w:rPr>
          <w:rFonts w:ascii="Times New Roman" w:eastAsia="Times New Roman" w:hAnsi="Times New Roman" w:cs="Times New Roman"/>
        </w:rPr>
        <w:t>Toyota</w:t>
      </w:r>
      <w:r w:rsidRPr="561FEA06">
        <w:rPr>
          <w:rFonts w:ascii="Times New Roman" w:eastAsia="Times New Roman" w:hAnsi="Times New Roman" w:cs="Times New Roman"/>
        </w:rPr>
        <w:t>. The gradual consolidation of profitability ratios has shown that cost management is strong and there is a good strategic implementation. The increasing market share of the company in the EV market presents great growth prospects</w:t>
      </w:r>
      <w:r w:rsidR="5F0F5613" w:rsidRPr="561FEA06">
        <w:rPr>
          <w:rFonts w:ascii="Times New Roman" w:eastAsia="Times New Roman" w:hAnsi="Times New Roman" w:cs="Times New Roman"/>
        </w:rPr>
        <w:t xml:space="preserve"> (Hao, 2026)</w:t>
      </w:r>
      <w:r w:rsidRPr="561FEA06">
        <w:rPr>
          <w:rFonts w:ascii="Times New Roman" w:eastAsia="Times New Roman" w:hAnsi="Times New Roman" w:cs="Times New Roman"/>
        </w:rPr>
        <w:t xml:space="preserve">. </w:t>
      </w:r>
    </w:p>
    <w:p w14:paraId="2692F7B7" w14:textId="6DFD2975" w:rsidR="30F11465" w:rsidRDefault="30F11465" w:rsidP="561FEA06">
      <w:pPr>
        <w:spacing w:before="240" w:after="240" w:line="480" w:lineRule="auto"/>
        <w:jc w:val="both"/>
        <w:rPr>
          <w:rFonts w:ascii="Times New Roman" w:eastAsia="Times New Roman" w:hAnsi="Times New Roman" w:cs="Times New Roman"/>
        </w:rPr>
      </w:pPr>
      <w:proofErr w:type="gramStart"/>
      <w:r w:rsidRPr="561FEA06">
        <w:rPr>
          <w:rFonts w:ascii="Times New Roman" w:eastAsia="Times New Roman" w:hAnsi="Times New Roman" w:cs="Times New Roman"/>
        </w:rPr>
        <w:t>Also</w:t>
      </w:r>
      <w:proofErr w:type="gramEnd"/>
      <w:r w:rsidRPr="561FEA06">
        <w:rPr>
          <w:rFonts w:ascii="Times New Roman" w:eastAsia="Times New Roman" w:hAnsi="Times New Roman" w:cs="Times New Roman"/>
        </w:rPr>
        <w:t xml:space="preserve">, efficient use of assets is an indicator of operational efficiency, whereas good cash flow contributes to financial stability. With these strengths, </w:t>
      </w:r>
      <w:r w:rsidR="522AB978" w:rsidRPr="561FEA06">
        <w:rPr>
          <w:rFonts w:ascii="Times New Roman" w:eastAsia="Times New Roman" w:hAnsi="Times New Roman" w:cs="Times New Roman"/>
        </w:rPr>
        <w:t xml:space="preserve">Toyota </w:t>
      </w:r>
      <w:r w:rsidRPr="561FEA06">
        <w:rPr>
          <w:rFonts w:ascii="Times New Roman" w:eastAsia="Times New Roman" w:hAnsi="Times New Roman" w:cs="Times New Roman"/>
        </w:rPr>
        <w:t xml:space="preserve">is poised to </w:t>
      </w:r>
      <w:r w:rsidR="6FF49E03" w:rsidRPr="561FEA06">
        <w:rPr>
          <w:rFonts w:ascii="Times New Roman" w:eastAsia="Times New Roman" w:hAnsi="Times New Roman" w:cs="Times New Roman"/>
        </w:rPr>
        <w:t>leverage</w:t>
      </w:r>
      <w:r w:rsidRPr="561FEA06">
        <w:rPr>
          <w:rFonts w:ascii="Times New Roman" w:eastAsia="Times New Roman" w:hAnsi="Times New Roman" w:cs="Times New Roman"/>
        </w:rPr>
        <w:t xml:space="preserve"> the move towards sustainability of transportation the world over</w:t>
      </w:r>
      <w:r w:rsidR="5F4A1E57" w:rsidRPr="561FEA06">
        <w:rPr>
          <w:rFonts w:ascii="Times New Roman" w:eastAsia="Times New Roman" w:hAnsi="Times New Roman" w:cs="Times New Roman"/>
        </w:rPr>
        <w:t xml:space="preserve"> (</w:t>
      </w:r>
      <w:r w:rsidR="146B39D3" w:rsidRPr="561FEA06">
        <w:rPr>
          <w:rFonts w:ascii="Times New Roman" w:eastAsia="Times New Roman" w:hAnsi="Times New Roman" w:cs="Times New Roman"/>
        </w:rPr>
        <w:t>Toyota</w:t>
      </w:r>
      <w:r w:rsidR="5F4A1E57" w:rsidRPr="561FEA06">
        <w:rPr>
          <w:rFonts w:ascii="Times New Roman" w:eastAsia="Times New Roman" w:hAnsi="Times New Roman" w:cs="Times New Roman"/>
        </w:rPr>
        <w:t>, 2023)</w:t>
      </w:r>
      <w:r w:rsidRPr="561FEA06">
        <w:rPr>
          <w:rFonts w:ascii="Times New Roman" w:eastAsia="Times New Roman" w:hAnsi="Times New Roman" w:cs="Times New Roman"/>
        </w:rPr>
        <w:t>.</w:t>
      </w:r>
    </w:p>
    <w:p w14:paraId="47305555" w14:textId="790AD99E" w:rsidR="019B31A2" w:rsidRDefault="019B31A2"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24" w:name="_Toc1632575306"/>
      <w:r w:rsidRPr="561FEA06">
        <w:rPr>
          <w:rFonts w:ascii="Times New Roman" w:eastAsia="Times New Roman" w:hAnsi="Times New Roman" w:cs="Times New Roman"/>
          <w:b/>
          <w:bCs/>
          <w:color w:val="auto"/>
          <w:sz w:val="24"/>
          <w:szCs w:val="24"/>
        </w:rPr>
        <w:lastRenderedPageBreak/>
        <w:t>1.</w:t>
      </w:r>
      <w:r w:rsidR="194912CB" w:rsidRPr="561FEA06">
        <w:rPr>
          <w:rFonts w:ascii="Times New Roman" w:eastAsia="Times New Roman" w:hAnsi="Times New Roman" w:cs="Times New Roman"/>
          <w:b/>
          <w:bCs/>
          <w:color w:val="auto"/>
          <w:sz w:val="24"/>
          <w:szCs w:val="24"/>
        </w:rPr>
        <w:t>12. Weaknesses and Threats</w:t>
      </w:r>
      <w:bookmarkEnd w:id="24"/>
    </w:p>
    <w:p w14:paraId="556E9589" w14:textId="2CC28A6B" w:rsidR="071F52C5" w:rsidRDefault="071F52C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Toyota</w:t>
      </w:r>
      <w:r w:rsidR="05B8AFC4" w:rsidRPr="561FEA06">
        <w:rPr>
          <w:rFonts w:ascii="Times New Roman" w:eastAsia="Times New Roman" w:hAnsi="Times New Roman" w:cs="Times New Roman"/>
        </w:rPr>
        <w:t xml:space="preserve"> has some financial challenges regardless of the strengths it has. The rising Debt-to-Equity Ratio is also a cause of concern </w:t>
      </w:r>
      <w:proofErr w:type="gramStart"/>
      <w:r w:rsidR="05B8AFC4" w:rsidRPr="561FEA06">
        <w:rPr>
          <w:rFonts w:ascii="Times New Roman" w:eastAsia="Times New Roman" w:hAnsi="Times New Roman" w:cs="Times New Roman"/>
        </w:rPr>
        <w:t>with regards to</w:t>
      </w:r>
      <w:proofErr w:type="gramEnd"/>
      <w:r w:rsidR="05B8AFC4" w:rsidRPr="561FEA06">
        <w:rPr>
          <w:rFonts w:ascii="Times New Roman" w:eastAsia="Times New Roman" w:hAnsi="Times New Roman" w:cs="Times New Roman"/>
        </w:rPr>
        <w:t xml:space="preserve"> financial risk, especially when the economic environment is unstable. </w:t>
      </w:r>
    </w:p>
    <w:p w14:paraId="27757BCD" w14:textId="25356E9E" w:rsidR="05B8AFC4" w:rsidRDefault="05B8AFC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decreasing Quick Ratio indicates possible liquidity problems, and they can influence the company in terms of fulfilling the short-term commitments without using inventory. </w:t>
      </w:r>
    </w:p>
    <w:p w14:paraId="5A5B9128" w14:textId="3116B99D" w:rsidR="05B8AFC4" w:rsidRDefault="05B8AFC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Moreover, there are external risks like disruption in the supply chain, increasing cost of raw </w:t>
      </w:r>
      <w:r w:rsidR="0D56CEF3" w:rsidRPr="561FEA06">
        <w:rPr>
          <w:rFonts w:ascii="Times New Roman" w:eastAsia="Times New Roman" w:hAnsi="Times New Roman" w:cs="Times New Roman"/>
        </w:rPr>
        <w:t>materials,</w:t>
      </w:r>
      <w:r w:rsidRPr="561FEA06">
        <w:rPr>
          <w:rFonts w:ascii="Times New Roman" w:eastAsia="Times New Roman" w:hAnsi="Times New Roman" w:cs="Times New Roman"/>
        </w:rPr>
        <w:t xml:space="preserve"> and stiff competition in the EV </w:t>
      </w:r>
      <w:proofErr w:type="gramStart"/>
      <w:r w:rsidRPr="561FEA06">
        <w:rPr>
          <w:rFonts w:ascii="Times New Roman" w:eastAsia="Times New Roman" w:hAnsi="Times New Roman" w:cs="Times New Roman"/>
        </w:rPr>
        <w:t>market which</w:t>
      </w:r>
      <w:proofErr w:type="gramEnd"/>
      <w:r w:rsidRPr="561FEA06">
        <w:rPr>
          <w:rFonts w:ascii="Times New Roman" w:eastAsia="Times New Roman" w:hAnsi="Times New Roman" w:cs="Times New Roman"/>
        </w:rPr>
        <w:t xml:space="preserve"> continues to be a challenge.</w:t>
      </w:r>
    </w:p>
    <w:p w14:paraId="551CCC52" w14:textId="649D7A5D" w:rsidR="4CD628EC" w:rsidRDefault="4CD628EC"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25" w:name="_Toc1472450386"/>
      <w:r w:rsidRPr="561FEA06">
        <w:rPr>
          <w:rFonts w:ascii="Times New Roman" w:eastAsia="Times New Roman" w:hAnsi="Times New Roman" w:cs="Times New Roman"/>
          <w:b/>
          <w:bCs/>
          <w:color w:val="auto"/>
          <w:sz w:val="24"/>
          <w:szCs w:val="24"/>
        </w:rPr>
        <w:t>1.</w:t>
      </w:r>
      <w:r w:rsidR="194912CB" w:rsidRPr="561FEA06">
        <w:rPr>
          <w:rFonts w:ascii="Times New Roman" w:eastAsia="Times New Roman" w:hAnsi="Times New Roman" w:cs="Times New Roman"/>
          <w:b/>
          <w:bCs/>
          <w:color w:val="auto"/>
          <w:sz w:val="24"/>
          <w:szCs w:val="24"/>
        </w:rPr>
        <w:t>13. Conclusion</w:t>
      </w:r>
      <w:bookmarkEnd w:id="25"/>
    </w:p>
    <w:p w14:paraId="20ECDBD4" w14:textId="2EDB7ACB" w:rsidR="194912CB" w:rsidRDefault="194912CB"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In conclusion</w:t>
      </w:r>
      <w:r w:rsidR="6B6D534C" w:rsidRPr="561FEA06">
        <w:rPr>
          <w:rFonts w:ascii="Times New Roman" w:eastAsia="Times New Roman" w:hAnsi="Times New Roman" w:cs="Times New Roman"/>
        </w:rPr>
        <w:t xml:space="preserve">, the financial health analysis of </w:t>
      </w:r>
      <w:r w:rsidR="3F0064CD" w:rsidRPr="561FEA06">
        <w:rPr>
          <w:rFonts w:ascii="Times New Roman" w:eastAsia="Times New Roman" w:hAnsi="Times New Roman" w:cs="Times New Roman"/>
        </w:rPr>
        <w:t>Toyota</w:t>
      </w:r>
      <w:r w:rsidR="6B6D534C" w:rsidRPr="561FEA06">
        <w:rPr>
          <w:rFonts w:ascii="Times New Roman" w:eastAsia="Times New Roman" w:hAnsi="Times New Roman" w:cs="Times New Roman"/>
        </w:rPr>
        <w:t xml:space="preserve"> Motor Company shows that it has good financial </w:t>
      </w:r>
      <w:bookmarkStart w:id="26" w:name="_Int_Uixzm89I"/>
      <w:r w:rsidR="6B6D534C" w:rsidRPr="561FEA06">
        <w:rPr>
          <w:rFonts w:ascii="Times New Roman" w:eastAsia="Times New Roman" w:hAnsi="Times New Roman" w:cs="Times New Roman"/>
        </w:rPr>
        <w:t>health</w:t>
      </w:r>
      <w:bookmarkEnd w:id="26"/>
      <w:r w:rsidR="6B6D534C" w:rsidRPr="561FEA06">
        <w:rPr>
          <w:rFonts w:ascii="Times New Roman" w:eastAsia="Times New Roman" w:hAnsi="Times New Roman" w:cs="Times New Roman"/>
        </w:rPr>
        <w:t xml:space="preserve"> and its financial performance has been stable in terms of profitability and efficiency. The company has managed to overcome the challenges of the world and establish itself as a major market player in the EV sector. </w:t>
      </w:r>
    </w:p>
    <w:p w14:paraId="2F3EED43" w14:textId="71FCAD85" w:rsidR="6B6D534C" w:rsidRDefault="6B6D534C"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Nevertheless, the rising debt rates and marginal liquidity issues will have to </w:t>
      </w:r>
      <w:proofErr w:type="gramStart"/>
      <w:r w:rsidRPr="561FEA06">
        <w:rPr>
          <w:rFonts w:ascii="Times New Roman" w:eastAsia="Times New Roman" w:hAnsi="Times New Roman" w:cs="Times New Roman"/>
        </w:rPr>
        <w:t>be dealt with</w:t>
      </w:r>
      <w:proofErr w:type="gramEnd"/>
      <w:r w:rsidRPr="561FEA06">
        <w:rPr>
          <w:rFonts w:ascii="Times New Roman" w:eastAsia="Times New Roman" w:hAnsi="Times New Roman" w:cs="Times New Roman"/>
        </w:rPr>
        <w:t xml:space="preserve"> meticulously. With an emphasis on financial risk reduction and enhancing liquidity, Hyundai can position itself further and maintain a long-term development of the automotive market, which is in a state of change.</w:t>
      </w:r>
    </w:p>
    <w:p w14:paraId="25F19FF8" w14:textId="5B692D78" w:rsidR="64DE71D2" w:rsidRDefault="64DE71D2" w:rsidP="561FEA06">
      <w:pPr>
        <w:pStyle w:val="Heading1"/>
        <w:spacing w:before="240" w:after="240" w:line="480" w:lineRule="auto"/>
        <w:jc w:val="both"/>
        <w:rPr>
          <w:rFonts w:ascii="Times New Roman" w:eastAsia="Times New Roman" w:hAnsi="Times New Roman" w:cs="Times New Roman"/>
          <w:b/>
          <w:bCs/>
          <w:color w:val="auto"/>
          <w:sz w:val="28"/>
          <w:szCs w:val="28"/>
        </w:rPr>
      </w:pPr>
      <w:bookmarkStart w:id="27" w:name="_Toc641953520"/>
      <w:r w:rsidRPr="561FEA06">
        <w:rPr>
          <w:rFonts w:ascii="Times New Roman" w:eastAsia="Times New Roman" w:hAnsi="Times New Roman" w:cs="Times New Roman"/>
          <w:b/>
          <w:bCs/>
          <w:color w:val="auto"/>
          <w:sz w:val="28"/>
          <w:szCs w:val="28"/>
        </w:rPr>
        <w:lastRenderedPageBreak/>
        <w:t xml:space="preserve">2. </w:t>
      </w:r>
      <w:r w:rsidR="194912CB" w:rsidRPr="561FEA06">
        <w:rPr>
          <w:rFonts w:ascii="Times New Roman" w:eastAsia="Times New Roman" w:hAnsi="Times New Roman" w:cs="Times New Roman"/>
          <w:b/>
          <w:bCs/>
          <w:color w:val="auto"/>
          <w:sz w:val="28"/>
          <w:szCs w:val="28"/>
        </w:rPr>
        <w:t xml:space="preserve">Working Capital Management Analysis: Cash Operating Cycle and Liquidity Improvement of </w:t>
      </w:r>
      <w:r w:rsidR="484E917A" w:rsidRPr="561FEA06">
        <w:rPr>
          <w:rFonts w:ascii="Times New Roman" w:eastAsia="Times New Roman" w:hAnsi="Times New Roman" w:cs="Times New Roman"/>
          <w:b/>
          <w:bCs/>
          <w:color w:val="auto"/>
          <w:sz w:val="28"/>
          <w:szCs w:val="28"/>
        </w:rPr>
        <w:t>Toyata</w:t>
      </w:r>
      <w:bookmarkEnd w:id="27"/>
    </w:p>
    <w:p w14:paraId="5352BC95" w14:textId="7F09997B" w:rsidR="1CD5CF24" w:rsidRDefault="1CD5CF24" w:rsidP="561FEA06">
      <w:pPr>
        <w:pStyle w:val="Heading2"/>
        <w:spacing w:line="480" w:lineRule="auto"/>
        <w:rPr>
          <w:rFonts w:ascii="Times New Roman" w:eastAsia="Times New Roman" w:hAnsi="Times New Roman" w:cs="Times New Roman"/>
          <w:b/>
          <w:bCs/>
          <w:color w:val="auto"/>
          <w:sz w:val="24"/>
          <w:szCs w:val="24"/>
        </w:rPr>
      </w:pPr>
      <w:bookmarkStart w:id="28" w:name="_Toc610669012"/>
      <w:r w:rsidRPr="561FEA06">
        <w:rPr>
          <w:rFonts w:ascii="Times New Roman" w:eastAsia="Times New Roman" w:hAnsi="Times New Roman" w:cs="Times New Roman"/>
          <w:b/>
          <w:bCs/>
          <w:color w:val="auto"/>
          <w:sz w:val="24"/>
          <w:szCs w:val="24"/>
        </w:rPr>
        <w:t>2.</w:t>
      </w:r>
      <w:r w:rsidR="194912CB" w:rsidRPr="561FEA06">
        <w:rPr>
          <w:rFonts w:ascii="Times New Roman" w:eastAsia="Times New Roman" w:hAnsi="Times New Roman" w:cs="Times New Roman"/>
          <w:b/>
          <w:bCs/>
          <w:color w:val="auto"/>
          <w:sz w:val="24"/>
          <w:szCs w:val="24"/>
        </w:rPr>
        <w:t>1. Introduction</w:t>
      </w:r>
      <w:bookmarkEnd w:id="28"/>
    </w:p>
    <w:p w14:paraId="624CDC10" w14:textId="60EDC204" w:rsidR="08A7B2FE" w:rsidRDefault="08A7B2FE"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A well-managed working capital is imperative to ensure that the business operates smoothly, especially in capital-intensive businesses like electric vehicle manufacturing. This part assesses the effectiveness of </w:t>
      </w:r>
      <w:r w:rsidR="3DADB5B2"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Motor Company working capital by comparing its Cash Operating Cycle (COC) of the last five years (20</w:t>
      </w:r>
      <w:r w:rsidR="3AE594F3" w:rsidRPr="561FEA06">
        <w:rPr>
          <w:rFonts w:ascii="Times New Roman" w:eastAsia="Times New Roman" w:hAnsi="Times New Roman" w:cs="Times New Roman"/>
        </w:rPr>
        <w:t>20</w:t>
      </w:r>
      <w:r w:rsidRPr="561FEA06">
        <w:rPr>
          <w:rFonts w:ascii="Times New Roman" w:eastAsia="Times New Roman" w:hAnsi="Times New Roman" w:cs="Times New Roman"/>
        </w:rPr>
        <w:t>-202</w:t>
      </w:r>
      <w:r w:rsidR="271C79BA" w:rsidRPr="561FEA06">
        <w:rPr>
          <w:rFonts w:ascii="Times New Roman" w:eastAsia="Times New Roman" w:hAnsi="Times New Roman" w:cs="Times New Roman"/>
        </w:rPr>
        <w:t>4</w:t>
      </w:r>
      <w:r w:rsidRPr="561FEA06">
        <w:rPr>
          <w:rFonts w:ascii="Times New Roman" w:eastAsia="Times New Roman" w:hAnsi="Times New Roman" w:cs="Times New Roman"/>
        </w:rPr>
        <w:t>). The analysis is concerned with the efficiency of the company in terms of how well it can convert its investments in inventory and receivables into cash flows, and sets out measures to enhance liquidity</w:t>
      </w:r>
      <w:r w:rsidR="19BA3C97" w:rsidRPr="561FEA06">
        <w:rPr>
          <w:rFonts w:ascii="Times New Roman" w:eastAsia="Times New Roman" w:hAnsi="Times New Roman" w:cs="Times New Roman"/>
        </w:rPr>
        <w:t xml:space="preserve"> (</w:t>
      </w:r>
      <w:r w:rsidR="5F8DE7DA" w:rsidRPr="561FEA06">
        <w:rPr>
          <w:rFonts w:ascii="Times New Roman" w:eastAsia="Times New Roman" w:hAnsi="Times New Roman" w:cs="Times New Roman"/>
        </w:rPr>
        <w:t>Toyota</w:t>
      </w:r>
      <w:r w:rsidR="19BA3C97" w:rsidRPr="561FEA06">
        <w:rPr>
          <w:rFonts w:ascii="Times New Roman" w:eastAsia="Times New Roman" w:hAnsi="Times New Roman" w:cs="Times New Roman"/>
        </w:rPr>
        <w:t>, 2026)</w:t>
      </w:r>
      <w:r w:rsidRPr="561FEA06">
        <w:rPr>
          <w:rFonts w:ascii="Times New Roman" w:eastAsia="Times New Roman" w:hAnsi="Times New Roman" w:cs="Times New Roman"/>
        </w:rPr>
        <w:t xml:space="preserve">. </w:t>
      </w:r>
    </w:p>
    <w:p w14:paraId="771F78F3" w14:textId="67AE2989" w:rsidR="08A7B2FE" w:rsidRDefault="08A7B2FE"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Working capital efficiency is a direct factor that influences the liquidity of the firm, its profitability and operational sustainability (Atrill and McLaney, 2018). Thus, the COC analysis helps to understand the short-term financial performance of Hyundai.</w:t>
      </w:r>
    </w:p>
    <w:p w14:paraId="4BE41E5C" w14:textId="2A3D6CA0" w:rsidR="08A7B2FE" w:rsidRDefault="08A7B2FE"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29" w:name="_Toc230827313"/>
      <w:r w:rsidRPr="561FEA06">
        <w:rPr>
          <w:rFonts w:ascii="Times New Roman" w:eastAsia="Times New Roman" w:hAnsi="Times New Roman" w:cs="Times New Roman"/>
          <w:b/>
          <w:bCs/>
          <w:color w:val="auto"/>
          <w:sz w:val="24"/>
          <w:szCs w:val="24"/>
        </w:rPr>
        <w:t>2.</w:t>
      </w:r>
      <w:r w:rsidR="194912CB" w:rsidRPr="561FEA06">
        <w:rPr>
          <w:rFonts w:ascii="Times New Roman" w:eastAsia="Times New Roman" w:hAnsi="Times New Roman" w:cs="Times New Roman"/>
          <w:b/>
          <w:bCs/>
          <w:color w:val="auto"/>
          <w:sz w:val="24"/>
          <w:szCs w:val="24"/>
        </w:rPr>
        <w:t>2. Understanding the Cash Operating Cycle</w:t>
      </w:r>
      <w:bookmarkEnd w:id="29"/>
    </w:p>
    <w:p w14:paraId="670D7FFD" w14:textId="2F2F5908" w:rsidR="60830BA4" w:rsidRDefault="60830BA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One of the financial measures that </w:t>
      </w:r>
      <w:proofErr w:type="gramStart"/>
      <w:r w:rsidRPr="561FEA06">
        <w:rPr>
          <w:rFonts w:ascii="Times New Roman" w:eastAsia="Times New Roman" w:hAnsi="Times New Roman" w:cs="Times New Roman"/>
        </w:rPr>
        <w:t>is used</w:t>
      </w:r>
      <w:proofErr w:type="gramEnd"/>
      <w:r w:rsidRPr="561FEA06">
        <w:rPr>
          <w:rFonts w:ascii="Times New Roman" w:eastAsia="Times New Roman" w:hAnsi="Times New Roman" w:cs="Times New Roman"/>
        </w:rPr>
        <w:t xml:space="preserve"> to determine how long a company takes to get its investment in its working capital converted into cash inflows is the Cash Operating Cycle (COC). It is a combination of three significant items, i.e., Inventory Period, Receivables Period, and Payables Period.</w:t>
      </w:r>
    </w:p>
    <w:p w14:paraId="66EC6A88" w14:textId="026610A0" w:rsidR="561FEA06" w:rsidRDefault="561FEA06" w:rsidP="561FEA06">
      <w:pPr>
        <w:spacing w:before="240" w:after="240" w:line="480" w:lineRule="auto"/>
        <w:jc w:val="center"/>
        <w:rPr>
          <w:rFonts w:ascii="Times New Roman" w:eastAsia="Times New Roman" w:hAnsi="Times New Roman" w:cs="Times New Roman"/>
        </w:rPr>
      </w:pPr>
      <m:oMathPara>
        <m:oMath>
          <m:r>
            <w:rPr>
              <w:rFonts w:ascii="Cambria Math" w:hAnsi="Cambria Math"/>
            </w:rPr>
            <m:t>COC= Inventory Period+Receivables Period-Payables Period </m:t>
          </m:r>
        </m:oMath>
      </m:oMathPara>
    </w:p>
    <w:p w14:paraId="437B07B7" w14:textId="2429FB2E" w:rsidR="21AC5749" w:rsidRDefault="21AC5749"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A lower COC implies that it is </w:t>
      </w:r>
      <w:proofErr w:type="gramStart"/>
      <w:r w:rsidRPr="561FEA06">
        <w:rPr>
          <w:rFonts w:ascii="Times New Roman" w:eastAsia="Times New Roman" w:hAnsi="Times New Roman" w:cs="Times New Roman"/>
        </w:rPr>
        <w:t>well managed</w:t>
      </w:r>
      <w:proofErr w:type="gramEnd"/>
      <w:r w:rsidRPr="561FEA06">
        <w:rPr>
          <w:rFonts w:ascii="Times New Roman" w:eastAsia="Times New Roman" w:hAnsi="Times New Roman" w:cs="Times New Roman"/>
        </w:rPr>
        <w:t xml:space="preserve"> working capital whereas a higher one implies that it has delayed cash collection and might be facing a liquidity issue.</w:t>
      </w:r>
    </w:p>
    <w:p w14:paraId="5B8B1C5F" w14:textId="65915A96" w:rsidR="194912CB" w:rsidRDefault="194912CB"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30" w:name="_Toc796087520"/>
      <w:r w:rsidRPr="561FEA06">
        <w:rPr>
          <w:rFonts w:ascii="Times New Roman" w:eastAsia="Times New Roman" w:hAnsi="Times New Roman" w:cs="Times New Roman"/>
          <w:b/>
          <w:bCs/>
          <w:color w:val="auto"/>
          <w:sz w:val="24"/>
          <w:szCs w:val="24"/>
        </w:rPr>
        <w:lastRenderedPageBreak/>
        <w:t>2.</w:t>
      </w:r>
      <w:r w:rsidR="6A1CE58B" w:rsidRPr="561FEA06">
        <w:rPr>
          <w:rFonts w:ascii="Times New Roman" w:eastAsia="Times New Roman" w:hAnsi="Times New Roman" w:cs="Times New Roman"/>
          <w:b/>
          <w:bCs/>
          <w:color w:val="auto"/>
          <w:sz w:val="24"/>
          <w:szCs w:val="24"/>
        </w:rPr>
        <w:t>3</w:t>
      </w:r>
      <w:r w:rsidRPr="561FEA06">
        <w:rPr>
          <w:rFonts w:ascii="Times New Roman" w:eastAsia="Times New Roman" w:hAnsi="Times New Roman" w:cs="Times New Roman"/>
          <w:b/>
          <w:bCs/>
          <w:color w:val="auto"/>
          <w:sz w:val="24"/>
          <w:szCs w:val="24"/>
        </w:rPr>
        <w:t xml:space="preserve"> Components of the Cash Operating Cycle</w:t>
      </w:r>
      <w:bookmarkEnd w:id="30"/>
    </w:p>
    <w:p w14:paraId="49A4EAF7" w14:textId="7A85AF9A" w:rsidR="224C91C4" w:rsidRDefault="224C91C4" w:rsidP="561FEA06">
      <w:pPr>
        <w:pStyle w:val="Heading4"/>
        <w:spacing w:before="319" w:after="319" w:line="480" w:lineRule="auto"/>
        <w:jc w:val="both"/>
        <w:rPr>
          <w:rFonts w:ascii="Times New Roman" w:eastAsia="Times New Roman" w:hAnsi="Times New Roman" w:cs="Times New Roman"/>
          <w:b/>
          <w:bCs/>
          <w:color w:val="auto"/>
        </w:rPr>
      </w:pPr>
      <w:bookmarkStart w:id="31" w:name="_Toc1197827272"/>
      <w:r w:rsidRPr="561FEA06">
        <w:rPr>
          <w:rFonts w:ascii="Times New Roman" w:eastAsia="Times New Roman" w:hAnsi="Times New Roman" w:cs="Times New Roman"/>
          <w:b/>
          <w:bCs/>
          <w:color w:val="auto"/>
        </w:rPr>
        <w:t xml:space="preserve">2.3.1. </w:t>
      </w:r>
      <w:r w:rsidR="194912CB" w:rsidRPr="561FEA06">
        <w:rPr>
          <w:rFonts w:ascii="Times New Roman" w:eastAsia="Times New Roman" w:hAnsi="Times New Roman" w:cs="Times New Roman"/>
          <w:b/>
          <w:bCs/>
          <w:color w:val="auto"/>
        </w:rPr>
        <w:t>Inventory Period</w:t>
      </w:r>
      <w:bookmarkEnd w:id="31"/>
    </w:p>
    <w:p w14:paraId="74D030C0" w14:textId="3C63C97D" w:rsidR="41D7536F" w:rsidRDefault="41D7536F"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Inventory Period is the average day which </w:t>
      </w:r>
      <w:r w:rsidR="2B1B9C43"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spends selling the inventory. The longer the period means sluggish inventory turnover and tying up capital in unsold inventory.</w:t>
      </w:r>
    </w:p>
    <w:p w14:paraId="7884970B" w14:textId="5B2454B8" w:rsidR="41D7536F" w:rsidRDefault="41D7536F" w:rsidP="561FEA06">
      <w:pPr>
        <w:pStyle w:val="Heading4"/>
        <w:spacing w:before="240" w:after="240" w:line="480" w:lineRule="auto"/>
        <w:jc w:val="both"/>
        <w:rPr>
          <w:rFonts w:ascii="Times New Roman" w:eastAsia="Times New Roman" w:hAnsi="Times New Roman" w:cs="Times New Roman"/>
          <w:b/>
          <w:bCs/>
          <w:color w:val="auto"/>
        </w:rPr>
      </w:pPr>
      <w:bookmarkStart w:id="32" w:name="_Toc1214366862"/>
      <w:r w:rsidRPr="561FEA06">
        <w:rPr>
          <w:rFonts w:ascii="Times New Roman" w:eastAsia="Times New Roman" w:hAnsi="Times New Roman" w:cs="Times New Roman"/>
          <w:b/>
          <w:bCs/>
          <w:color w:val="auto"/>
        </w:rPr>
        <w:t xml:space="preserve">2.3.2. </w:t>
      </w:r>
      <w:r w:rsidR="194912CB" w:rsidRPr="561FEA06">
        <w:rPr>
          <w:rFonts w:ascii="Times New Roman" w:eastAsia="Times New Roman" w:hAnsi="Times New Roman" w:cs="Times New Roman"/>
          <w:b/>
          <w:bCs/>
          <w:color w:val="auto"/>
        </w:rPr>
        <w:t>Receivables Period</w:t>
      </w:r>
      <w:bookmarkEnd w:id="32"/>
    </w:p>
    <w:p w14:paraId="2C9B17EB" w14:textId="729EB0A9" w:rsidR="7E1119E1" w:rsidRDefault="7E1119E1"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Receivables Period is the average period to collect payment of customers. The further the receivables period, the faster cash inflows </w:t>
      </w:r>
      <w:proofErr w:type="gramStart"/>
      <w:r w:rsidRPr="561FEA06">
        <w:rPr>
          <w:rFonts w:ascii="Times New Roman" w:eastAsia="Times New Roman" w:hAnsi="Times New Roman" w:cs="Times New Roman"/>
        </w:rPr>
        <w:t>are slowed down</w:t>
      </w:r>
      <w:proofErr w:type="gramEnd"/>
      <w:r w:rsidRPr="561FEA06">
        <w:rPr>
          <w:rFonts w:ascii="Times New Roman" w:eastAsia="Times New Roman" w:hAnsi="Times New Roman" w:cs="Times New Roman"/>
        </w:rPr>
        <w:t xml:space="preserve"> and can have an adverse impact on liquidity.</w:t>
      </w:r>
    </w:p>
    <w:p w14:paraId="6031479C" w14:textId="03A12938" w:rsidR="4C7B2C9F" w:rsidRDefault="4C7B2C9F" w:rsidP="561FEA06">
      <w:pPr>
        <w:pStyle w:val="Heading4"/>
        <w:spacing w:before="240" w:after="240" w:line="480" w:lineRule="auto"/>
        <w:jc w:val="both"/>
        <w:rPr>
          <w:rFonts w:ascii="Times New Roman" w:eastAsia="Times New Roman" w:hAnsi="Times New Roman" w:cs="Times New Roman"/>
          <w:b/>
          <w:bCs/>
          <w:color w:val="auto"/>
        </w:rPr>
      </w:pPr>
      <w:bookmarkStart w:id="33" w:name="_Toc790942300"/>
      <w:r w:rsidRPr="561FEA06">
        <w:rPr>
          <w:rFonts w:ascii="Times New Roman" w:eastAsia="Times New Roman" w:hAnsi="Times New Roman" w:cs="Times New Roman"/>
          <w:b/>
          <w:bCs/>
          <w:color w:val="auto"/>
        </w:rPr>
        <w:t xml:space="preserve">2.3.3. </w:t>
      </w:r>
      <w:r w:rsidR="194912CB" w:rsidRPr="561FEA06">
        <w:rPr>
          <w:rFonts w:ascii="Times New Roman" w:eastAsia="Times New Roman" w:hAnsi="Times New Roman" w:cs="Times New Roman"/>
          <w:b/>
          <w:bCs/>
          <w:color w:val="auto"/>
        </w:rPr>
        <w:t>Payables Period</w:t>
      </w:r>
      <w:bookmarkEnd w:id="33"/>
    </w:p>
    <w:p w14:paraId="549C39D5" w14:textId="372245F0" w:rsidR="2B659CE8" w:rsidRDefault="2B659CE8"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Payables Period </w:t>
      </w:r>
      <w:proofErr w:type="gramStart"/>
      <w:r w:rsidRPr="561FEA06">
        <w:rPr>
          <w:rFonts w:ascii="Times New Roman" w:eastAsia="Times New Roman" w:hAnsi="Times New Roman" w:cs="Times New Roman"/>
        </w:rPr>
        <w:t>is used</w:t>
      </w:r>
      <w:proofErr w:type="gramEnd"/>
      <w:r w:rsidRPr="561FEA06">
        <w:rPr>
          <w:rFonts w:ascii="Times New Roman" w:eastAsia="Times New Roman" w:hAnsi="Times New Roman" w:cs="Times New Roman"/>
        </w:rPr>
        <w:t xml:space="preserve"> to gauge how long </w:t>
      </w:r>
      <w:r w:rsidR="17C685D6"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takes to pay a supplier. A longer payables duration will aid in keeping cash, yet an overabundance of delays can damage supplier ties.</w:t>
      </w:r>
    </w:p>
    <w:p w14:paraId="031C2F0C" w14:textId="2E23673F" w:rsidR="2B659CE8" w:rsidRDefault="2B659CE8"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34" w:name="_Toc218293717"/>
      <w:r w:rsidRPr="561FEA06">
        <w:rPr>
          <w:rFonts w:ascii="Times New Roman" w:eastAsia="Times New Roman" w:hAnsi="Times New Roman" w:cs="Times New Roman"/>
          <w:b/>
          <w:bCs/>
          <w:color w:val="auto"/>
          <w:sz w:val="24"/>
          <w:szCs w:val="24"/>
        </w:rPr>
        <w:t>2.</w:t>
      </w:r>
      <w:r w:rsidR="194912CB" w:rsidRPr="561FEA06">
        <w:rPr>
          <w:rFonts w:ascii="Times New Roman" w:eastAsia="Times New Roman" w:hAnsi="Times New Roman" w:cs="Times New Roman"/>
          <w:b/>
          <w:bCs/>
          <w:color w:val="auto"/>
          <w:sz w:val="24"/>
          <w:szCs w:val="24"/>
        </w:rPr>
        <w:t>3. Analysis of the Cash Operating Cycle (2019–2023)</w:t>
      </w:r>
      <w:bookmarkEnd w:id="34"/>
    </w:p>
    <w:p w14:paraId="359E946F" w14:textId="3CE1B5A5" w:rsidR="10FCC8EC" w:rsidRDefault="10FCC8EC"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To explore the working capital efficiency of </w:t>
      </w:r>
      <w:r w:rsidR="48E24A8C" w:rsidRPr="561FEA06">
        <w:rPr>
          <w:rFonts w:ascii="Times New Roman" w:eastAsia="Times New Roman" w:hAnsi="Times New Roman" w:cs="Times New Roman"/>
        </w:rPr>
        <w:t>Toyota</w:t>
      </w:r>
      <w:r w:rsidRPr="561FEA06">
        <w:rPr>
          <w:rFonts w:ascii="Times New Roman" w:eastAsia="Times New Roman" w:hAnsi="Times New Roman" w:cs="Times New Roman"/>
        </w:rPr>
        <w:t>, Table 4 shows the important variables in the cash operating cycle in the last 5 years.</w:t>
      </w:r>
    </w:p>
    <w:p w14:paraId="3EF84FDB" w14:textId="0B3A8B21" w:rsidR="194912CB" w:rsidRDefault="194912CB"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Table 4: Cash Operating Cycle Components (2019–2023)</w:t>
      </w:r>
    </w:p>
    <w:tbl>
      <w:tblPr>
        <w:tblStyle w:val="PlainTable2"/>
        <w:tblW w:w="0" w:type="auto"/>
        <w:tblInd w:w="-195" w:type="dxa"/>
        <w:tblLook w:val="06A0" w:firstRow="1" w:lastRow="0" w:firstColumn="1" w:lastColumn="0" w:noHBand="1" w:noVBand="1"/>
      </w:tblPr>
      <w:tblGrid>
        <w:gridCol w:w="1235"/>
        <w:gridCol w:w="1779"/>
        <w:gridCol w:w="1861"/>
        <w:gridCol w:w="2019"/>
        <w:gridCol w:w="2661"/>
      </w:tblGrid>
      <w:tr w:rsidR="561FEA06" w14:paraId="04A334E8" w14:textId="77777777" w:rsidTr="561FEA0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90" w:type="dxa"/>
          </w:tcPr>
          <w:p w14:paraId="3635DFC2" w14:textId="7E7475B5" w:rsidR="561FEA06" w:rsidRDefault="561FEA06" w:rsidP="561FEA06">
            <w:pPr>
              <w:spacing w:line="480" w:lineRule="auto"/>
              <w:jc w:val="center"/>
              <w:rPr>
                <w:sz w:val="20"/>
                <w:szCs w:val="20"/>
              </w:rPr>
            </w:pPr>
            <w:r w:rsidRPr="561FEA06">
              <w:rPr>
                <w:sz w:val="20"/>
                <w:szCs w:val="20"/>
              </w:rPr>
              <w:t>Year</w:t>
            </w:r>
          </w:p>
        </w:tc>
        <w:tc>
          <w:tcPr>
            <w:tcW w:w="1845" w:type="dxa"/>
          </w:tcPr>
          <w:p w14:paraId="2B9DD6B7" w14:textId="441C94F6"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561FEA06">
              <w:rPr>
                <w:sz w:val="20"/>
                <w:szCs w:val="20"/>
              </w:rPr>
              <w:t>Inventory Period (Days)</w:t>
            </w:r>
          </w:p>
        </w:tc>
        <w:tc>
          <w:tcPr>
            <w:tcW w:w="1920" w:type="dxa"/>
          </w:tcPr>
          <w:p w14:paraId="48DB5364" w14:textId="3788EFCF"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561FEA06">
              <w:rPr>
                <w:sz w:val="20"/>
                <w:szCs w:val="20"/>
              </w:rPr>
              <w:t>Receivables Period (Days)</w:t>
            </w:r>
          </w:p>
        </w:tc>
        <w:tc>
          <w:tcPr>
            <w:tcW w:w="2115" w:type="dxa"/>
          </w:tcPr>
          <w:p w14:paraId="57CCC35E" w14:textId="2237686D"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561FEA06">
              <w:rPr>
                <w:sz w:val="20"/>
                <w:szCs w:val="20"/>
              </w:rPr>
              <w:t>Payables Period (Days)</w:t>
            </w:r>
          </w:p>
        </w:tc>
        <w:tc>
          <w:tcPr>
            <w:tcW w:w="2805" w:type="dxa"/>
          </w:tcPr>
          <w:p w14:paraId="5D8C128F" w14:textId="2B85EE57"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561FEA06">
              <w:rPr>
                <w:sz w:val="20"/>
                <w:szCs w:val="20"/>
              </w:rPr>
              <w:t>Cash Operating Cycle (Days)</w:t>
            </w:r>
          </w:p>
        </w:tc>
      </w:tr>
      <w:tr w:rsidR="561FEA06" w14:paraId="4C4DB6AC"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290" w:type="dxa"/>
          </w:tcPr>
          <w:p w14:paraId="15916CA0" w14:textId="22AA1C7D" w:rsidR="561FEA06" w:rsidRDefault="561FEA06" w:rsidP="561FEA06">
            <w:pPr>
              <w:spacing w:line="480" w:lineRule="auto"/>
              <w:jc w:val="center"/>
              <w:rPr>
                <w:sz w:val="20"/>
                <w:szCs w:val="20"/>
              </w:rPr>
            </w:pPr>
            <w:r w:rsidRPr="561FEA06">
              <w:rPr>
                <w:sz w:val="20"/>
                <w:szCs w:val="20"/>
              </w:rPr>
              <w:t>2019</w:t>
            </w:r>
          </w:p>
        </w:tc>
        <w:tc>
          <w:tcPr>
            <w:tcW w:w="1845" w:type="dxa"/>
          </w:tcPr>
          <w:p w14:paraId="1076EC90" w14:textId="1D318968"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120</w:t>
            </w:r>
          </w:p>
        </w:tc>
        <w:tc>
          <w:tcPr>
            <w:tcW w:w="1920" w:type="dxa"/>
          </w:tcPr>
          <w:p w14:paraId="1AF34D32" w14:textId="3F3E0A34"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60</w:t>
            </w:r>
          </w:p>
        </w:tc>
        <w:tc>
          <w:tcPr>
            <w:tcW w:w="2115" w:type="dxa"/>
          </w:tcPr>
          <w:p w14:paraId="47FF06C9" w14:textId="7D162342"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90</w:t>
            </w:r>
          </w:p>
        </w:tc>
        <w:tc>
          <w:tcPr>
            <w:tcW w:w="2805" w:type="dxa"/>
          </w:tcPr>
          <w:p w14:paraId="6A286837" w14:textId="64B82A53"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90</w:t>
            </w:r>
          </w:p>
        </w:tc>
      </w:tr>
      <w:tr w:rsidR="561FEA06" w14:paraId="0EAEB472"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290" w:type="dxa"/>
          </w:tcPr>
          <w:p w14:paraId="1E36527F" w14:textId="6F6B36EB" w:rsidR="561FEA06" w:rsidRDefault="561FEA06" w:rsidP="561FEA06">
            <w:pPr>
              <w:spacing w:line="480" w:lineRule="auto"/>
              <w:jc w:val="center"/>
              <w:rPr>
                <w:sz w:val="20"/>
                <w:szCs w:val="20"/>
              </w:rPr>
            </w:pPr>
            <w:r w:rsidRPr="561FEA06">
              <w:rPr>
                <w:sz w:val="20"/>
                <w:szCs w:val="20"/>
              </w:rPr>
              <w:t>2020</w:t>
            </w:r>
          </w:p>
        </w:tc>
        <w:tc>
          <w:tcPr>
            <w:tcW w:w="1845" w:type="dxa"/>
          </w:tcPr>
          <w:p w14:paraId="3B1EA71C" w14:textId="69964545"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115</w:t>
            </w:r>
          </w:p>
        </w:tc>
        <w:tc>
          <w:tcPr>
            <w:tcW w:w="1920" w:type="dxa"/>
          </w:tcPr>
          <w:p w14:paraId="26B2CFDE" w14:textId="130283FF"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65</w:t>
            </w:r>
          </w:p>
        </w:tc>
        <w:tc>
          <w:tcPr>
            <w:tcW w:w="2115" w:type="dxa"/>
          </w:tcPr>
          <w:p w14:paraId="0FE70166" w14:textId="4AED4BA7"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85</w:t>
            </w:r>
          </w:p>
        </w:tc>
        <w:tc>
          <w:tcPr>
            <w:tcW w:w="2805" w:type="dxa"/>
          </w:tcPr>
          <w:p w14:paraId="0433A2D3" w14:textId="527D44DC"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95</w:t>
            </w:r>
          </w:p>
        </w:tc>
      </w:tr>
      <w:tr w:rsidR="561FEA06" w14:paraId="64A48444"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290" w:type="dxa"/>
          </w:tcPr>
          <w:p w14:paraId="380F6EBB" w14:textId="6CF0AC3F" w:rsidR="561FEA06" w:rsidRDefault="561FEA06" w:rsidP="561FEA06">
            <w:pPr>
              <w:spacing w:line="480" w:lineRule="auto"/>
              <w:jc w:val="center"/>
              <w:rPr>
                <w:sz w:val="20"/>
                <w:szCs w:val="20"/>
              </w:rPr>
            </w:pPr>
            <w:r w:rsidRPr="561FEA06">
              <w:rPr>
                <w:sz w:val="20"/>
                <w:szCs w:val="20"/>
              </w:rPr>
              <w:lastRenderedPageBreak/>
              <w:t>2021</w:t>
            </w:r>
          </w:p>
        </w:tc>
        <w:tc>
          <w:tcPr>
            <w:tcW w:w="1845" w:type="dxa"/>
          </w:tcPr>
          <w:p w14:paraId="56D3308A" w14:textId="57A8DA1F"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110</w:t>
            </w:r>
          </w:p>
        </w:tc>
        <w:tc>
          <w:tcPr>
            <w:tcW w:w="1920" w:type="dxa"/>
          </w:tcPr>
          <w:p w14:paraId="424537C9" w14:textId="137AEB97"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70</w:t>
            </w:r>
          </w:p>
        </w:tc>
        <w:tc>
          <w:tcPr>
            <w:tcW w:w="2115" w:type="dxa"/>
          </w:tcPr>
          <w:p w14:paraId="449BDA15" w14:textId="2971028A"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80</w:t>
            </w:r>
          </w:p>
        </w:tc>
        <w:tc>
          <w:tcPr>
            <w:tcW w:w="2805" w:type="dxa"/>
          </w:tcPr>
          <w:p w14:paraId="7957935A" w14:textId="5E293CAC"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100</w:t>
            </w:r>
          </w:p>
        </w:tc>
      </w:tr>
      <w:tr w:rsidR="561FEA06" w14:paraId="43498227"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290" w:type="dxa"/>
          </w:tcPr>
          <w:p w14:paraId="2318B1F9" w14:textId="4E841755" w:rsidR="561FEA06" w:rsidRDefault="561FEA06" w:rsidP="561FEA06">
            <w:pPr>
              <w:spacing w:line="480" w:lineRule="auto"/>
              <w:jc w:val="center"/>
              <w:rPr>
                <w:sz w:val="20"/>
                <w:szCs w:val="20"/>
              </w:rPr>
            </w:pPr>
            <w:r w:rsidRPr="561FEA06">
              <w:rPr>
                <w:sz w:val="20"/>
                <w:szCs w:val="20"/>
              </w:rPr>
              <w:t>2022</w:t>
            </w:r>
          </w:p>
        </w:tc>
        <w:tc>
          <w:tcPr>
            <w:tcW w:w="1845" w:type="dxa"/>
          </w:tcPr>
          <w:p w14:paraId="113CA82C" w14:textId="4FC838AE"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100</w:t>
            </w:r>
          </w:p>
        </w:tc>
        <w:tc>
          <w:tcPr>
            <w:tcW w:w="1920" w:type="dxa"/>
          </w:tcPr>
          <w:p w14:paraId="6B572711" w14:textId="05F6FEA0"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75</w:t>
            </w:r>
          </w:p>
        </w:tc>
        <w:tc>
          <w:tcPr>
            <w:tcW w:w="2115" w:type="dxa"/>
          </w:tcPr>
          <w:p w14:paraId="1ABF56E4" w14:textId="33B33A62"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75</w:t>
            </w:r>
          </w:p>
        </w:tc>
        <w:tc>
          <w:tcPr>
            <w:tcW w:w="2805" w:type="dxa"/>
          </w:tcPr>
          <w:p w14:paraId="000D24AE" w14:textId="2CD2745C"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100</w:t>
            </w:r>
          </w:p>
        </w:tc>
      </w:tr>
      <w:tr w:rsidR="561FEA06" w14:paraId="7E12D1C7"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1290" w:type="dxa"/>
          </w:tcPr>
          <w:p w14:paraId="32D8477E" w14:textId="7454B688" w:rsidR="561FEA06" w:rsidRDefault="561FEA06" w:rsidP="561FEA06">
            <w:pPr>
              <w:spacing w:line="480" w:lineRule="auto"/>
              <w:jc w:val="center"/>
              <w:rPr>
                <w:sz w:val="20"/>
                <w:szCs w:val="20"/>
              </w:rPr>
            </w:pPr>
            <w:r w:rsidRPr="561FEA06">
              <w:rPr>
                <w:sz w:val="20"/>
                <w:szCs w:val="20"/>
              </w:rPr>
              <w:t>2023</w:t>
            </w:r>
          </w:p>
        </w:tc>
        <w:tc>
          <w:tcPr>
            <w:tcW w:w="1845" w:type="dxa"/>
          </w:tcPr>
          <w:p w14:paraId="1D606E8E" w14:textId="14E6E29A"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105</w:t>
            </w:r>
          </w:p>
        </w:tc>
        <w:tc>
          <w:tcPr>
            <w:tcW w:w="1920" w:type="dxa"/>
          </w:tcPr>
          <w:p w14:paraId="1808073B" w14:textId="589C86CE"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80</w:t>
            </w:r>
          </w:p>
        </w:tc>
        <w:tc>
          <w:tcPr>
            <w:tcW w:w="2115" w:type="dxa"/>
          </w:tcPr>
          <w:p w14:paraId="5B69D056" w14:textId="72E1046B"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80</w:t>
            </w:r>
          </w:p>
        </w:tc>
        <w:tc>
          <w:tcPr>
            <w:tcW w:w="2805" w:type="dxa"/>
          </w:tcPr>
          <w:p w14:paraId="6C18E117" w14:textId="1856E234"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561FEA06">
              <w:rPr>
                <w:sz w:val="20"/>
                <w:szCs w:val="20"/>
              </w:rPr>
              <w:t>105</w:t>
            </w:r>
          </w:p>
        </w:tc>
      </w:tr>
    </w:tbl>
    <w:p w14:paraId="01BA0C68" w14:textId="6894ADD3" w:rsidR="5967662B" w:rsidRDefault="5967662B" w:rsidP="561FEA06">
      <w:pPr>
        <w:spacing w:before="240" w:after="240" w:line="480" w:lineRule="auto"/>
        <w:jc w:val="both"/>
        <w:rPr>
          <w:rFonts w:ascii="Times New Roman" w:eastAsia="Times New Roman" w:hAnsi="Times New Roman" w:cs="Times New Roman"/>
          <w:i/>
          <w:iCs/>
        </w:rPr>
      </w:pPr>
      <w:r w:rsidRPr="561FEA06">
        <w:rPr>
          <w:rFonts w:ascii="Times New Roman" w:eastAsia="Times New Roman" w:hAnsi="Times New Roman" w:cs="Times New Roman"/>
          <w:i/>
          <w:iCs/>
        </w:rPr>
        <w:t xml:space="preserve">(Source: Derived from </w:t>
      </w:r>
      <w:r w:rsidR="33AC0ABF" w:rsidRPr="561FEA06">
        <w:rPr>
          <w:rFonts w:ascii="Times New Roman" w:eastAsia="Times New Roman" w:hAnsi="Times New Roman" w:cs="Times New Roman"/>
          <w:i/>
          <w:iCs/>
        </w:rPr>
        <w:t>Toyota</w:t>
      </w:r>
      <w:r w:rsidRPr="561FEA06">
        <w:rPr>
          <w:rFonts w:ascii="Times New Roman" w:eastAsia="Times New Roman" w:hAnsi="Times New Roman" w:cs="Times New Roman"/>
          <w:i/>
          <w:iCs/>
        </w:rPr>
        <w:t xml:space="preserve"> Annual Reports, 2019–2023)</w:t>
      </w:r>
    </w:p>
    <w:p w14:paraId="3A03A144" w14:textId="28708E64" w:rsidR="0E8E1B85" w:rsidRDefault="0E8E1B85"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35" w:name="_Toc1476594916"/>
      <w:r w:rsidRPr="561FEA06">
        <w:rPr>
          <w:rFonts w:ascii="Times New Roman" w:eastAsia="Times New Roman" w:hAnsi="Times New Roman" w:cs="Times New Roman"/>
          <w:b/>
          <w:bCs/>
          <w:color w:val="auto"/>
          <w:sz w:val="24"/>
          <w:szCs w:val="24"/>
        </w:rPr>
        <w:t>4. Trend Analysis of Cash Operating Cycle</w:t>
      </w:r>
      <w:bookmarkEnd w:id="35"/>
    </w:p>
    <w:p w14:paraId="0296A63C" w14:textId="481A7553" w:rsidR="0E8E1B85" w:rsidRDefault="0E8E1B85" w:rsidP="561FEA06">
      <w:pPr>
        <w:pStyle w:val="Heading3"/>
        <w:spacing w:before="281" w:after="281" w:line="480" w:lineRule="auto"/>
        <w:jc w:val="both"/>
        <w:rPr>
          <w:rFonts w:ascii="Times New Roman" w:eastAsia="Times New Roman" w:hAnsi="Times New Roman" w:cs="Times New Roman"/>
          <w:b/>
          <w:bCs/>
          <w:color w:val="auto"/>
          <w:sz w:val="24"/>
          <w:szCs w:val="24"/>
        </w:rPr>
      </w:pPr>
      <w:bookmarkStart w:id="36" w:name="_Toc2011738862"/>
      <w:r w:rsidRPr="561FEA06">
        <w:rPr>
          <w:rFonts w:ascii="Times New Roman" w:eastAsia="Times New Roman" w:hAnsi="Times New Roman" w:cs="Times New Roman"/>
          <w:b/>
          <w:bCs/>
          <w:color w:val="auto"/>
          <w:sz w:val="24"/>
          <w:szCs w:val="24"/>
        </w:rPr>
        <w:t>Figure 3: Trends in Cash Operating Cycle (2019–2023)</w:t>
      </w:r>
      <w:bookmarkEnd w:id="36"/>
    </w:p>
    <w:p w14:paraId="0A6B973E" w14:textId="05AC2E1C" w:rsidR="016581D3" w:rsidRDefault="016581D3" w:rsidP="561FEA06">
      <w:pPr>
        <w:jc w:val="center"/>
      </w:pPr>
      <w:r>
        <w:rPr>
          <w:noProof/>
          <w:lang w:val="en-IN" w:eastAsia="en-IN"/>
        </w:rPr>
        <w:drawing>
          <wp:inline distT="0" distB="0" distL="0" distR="0" wp14:anchorId="686E7C05" wp14:editId="59676F0B">
            <wp:extent cx="4914941" cy="2657502"/>
            <wp:effectExtent l="0" t="0" r="0" b="0"/>
            <wp:docPr id="9727787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778795" name="Picture 972778795"/>
                    <pic:cNvPicPr/>
                  </pic:nvPicPr>
                  <pic:blipFill>
                    <a:blip r:embed="rId8">
                      <a:extLst>
                        <a:ext uri="{28A0092B-C50C-407E-A947-70E740481C1C}">
                          <a14:useLocalDpi xmlns:a14="http://schemas.microsoft.com/office/drawing/2010/main"/>
                        </a:ext>
                      </a:extLst>
                    </a:blip>
                    <a:srcRect l="9134" t="15625" r="8173" b="17307"/>
                    <a:stretch>
                      <a:fillRect/>
                    </a:stretch>
                  </pic:blipFill>
                  <pic:spPr>
                    <a:xfrm>
                      <a:off x="0" y="0"/>
                      <a:ext cx="4914941" cy="2657502"/>
                    </a:xfrm>
                    <a:prstGeom prst="rect">
                      <a:avLst/>
                    </a:prstGeom>
                  </pic:spPr>
                </pic:pic>
              </a:graphicData>
            </a:graphic>
          </wp:inline>
        </w:drawing>
      </w:r>
    </w:p>
    <w:p w14:paraId="69DE8C08" w14:textId="5FD3B09F" w:rsidR="0E8E1B85" w:rsidRDefault="0E8E1B85" w:rsidP="561FEA06">
      <w:pPr>
        <w:spacing w:before="240" w:after="240" w:line="480" w:lineRule="auto"/>
        <w:jc w:val="both"/>
        <w:rPr>
          <w:rFonts w:ascii="Times New Roman" w:eastAsia="Times New Roman" w:hAnsi="Times New Roman" w:cs="Times New Roman"/>
          <w:i/>
          <w:iCs/>
        </w:rPr>
      </w:pPr>
      <w:r w:rsidRPr="561FEA06">
        <w:rPr>
          <w:rFonts w:ascii="Times New Roman" w:eastAsia="Times New Roman" w:hAnsi="Times New Roman" w:cs="Times New Roman"/>
          <w:i/>
          <w:iCs/>
        </w:rPr>
        <w:t>(Source: Derived from Table 4)</w:t>
      </w:r>
    </w:p>
    <w:p w14:paraId="265974DD" w14:textId="6B00ACFD" w:rsidR="57151710" w:rsidRDefault="57151710" w:rsidP="561FEA06">
      <w:pPr>
        <w:spacing w:before="240" w:after="240" w:line="480" w:lineRule="auto"/>
        <w:jc w:val="both"/>
        <w:rPr>
          <w:rFonts w:ascii="Times New Roman" w:eastAsia="Times New Roman" w:hAnsi="Times New Roman" w:cs="Times New Roman"/>
          <w:i/>
          <w:iCs/>
        </w:rPr>
      </w:pPr>
      <w:r w:rsidRPr="561FEA06">
        <w:rPr>
          <w:rFonts w:ascii="Times New Roman" w:eastAsia="Times New Roman" w:hAnsi="Times New Roman" w:cs="Times New Roman"/>
        </w:rPr>
        <w:t xml:space="preserve">The data shows that the cash operating cycle is gradually growing steadily, as in </w:t>
      </w:r>
      <w:proofErr w:type="gramStart"/>
      <w:r w:rsidRPr="561FEA06">
        <w:rPr>
          <w:rFonts w:ascii="Times New Roman" w:eastAsia="Times New Roman" w:hAnsi="Times New Roman" w:cs="Times New Roman"/>
        </w:rPr>
        <w:t>2019</w:t>
      </w:r>
      <w:proofErr w:type="gramEnd"/>
      <w:r w:rsidRPr="561FEA06">
        <w:rPr>
          <w:rFonts w:ascii="Times New Roman" w:eastAsia="Times New Roman" w:hAnsi="Times New Roman" w:cs="Times New Roman"/>
        </w:rPr>
        <w:t xml:space="preserve"> it was 90 days, and in 2023 it stays 105 days. Such </w:t>
      </w:r>
      <w:r w:rsidR="17635902" w:rsidRPr="561FEA06">
        <w:rPr>
          <w:rFonts w:ascii="Times New Roman" w:eastAsia="Times New Roman" w:hAnsi="Times New Roman" w:cs="Times New Roman"/>
        </w:rPr>
        <w:t>a positive</w:t>
      </w:r>
      <w:r w:rsidRPr="561FEA06">
        <w:rPr>
          <w:rFonts w:ascii="Times New Roman" w:eastAsia="Times New Roman" w:hAnsi="Times New Roman" w:cs="Times New Roman"/>
        </w:rPr>
        <w:t xml:space="preserve"> trend indicates decreasing effectiveness of working capital management and decreased cash conversion within a time interval.</w:t>
      </w:r>
    </w:p>
    <w:p w14:paraId="748F9750" w14:textId="258AF50A" w:rsidR="57151710" w:rsidRDefault="57151710"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37" w:name="_Toc1515753497"/>
      <w:r w:rsidRPr="561FEA06">
        <w:rPr>
          <w:rFonts w:ascii="Times New Roman" w:eastAsia="Times New Roman" w:hAnsi="Times New Roman" w:cs="Times New Roman"/>
          <w:b/>
          <w:bCs/>
          <w:color w:val="auto"/>
          <w:sz w:val="24"/>
          <w:szCs w:val="24"/>
        </w:rPr>
        <w:lastRenderedPageBreak/>
        <w:t>2.</w:t>
      </w:r>
      <w:r w:rsidR="0E8E1B85" w:rsidRPr="561FEA06">
        <w:rPr>
          <w:rFonts w:ascii="Times New Roman" w:eastAsia="Times New Roman" w:hAnsi="Times New Roman" w:cs="Times New Roman"/>
          <w:b/>
          <w:bCs/>
          <w:color w:val="auto"/>
          <w:sz w:val="24"/>
          <w:szCs w:val="24"/>
        </w:rPr>
        <w:t>5. Assessment of Cash Operating Cycle Components</w:t>
      </w:r>
      <w:bookmarkEnd w:id="37"/>
    </w:p>
    <w:p w14:paraId="7E72F362" w14:textId="5613FC57" w:rsidR="510AC130" w:rsidRDefault="510AC130" w:rsidP="561FEA06">
      <w:pPr>
        <w:pStyle w:val="Heading3"/>
        <w:spacing w:before="281" w:after="281" w:line="480" w:lineRule="auto"/>
        <w:jc w:val="both"/>
        <w:rPr>
          <w:rFonts w:ascii="Times New Roman" w:eastAsia="Times New Roman" w:hAnsi="Times New Roman" w:cs="Times New Roman"/>
          <w:b/>
          <w:bCs/>
          <w:color w:val="auto"/>
          <w:sz w:val="24"/>
          <w:szCs w:val="24"/>
        </w:rPr>
      </w:pPr>
      <w:bookmarkStart w:id="38" w:name="_Toc1377282143"/>
      <w:r w:rsidRPr="561FEA06">
        <w:rPr>
          <w:rFonts w:ascii="Times New Roman" w:eastAsia="Times New Roman" w:hAnsi="Times New Roman" w:cs="Times New Roman"/>
          <w:b/>
          <w:bCs/>
          <w:color w:val="auto"/>
          <w:sz w:val="24"/>
          <w:szCs w:val="24"/>
        </w:rPr>
        <w:t>2.</w:t>
      </w:r>
      <w:r w:rsidR="0E8E1B85" w:rsidRPr="561FEA06">
        <w:rPr>
          <w:rFonts w:ascii="Times New Roman" w:eastAsia="Times New Roman" w:hAnsi="Times New Roman" w:cs="Times New Roman"/>
          <w:b/>
          <w:bCs/>
          <w:color w:val="auto"/>
          <w:sz w:val="24"/>
          <w:szCs w:val="24"/>
        </w:rPr>
        <w:t>5.1 Inventory Period Analysis</w:t>
      </w:r>
      <w:bookmarkEnd w:id="38"/>
    </w:p>
    <w:p w14:paraId="377D71DF" w14:textId="00D107EB" w:rsidR="1C4B71FA" w:rsidRDefault="1C4B71FA"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Inventory Period </w:t>
      </w:r>
      <w:proofErr w:type="gramStart"/>
      <w:r w:rsidRPr="561FEA06">
        <w:rPr>
          <w:rFonts w:ascii="Times New Roman" w:eastAsia="Times New Roman" w:hAnsi="Times New Roman" w:cs="Times New Roman"/>
        </w:rPr>
        <w:t>was reduced</w:t>
      </w:r>
      <w:proofErr w:type="gramEnd"/>
      <w:r w:rsidRPr="561FEA06">
        <w:rPr>
          <w:rFonts w:ascii="Times New Roman" w:eastAsia="Times New Roman" w:hAnsi="Times New Roman" w:cs="Times New Roman"/>
        </w:rPr>
        <w:t xml:space="preserve"> in 2022 as compared to 2019 120 days to 100 days, showing better inventory control and quicker turnover of stock. This could be associated with improved demand forecasting and efficiency of production. The minor rise to 105 days in 2023 is however an indication of new </w:t>
      </w:r>
      <w:proofErr w:type="gramStart"/>
      <w:r w:rsidRPr="561FEA06">
        <w:rPr>
          <w:rFonts w:ascii="Times New Roman" w:eastAsia="Times New Roman" w:hAnsi="Times New Roman" w:cs="Times New Roman"/>
        </w:rPr>
        <w:t>challenges which may be a supply chain</w:t>
      </w:r>
      <w:proofErr w:type="gramEnd"/>
      <w:r w:rsidRPr="561FEA06">
        <w:rPr>
          <w:rFonts w:ascii="Times New Roman" w:eastAsia="Times New Roman" w:hAnsi="Times New Roman" w:cs="Times New Roman"/>
        </w:rPr>
        <w:t xml:space="preserve"> issue or changing EV demand.</w:t>
      </w:r>
    </w:p>
    <w:p w14:paraId="408D4BE3" w14:textId="10DC71E3" w:rsidR="0E8E1B85" w:rsidRDefault="0E8E1B85"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39" w:name="_Toc140931312"/>
      <w:r w:rsidRPr="561FEA06">
        <w:rPr>
          <w:rFonts w:ascii="Times New Roman" w:eastAsia="Times New Roman" w:hAnsi="Times New Roman" w:cs="Times New Roman"/>
          <w:b/>
          <w:bCs/>
          <w:color w:val="auto"/>
          <w:sz w:val="24"/>
          <w:szCs w:val="24"/>
        </w:rPr>
        <w:t>5.2 Receivables Period Analysis</w:t>
      </w:r>
      <w:bookmarkEnd w:id="39"/>
    </w:p>
    <w:p w14:paraId="71EF1E2E" w14:textId="2A5E2D77" w:rsidR="6CF77B1E" w:rsidRDefault="6CF77B1E"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Receivables Period has been gradually rising </w:t>
      </w:r>
      <w:proofErr w:type="gramStart"/>
      <w:r w:rsidRPr="561FEA06">
        <w:rPr>
          <w:rFonts w:ascii="Times New Roman" w:eastAsia="Times New Roman" w:hAnsi="Times New Roman" w:cs="Times New Roman"/>
        </w:rPr>
        <w:t>since 60 days in 2019 up to 80 days in 2023</w:t>
      </w:r>
      <w:proofErr w:type="gramEnd"/>
      <w:r w:rsidRPr="561FEA06">
        <w:rPr>
          <w:rFonts w:ascii="Times New Roman" w:eastAsia="Times New Roman" w:hAnsi="Times New Roman" w:cs="Times New Roman"/>
        </w:rPr>
        <w:t xml:space="preserve">. This is a big trend of concern in that it shows a delay in paying customers. This inefficiency may be due to weak credit policies or longer credit terms that are in turn affecting the liquidity position of </w:t>
      </w:r>
      <w:r w:rsidR="2210A584" w:rsidRPr="561FEA06">
        <w:rPr>
          <w:rFonts w:ascii="Times New Roman" w:eastAsia="Times New Roman" w:hAnsi="Times New Roman" w:cs="Times New Roman"/>
        </w:rPr>
        <w:t>Toyota</w:t>
      </w:r>
      <w:r w:rsidRPr="561FEA06">
        <w:rPr>
          <w:rFonts w:ascii="Times New Roman" w:eastAsia="Times New Roman" w:hAnsi="Times New Roman" w:cs="Times New Roman"/>
        </w:rPr>
        <w:t>.</w:t>
      </w:r>
    </w:p>
    <w:p w14:paraId="46787E5A" w14:textId="1D7183FC" w:rsidR="0E8E1B85" w:rsidRDefault="0E8E1B85"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40" w:name="_Toc924598207"/>
      <w:r w:rsidRPr="561FEA06">
        <w:rPr>
          <w:rFonts w:ascii="Times New Roman" w:eastAsia="Times New Roman" w:hAnsi="Times New Roman" w:cs="Times New Roman"/>
          <w:b/>
          <w:bCs/>
          <w:color w:val="auto"/>
          <w:sz w:val="24"/>
          <w:szCs w:val="24"/>
        </w:rPr>
        <w:t>5.3 Payables Period Analysis</w:t>
      </w:r>
      <w:bookmarkEnd w:id="40"/>
    </w:p>
    <w:p w14:paraId="28D0EFA7" w14:textId="43C63441" w:rsidR="487C572F" w:rsidRDefault="487C572F"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Payables Period has decreased in 2022 to 75 days since the 2019 90 </w:t>
      </w:r>
      <w:r w:rsidR="3F014875" w:rsidRPr="561FEA06">
        <w:rPr>
          <w:rFonts w:ascii="Times New Roman" w:eastAsia="Times New Roman" w:hAnsi="Times New Roman" w:cs="Times New Roman"/>
        </w:rPr>
        <w:t>days,</w:t>
      </w:r>
      <w:r w:rsidRPr="561FEA06">
        <w:rPr>
          <w:rFonts w:ascii="Times New Roman" w:eastAsia="Times New Roman" w:hAnsi="Times New Roman" w:cs="Times New Roman"/>
        </w:rPr>
        <w:t xml:space="preserve"> but it has risen slightly to 80 days in 2023. Although shorter payment periods could indicate good relations with suppliers, it also decreases the </w:t>
      </w:r>
      <w:r w:rsidR="52BE5EC9" w:rsidRPr="561FEA06">
        <w:rPr>
          <w:rFonts w:ascii="Times New Roman" w:eastAsia="Times New Roman" w:hAnsi="Times New Roman" w:cs="Times New Roman"/>
        </w:rPr>
        <w:t>company's</w:t>
      </w:r>
      <w:r w:rsidRPr="561FEA06">
        <w:rPr>
          <w:rFonts w:ascii="Times New Roman" w:eastAsia="Times New Roman" w:hAnsi="Times New Roman" w:cs="Times New Roman"/>
        </w:rPr>
        <w:t xml:space="preserve"> capacity to hold cash longer.</w:t>
      </w:r>
    </w:p>
    <w:p w14:paraId="616D068D" w14:textId="7DDE81B5" w:rsidR="487C572F" w:rsidRDefault="487C572F"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41" w:name="_Toc1297629866"/>
      <w:r w:rsidRPr="561FEA06">
        <w:rPr>
          <w:rFonts w:ascii="Times New Roman" w:eastAsia="Times New Roman" w:hAnsi="Times New Roman" w:cs="Times New Roman"/>
          <w:b/>
          <w:bCs/>
          <w:color w:val="auto"/>
          <w:sz w:val="24"/>
          <w:szCs w:val="24"/>
        </w:rPr>
        <w:t>2.</w:t>
      </w:r>
      <w:r w:rsidR="0E8E1B85" w:rsidRPr="561FEA06">
        <w:rPr>
          <w:rFonts w:ascii="Times New Roman" w:eastAsia="Times New Roman" w:hAnsi="Times New Roman" w:cs="Times New Roman"/>
          <w:b/>
          <w:bCs/>
          <w:color w:val="auto"/>
          <w:sz w:val="24"/>
          <w:szCs w:val="24"/>
        </w:rPr>
        <w:t>6. Implications of Cash Operating Cycle Trends</w:t>
      </w:r>
      <w:bookmarkEnd w:id="41"/>
    </w:p>
    <w:p w14:paraId="2838378B" w14:textId="766263C2" w:rsidR="575B4122" w:rsidRDefault="575B4122"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rising cash operating cycle indicates that </w:t>
      </w:r>
      <w:r w:rsidR="55871B49"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has a number of liquidity issues. The increasing receivables period is also quite troublesome, since it postpones the inflows of cash and sediment working capital. This, with inventory holding periods, will create a large amount of money tied up in operations. </w:t>
      </w:r>
    </w:p>
    <w:p w14:paraId="14F63983" w14:textId="67EA5212" w:rsidR="575B4122" w:rsidRDefault="575B4122"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lastRenderedPageBreak/>
        <w:t xml:space="preserve">Even though the payables period provides a certain flexibility, overlooking delayed payments may cause the relationships with suppliers to </w:t>
      </w:r>
      <w:proofErr w:type="gramStart"/>
      <w:r w:rsidRPr="561FEA06">
        <w:rPr>
          <w:rFonts w:ascii="Times New Roman" w:eastAsia="Times New Roman" w:hAnsi="Times New Roman" w:cs="Times New Roman"/>
        </w:rPr>
        <w:t>be strained</w:t>
      </w:r>
      <w:proofErr w:type="gramEnd"/>
      <w:r w:rsidRPr="561FEA06">
        <w:rPr>
          <w:rFonts w:ascii="Times New Roman" w:eastAsia="Times New Roman" w:hAnsi="Times New Roman" w:cs="Times New Roman"/>
        </w:rPr>
        <w:t xml:space="preserve"> and result in unfavorable credit terms in the future as well. </w:t>
      </w:r>
      <w:r w:rsidR="3E4B9B3F" w:rsidRPr="561FEA06">
        <w:rPr>
          <w:rFonts w:ascii="Times New Roman" w:eastAsia="Times New Roman" w:hAnsi="Times New Roman" w:cs="Times New Roman"/>
        </w:rPr>
        <w:t>Overall</w:t>
      </w:r>
      <w:r w:rsidRPr="561FEA06">
        <w:rPr>
          <w:rFonts w:ascii="Times New Roman" w:eastAsia="Times New Roman" w:hAnsi="Times New Roman" w:cs="Times New Roman"/>
        </w:rPr>
        <w:t xml:space="preserve">, the mentioned trends reveal the inefficiencies in the working capital management that may affect </w:t>
      </w:r>
      <w:r w:rsidR="614A1FA8" w:rsidRPr="561FEA06">
        <w:rPr>
          <w:rFonts w:ascii="Times New Roman" w:eastAsia="Times New Roman" w:hAnsi="Times New Roman" w:cs="Times New Roman"/>
        </w:rPr>
        <w:t>short</w:t>
      </w:r>
      <w:r w:rsidRPr="561FEA06">
        <w:rPr>
          <w:rFonts w:ascii="Times New Roman" w:eastAsia="Times New Roman" w:hAnsi="Times New Roman" w:cs="Times New Roman"/>
        </w:rPr>
        <w:t>-term financial stability.</w:t>
      </w:r>
    </w:p>
    <w:p w14:paraId="06BBEE5B" w14:textId="273045E9" w:rsidR="575B4122" w:rsidRDefault="575B4122"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42" w:name="_Toc1771007629"/>
      <w:r w:rsidRPr="561FEA06">
        <w:rPr>
          <w:rFonts w:ascii="Times New Roman" w:eastAsia="Times New Roman" w:hAnsi="Times New Roman" w:cs="Times New Roman"/>
          <w:b/>
          <w:bCs/>
          <w:color w:val="auto"/>
          <w:sz w:val="24"/>
          <w:szCs w:val="24"/>
        </w:rPr>
        <w:t>2.</w:t>
      </w:r>
      <w:r w:rsidR="0E8E1B85" w:rsidRPr="561FEA06">
        <w:rPr>
          <w:rFonts w:ascii="Times New Roman" w:eastAsia="Times New Roman" w:hAnsi="Times New Roman" w:cs="Times New Roman"/>
          <w:b/>
          <w:bCs/>
          <w:color w:val="auto"/>
          <w:sz w:val="24"/>
          <w:szCs w:val="24"/>
        </w:rPr>
        <w:t>7. Strategies for Liquidity Improvement</w:t>
      </w:r>
      <w:bookmarkEnd w:id="42"/>
    </w:p>
    <w:p w14:paraId="320ADD18" w14:textId="49048D90" w:rsidR="56E3839D" w:rsidRDefault="56E3839D"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Toyota </w:t>
      </w:r>
      <w:r w:rsidR="7A8D7611" w:rsidRPr="561FEA06">
        <w:rPr>
          <w:rFonts w:ascii="Times New Roman" w:eastAsia="Times New Roman" w:hAnsi="Times New Roman" w:cs="Times New Roman"/>
        </w:rPr>
        <w:t>needs to take a holistic approach to address the working capital aspects by improving liquidity and minimizing the cash working cycle.</w:t>
      </w:r>
    </w:p>
    <w:p w14:paraId="6D491226" w14:textId="43428166" w:rsidR="7A8D7611" w:rsidRDefault="7A8D7611"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43" w:name="_Toc1018915601"/>
      <w:r w:rsidRPr="561FEA06">
        <w:rPr>
          <w:rFonts w:ascii="Times New Roman" w:eastAsia="Times New Roman" w:hAnsi="Times New Roman" w:cs="Times New Roman"/>
          <w:b/>
          <w:bCs/>
          <w:color w:val="auto"/>
          <w:sz w:val="24"/>
          <w:szCs w:val="24"/>
        </w:rPr>
        <w:t>2.</w:t>
      </w:r>
      <w:r w:rsidR="0E8E1B85" w:rsidRPr="561FEA06">
        <w:rPr>
          <w:rFonts w:ascii="Times New Roman" w:eastAsia="Times New Roman" w:hAnsi="Times New Roman" w:cs="Times New Roman"/>
          <w:b/>
          <w:bCs/>
          <w:color w:val="auto"/>
          <w:sz w:val="24"/>
          <w:szCs w:val="24"/>
        </w:rPr>
        <w:t>7.1 Enhancing Inventory Management</w:t>
      </w:r>
      <w:bookmarkEnd w:id="43"/>
    </w:p>
    <w:p w14:paraId="6737CAA4" w14:textId="106A5249" w:rsidR="009EDACC" w:rsidRDefault="009EDACC"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One way that </w:t>
      </w:r>
      <w:r w:rsidR="1A7875E2"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can enhance inventory efficiency is through the introduction of Just-in-Time (JIT) inventory systems that will reduce excess inventory and decrease holding costs. </w:t>
      </w:r>
      <w:proofErr w:type="gramStart"/>
      <w:r w:rsidRPr="561FEA06">
        <w:rPr>
          <w:rFonts w:ascii="Times New Roman" w:eastAsia="Times New Roman" w:hAnsi="Times New Roman" w:cs="Times New Roman"/>
        </w:rPr>
        <w:t>Also</w:t>
      </w:r>
      <w:proofErr w:type="gramEnd"/>
      <w:r w:rsidRPr="561FEA06">
        <w:rPr>
          <w:rFonts w:ascii="Times New Roman" w:eastAsia="Times New Roman" w:hAnsi="Times New Roman" w:cs="Times New Roman"/>
        </w:rPr>
        <w:t>, better demand forecasting achieved by means of advanced analytics can assist in aligning production with the demand in the market, hence decreasing the inventory period.</w:t>
      </w:r>
    </w:p>
    <w:p w14:paraId="687E3F66" w14:textId="14B0BE14" w:rsidR="009EDACC" w:rsidRDefault="009EDACC"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44" w:name="_Toc444650069"/>
      <w:r w:rsidRPr="561FEA06">
        <w:rPr>
          <w:rFonts w:ascii="Times New Roman" w:eastAsia="Times New Roman" w:hAnsi="Times New Roman" w:cs="Times New Roman"/>
          <w:b/>
          <w:bCs/>
          <w:color w:val="auto"/>
          <w:sz w:val="24"/>
          <w:szCs w:val="24"/>
        </w:rPr>
        <w:t>2.</w:t>
      </w:r>
      <w:r w:rsidR="0E8E1B85" w:rsidRPr="561FEA06">
        <w:rPr>
          <w:rFonts w:ascii="Times New Roman" w:eastAsia="Times New Roman" w:hAnsi="Times New Roman" w:cs="Times New Roman"/>
          <w:b/>
          <w:bCs/>
          <w:color w:val="auto"/>
          <w:sz w:val="24"/>
          <w:szCs w:val="24"/>
        </w:rPr>
        <w:t>7.2 Improving Receivables Collection</w:t>
      </w:r>
      <w:bookmarkEnd w:id="44"/>
    </w:p>
    <w:p w14:paraId="2B504886" w14:textId="2A01355F" w:rsidR="0AE88767" w:rsidRDefault="0AE88767"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Credit control policy needs to </w:t>
      </w:r>
      <w:proofErr w:type="gramStart"/>
      <w:r w:rsidRPr="561FEA06">
        <w:rPr>
          <w:rFonts w:ascii="Times New Roman" w:eastAsia="Times New Roman" w:hAnsi="Times New Roman" w:cs="Times New Roman"/>
        </w:rPr>
        <w:t>be strengthened</w:t>
      </w:r>
      <w:proofErr w:type="gramEnd"/>
      <w:r w:rsidRPr="561FEA06">
        <w:rPr>
          <w:rFonts w:ascii="Times New Roman" w:eastAsia="Times New Roman" w:hAnsi="Times New Roman" w:cs="Times New Roman"/>
        </w:rPr>
        <w:t xml:space="preserve"> to shorten the receivables period. One of the ways that </w:t>
      </w:r>
      <w:r w:rsidR="10032E95"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should look at involves reducing credit periods and giving incentives to customers like early payments. Implementation of electronic invoicing systems can also help streamline billing procedures and speed up cash flows.</w:t>
      </w:r>
    </w:p>
    <w:p w14:paraId="0622A9D4" w14:textId="685BCD1D" w:rsidR="0AE88767" w:rsidRDefault="0AE88767"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45" w:name="_Toc1867873386"/>
      <w:r w:rsidRPr="561FEA06">
        <w:rPr>
          <w:rFonts w:ascii="Times New Roman" w:eastAsia="Times New Roman" w:hAnsi="Times New Roman" w:cs="Times New Roman"/>
          <w:b/>
          <w:bCs/>
          <w:color w:val="auto"/>
          <w:sz w:val="24"/>
          <w:szCs w:val="24"/>
        </w:rPr>
        <w:lastRenderedPageBreak/>
        <w:t>2.</w:t>
      </w:r>
      <w:r w:rsidR="0E8E1B85" w:rsidRPr="561FEA06">
        <w:rPr>
          <w:rFonts w:ascii="Times New Roman" w:eastAsia="Times New Roman" w:hAnsi="Times New Roman" w:cs="Times New Roman"/>
          <w:b/>
          <w:bCs/>
          <w:color w:val="auto"/>
          <w:sz w:val="24"/>
          <w:szCs w:val="24"/>
        </w:rPr>
        <w:t>7.3 Optimizing Payables Management</w:t>
      </w:r>
      <w:bookmarkEnd w:id="45"/>
    </w:p>
    <w:p w14:paraId="1971D18E" w14:textId="1EA57EEA" w:rsidR="2AABBC78" w:rsidRDefault="2AABBC78"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Whenever possible, </w:t>
      </w:r>
      <w:r w:rsidR="0F35301F"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ought to work out good terms of payment with the suppliers to prolong the payables period without destroying relations. Early payment discounts and strategic alliances with suppliers can serve to balance the liquidity and goodwill as well.</w:t>
      </w:r>
    </w:p>
    <w:p w14:paraId="6D8A9FAF" w14:textId="4D6A5FE0" w:rsidR="1E7AE8BF" w:rsidRDefault="1E7AE8BF" w:rsidP="561FEA06">
      <w:pPr>
        <w:pStyle w:val="Heading3"/>
        <w:spacing w:before="240" w:after="240" w:line="480" w:lineRule="auto"/>
        <w:jc w:val="both"/>
        <w:rPr>
          <w:rFonts w:ascii="Times New Roman" w:eastAsia="Times New Roman" w:hAnsi="Times New Roman" w:cs="Times New Roman"/>
          <w:b/>
          <w:bCs/>
          <w:color w:val="auto"/>
          <w:sz w:val="24"/>
          <w:szCs w:val="24"/>
        </w:rPr>
      </w:pPr>
      <w:bookmarkStart w:id="46" w:name="_Toc590563446"/>
      <w:r w:rsidRPr="561FEA06">
        <w:rPr>
          <w:rFonts w:ascii="Times New Roman" w:eastAsia="Times New Roman" w:hAnsi="Times New Roman" w:cs="Times New Roman"/>
          <w:b/>
          <w:bCs/>
          <w:color w:val="auto"/>
          <w:sz w:val="24"/>
          <w:szCs w:val="24"/>
        </w:rPr>
        <w:t>2.</w:t>
      </w:r>
      <w:r w:rsidR="0E8E1B85" w:rsidRPr="561FEA06">
        <w:rPr>
          <w:rFonts w:ascii="Times New Roman" w:eastAsia="Times New Roman" w:hAnsi="Times New Roman" w:cs="Times New Roman"/>
          <w:b/>
          <w:bCs/>
          <w:color w:val="auto"/>
          <w:sz w:val="24"/>
          <w:szCs w:val="24"/>
        </w:rPr>
        <w:t>7.4 Leveraging Technology for Cash Flow Management</w:t>
      </w:r>
      <w:bookmarkEnd w:id="46"/>
    </w:p>
    <w:p w14:paraId="5EA122A1" w14:textId="5025CD4C" w:rsidR="76769F6B" w:rsidRDefault="76769F6B"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Financial planning </w:t>
      </w:r>
      <w:proofErr w:type="gramStart"/>
      <w:r w:rsidRPr="561FEA06">
        <w:rPr>
          <w:rFonts w:ascii="Times New Roman" w:eastAsia="Times New Roman" w:hAnsi="Times New Roman" w:cs="Times New Roman"/>
        </w:rPr>
        <w:t>can be enhanced</w:t>
      </w:r>
      <w:proofErr w:type="gramEnd"/>
      <w:r w:rsidRPr="561FEA06">
        <w:rPr>
          <w:rFonts w:ascii="Times New Roman" w:eastAsia="Times New Roman" w:hAnsi="Times New Roman" w:cs="Times New Roman"/>
        </w:rPr>
        <w:t xml:space="preserve"> greatly with the application of real-time cash flow monitoring and forecasting tools. Such technologies allow promptly detect liquidity gaps and play a role in making more effective decisions regarding the management of working capital.</w:t>
      </w:r>
    </w:p>
    <w:p w14:paraId="13DD3A1D" w14:textId="6764930D" w:rsidR="5F8DF55B" w:rsidRDefault="5F8DF55B" w:rsidP="561FEA06">
      <w:pPr>
        <w:pStyle w:val="Heading2"/>
        <w:spacing w:before="240" w:after="240" w:line="480" w:lineRule="auto"/>
        <w:jc w:val="both"/>
        <w:rPr>
          <w:rFonts w:ascii="Times New Roman" w:eastAsia="Times New Roman" w:hAnsi="Times New Roman" w:cs="Times New Roman"/>
          <w:b/>
          <w:bCs/>
          <w:color w:val="auto"/>
          <w:sz w:val="24"/>
          <w:szCs w:val="24"/>
        </w:rPr>
      </w:pPr>
      <w:bookmarkStart w:id="47" w:name="_Toc355852046"/>
      <w:r w:rsidRPr="561FEA06">
        <w:rPr>
          <w:rFonts w:ascii="Times New Roman" w:eastAsia="Times New Roman" w:hAnsi="Times New Roman" w:cs="Times New Roman"/>
          <w:b/>
          <w:bCs/>
          <w:color w:val="auto"/>
          <w:sz w:val="24"/>
          <w:szCs w:val="24"/>
        </w:rPr>
        <w:t>2.</w:t>
      </w:r>
      <w:r w:rsidR="0E8E1B85" w:rsidRPr="561FEA06">
        <w:rPr>
          <w:rFonts w:ascii="Times New Roman" w:eastAsia="Times New Roman" w:hAnsi="Times New Roman" w:cs="Times New Roman"/>
          <w:b/>
          <w:bCs/>
          <w:color w:val="auto"/>
          <w:sz w:val="24"/>
          <w:szCs w:val="24"/>
        </w:rPr>
        <w:t>8. Conclusion</w:t>
      </w:r>
      <w:bookmarkEnd w:id="47"/>
    </w:p>
    <w:p w14:paraId="07D2E3E5" w14:textId="46C15542" w:rsidR="0E8E1B85" w:rsidRDefault="0E8E1B8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In conclusion, </w:t>
      </w:r>
      <w:r w:rsidR="642F42C9" w:rsidRPr="561FEA06">
        <w:rPr>
          <w:rFonts w:ascii="Times New Roman" w:eastAsia="Times New Roman" w:hAnsi="Times New Roman" w:cs="Times New Roman"/>
        </w:rPr>
        <w:t xml:space="preserve">the working capital analysis of the </w:t>
      </w:r>
      <w:r w:rsidR="1179F0D0" w:rsidRPr="561FEA06">
        <w:rPr>
          <w:rFonts w:ascii="Times New Roman" w:eastAsia="Times New Roman" w:hAnsi="Times New Roman" w:cs="Times New Roman"/>
        </w:rPr>
        <w:t>Toyota</w:t>
      </w:r>
      <w:r w:rsidR="642F42C9" w:rsidRPr="561FEA06">
        <w:rPr>
          <w:rFonts w:ascii="Times New Roman" w:eastAsia="Times New Roman" w:hAnsi="Times New Roman" w:cs="Times New Roman"/>
        </w:rPr>
        <w:t xml:space="preserve"> Motor Company indicates that the efficiency of cash conversion decreased slightly during the five years span. The resulting growth in the operating cycle of cash in form of the related increase in the receivables period, and a rise and fall in the level of inventory, are indicative of the necessity of better working capital management. </w:t>
      </w:r>
    </w:p>
    <w:p w14:paraId="4E916D72" w14:textId="09A6383B" w:rsidR="642F42C9" w:rsidRDefault="642F42C9"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Implementing the strategies that include maximising inventory, reinforcing credit policy, making use of financial technology will help </w:t>
      </w:r>
      <w:r w:rsidR="0EDBC4E6" w:rsidRPr="561FEA06">
        <w:rPr>
          <w:rFonts w:ascii="Times New Roman" w:eastAsia="Times New Roman" w:hAnsi="Times New Roman" w:cs="Times New Roman"/>
        </w:rPr>
        <w:t>Toyota</w:t>
      </w:r>
      <w:r w:rsidRPr="561FEA06">
        <w:rPr>
          <w:rFonts w:ascii="Times New Roman" w:eastAsia="Times New Roman" w:hAnsi="Times New Roman" w:cs="Times New Roman"/>
        </w:rPr>
        <w:t xml:space="preserve"> cut down the cash operating cycle and improve liquidity. These enhancements will not only help it to gain financial stability in the long term but also assist growth in the case of the competitive electric vehicle market.</w:t>
      </w:r>
    </w:p>
    <w:p w14:paraId="38122D91" w14:textId="43648BF3" w:rsidR="642F42C9" w:rsidRDefault="642F42C9" w:rsidP="561FEA06">
      <w:pPr>
        <w:pStyle w:val="Heading1"/>
        <w:rPr>
          <w:rFonts w:asciiTheme="minorHAnsi" w:eastAsiaTheme="minorEastAsia" w:hAnsiTheme="minorHAnsi" w:cstheme="minorBidi"/>
          <w:b/>
          <w:bCs/>
          <w:color w:val="auto"/>
          <w:sz w:val="28"/>
          <w:szCs w:val="28"/>
        </w:rPr>
      </w:pPr>
      <w:bookmarkStart w:id="48" w:name="_Toc1739624974"/>
      <w:r w:rsidRPr="561FEA06">
        <w:rPr>
          <w:rFonts w:asciiTheme="minorHAnsi" w:eastAsiaTheme="minorEastAsia" w:hAnsiTheme="minorHAnsi" w:cstheme="minorBidi"/>
          <w:b/>
          <w:bCs/>
          <w:color w:val="auto"/>
          <w:sz w:val="28"/>
          <w:szCs w:val="28"/>
        </w:rPr>
        <w:lastRenderedPageBreak/>
        <w:t xml:space="preserve">3. </w:t>
      </w:r>
      <w:r w:rsidR="0E8E1B85" w:rsidRPr="561FEA06">
        <w:rPr>
          <w:rFonts w:asciiTheme="minorHAnsi" w:eastAsiaTheme="minorEastAsia" w:hAnsiTheme="minorHAnsi" w:cstheme="minorBidi"/>
          <w:b/>
          <w:bCs/>
          <w:color w:val="auto"/>
          <w:sz w:val="28"/>
          <w:szCs w:val="28"/>
        </w:rPr>
        <w:t>Strategic Financial Restructuring Plan: Divestiture, Merger, and Other Financial Restructuring Options</w:t>
      </w:r>
      <w:bookmarkEnd w:id="48"/>
    </w:p>
    <w:p w14:paraId="7E7A39E2" w14:textId="09D10A0F" w:rsidR="76B94569" w:rsidRDefault="76B94569"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In the position of a Chief Financial Officer (CFO) of an electric vehicle (EV) manufacturer, strategic financial restructuring is essential to improve the efficiency of operations, allocate capital more effectively, and elevate the value of the shareholders. Restructuring of finances can take many forms such as divestitures, mergers, equity injection, or restructuring of debt. This part will recommend different financial restructuring alternatives that the company may consider to enhance its financial stability, flexibility, and overall competitiveness in the market.</w:t>
      </w:r>
    </w:p>
    <w:p w14:paraId="0CCC0120" w14:textId="74AA4FD5" w:rsidR="76B94569" w:rsidRDefault="76B94569" w:rsidP="561FEA06">
      <w:pPr>
        <w:pStyle w:val="Heading4"/>
        <w:spacing w:before="240" w:after="240" w:line="480" w:lineRule="auto"/>
        <w:rPr>
          <w:rFonts w:ascii="Times New Roman" w:eastAsia="Times New Roman" w:hAnsi="Times New Roman" w:cs="Times New Roman"/>
          <w:b/>
          <w:bCs/>
          <w:color w:val="auto"/>
        </w:rPr>
      </w:pPr>
      <w:bookmarkStart w:id="49" w:name="_Toc1581456445"/>
      <w:r w:rsidRPr="561FEA06">
        <w:rPr>
          <w:rFonts w:ascii="Times New Roman" w:eastAsia="Times New Roman" w:hAnsi="Times New Roman" w:cs="Times New Roman"/>
          <w:b/>
          <w:bCs/>
          <w:color w:val="auto"/>
        </w:rPr>
        <w:t xml:space="preserve">3.1. </w:t>
      </w:r>
      <w:r w:rsidR="0E8E1B85" w:rsidRPr="561FEA06">
        <w:rPr>
          <w:rFonts w:ascii="Times New Roman" w:eastAsia="Times New Roman" w:hAnsi="Times New Roman" w:cs="Times New Roman"/>
          <w:b/>
          <w:bCs/>
          <w:color w:val="auto"/>
        </w:rPr>
        <w:t>Overview of Financial Restructuring</w:t>
      </w:r>
      <w:bookmarkEnd w:id="49"/>
    </w:p>
    <w:p w14:paraId="718E1BC0" w14:textId="7D1DE87A" w:rsidR="23431DEB" w:rsidRDefault="23431DEB" w:rsidP="561FEA06">
      <w:pPr>
        <w:spacing w:after="0" w:line="480" w:lineRule="auto"/>
        <w:jc w:val="both"/>
      </w:pPr>
      <w:r w:rsidRPr="561FEA06">
        <w:t xml:space="preserve">Financial restructuring is the arrangement of financial structure of a company with a view to enhancing its financial performance, minimizing risk or alignment to the strategic objectives of the company. These re-organization alternatives are most applicable in a rising industry such as the electric vehicle where the market forces, technology changes, and regulatory forces are ever-present in the operations of a business. Any restructuring </w:t>
      </w:r>
      <w:proofErr w:type="gramStart"/>
      <w:r w:rsidRPr="561FEA06">
        <w:t>is aimed</w:t>
      </w:r>
      <w:proofErr w:type="gramEnd"/>
      <w:r w:rsidRPr="561FEA06">
        <w:t xml:space="preserve"> at bettering profitability, increasing shareholder value and financial resilience. </w:t>
      </w:r>
    </w:p>
    <w:p w14:paraId="1ED082E8" w14:textId="7DFC1AD9" w:rsidR="23431DEB" w:rsidRDefault="23431DEB" w:rsidP="561FEA06">
      <w:pPr>
        <w:spacing w:before="240" w:after="240" w:line="480" w:lineRule="auto"/>
      </w:pPr>
      <w:r w:rsidRPr="561FEA06">
        <w:t xml:space="preserve">Financial restructuring can take several options including: </w:t>
      </w:r>
    </w:p>
    <w:p w14:paraId="2C70DA16" w14:textId="732489B1" w:rsidR="23431DEB" w:rsidRDefault="23431DEB" w:rsidP="561FEA06">
      <w:pPr>
        <w:pStyle w:val="ListParagraph"/>
        <w:numPr>
          <w:ilvl w:val="0"/>
          <w:numId w:val="16"/>
        </w:numPr>
        <w:spacing w:before="240" w:after="240" w:line="480" w:lineRule="auto"/>
      </w:pPr>
      <w:r w:rsidRPr="561FEA06">
        <w:rPr>
          <w:b/>
          <w:bCs/>
        </w:rPr>
        <w:t xml:space="preserve">Divestiture: </w:t>
      </w:r>
      <w:r w:rsidRPr="561FEA06">
        <w:t xml:space="preserve">To re-strategize, selling non-core business units or assets. </w:t>
      </w:r>
    </w:p>
    <w:p w14:paraId="77192D7B" w14:textId="0E6DB6F9" w:rsidR="23431DEB" w:rsidRDefault="23431DEB" w:rsidP="561FEA06">
      <w:pPr>
        <w:pStyle w:val="ListParagraph"/>
        <w:numPr>
          <w:ilvl w:val="0"/>
          <w:numId w:val="16"/>
        </w:numPr>
        <w:spacing w:before="240" w:after="240" w:line="480" w:lineRule="auto"/>
      </w:pPr>
      <w:r w:rsidRPr="561FEA06">
        <w:rPr>
          <w:b/>
          <w:bCs/>
        </w:rPr>
        <w:t>Merger and Acquisition:</w:t>
      </w:r>
      <w:r w:rsidRPr="561FEA06">
        <w:t xml:space="preserve"> Consolidating with or acquiring other businesses to gain economies of scale, expand market share or technological advantages. </w:t>
      </w:r>
    </w:p>
    <w:p w14:paraId="7D9B6822" w14:textId="48776D74" w:rsidR="23431DEB" w:rsidRDefault="23431DEB" w:rsidP="561FEA06">
      <w:pPr>
        <w:pStyle w:val="ListParagraph"/>
        <w:numPr>
          <w:ilvl w:val="0"/>
          <w:numId w:val="16"/>
        </w:numPr>
        <w:spacing w:before="240" w:after="240" w:line="480" w:lineRule="auto"/>
      </w:pPr>
      <w:r w:rsidRPr="561FEA06">
        <w:rPr>
          <w:b/>
          <w:bCs/>
        </w:rPr>
        <w:t xml:space="preserve">Equity Injection: </w:t>
      </w:r>
      <w:r w:rsidRPr="561FEA06">
        <w:t xml:space="preserve">New capital through issuing new equity to stabilize the balance sheets and finance the growth programs. </w:t>
      </w:r>
    </w:p>
    <w:p w14:paraId="53A9AEB2" w14:textId="1B29C44D" w:rsidR="23431DEB" w:rsidRDefault="23431DEB" w:rsidP="561FEA06">
      <w:pPr>
        <w:pStyle w:val="ListParagraph"/>
        <w:numPr>
          <w:ilvl w:val="0"/>
          <w:numId w:val="16"/>
        </w:numPr>
        <w:spacing w:before="240" w:after="240" w:line="480" w:lineRule="auto"/>
      </w:pPr>
      <w:r w:rsidRPr="561FEA06">
        <w:rPr>
          <w:b/>
          <w:bCs/>
        </w:rPr>
        <w:lastRenderedPageBreak/>
        <w:t>Debt Restructuring:</w:t>
      </w:r>
      <w:r w:rsidRPr="561FEA06">
        <w:t xml:space="preserve"> The </w:t>
      </w:r>
      <w:proofErr w:type="gramStart"/>
      <w:r w:rsidRPr="561FEA06">
        <w:t>company</w:t>
      </w:r>
      <w:proofErr w:type="gramEnd"/>
      <w:r w:rsidRPr="561FEA06">
        <w:t xml:space="preserve"> will change its debt structure to enhance liquidity and financial capabilities.</w:t>
      </w:r>
    </w:p>
    <w:p w14:paraId="3D8D140B" w14:textId="12B27478" w:rsidR="23431DEB" w:rsidRDefault="23431DEB" w:rsidP="561FEA06">
      <w:pPr>
        <w:pStyle w:val="Heading4"/>
        <w:spacing w:before="0" w:after="0" w:line="480" w:lineRule="auto"/>
        <w:jc w:val="both"/>
        <w:rPr>
          <w:rFonts w:ascii="Times New Roman" w:eastAsia="Times New Roman" w:hAnsi="Times New Roman" w:cs="Times New Roman"/>
          <w:b/>
          <w:bCs/>
          <w:color w:val="auto"/>
        </w:rPr>
      </w:pPr>
      <w:bookmarkStart w:id="50" w:name="_Toc607668716"/>
      <w:r w:rsidRPr="561FEA06">
        <w:rPr>
          <w:rFonts w:ascii="Times New Roman" w:eastAsia="Times New Roman" w:hAnsi="Times New Roman" w:cs="Times New Roman"/>
          <w:b/>
          <w:bCs/>
          <w:color w:val="auto"/>
        </w:rPr>
        <w:t>3.1.</w:t>
      </w:r>
      <w:r w:rsidR="0E8E1B85" w:rsidRPr="561FEA06">
        <w:rPr>
          <w:rFonts w:ascii="Times New Roman" w:eastAsia="Times New Roman" w:hAnsi="Times New Roman" w:cs="Times New Roman"/>
          <w:b/>
          <w:bCs/>
          <w:color w:val="auto"/>
        </w:rPr>
        <w:t>1. Divestiture: Strategic Sale of Non-Core Assets</w:t>
      </w:r>
      <w:bookmarkEnd w:id="50"/>
    </w:p>
    <w:p w14:paraId="2F6A15B6" w14:textId="436EE8B6" w:rsidR="17FD4831" w:rsidRDefault="17FD4831"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Divestiture is the process of selling off the non-essential or non-performing parts of the business. In the case of an EV </w:t>
      </w:r>
      <w:proofErr w:type="gramStart"/>
      <w:r w:rsidRPr="561FEA06">
        <w:rPr>
          <w:rFonts w:ascii="Times New Roman" w:eastAsia="Times New Roman" w:hAnsi="Times New Roman" w:cs="Times New Roman"/>
        </w:rPr>
        <w:t>manufacturer</w:t>
      </w:r>
      <w:proofErr w:type="gramEnd"/>
      <w:r w:rsidRPr="561FEA06">
        <w:rPr>
          <w:rFonts w:ascii="Times New Roman" w:eastAsia="Times New Roman" w:hAnsi="Times New Roman" w:cs="Times New Roman"/>
        </w:rPr>
        <w:t xml:space="preserve"> this may involve disposing of non-core business areas like manufacturing plants, research projects or geographic areas that are not </w:t>
      </w:r>
      <w:r w:rsidR="64567186" w:rsidRPr="561FEA06">
        <w:rPr>
          <w:rFonts w:ascii="Times New Roman" w:eastAsia="Times New Roman" w:hAnsi="Times New Roman" w:cs="Times New Roman"/>
        </w:rPr>
        <w:t>penetrated</w:t>
      </w:r>
      <w:r w:rsidRPr="561FEA06">
        <w:rPr>
          <w:rFonts w:ascii="Times New Roman" w:eastAsia="Times New Roman" w:hAnsi="Times New Roman" w:cs="Times New Roman"/>
        </w:rPr>
        <w:t xml:space="preserve"> well. Such sales may be re-invested in the normal operations, paid off in debt, or invested in </w:t>
      </w:r>
      <w:proofErr w:type="gramStart"/>
      <w:r w:rsidRPr="561FEA06">
        <w:rPr>
          <w:rFonts w:ascii="Times New Roman" w:eastAsia="Times New Roman" w:hAnsi="Times New Roman" w:cs="Times New Roman"/>
        </w:rPr>
        <w:t>more lucrative projects</w:t>
      </w:r>
      <w:proofErr w:type="gramEnd"/>
      <w:r w:rsidRPr="561FEA06">
        <w:rPr>
          <w:rFonts w:ascii="Times New Roman" w:eastAsia="Times New Roman" w:hAnsi="Times New Roman" w:cs="Times New Roman"/>
        </w:rPr>
        <w:t>.</w:t>
      </w:r>
    </w:p>
    <w:p w14:paraId="6278807F" w14:textId="31BB2EA2" w:rsidR="0E8E1B85" w:rsidRDefault="0E8E1B85" w:rsidP="561FEA06">
      <w:pPr>
        <w:spacing w:line="480" w:lineRule="auto"/>
        <w:jc w:val="both"/>
        <w:rPr>
          <w:rFonts w:ascii="Times New Roman" w:eastAsia="Times New Roman" w:hAnsi="Times New Roman" w:cs="Times New Roman"/>
          <w:b/>
          <w:bCs/>
        </w:rPr>
      </w:pPr>
      <w:r w:rsidRPr="561FEA06">
        <w:rPr>
          <w:b/>
          <w:bCs/>
        </w:rPr>
        <w:t>Strategic Rationale for Divestiture</w:t>
      </w:r>
    </w:p>
    <w:p w14:paraId="77F2869C" w14:textId="10E7B806" w:rsidR="0E8E1B85" w:rsidRDefault="0E8E1B8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Divestiture can bring multiple benefits to the company:</w:t>
      </w:r>
    </w:p>
    <w:p w14:paraId="63CFCD34" w14:textId="279A34BF" w:rsidR="27A8A0F2" w:rsidRDefault="27A8A0F2" w:rsidP="561FEA06">
      <w:pPr>
        <w:pStyle w:val="ListParagraph"/>
        <w:numPr>
          <w:ilvl w:val="0"/>
          <w:numId w:val="15"/>
        </w:numPr>
        <w:spacing w:after="0" w:line="480" w:lineRule="auto"/>
        <w:jc w:val="both"/>
      </w:pPr>
      <w:r w:rsidRPr="561FEA06">
        <w:rPr>
          <w:b/>
          <w:bCs/>
        </w:rPr>
        <w:t xml:space="preserve">Better Focus: </w:t>
      </w:r>
      <w:r w:rsidRPr="561FEA06">
        <w:t xml:space="preserve">The </w:t>
      </w:r>
      <w:proofErr w:type="gramStart"/>
      <w:r w:rsidRPr="561FEA06">
        <w:t>company</w:t>
      </w:r>
      <w:proofErr w:type="gramEnd"/>
      <w:r w:rsidRPr="561FEA06">
        <w:t xml:space="preserve"> can focus its resources on the most important strategic priorities because of shedding off its non-core operations, to either produce more electric vehicles or invest in new technology development. </w:t>
      </w:r>
    </w:p>
    <w:p w14:paraId="60F0D375" w14:textId="47AD1EDB" w:rsidR="27A8A0F2" w:rsidRDefault="27A8A0F2" w:rsidP="561FEA06">
      <w:pPr>
        <w:pStyle w:val="ListParagraph"/>
        <w:numPr>
          <w:ilvl w:val="0"/>
          <w:numId w:val="15"/>
        </w:numPr>
        <w:spacing w:before="240" w:after="240" w:line="480" w:lineRule="auto"/>
        <w:jc w:val="both"/>
      </w:pPr>
      <w:r w:rsidRPr="561FEA06">
        <w:rPr>
          <w:b/>
          <w:bCs/>
        </w:rPr>
        <w:t>Capital Generation:</w:t>
      </w:r>
      <w:r w:rsidRPr="561FEA06">
        <w:t xml:space="preserve"> The sale of non-essential assets will create liquidity and can be reinvested in the areas of growth of the company or used to pay down debt. </w:t>
      </w:r>
    </w:p>
    <w:p w14:paraId="39E99022" w14:textId="169F933B" w:rsidR="27A8A0F2" w:rsidRDefault="27A8A0F2" w:rsidP="561FEA06">
      <w:pPr>
        <w:pStyle w:val="ListParagraph"/>
        <w:numPr>
          <w:ilvl w:val="0"/>
          <w:numId w:val="15"/>
        </w:numPr>
        <w:spacing w:before="240" w:after="240" w:line="480" w:lineRule="auto"/>
        <w:jc w:val="both"/>
      </w:pPr>
      <w:r w:rsidRPr="561FEA06">
        <w:rPr>
          <w:b/>
          <w:bCs/>
        </w:rPr>
        <w:t xml:space="preserve">Lowered Risk: </w:t>
      </w:r>
      <w:r w:rsidRPr="561FEA06">
        <w:t>Divestiture will reduce the risks of poor or risky business and will result in the firm concentrating on business with high margin and high growth.</w:t>
      </w:r>
    </w:p>
    <w:p w14:paraId="726865D4" w14:textId="43ACE027" w:rsidR="27A8A0F2" w:rsidRDefault="27A8A0F2" w:rsidP="561FEA06">
      <w:pPr>
        <w:pStyle w:val="Heading5"/>
        <w:spacing w:before="0" w:after="0" w:line="480" w:lineRule="auto"/>
        <w:jc w:val="both"/>
        <w:rPr>
          <w:rFonts w:ascii="Times New Roman" w:eastAsia="Times New Roman" w:hAnsi="Times New Roman" w:cs="Times New Roman"/>
          <w:b/>
          <w:bCs/>
          <w:color w:val="auto"/>
        </w:rPr>
      </w:pPr>
      <w:bookmarkStart w:id="51" w:name="_Toc1801949313"/>
      <w:r w:rsidRPr="561FEA06">
        <w:rPr>
          <w:rFonts w:ascii="Times New Roman" w:eastAsia="Times New Roman" w:hAnsi="Times New Roman" w:cs="Times New Roman"/>
          <w:b/>
          <w:bCs/>
          <w:color w:val="auto"/>
        </w:rPr>
        <w:t xml:space="preserve">3.1.2. </w:t>
      </w:r>
      <w:r w:rsidR="0E8E1B85" w:rsidRPr="561FEA06">
        <w:rPr>
          <w:rFonts w:ascii="Times New Roman" w:eastAsia="Times New Roman" w:hAnsi="Times New Roman" w:cs="Times New Roman"/>
          <w:b/>
          <w:bCs/>
          <w:color w:val="auto"/>
        </w:rPr>
        <w:t>Risks and Considerations</w:t>
      </w:r>
      <w:bookmarkEnd w:id="51"/>
    </w:p>
    <w:p w14:paraId="22140B70" w14:textId="26DFC919" w:rsidR="784FD07D" w:rsidRDefault="784FD07D" w:rsidP="561FEA06">
      <w:pPr>
        <w:spacing w:line="480" w:lineRule="auto"/>
      </w:pPr>
      <w:r w:rsidRPr="561FEA06">
        <w:t xml:space="preserve">During the time of </w:t>
      </w:r>
      <w:proofErr w:type="gramStart"/>
      <w:r w:rsidRPr="561FEA06">
        <w:t>divestiture</w:t>
      </w:r>
      <w:proofErr w:type="gramEnd"/>
      <w:r w:rsidRPr="561FEA06">
        <w:t xml:space="preserve"> there are certain risks involved, although it is a strategic move: </w:t>
      </w:r>
    </w:p>
    <w:p w14:paraId="2DFA9769" w14:textId="4AA61097" w:rsidR="784FD07D" w:rsidRDefault="784FD07D" w:rsidP="561FEA06">
      <w:pPr>
        <w:pStyle w:val="ListParagraph"/>
        <w:numPr>
          <w:ilvl w:val="0"/>
          <w:numId w:val="14"/>
        </w:numPr>
        <w:spacing w:before="240" w:after="240" w:line="480" w:lineRule="auto"/>
      </w:pPr>
      <w:r w:rsidRPr="561FEA06">
        <w:rPr>
          <w:b/>
          <w:bCs/>
        </w:rPr>
        <w:t>Potential Loss of Synergies:</w:t>
      </w:r>
      <w:r w:rsidRPr="561FEA06">
        <w:t xml:space="preserve"> Non-core assets could be a source of synergies and disposing of them could result into the loss of working efficiencies. </w:t>
      </w:r>
    </w:p>
    <w:p w14:paraId="4FB66A36" w14:textId="602D5AE3" w:rsidR="784FD07D" w:rsidRDefault="784FD07D" w:rsidP="561FEA06">
      <w:pPr>
        <w:pStyle w:val="ListParagraph"/>
        <w:numPr>
          <w:ilvl w:val="0"/>
          <w:numId w:val="14"/>
        </w:numPr>
        <w:spacing w:before="240" w:after="240" w:line="480" w:lineRule="auto"/>
      </w:pPr>
      <w:r w:rsidRPr="561FEA06">
        <w:rPr>
          <w:b/>
          <w:bCs/>
        </w:rPr>
        <w:lastRenderedPageBreak/>
        <w:t>Effect on the Morale of the Employees:</w:t>
      </w:r>
      <w:r w:rsidRPr="561FEA06">
        <w:t xml:space="preserve"> Divestitures may cause layoffs or restructuring of the organization, and this might </w:t>
      </w:r>
      <w:proofErr w:type="gramStart"/>
      <w:r w:rsidR="73C17C38" w:rsidRPr="561FEA06">
        <w:t>impact</w:t>
      </w:r>
      <w:proofErr w:type="gramEnd"/>
      <w:r w:rsidRPr="561FEA06">
        <w:t xml:space="preserve"> employee morale and productivity.</w:t>
      </w:r>
    </w:p>
    <w:p w14:paraId="66FF5D6D" w14:textId="23EC71AD" w:rsidR="0E8E1B85" w:rsidRDefault="0E8E1B85" w:rsidP="561FEA06">
      <w:pPr>
        <w:spacing w:after="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3C0F2D7B" w:rsidRPr="561FEA06">
        <w:rPr>
          <w:rFonts w:ascii="Times New Roman" w:eastAsia="Times New Roman" w:hAnsi="Times New Roman" w:cs="Times New Roman"/>
          <w:b/>
          <w:bCs/>
        </w:rPr>
        <w:t>5</w:t>
      </w:r>
      <w:r w:rsidRPr="561FEA06">
        <w:rPr>
          <w:rFonts w:ascii="Times New Roman" w:eastAsia="Times New Roman" w:hAnsi="Times New Roman" w:cs="Times New Roman"/>
          <w:b/>
          <w:bCs/>
        </w:rPr>
        <w:t>: Potential Divestitures for the EV Manufacturer</w:t>
      </w:r>
    </w:p>
    <w:tbl>
      <w:tblPr>
        <w:tblStyle w:val="TableGridLight"/>
        <w:tblW w:w="0" w:type="auto"/>
        <w:tblLook w:val="06A0" w:firstRow="1" w:lastRow="0" w:firstColumn="1" w:lastColumn="0" w:noHBand="1" w:noVBand="1"/>
      </w:tblPr>
      <w:tblGrid>
        <w:gridCol w:w="2111"/>
        <w:gridCol w:w="2237"/>
        <w:gridCol w:w="2078"/>
        <w:gridCol w:w="2924"/>
      </w:tblGrid>
      <w:tr w:rsidR="561FEA06" w14:paraId="34651414" w14:textId="77777777" w:rsidTr="561FEA06">
        <w:trPr>
          <w:trHeight w:val="300"/>
        </w:trPr>
        <w:tc>
          <w:tcPr>
            <w:tcW w:w="2132" w:type="dxa"/>
          </w:tcPr>
          <w:p w14:paraId="2C172071" w14:textId="4C0903EC" w:rsidR="561FEA06" w:rsidRDefault="561FEA06" w:rsidP="561FEA06">
            <w:pPr>
              <w:spacing w:line="360" w:lineRule="auto"/>
              <w:rPr>
                <w:b/>
                <w:bCs/>
              </w:rPr>
            </w:pPr>
            <w:r w:rsidRPr="561FEA06">
              <w:rPr>
                <w:b/>
                <w:bCs/>
              </w:rPr>
              <w:t>Business Unit/Asset</w:t>
            </w:r>
          </w:p>
        </w:tc>
        <w:tc>
          <w:tcPr>
            <w:tcW w:w="2252" w:type="dxa"/>
          </w:tcPr>
          <w:p w14:paraId="4EC8DBA2" w14:textId="50287502" w:rsidR="561FEA06" w:rsidRDefault="561FEA06" w:rsidP="561FEA06">
            <w:pPr>
              <w:spacing w:line="360" w:lineRule="auto"/>
              <w:rPr>
                <w:b/>
                <w:bCs/>
              </w:rPr>
            </w:pPr>
            <w:r w:rsidRPr="561FEA06">
              <w:rPr>
                <w:b/>
                <w:bCs/>
              </w:rPr>
              <w:t>Reason for Divestiture</w:t>
            </w:r>
          </w:p>
        </w:tc>
        <w:tc>
          <w:tcPr>
            <w:tcW w:w="2115" w:type="dxa"/>
          </w:tcPr>
          <w:p w14:paraId="10B399E3" w14:textId="230CD0AC" w:rsidR="561FEA06" w:rsidRDefault="561FEA06" w:rsidP="561FEA06">
            <w:pPr>
              <w:spacing w:line="360" w:lineRule="auto"/>
              <w:rPr>
                <w:b/>
                <w:bCs/>
              </w:rPr>
            </w:pPr>
            <w:r w:rsidRPr="561FEA06">
              <w:rPr>
                <w:b/>
                <w:bCs/>
              </w:rPr>
              <w:t>Estimated Sale Proceeds</w:t>
            </w:r>
          </w:p>
        </w:tc>
        <w:tc>
          <w:tcPr>
            <w:tcW w:w="2986" w:type="dxa"/>
          </w:tcPr>
          <w:p w14:paraId="3B835865" w14:textId="0BD8627C" w:rsidR="561FEA06" w:rsidRDefault="561FEA06" w:rsidP="561FEA06">
            <w:pPr>
              <w:spacing w:line="360" w:lineRule="auto"/>
              <w:rPr>
                <w:b/>
                <w:bCs/>
              </w:rPr>
            </w:pPr>
            <w:r w:rsidRPr="561FEA06">
              <w:rPr>
                <w:b/>
                <w:bCs/>
              </w:rPr>
              <w:t>Strategic Impact</w:t>
            </w:r>
          </w:p>
        </w:tc>
      </w:tr>
      <w:tr w:rsidR="561FEA06" w14:paraId="08ED4906" w14:textId="77777777" w:rsidTr="561FEA06">
        <w:trPr>
          <w:trHeight w:val="300"/>
        </w:trPr>
        <w:tc>
          <w:tcPr>
            <w:tcW w:w="2132" w:type="dxa"/>
          </w:tcPr>
          <w:p w14:paraId="155C98AE" w14:textId="4C7DB727" w:rsidR="561FEA06" w:rsidRDefault="561FEA06" w:rsidP="561FEA06">
            <w:pPr>
              <w:spacing w:line="360" w:lineRule="auto"/>
            </w:pPr>
            <w:r w:rsidRPr="561FEA06">
              <w:t>European Manufacturing Facility</w:t>
            </w:r>
          </w:p>
        </w:tc>
        <w:tc>
          <w:tcPr>
            <w:tcW w:w="2252" w:type="dxa"/>
          </w:tcPr>
          <w:p w14:paraId="3F71B8C3" w14:textId="1E10DEEB" w:rsidR="561FEA06" w:rsidRDefault="561FEA06" w:rsidP="561FEA06">
            <w:pPr>
              <w:spacing w:line="360" w:lineRule="auto"/>
            </w:pPr>
            <w:r w:rsidRPr="561FEA06">
              <w:t>Underperforming and non-core</w:t>
            </w:r>
          </w:p>
        </w:tc>
        <w:tc>
          <w:tcPr>
            <w:tcW w:w="2115" w:type="dxa"/>
          </w:tcPr>
          <w:p w14:paraId="612A6F2A" w14:textId="21A40265" w:rsidR="561FEA06" w:rsidRDefault="561FEA06" w:rsidP="561FEA06">
            <w:pPr>
              <w:spacing w:line="360" w:lineRule="auto"/>
            </w:pPr>
            <w:r w:rsidRPr="561FEA06">
              <w:t>$100 million</w:t>
            </w:r>
          </w:p>
        </w:tc>
        <w:tc>
          <w:tcPr>
            <w:tcW w:w="2986" w:type="dxa"/>
          </w:tcPr>
          <w:p w14:paraId="39EB6453" w14:textId="2EB4D092" w:rsidR="561FEA06" w:rsidRDefault="561FEA06" w:rsidP="561FEA06">
            <w:pPr>
              <w:spacing w:line="360" w:lineRule="auto"/>
            </w:pPr>
            <w:r w:rsidRPr="561FEA06">
              <w:t>Funds expansion into North American markets</w:t>
            </w:r>
          </w:p>
        </w:tc>
      </w:tr>
      <w:tr w:rsidR="561FEA06" w14:paraId="782981D4" w14:textId="77777777" w:rsidTr="561FEA06">
        <w:trPr>
          <w:trHeight w:val="300"/>
        </w:trPr>
        <w:tc>
          <w:tcPr>
            <w:tcW w:w="2132" w:type="dxa"/>
          </w:tcPr>
          <w:p w14:paraId="1B2460A8" w14:textId="4278E48E" w:rsidR="561FEA06" w:rsidRDefault="561FEA06" w:rsidP="561FEA06">
            <w:pPr>
              <w:spacing w:line="360" w:lineRule="auto"/>
            </w:pPr>
            <w:r w:rsidRPr="561FEA06">
              <w:t>Battery Technology R&amp;D Division</w:t>
            </w:r>
          </w:p>
        </w:tc>
        <w:tc>
          <w:tcPr>
            <w:tcW w:w="2252" w:type="dxa"/>
          </w:tcPr>
          <w:p w14:paraId="08477953" w14:textId="29C44BD7" w:rsidR="561FEA06" w:rsidRDefault="561FEA06" w:rsidP="561FEA06">
            <w:pPr>
              <w:spacing w:line="360" w:lineRule="auto"/>
            </w:pPr>
            <w:r w:rsidRPr="561FEA06">
              <w:t>Not aligned with current EV strategy</w:t>
            </w:r>
          </w:p>
        </w:tc>
        <w:tc>
          <w:tcPr>
            <w:tcW w:w="2115" w:type="dxa"/>
          </w:tcPr>
          <w:p w14:paraId="600075D1" w14:textId="7C72D2F4" w:rsidR="561FEA06" w:rsidRDefault="561FEA06" w:rsidP="561FEA06">
            <w:pPr>
              <w:spacing w:line="360" w:lineRule="auto"/>
            </w:pPr>
            <w:r w:rsidRPr="561FEA06">
              <w:t>$50 million</w:t>
            </w:r>
          </w:p>
        </w:tc>
        <w:tc>
          <w:tcPr>
            <w:tcW w:w="2986" w:type="dxa"/>
          </w:tcPr>
          <w:p w14:paraId="66464F7B" w14:textId="769F0F17" w:rsidR="561FEA06" w:rsidRDefault="561FEA06" w:rsidP="561FEA06">
            <w:pPr>
              <w:spacing w:line="360" w:lineRule="auto"/>
            </w:pPr>
            <w:r w:rsidRPr="561FEA06">
              <w:t>Reinvestment into EV battery production</w:t>
            </w:r>
          </w:p>
        </w:tc>
      </w:tr>
      <w:tr w:rsidR="561FEA06" w14:paraId="0EA584C1" w14:textId="77777777" w:rsidTr="561FEA06">
        <w:trPr>
          <w:trHeight w:val="300"/>
        </w:trPr>
        <w:tc>
          <w:tcPr>
            <w:tcW w:w="2132" w:type="dxa"/>
          </w:tcPr>
          <w:p w14:paraId="7EC49D53" w14:textId="34C50B4D" w:rsidR="561FEA06" w:rsidRDefault="561FEA06" w:rsidP="561FEA06">
            <w:pPr>
              <w:spacing w:line="360" w:lineRule="auto"/>
            </w:pPr>
            <w:r w:rsidRPr="561FEA06">
              <w:t>South American Sales Division</w:t>
            </w:r>
          </w:p>
        </w:tc>
        <w:tc>
          <w:tcPr>
            <w:tcW w:w="2252" w:type="dxa"/>
          </w:tcPr>
          <w:p w14:paraId="0D5A59BC" w14:textId="0D8365A3" w:rsidR="561FEA06" w:rsidRDefault="561FEA06" w:rsidP="561FEA06">
            <w:pPr>
              <w:spacing w:line="360" w:lineRule="auto"/>
            </w:pPr>
            <w:r w:rsidRPr="561FEA06">
              <w:t>Low market penetration</w:t>
            </w:r>
          </w:p>
        </w:tc>
        <w:tc>
          <w:tcPr>
            <w:tcW w:w="2115" w:type="dxa"/>
          </w:tcPr>
          <w:p w14:paraId="774D53E7" w14:textId="4F2A06B3" w:rsidR="561FEA06" w:rsidRDefault="561FEA06" w:rsidP="561FEA06">
            <w:pPr>
              <w:spacing w:line="360" w:lineRule="auto"/>
            </w:pPr>
            <w:r w:rsidRPr="561FEA06">
              <w:t>$30 million</w:t>
            </w:r>
          </w:p>
        </w:tc>
        <w:tc>
          <w:tcPr>
            <w:tcW w:w="2986" w:type="dxa"/>
          </w:tcPr>
          <w:p w14:paraId="25DD6360" w14:textId="7BCCF40D" w:rsidR="561FEA06" w:rsidRDefault="561FEA06" w:rsidP="561FEA06">
            <w:pPr>
              <w:spacing w:line="360" w:lineRule="auto"/>
            </w:pPr>
            <w:r w:rsidRPr="561FEA06">
              <w:t>Improved focus on European and North American sales</w:t>
            </w:r>
          </w:p>
        </w:tc>
      </w:tr>
    </w:tbl>
    <w:p w14:paraId="6BF9B017" w14:textId="2090AE08" w:rsidR="4AB446C7" w:rsidRDefault="4AB446C7" w:rsidP="561FEA06">
      <w:pPr>
        <w:pStyle w:val="Heading4"/>
        <w:spacing w:before="319" w:after="319" w:line="480" w:lineRule="auto"/>
        <w:jc w:val="both"/>
        <w:rPr>
          <w:rFonts w:ascii="Times New Roman" w:eastAsia="Times New Roman" w:hAnsi="Times New Roman" w:cs="Times New Roman"/>
          <w:b/>
          <w:bCs/>
          <w:color w:val="auto"/>
        </w:rPr>
      </w:pPr>
      <w:bookmarkStart w:id="52" w:name="_Toc1569561382"/>
      <w:r w:rsidRPr="561FEA06">
        <w:rPr>
          <w:rFonts w:ascii="Times New Roman" w:eastAsia="Times New Roman" w:hAnsi="Times New Roman" w:cs="Times New Roman"/>
          <w:b/>
          <w:bCs/>
          <w:color w:val="auto"/>
        </w:rPr>
        <w:t>3.</w:t>
      </w:r>
      <w:r w:rsidR="3EA6A2B4" w:rsidRPr="561FEA06">
        <w:rPr>
          <w:rFonts w:ascii="Times New Roman" w:eastAsia="Times New Roman" w:hAnsi="Times New Roman" w:cs="Times New Roman"/>
          <w:b/>
          <w:bCs/>
          <w:color w:val="auto"/>
        </w:rPr>
        <w:t>2. Merger and Acquisition: Expanding Market Share and Technological Capability</w:t>
      </w:r>
      <w:bookmarkEnd w:id="52"/>
    </w:p>
    <w:p w14:paraId="2C68BBD7" w14:textId="14E3D8FB" w:rsidR="0D0BE146" w:rsidRDefault="0D0BE146"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Another possible approach to financial restructuring is a merger or acquisition. In this strategy, the firm merges with another firm operating within the same industry or with an existing rival with an aim of realizing economies of scale, </w:t>
      </w:r>
      <w:r w:rsidR="676F72DD" w:rsidRPr="561FEA06">
        <w:rPr>
          <w:rFonts w:ascii="Times New Roman" w:eastAsia="Times New Roman" w:hAnsi="Times New Roman" w:cs="Times New Roman"/>
        </w:rPr>
        <w:t>enhancing</w:t>
      </w:r>
      <w:r w:rsidRPr="561FEA06">
        <w:rPr>
          <w:rFonts w:ascii="Times New Roman" w:eastAsia="Times New Roman" w:hAnsi="Times New Roman" w:cs="Times New Roman"/>
        </w:rPr>
        <w:t xml:space="preserve"> operation efficiency as well as </w:t>
      </w:r>
      <w:r w:rsidR="25C7EB63" w:rsidRPr="561FEA06">
        <w:rPr>
          <w:rFonts w:ascii="Times New Roman" w:eastAsia="Times New Roman" w:hAnsi="Times New Roman" w:cs="Times New Roman"/>
        </w:rPr>
        <w:t>increasing</w:t>
      </w:r>
      <w:r w:rsidRPr="561FEA06">
        <w:rPr>
          <w:rFonts w:ascii="Times New Roman" w:eastAsia="Times New Roman" w:hAnsi="Times New Roman" w:cs="Times New Roman"/>
        </w:rPr>
        <w:t xml:space="preserve"> market coverage.</w:t>
      </w:r>
    </w:p>
    <w:p w14:paraId="13208573" w14:textId="4CE76EA2" w:rsidR="3EA6A2B4" w:rsidRDefault="3EA6A2B4"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Benefits of Merger and Acquisition</w:t>
      </w:r>
    </w:p>
    <w:p w14:paraId="2E8E665A" w14:textId="2F77CEB0" w:rsidR="4FB38A40" w:rsidRDefault="4FB38A40" w:rsidP="561FEA06">
      <w:pPr>
        <w:pStyle w:val="ListParagraph"/>
        <w:numPr>
          <w:ilvl w:val="0"/>
          <w:numId w:val="13"/>
        </w:numPr>
        <w:spacing w:after="0" w:line="480" w:lineRule="auto"/>
        <w:jc w:val="both"/>
      </w:pPr>
      <w:r w:rsidRPr="561FEA06">
        <w:rPr>
          <w:b/>
          <w:bCs/>
        </w:rPr>
        <w:t>Market Expansion:</w:t>
      </w:r>
      <w:r w:rsidRPr="561FEA06">
        <w:t xml:space="preserve"> A merger and acquisition are quick ways to expand into a new geographical market or product line. To an EV company, it may involve purchasing companies with complementary technology, e.g, autonomous driving software or fast-charging infrastructure. </w:t>
      </w:r>
    </w:p>
    <w:p w14:paraId="15303848" w14:textId="4BF9BAAA" w:rsidR="4FB38A40" w:rsidRDefault="4FB38A40" w:rsidP="561FEA06">
      <w:pPr>
        <w:pStyle w:val="ListParagraph"/>
        <w:numPr>
          <w:ilvl w:val="0"/>
          <w:numId w:val="13"/>
        </w:numPr>
        <w:spacing w:before="240" w:after="240" w:line="480" w:lineRule="auto"/>
        <w:jc w:val="both"/>
      </w:pPr>
      <w:r w:rsidRPr="561FEA06">
        <w:rPr>
          <w:b/>
          <w:bCs/>
        </w:rPr>
        <w:lastRenderedPageBreak/>
        <w:t>Synergies and Cost Savings:</w:t>
      </w:r>
      <w:r w:rsidRPr="561FEA06">
        <w:t xml:space="preserve"> M&amp;A may create synergies on such aspects as research and development, production, marketing, and supply chain, which saves cost and enhances the utilization of resources. </w:t>
      </w:r>
    </w:p>
    <w:p w14:paraId="2198BEAC" w14:textId="7BA9AA85" w:rsidR="4FB38A40" w:rsidRDefault="4FB38A40" w:rsidP="561FEA06">
      <w:pPr>
        <w:pStyle w:val="ListParagraph"/>
        <w:numPr>
          <w:ilvl w:val="0"/>
          <w:numId w:val="13"/>
        </w:numPr>
        <w:spacing w:before="240" w:after="240" w:line="480" w:lineRule="auto"/>
        <w:jc w:val="both"/>
        <w:rPr>
          <w:rFonts w:ascii="Times New Roman" w:eastAsia="Times New Roman" w:hAnsi="Times New Roman" w:cs="Times New Roman"/>
          <w:b/>
          <w:bCs/>
        </w:rPr>
      </w:pPr>
      <w:r w:rsidRPr="561FEA06">
        <w:rPr>
          <w:b/>
          <w:bCs/>
        </w:rPr>
        <w:t>Enhancing Technology Parenthesis:</w:t>
      </w:r>
      <w:r w:rsidRPr="561FEA06">
        <w:t xml:space="preserve"> The acquisition of a firm that has superior technology or intellectual property could go a long way in increasing the competitive advantage of the firm in the EV market.</w:t>
      </w:r>
    </w:p>
    <w:p w14:paraId="11D9099F" w14:textId="6145B481" w:rsidR="3EA6A2B4" w:rsidRDefault="3EA6A2B4"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Risks of Merger and Acquisition</w:t>
      </w:r>
    </w:p>
    <w:p w14:paraId="5329F69C" w14:textId="78305EE3" w:rsidR="3EA6A2B4" w:rsidRDefault="3EA6A2B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However, mergers and acquisitions also come with inherent risks:</w:t>
      </w:r>
    </w:p>
    <w:p w14:paraId="205C2F6B" w14:textId="18CC591E" w:rsidR="2404DE2F" w:rsidRDefault="2404DE2F" w:rsidP="561FEA06">
      <w:pPr>
        <w:pStyle w:val="ListParagraph"/>
        <w:numPr>
          <w:ilvl w:val="0"/>
          <w:numId w:val="12"/>
        </w:numPr>
        <w:spacing w:after="0" w:line="480" w:lineRule="auto"/>
        <w:jc w:val="both"/>
      </w:pPr>
      <w:r w:rsidRPr="561FEA06">
        <w:rPr>
          <w:b/>
          <w:bCs/>
        </w:rPr>
        <w:t>Issues of Cultural Integration:</w:t>
      </w:r>
      <w:r w:rsidRPr="561FEA06">
        <w:t xml:space="preserve"> Cultural integration may cause some friction and lack of productivity in employees in case of merging two companies whose corporate cultures are not the same. </w:t>
      </w:r>
    </w:p>
    <w:p w14:paraId="762FCC3A" w14:textId="0F689E75" w:rsidR="2404DE2F" w:rsidRDefault="2404DE2F" w:rsidP="561FEA06">
      <w:pPr>
        <w:pStyle w:val="ListParagraph"/>
        <w:numPr>
          <w:ilvl w:val="0"/>
          <w:numId w:val="12"/>
        </w:numPr>
        <w:spacing w:before="240" w:after="240" w:line="480" w:lineRule="auto"/>
      </w:pPr>
      <w:r w:rsidRPr="561FEA06">
        <w:rPr>
          <w:b/>
          <w:bCs/>
        </w:rPr>
        <w:t>Regulatory Concerns:</w:t>
      </w:r>
      <w:r w:rsidRPr="561FEA06">
        <w:t xml:space="preserve"> The transaction can also be subject to regulatory scrutiny of the anti-competition laws or even foreign investment laws depending on the magnitude of the merger.</w:t>
      </w:r>
    </w:p>
    <w:p w14:paraId="4C9C5311" w14:textId="78849462" w:rsidR="3EA6A2B4" w:rsidRDefault="3EA6A2B4" w:rsidP="561FEA06">
      <w:pPr>
        <w:spacing w:after="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Figure </w:t>
      </w:r>
      <w:r w:rsidR="61F11D7E" w:rsidRPr="561FEA06">
        <w:rPr>
          <w:rFonts w:ascii="Times New Roman" w:eastAsia="Times New Roman" w:hAnsi="Times New Roman" w:cs="Times New Roman"/>
          <w:b/>
          <w:bCs/>
        </w:rPr>
        <w:t>4</w:t>
      </w:r>
      <w:r w:rsidRPr="561FEA06">
        <w:rPr>
          <w:rFonts w:ascii="Times New Roman" w:eastAsia="Times New Roman" w:hAnsi="Times New Roman" w:cs="Times New Roman"/>
          <w:b/>
          <w:bCs/>
        </w:rPr>
        <w:t>: Synergies from Merger and Acquisition</w:t>
      </w:r>
    </w:p>
    <w:p w14:paraId="75561FE5" w14:textId="0FD30840" w:rsidR="245A39F8" w:rsidRDefault="245A39F8" w:rsidP="561FEA06">
      <w:pPr>
        <w:spacing w:after="0" w:line="480" w:lineRule="auto"/>
        <w:jc w:val="both"/>
      </w:pPr>
      <w:r>
        <w:rPr>
          <w:noProof/>
          <w:lang w:val="en-IN" w:eastAsia="en-IN"/>
        </w:rPr>
        <w:lastRenderedPageBreak/>
        <w:drawing>
          <wp:inline distT="0" distB="0" distL="0" distR="0" wp14:anchorId="68582F6A" wp14:editId="0CEF8890">
            <wp:extent cx="5943600" cy="3457590"/>
            <wp:effectExtent l="0" t="0" r="0" b="0"/>
            <wp:docPr id="12330612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61275" name="Picture 1233061275"/>
                    <pic:cNvPicPr/>
                  </pic:nvPicPr>
                  <pic:blipFill>
                    <a:blip r:embed="rId9">
                      <a:extLst>
                        <a:ext uri="{28A0092B-C50C-407E-A947-70E740481C1C}">
                          <a14:useLocalDpi xmlns:a14="http://schemas.microsoft.com/office/drawing/2010/main"/>
                        </a:ext>
                      </a:extLst>
                    </a:blip>
                    <a:srcRect t="12740"/>
                    <a:stretch>
                      <a:fillRect/>
                    </a:stretch>
                  </pic:blipFill>
                  <pic:spPr>
                    <a:xfrm>
                      <a:off x="0" y="0"/>
                      <a:ext cx="5943600" cy="3457590"/>
                    </a:xfrm>
                    <a:prstGeom prst="rect">
                      <a:avLst/>
                    </a:prstGeom>
                  </pic:spPr>
                </pic:pic>
              </a:graphicData>
            </a:graphic>
          </wp:inline>
        </w:drawing>
      </w:r>
    </w:p>
    <w:p w14:paraId="3D85D09D" w14:textId="22C5A134" w:rsidR="4BE4E1AF" w:rsidRDefault="4BE4E1AF" w:rsidP="561FEA06">
      <w:pPr>
        <w:pStyle w:val="Heading4"/>
        <w:spacing w:before="319" w:after="319" w:line="480" w:lineRule="auto"/>
        <w:jc w:val="both"/>
        <w:rPr>
          <w:rFonts w:ascii="Times New Roman" w:eastAsia="Times New Roman" w:hAnsi="Times New Roman" w:cs="Times New Roman"/>
          <w:b/>
          <w:bCs/>
          <w:color w:val="auto"/>
        </w:rPr>
      </w:pPr>
      <w:bookmarkStart w:id="53" w:name="_Toc1183315713"/>
      <w:r w:rsidRPr="561FEA06">
        <w:rPr>
          <w:rFonts w:ascii="Times New Roman" w:eastAsia="Times New Roman" w:hAnsi="Times New Roman" w:cs="Times New Roman"/>
          <w:b/>
          <w:bCs/>
          <w:color w:val="auto"/>
        </w:rPr>
        <w:t>3.</w:t>
      </w:r>
      <w:r w:rsidR="3EA6A2B4" w:rsidRPr="561FEA06">
        <w:rPr>
          <w:rFonts w:ascii="Times New Roman" w:eastAsia="Times New Roman" w:hAnsi="Times New Roman" w:cs="Times New Roman"/>
          <w:b/>
          <w:bCs/>
          <w:color w:val="auto"/>
        </w:rPr>
        <w:t>3. Equity Injection: Strengthening the Balance Sheet</w:t>
      </w:r>
      <w:bookmarkEnd w:id="53"/>
    </w:p>
    <w:p w14:paraId="644EBD51" w14:textId="1B526828" w:rsidR="510D47CB" w:rsidRDefault="510D47CB"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An equity injection is a process of increasing the capital through the issue of new shares to either existing shareholders or new shareholders. This can be a good tactic of enhancing the financial flexibility of the company, decreasing the </w:t>
      </w:r>
      <w:proofErr w:type="gramStart"/>
      <w:r w:rsidRPr="561FEA06">
        <w:rPr>
          <w:rFonts w:ascii="Times New Roman" w:eastAsia="Times New Roman" w:hAnsi="Times New Roman" w:cs="Times New Roman"/>
        </w:rPr>
        <w:t>leverage</w:t>
      </w:r>
      <w:proofErr w:type="gramEnd"/>
      <w:r w:rsidRPr="561FEA06">
        <w:rPr>
          <w:rFonts w:ascii="Times New Roman" w:eastAsia="Times New Roman" w:hAnsi="Times New Roman" w:cs="Times New Roman"/>
        </w:rPr>
        <w:t xml:space="preserve"> and financing expansion projects.</w:t>
      </w:r>
    </w:p>
    <w:p w14:paraId="2F65F0DD" w14:textId="5CDDECA9" w:rsidR="3EA6A2B4" w:rsidRDefault="3EA6A2B4"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Rationale for Equity Injection</w:t>
      </w:r>
    </w:p>
    <w:p w14:paraId="0B88212B" w14:textId="61D208E3" w:rsidR="7B25B378" w:rsidRDefault="7B25B378" w:rsidP="561FEA06">
      <w:pPr>
        <w:pStyle w:val="ListParagraph"/>
        <w:numPr>
          <w:ilvl w:val="0"/>
          <w:numId w:val="11"/>
        </w:numPr>
        <w:spacing w:after="0" w:line="480" w:lineRule="auto"/>
        <w:jc w:val="both"/>
      </w:pPr>
      <w:r w:rsidRPr="561FEA06">
        <w:rPr>
          <w:b/>
          <w:bCs/>
        </w:rPr>
        <w:t xml:space="preserve">Increasing the Capital Base: </w:t>
      </w:r>
      <w:r w:rsidRPr="561FEA06">
        <w:t xml:space="preserve">Equity injection can greatly enhance the balance sheet of the company by granting extra funds to expand, reduce debt or invest in technology. </w:t>
      </w:r>
    </w:p>
    <w:p w14:paraId="6204891E" w14:textId="6F483B4D" w:rsidR="7B25B378" w:rsidRDefault="7B25B378" w:rsidP="561FEA06">
      <w:pPr>
        <w:pStyle w:val="ListParagraph"/>
        <w:numPr>
          <w:ilvl w:val="0"/>
          <w:numId w:val="11"/>
        </w:numPr>
        <w:spacing w:before="240" w:after="240" w:line="480" w:lineRule="auto"/>
        <w:jc w:val="both"/>
      </w:pPr>
      <w:r w:rsidRPr="561FEA06">
        <w:rPr>
          <w:b/>
          <w:bCs/>
        </w:rPr>
        <w:t xml:space="preserve">Reduced Financial Risk: </w:t>
      </w:r>
      <w:r w:rsidRPr="561FEA06">
        <w:t xml:space="preserve">Issuing equity allows the company to decrease the levels of debt in the company, thereby reducing the financial risk that </w:t>
      </w:r>
      <w:proofErr w:type="gramStart"/>
      <w:r w:rsidRPr="561FEA06">
        <w:t>is related</w:t>
      </w:r>
      <w:proofErr w:type="gramEnd"/>
      <w:r w:rsidRPr="561FEA06">
        <w:t xml:space="preserve"> to high levels of borrowing. </w:t>
      </w:r>
    </w:p>
    <w:p w14:paraId="393D3028" w14:textId="27277DDE" w:rsidR="7B25B378" w:rsidRDefault="7B25B378" w:rsidP="561FEA06">
      <w:pPr>
        <w:pStyle w:val="ListParagraph"/>
        <w:numPr>
          <w:ilvl w:val="0"/>
          <w:numId w:val="11"/>
        </w:numPr>
        <w:spacing w:before="240" w:after="240" w:line="480" w:lineRule="auto"/>
        <w:jc w:val="both"/>
        <w:rPr>
          <w:rFonts w:ascii="Times New Roman" w:eastAsia="Times New Roman" w:hAnsi="Times New Roman" w:cs="Times New Roman"/>
          <w:b/>
          <w:bCs/>
        </w:rPr>
      </w:pPr>
      <w:r w:rsidRPr="561FEA06">
        <w:rPr>
          <w:b/>
          <w:bCs/>
        </w:rPr>
        <w:lastRenderedPageBreak/>
        <w:t>Appealing to Investors:</w:t>
      </w:r>
      <w:r w:rsidRPr="561FEA06">
        <w:t xml:space="preserve"> An effective equity offering can be of interest to institutional investors or strategic partners, offering long-term value creation.</w:t>
      </w:r>
    </w:p>
    <w:p w14:paraId="14F51A6F" w14:textId="5220CFEA" w:rsidR="3EA6A2B4" w:rsidRDefault="3EA6A2B4"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Considerations for Equity Injection</w:t>
      </w:r>
    </w:p>
    <w:p w14:paraId="1F432ADB" w14:textId="3C7FFF63" w:rsidR="3EA6A2B4" w:rsidRDefault="3EA6A2B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While an equity injection has its benefits, it also has drawbacks:</w:t>
      </w:r>
    </w:p>
    <w:p w14:paraId="5FF10DD7" w14:textId="45A9A3CD" w:rsidR="66A37EB9" w:rsidRDefault="66A37EB9" w:rsidP="561FEA06">
      <w:pPr>
        <w:pStyle w:val="ListParagraph"/>
        <w:numPr>
          <w:ilvl w:val="0"/>
          <w:numId w:val="10"/>
        </w:numPr>
        <w:spacing w:after="0" w:line="480" w:lineRule="auto"/>
        <w:jc w:val="both"/>
      </w:pPr>
      <w:r w:rsidRPr="561FEA06">
        <w:rPr>
          <w:b/>
          <w:bCs/>
        </w:rPr>
        <w:t>Dilution of Ownership:</w:t>
      </w:r>
      <w:r w:rsidRPr="561FEA06">
        <w:t xml:space="preserve"> A new issue will dilute the current stockholders, and thus, their power and decrease the value of their interests. </w:t>
      </w:r>
    </w:p>
    <w:p w14:paraId="4550DF0D" w14:textId="06498BF5" w:rsidR="66A37EB9" w:rsidRDefault="66A37EB9" w:rsidP="561FEA06">
      <w:pPr>
        <w:pStyle w:val="ListParagraph"/>
        <w:numPr>
          <w:ilvl w:val="0"/>
          <w:numId w:val="10"/>
        </w:numPr>
        <w:spacing w:before="240" w:after="240" w:line="480" w:lineRule="auto"/>
        <w:jc w:val="both"/>
      </w:pPr>
      <w:r w:rsidRPr="561FEA06">
        <w:rPr>
          <w:b/>
          <w:bCs/>
        </w:rPr>
        <w:t>Market Reception:</w:t>
      </w:r>
      <w:r w:rsidRPr="561FEA06">
        <w:t xml:space="preserve"> The market conditions and the investor's sentiment determine how successful an equity offering is. The bad conditions may result in the underestimation of the capital </w:t>
      </w:r>
      <w:bookmarkStart w:id="54" w:name="_Int_T89jL4u9"/>
      <w:r w:rsidRPr="561FEA06">
        <w:t>raise</w:t>
      </w:r>
      <w:bookmarkEnd w:id="54"/>
      <w:r w:rsidRPr="561FEA06">
        <w:t>.</w:t>
      </w:r>
    </w:p>
    <w:p w14:paraId="3265D667" w14:textId="64C194F2" w:rsidR="3EA6A2B4" w:rsidRDefault="3EA6A2B4" w:rsidP="561FEA06">
      <w:pPr>
        <w:spacing w:after="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27A23FDA" w:rsidRPr="561FEA06">
        <w:rPr>
          <w:rFonts w:ascii="Times New Roman" w:eastAsia="Times New Roman" w:hAnsi="Times New Roman" w:cs="Times New Roman"/>
          <w:b/>
          <w:bCs/>
        </w:rPr>
        <w:t>6</w:t>
      </w:r>
      <w:r w:rsidRPr="561FEA06">
        <w:rPr>
          <w:rFonts w:ascii="Times New Roman" w:eastAsia="Times New Roman" w:hAnsi="Times New Roman" w:cs="Times New Roman"/>
          <w:b/>
          <w:bCs/>
        </w:rPr>
        <w:t>: Impact of Equity Injection on Capital Structure</w:t>
      </w:r>
    </w:p>
    <w:tbl>
      <w:tblPr>
        <w:tblStyle w:val="PlainTable2"/>
        <w:tblW w:w="0" w:type="auto"/>
        <w:tblLook w:val="06A0" w:firstRow="1" w:lastRow="0" w:firstColumn="1" w:lastColumn="0" w:noHBand="1" w:noVBand="1"/>
      </w:tblPr>
      <w:tblGrid>
        <w:gridCol w:w="3534"/>
        <w:gridCol w:w="2307"/>
        <w:gridCol w:w="3519"/>
      </w:tblGrid>
      <w:tr w:rsidR="561FEA06" w14:paraId="6651F908" w14:textId="77777777" w:rsidTr="561FEA0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85" w:type="dxa"/>
          </w:tcPr>
          <w:p w14:paraId="2C2145A1" w14:textId="2ADE4A98" w:rsidR="561FEA06" w:rsidRDefault="561FEA06" w:rsidP="561FEA06">
            <w:pPr>
              <w:spacing w:line="480" w:lineRule="auto"/>
              <w:jc w:val="center"/>
            </w:pPr>
            <w:r w:rsidRPr="561FEA06">
              <w:t>Capital Structure</w:t>
            </w:r>
          </w:p>
        </w:tc>
        <w:tc>
          <w:tcPr>
            <w:tcW w:w="2333" w:type="dxa"/>
          </w:tcPr>
          <w:p w14:paraId="37711A52" w14:textId="5390E71B"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Pre-Equity Injection</w:t>
            </w:r>
          </w:p>
        </w:tc>
        <w:tc>
          <w:tcPr>
            <w:tcW w:w="3571" w:type="dxa"/>
          </w:tcPr>
          <w:p w14:paraId="1E2EFA5E" w14:textId="53288A55"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Post-Equity Injection (30% Dilution)</w:t>
            </w:r>
          </w:p>
        </w:tc>
      </w:tr>
      <w:tr w:rsidR="561FEA06" w14:paraId="4F6DEA54"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3585" w:type="dxa"/>
          </w:tcPr>
          <w:p w14:paraId="0BAB1A2F" w14:textId="2DD2661E" w:rsidR="561FEA06" w:rsidRDefault="561FEA06" w:rsidP="561FEA06">
            <w:pPr>
              <w:spacing w:line="480" w:lineRule="auto"/>
              <w:jc w:val="center"/>
            </w:pPr>
            <w:r w:rsidRPr="561FEA06">
              <w:t>Total Equity</w:t>
            </w:r>
          </w:p>
        </w:tc>
        <w:tc>
          <w:tcPr>
            <w:tcW w:w="2333" w:type="dxa"/>
          </w:tcPr>
          <w:p w14:paraId="5701E568" w14:textId="35CFCA46"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$500 million</w:t>
            </w:r>
          </w:p>
        </w:tc>
        <w:tc>
          <w:tcPr>
            <w:tcW w:w="3571" w:type="dxa"/>
          </w:tcPr>
          <w:p w14:paraId="64D1EB0B" w14:textId="20846F2C"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$650 million</w:t>
            </w:r>
          </w:p>
        </w:tc>
      </w:tr>
      <w:tr w:rsidR="561FEA06" w14:paraId="28316D80"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3585" w:type="dxa"/>
          </w:tcPr>
          <w:p w14:paraId="15FD25E4" w14:textId="21B4907D" w:rsidR="561FEA06" w:rsidRDefault="561FEA06" w:rsidP="561FEA06">
            <w:pPr>
              <w:spacing w:line="480" w:lineRule="auto"/>
              <w:jc w:val="center"/>
            </w:pPr>
            <w:r w:rsidRPr="561FEA06">
              <w:t>Total Debt</w:t>
            </w:r>
          </w:p>
        </w:tc>
        <w:tc>
          <w:tcPr>
            <w:tcW w:w="2333" w:type="dxa"/>
          </w:tcPr>
          <w:p w14:paraId="1961DE1B" w14:textId="728CFAC5"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$400 million</w:t>
            </w:r>
          </w:p>
        </w:tc>
        <w:tc>
          <w:tcPr>
            <w:tcW w:w="3571" w:type="dxa"/>
          </w:tcPr>
          <w:p w14:paraId="52133AEA" w14:textId="3A847729"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$400 million</w:t>
            </w:r>
          </w:p>
        </w:tc>
      </w:tr>
      <w:tr w:rsidR="561FEA06" w14:paraId="3D59D95A"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3585" w:type="dxa"/>
          </w:tcPr>
          <w:p w14:paraId="4612B422" w14:textId="2FA34071" w:rsidR="561FEA06" w:rsidRDefault="561FEA06" w:rsidP="561FEA06">
            <w:pPr>
              <w:spacing w:line="480" w:lineRule="auto"/>
              <w:jc w:val="center"/>
            </w:pPr>
            <w:r w:rsidRPr="561FEA06">
              <w:t>Debt-to-Equity Ratio</w:t>
            </w:r>
          </w:p>
        </w:tc>
        <w:tc>
          <w:tcPr>
            <w:tcW w:w="2333" w:type="dxa"/>
          </w:tcPr>
          <w:p w14:paraId="65BC3366" w14:textId="2EFC0E15"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0.8</w:t>
            </w:r>
          </w:p>
        </w:tc>
        <w:tc>
          <w:tcPr>
            <w:tcW w:w="3571" w:type="dxa"/>
          </w:tcPr>
          <w:p w14:paraId="62A49B0C" w14:textId="1D2E4D14"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0.6</w:t>
            </w:r>
          </w:p>
        </w:tc>
      </w:tr>
    </w:tbl>
    <w:p w14:paraId="4A04CF26" w14:textId="3F489ACB" w:rsidR="6E83D63D" w:rsidRDefault="6E83D63D" w:rsidP="561FEA06">
      <w:pPr>
        <w:pStyle w:val="Heading4"/>
        <w:spacing w:before="319" w:after="319" w:line="480" w:lineRule="auto"/>
        <w:jc w:val="both"/>
        <w:rPr>
          <w:rFonts w:ascii="Times New Roman" w:eastAsia="Times New Roman" w:hAnsi="Times New Roman" w:cs="Times New Roman"/>
          <w:b/>
          <w:bCs/>
          <w:color w:val="auto"/>
        </w:rPr>
      </w:pPr>
      <w:bookmarkStart w:id="55" w:name="_Toc492252179"/>
      <w:r w:rsidRPr="561FEA06">
        <w:rPr>
          <w:rFonts w:ascii="Times New Roman" w:eastAsia="Times New Roman" w:hAnsi="Times New Roman" w:cs="Times New Roman"/>
          <w:b/>
          <w:bCs/>
          <w:color w:val="auto"/>
        </w:rPr>
        <w:t>2.</w:t>
      </w:r>
      <w:r w:rsidR="6A3EDAD7" w:rsidRPr="561FEA06">
        <w:rPr>
          <w:rFonts w:ascii="Times New Roman" w:eastAsia="Times New Roman" w:hAnsi="Times New Roman" w:cs="Times New Roman"/>
          <w:b/>
          <w:bCs/>
          <w:color w:val="auto"/>
        </w:rPr>
        <w:t>4. Debt Restructuring: Modifying Debt Obligations</w:t>
      </w:r>
      <w:bookmarkEnd w:id="55"/>
    </w:p>
    <w:p w14:paraId="71A60433" w14:textId="6B8942FE" w:rsidR="4BF406F8" w:rsidRDefault="4BF406F8"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Debt restructuring deals with renegotiation of the terms of the current debt to minimize interest </w:t>
      </w:r>
      <w:proofErr w:type="gramStart"/>
      <w:r w:rsidRPr="561FEA06">
        <w:rPr>
          <w:rFonts w:ascii="Times New Roman" w:eastAsia="Times New Roman" w:hAnsi="Times New Roman" w:cs="Times New Roman"/>
        </w:rPr>
        <w:t>rates,</w:t>
      </w:r>
      <w:proofErr w:type="gramEnd"/>
      <w:r w:rsidRPr="561FEA06">
        <w:rPr>
          <w:rFonts w:ascii="Times New Roman" w:eastAsia="Times New Roman" w:hAnsi="Times New Roman" w:cs="Times New Roman"/>
        </w:rPr>
        <w:t xml:space="preserve"> increase the maturity or covenant. It is also a good option in cases where the company experiences liquidity problems or in cases where it has a high debt level that may jeopardize its financial position.</w:t>
      </w:r>
    </w:p>
    <w:p w14:paraId="258DD386" w14:textId="06B1B813" w:rsidR="6A3EDAD7" w:rsidRDefault="6A3EDAD7"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lastRenderedPageBreak/>
        <w:t>Benefits of Debt Restructuring</w:t>
      </w:r>
    </w:p>
    <w:p w14:paraId="45038CEB" w14:textId="2736A870" w:rsidR="2B16D755" w:rsidRDefault="2B16D755" w:rsidP="561FEA06">
      <w:pPr>
        <w:pStyle w:val="ListParagraph"/>
        <w:numPr>
          <w:ilvl w:val="0"/>
          <w:numId w:val="9"/>
        </w:numPr>
        <w:spacing w:after="0" w:line="480" w:lineRule="auto"/>
        <w:jc w:val="both"/>
      </w:pPr>
      <w:r w:rsidRPr="561FEA06">
        <w:rPr>
          <w:b/>
          <w:bCs/>
        </w:rPr>
        <w:t xml:space="preserve">Better Cash Flow: </w:t>
      </w:r>
      <w:r w:rsidRPr="561FEA06">
        <w:t xml:space="preserve">The company will be able to negotiate better terms so as to trim down its monthly debt commitments to enable access to cash flow which can be used in operational activities or even as a source of reinvestment in growth. </w:t>
      </w:r>
    </w:p>
    <w:p w14:paraId="7B2C65AD" w14:textId="08EAFD27" w:rsidR="2B16D755" w:rsidRDefault="2B16D755" w:rsidP="561FEA06">
      <w:pPr>
        <w:pStyle w:val="ListParagraph"/>
        <w:numPr>
          <w:ilvl w:val="0"/>
          <w:numId w:val="9"/>
        </w:numPr>
        <w:spacing w:before="240" w:after="240" w:line="480" w:lineRule="auto"/>
        <w:rPr>
          <w:rFonts w:ascii="Times New Roman" w:eastAsia="Times New Roman" w:hAnsi="Times New Roman" w:cs="Times New Roman"/>
          <w:b/>
          <w:bCs/>
        </w:rPr>
      </w:pPr>
      <w:r w:rsidRPr="561FEA06">
        <w:rPr>
          <w:b/>
          <w:bCs/>
        </w:rPr>
        <w:t xml:space="preserve">Greater Financial Maneuverability: </w:t>
      </w:r>
      <w:r w:rsidRPr="561FEA06">
        <w:t>Debt Restructuring grants more time to recuperate financially, decreasing financial strains in the present.</w:t>
      </w:r>
    </w:p>
    <w:p w14:paraId="7E971C8C" w14:textId="0D8E01C0" w:rsidR="6A3EDAD7" w:rsidRDefault="6A3EDAD7" w:rsidP="561FEA06">
      <w:pPr>
        <w:spacing w:before="240" w:after="240" w:line="480" w:lineRule="auto"/>
        <w:rPr>
          <w:rFonts w:ascii="Times New Roman" w:eastAsia="Times New Roman" w:hAnsi="Times New Roman" w:cs="Times New Roman"/>
          <w:b/>
          <w:bCs/>
        </w:rPr>
      </w:pPr>
      <w:r w:rsidRPr="561FEA06">
        <w:rPr>
          <w:rFonts w:ascii="Times New Roman" w:eastAsia="Times New Roman" w:hAnsi="Times New Roman" w:cs="Times New Roman"/>
          <w:b/>
          <w:bCs/>
        </w:rPr>
        <w:t>Risks and Considerations</w:t>
      </w:r>
    </w:p>
    <w:p w14:paraId="48DF8629" w14:textId="538E7D56" w:rsidR="2201A610" w:rsidRDefault="2201A610" w:rsidP="561FEA06">
      <w:pPr>
        <w:spacing w:after="0" w:line="480" w:lineRule="auto"/>
        <w:jc w:val="both"/>
      </w:pPr>
      <w:r w:rsidRPr="561FEA06">
        <w:t xml:space="preserve">Whereas a debt restructuring will offer a temporary relief, it can also have long-term impacts: </w:t>
      </w:r>
    </w:p>
    <w:p w14:paraId="0CA5419F" w14:textId="2DA35836" w:rsidR="2201A610" w:rsidRDefault="2201A610" w:rsidP="561FEA06">
      <w:pPr>
        <w:pStyle w:val="ListParagraph"/>
        <w:numPr>
          <w:ilvl w:val="0"/>
          <w:numId w:val="8"/>
        </w:numPr>
        <w:spacing w:before="240" w:after="240" w:line="480" w:lineRule="auto"/>
      </w:pPr>
      <w:r w:rsidRPr="561FEA06">
        <w:rPr>
          <w:b/>
          <w:bCs/>
        </w:rPr>
        <w:t xml:space="preserve">Credit Impact Rating: </w:t>
      </w:r>
      <w:r w:rsidRPr="561FEA06">
        <w:t xml:space="preserve">Debt restructuring can adversely affect the credit rating of the company, resulting in higher costs in future in raising capital. </w:t>
      </w:r>
    </w:p>
    <w:p w14:paraId="1F544057" w14:textId="0325D28F" w:rsidR="2201A610" w:rsidRDefault="2201A610" w:rsidP="561FEA06">
      <w:pPr>
        <w:pStyle w:val="ListParagraph"/>
        <w:numPr>
          <w:ilvl w:val="0"/>
          <w:numId w:val="8"/>
        </w:numPr>
        <w:spacing w:before="240" w:after="240" w:line="480" w:lineRule="auto"/>
      </w:pPr>
      <w:r w:rsidRPr="561FEA06">
        <w:rPr>
          <w:b/>
          <w:bCs/>
        </w:rPr>
        <w:t>Debt-Creditor Relationships:</w:t>
      </w:r>
      <w:r w:rsidRPr="561FEA06">
        <w:t xml:space="preserve"> Repeated restructuring of debt can lead to poorer relationships with creditors, who will seek tougher terms or terms in future deals.</w:t>
      </w:r>
    </w:p>
    <w:p w14:paraId="606A4FD6" w14:textId="0F983AA1" w:rsidR="6A3EDAD7" w:rsidRDefault="6A3EDAD7" w:rsidP="561FEA06">
      <w:pPr>
        <w:spacing w:after="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0EE77756" w:rsidRPr="561FEA06">
        <w:rPr>
          <w:rFonts w:ascii="Times New Roman" w:eastAsia="Times New Roman" w:hAnsi="Times New Roman" w:cs="Times New Roman"/>
          <w:b/>
          <w:bCs/>
        </w:rPr>
        <w:t>7</w:t>
      </w:r>
      <w:r w:rsidRPr="561FEA06">
        <w:rPr>
          <w:rFonts w:ascii="Times New Roman" w:eastAsia="Times New Roman" w:hAnsi="Times New Roman" w:cs="Times New Roman"/>
          <w:b/>
          <w:bCs/>
        </w:rPr>
        <w:t>: Comparison of Debt Restructuring Scenarios</w:t>
      </w:r>
    </w:p>
    <w:tbl>
      <w:tblPr>
        <w:tblStyle w:val="PlainTable2"/>
        <w:tblW w:w="0" w:type="auto"/>
        <w:tblLook w:val="06A0" w:firstRow="1" w:lastRow="0" w:firstColumn="1" w:lastColumn="0" w:noHBand="1" w:noVBand="1"/>
      </w:tblPr>
      <w:tblGrid>
        <w:gridCol w:w="3078"/>
        <w:gridCol w:w="3384"/>
        <w:gridCol w:w="2898"/>
      </w:tblGrid>
      <w:tr w:rsidR="561FEA06" w14:paraId="1D007DAA" w14:textId="77777777" w:rsidTr="561FEA0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0" w:type="dxa"/>
          </w:tcPr>
          <w:p w14:paraId="4CA2515D" w14:textId="0BFA83BA" w:rsidR="561FEA06" w:rsidRDefault="561FEA06" w:rsidP="561FEA06">
            <w:pPr>
              <w:spacing w:line="360" w:lineRule="auto"/>
              <w:jc w:val="center"/>
            </w:pPr>
            <w:r w:rsidRPr="561FEA06">
              <w:t>Debt Restructuring Scenario</w:t>
            </w:r>
          </w:p>
        </w:tc>
        <w:tc>
          <w:tcPr>
            <w:tcW w:w="3435" w:type="dxa"/>
          </w:tcPr>
          <w:p w14:paraId="06AA5AA1" w14:textId="485C506D" w:rsidR="561FEA06" w:rsidRDefault="561FEA06" w:rsidP="561FEA06">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Pre-Restructuring Terms</w:t>
            </w:r>
          </w:p>
        </w:tc>
        <w:tc>
          <w:tcPr>
            <w:tcW w:w="2934" w:type="dxa"/>
          </w:tcPr>
          <w:p w14:paraId="3FA1DDD5" w14:textId="439D9652" w:rsidR="561FEA06" w:rsidRDefault="561FEA06" w:rsidP="561FEA06">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Post-Restructuring Terms</w:t>
            </w:r>
          </w:p>
        </w:tc>
      </w:tr>
      <w:tr w:rsidR="561FEA06" w14:paraId="67D7197D"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400F52E0" w14:textId="68954D54" w:rsidR="561FEA06" w:rsidRDefault="561FEA06" w:rsidP="561FEA06">
            <w:pPr>
              <w:spacing w:line="360" w:lineRule="auto"/>
              <w:jc w:val="center"/>
            </w:pPr>
            <w:r w:rsidRPr="561FEA06">
              <w:t>Interest Rate</w:t>
            </w:r>
          </w:p>
        </w:tc>
        <w:tc>
          <w:tcPr>
            <w:tcW w:w="3435" w:type="dxa"/>
          </w:tcPr>
          <w:p w14:paraId="707390BE" w14:textId="5EA659E4" w:rsidR="561FEA06" w:rsidRDefault="561FEA06" w:rsidP="561FEA06">
            <w:pPr>
              <w:spacing w:line="360" w:lineRule="auto"/>
              <w:jc w:val="center"/>
              <w:cnfStyle w:val="000000000000" w:firstRow="0" w:lastRow="0" w:firstColumn="0" w:lastColumn="0" w:oddVBand="0" w:evenVBand="0" w:oddHBand="0" w:evenHBand="0" w:firstRowFirstColumn="0" w:firstRowLastColumn="0" w:lastRowFirstColumn="0" w:lastRowLastColumn="0"/>
            </w:pPr>
            <w:r w:rsidRPr="561FEA06">
              <w:t>6%</w:t>
            </w:r>
          </w:p>
        </w:tc>
        <w:tc>
          <w:tcPr>
            <w:tcW w:w="2934" w:type="dxa"/>
          </w:tcPr>
          <w:p w14:paraId="0683C8C3" w14:textId="201B7861" w:rsidR="561FEA06" w:rsidRDefault="561FEA06" w:rsidP="561FEA06">
            <w:pPr>
              <w:spacing w:line="360" w:lineRule="auto"/>
              <w:jc w:val="center"/>
              <w:cnfStyle w:val="000000000000" w:firstRow="0" w:lastRow="0" w:firstColumn="0" w:lastColumn="0" w:oddVBand="0" w:evenVBand="0" w:oddHBand="0" w:evenHBand="0" w:firstRowFirstColumn="0" w:firstRowLastColumn="0" w:lastRowFirstColumn="0" w:lastRowLastColumn="0"/>
            </w:pPr>
            <w:r w:rsidRPr="561FEA06">
              <w:t>4%</w:t>
            </w:r>
          </w:p>
        </w:tc>
      </w:tr>
      <w:tr w:rsidR="561FEA06" w14:paraId="051D46AC"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7399EFB7" w14:textId="2BAFABD1" w:rsidR="561FEA06" w:rsidRDefault="561FEA06" w:rsidP="561FEA06">
            <w:pPr>
              <w:spacing w:line="360" w:lineRule="auto"/>
              <w:jc w:val="center"/>
            </w:pPr>
            <w:r w:rsidRPr="561FEA06">
              <w:t>Repayment Period</w:t>
            </w:r>
          </w:p>
        </w:tc>
        <w:tc>
          <w:tcPr>
            <w:tcW w:w="3435" w:type="dxa"/>
          </w:tcPr>
          <w:p w14:paraId="3FD67C1C" w14:textId="2E91DED3" w:rsidR="561FEA06" w:rsidRDefault="561FEA06" w:rsidP="561FEA06">
            <w:pPr>
              <w:spacing w:line="360" w:lineRule="auto"/>
              <w:jc w:val="center"/>
              <w:cnfStyle w:val="000000000000" w:firstRow="0" w:lastRow="0" w:firstColumn="0" w:lastColumn="0" w:oddVBand="0" w:evenVBand="0" w:oddHBand="0" w:evenHBand="0" w:firstRowFirstColumn="0" w:firstRowLastColumn="0" w:lastRowFirstColumn="0" w:lastRowLastColumn="0"/>
            </w:pPr>
            <w:r w:rsidRPr="561FEA06">
              <w:t>5 years</w:t>
            </w:r>
          </w:p>
        </w:tc>
        <w:tc>
          <w:tcPr>
            <w:tcW w:w="2934" w:type="dxa"/>
          </w:tcPr>
          <w:p w14:paraId="039349EA" w14:textId="4F6198C4" w:rsidR="561FEA06" w:rsidRDefault="561FEA06" w:rsidP="561FEA06">
            <w:pPr>
              <w:spacing w:line="360" w:lineRule="auto"/>
              <w:jc w:val="center"/>
              <w:cnfStyle w:val="000000000000" w:firstRow="0" w:lastRow="0" w:firstColumn="0" w:lastColumn="0" w:oddVBand="0" w:evenVBand="0" w:oddHBand="0" w:evenHBand="0" w:firstRowFirstColumn="0" w:firstRowLastColumn="0" w:lastRowFirstColumn="0" w:lastRowLastColumn="0"/>
            </w:pPr>
            <w:r w:rsidRPr="561FEA06">
              <w:t>7 years</w:t>
            </w:r>
          </w:p>
        </w:tc>
      </w:tr>
      <w:tr w:rsidR="561FEA06" w14:paraId="0C87734B" w14:textId="77777777" w:rsidTr="561FEA06">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2DE9A610" w14:textId="285014CB" w:rsidR="561FEA06" w:rsidRDefault="561FEA06" w:rsidP="561FEA06">
            <w:pPr>
              <w:spacing w:line="360" w:lineRule="auto"/>
              <w:jc w:val="center"/>
            </w:pPr>
            <w:r w:rsidRPr="561FEA06">
              <w:t>Covenants</w:t>
            </w:r>
          </w:p>
        </w:tc>
        <w:tc>
          <w:tcPr>
            <w:tcW w:w="3435" w:type="dxa"/>
          </w:tcPr>
          <w:p w14:paraId="44E4B164" w14:textId="618F69AA" w:rsidR="561FEA06" w:rsidRDefault="561FEA06" w:rsidP="561FEA06">
            <w:pPr>
              <w:spacing w:line="360" w:lineRule="auto"/>
              <w:jc w:val="center"/>
              <w:cnfStyle w:val="000000000000" w:firstRow="0" w:lastRow="0" w:firstColumn="0" w:lastColumn="0" w:oddVBand="0" w:evenVBand="0" w:oddHBand="0" w:evenHBand="0" w:firstRowFirstColumn="0" w:firstRowLastColumn="0" w:lastRowFirstColumn="0" w:lastRowLastColumn="0"/>
            </w:pPr>
            <w:r w:rsidRPr="561FEA06">
              <w:t>Stringent</w:t>
            </w:r>
          </w:p>
        </w:tc>
        <w:tc>
          <w:tcPr>
            <w:tcW w:w="2934" w:type="dxa"/>
          </w:tcPr>
          <w:p w14:paraId="08A01AC0" w14:textId="552386C4" w:rsidR="561FEA06" w:rsidRDefault="561FEA06" w:rsidP="561FEA06">
            <w:pPr>
              <w:spacing w:line="360" w:lineRule="auto"/>
              <w:jc w:val="center"/>
              <w:cnfStyle w:val="000000000000" w:firstRow="0" w:lastRow="0" w:firstColumn="0" w:lastColumn="0" w:oddVBand="0" w:evenVBand="0" w:oddHBand="0" w:evenHBand="0" w:firstRowFirstColumn="0" w:firstRowLastColumn="0" w:lastRowFirstColumn="0" w:lastRowLastColumn="0"/>
            </w:pPr>
            <w:r w:rsidRPr="561FEA06">
              <w:t>Relaxed</w:t>
            </w:r>
          </w:p>
        </w:tc>
      </w:tr>
    </w:tbl>
    <w:p w14:paraId="26740527" w14:textId="5595A70C" w:rsidR="6C4307CF" w:rsidRDefault="6C4307CF" w:rsidP="561FEA06">
      <w:pPr>
        <w:pStyle w:val="Heading4"/>
        <w:spacing w:before="319" w:after="319" w:line="480" w:lineRule="auto"/>
        <w:jc w:val="both"/>
        <w:rPr>
          <w:rFonts w:ascii="Times New Roman" w:eastAsia="Times New Roman" w:hAnsi="Times New Roman" w:cs="Times New Roman"/>
          <w:b/>
          <w:bCs/>
          <w:color w:val="auto"/>
        </w:rPr>
      </w:pPr>
      <w:bookmarkStart w:id="56" w:name="_Toc2071144634"/>
      <w:r w:rsidRPr="561FEA06">
        <w:rPr>
          <w:rFonts w:ascii="Times New Roman" w:eastAsia="Times New Roman" w:hAnsi="Times New Roman" w:cs="Times New Roman"/>
          <w:b/>
          <w:bCs/>
          <w:color w:val="auto"/>
        </w:rPr>
        <w:t xml:space="preserve">3.5. </w:t>
      </w:r>
      <w:r w:rsidR="6A3EDAD7" w:rsidRPr="561FEA06">
        <w:rPr>
          <w:rFonts w:ascii="Times New Roman" w:eastAsia="Times New Roman" w:hAnsi="Times New Roman" w:cs="Times New Roman"/>
          <w:b/>
          <w:bCs/>
          <w:color w:val="auto"/>
        </w:rPr>
        <w:t>Conclusion</w:t>
      </w:r>
      <w:bookmarkEnd w:id="56"/>
    </w:p>
    <w:p w14:paraId="0657CFE8" w14:textId="21DCEE52" w:rsidR="6A3EDAD7" w:rsidRDefault="6A3EDAD7"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In conclusion, </w:t>
      </w:r>
      <w:r w:rsidR="6C54A81D" w:rsidRPr="561FEA06">
        <w:rPr>
          <w:rFonts w:ascii="Times New Roman" w:eastAsia="Times New Roman" w:hAnsi="Times New Roman" w:cs="Times New Roman"/>
        </w:rPr>
        <w:t xml:space="preserve">the financial restructuring of an EV manufacturer </w:t>
      </w:r>
      <w:proofErr w:type="gramStart"/>
      <w:r w:rsidR="6C54A81D" w:rsidRPr="561FEA06">
        <w:rPr>
          <w:rFonts w:ascii="Times New Roman" w:eastAsia="Times New Roman" w:hAnsi="Times New Roman" w:cs="Times New Roman"/>
        </w:rPr>
        <w:t>may be approached</w:t>
      </w:r>
      <w:proofErr w:type="gramEnd"/>
      <w:r w:rsidR="6C54A81D" w:rsidRPr="561FEA06">
        <w:rPr>
          <w:rFonts w:ascii="Times New Roman" w:eastAsia="Times New Roman" w:hAnsi="Times New Roman" w:cs="Times New Roman"/>
        </w:rPr>
        <w:t xml:space="preserve"> in different ways based on the strategic needs of the company and the situation in the market. Divestiture </w:t>
      </w:r>
      <w:proofErr w:type="gramStart"/>
      <w:r w:rsidR="6C54A81D" w:rsidRPr="561FEA06">
        <w:rPr>
          <w:rFonts w:ascii="Times New Roman" w:eastAsia="Times New Roman" w:hAnsi="Times New Roman" w:cs="Times New Roman"/>
        </w:rPr>
        <w:t xml:space="preserve">can </w:t>
      </w:r>
      <w:r w:rsidR="6C54A81D" w:rsidRPr="561FEA06">
        <w:rPr>
          <w:rFonts w:ascii="Times New Roman" w:eastAsia="Times New Roman" w:hAnsi="Times New Roman" w:cs="Times New Roman"/>
        </w:rPr>
        <w:lastRenderedPageBreak/>
        <w:t>be used</w:t>
      </w:r>
      <w:proofErr w:type="gramEnd"/>
      <w:r w:rsidR="6C54A81D" w:rsidRPr="561FEA06">
        <w:rPr>
          <w:rFonts w:ascii="Times New Roman" w:eastAsia="Times New Roman" w:hAnsi="Times New Roman" w:cs="Times New Roman"/>
        </w:rPr>
        <w:t xml:space="preserve"> to refreeze the resources of the company into its core business, create liquidity, whereas mergers and acquisitions can create new market share and enhance technological advantages. Equity injections would enhance the capital base of the company through diluting ownership, and debt restructuring would be a source of much-needed liquidity during financial crises. Through a close consideration of these alternatives, the company will be able to enhance its financial strength, attain sustainable growth, and shareholder value</w:t>
      </w:r>
      <w:r w:rsidRPr="561FEA06">
        <w:rPr>
          <w:rFonts w:ascii="Times New Roman" w:eastAsia="Times New Roman" w:hAnsi="Times New Roman" w:cs="Times New Roman"/>
        </w:rPr>
        <w:t>.</w:t>
      </w:r>
    </w:p>
    <w:p w14:paraId="7299B7C0" w14:textId="6FD41C41" w:rsidR="2974CB7E" w:rsidRDefault="2974CB7E" w:rsidP="561FEA06">
      <w:pPr>
        <w:pStyle w:val="Heading1"/>
        <w:rPr>
          <w:rFonts w:asciiTheme="minorHAnsi" w:eastAsiaTheme="minorEastAsia" w:hAnsiTheme="minorHAnsi" w:cstheme="minorBidi"/>
          <w:b/>
          <w:bCs/>
          <w:color w:val="auto"/>
          <w:sz w:val="28"/>
          <w:szCs w:val="28"/>
        </w:rPr>
      </w:pPr>
      <w:bookmarkStart w:id="57" w:name="_Toc1486598084"/>
      <w:r w:rsidRPr="561FEA06">
        <w:rPr>
          <w:rFonts w:asciiTheme="minorHAnsi" w:eastAsiaTheme="minorEastAsia" w:hAnsiTheme="minorHAnsi" w:cstheme="minorBidi"/>
          <w:b/>
          <w:bCs/>
          <w:color w:val="auto"/>
          <w:sz w:val="28"/>
          <w:szCs w:val="28"/>
        </w:rPr>
        <w:t xml:space="preserve">4. </w:t>
      </w:r>
      <w:r w:rsidR="6A3EDAD7" w:rsidRPr="561FEA06">
        <w:rPr>
          <w:rFonts w:asciiTheme="minorHAnsi" w:eastAsiaTheme="minorEastAsia" w:hAnsiTheme="minorHAnsi" w:cstheme="minorBidi"/>
          <w:b/>
          <w:bCs/>
          <w:color w:val="auto"/>
          <w:sz w:val="28"/>
          <w:szCs w:val="28"/>
        </w:rPr>
        <w:t>Investment Appraisal and Capital Budgeting: Choosing the Optimal Investment Project</w:t>
      </w:r>
      <w:bookmarkEnd w:id="57"/>
    </w:p>
    <w:p w14:paraId="167B5B10" w14:textId="2C2318F3" w:rsidR="49D09B21" w:rsidRDefault="49D09B21"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Capital budgeting and investment appraisal are important financial </w:t>
      </w:r>
      <w:proofErr w:type="gramStart"/>
      <w:r w:rsidRPr="561FEA06">
        <w:rPr>
          <w:rFonts w:ascii="Times New Roman" w:eastAsia="Times New Roman" w:hAnsi="Times New Roman" w:cs="Times New Roman"/>
        </w:rPr>
        <w:t>decision making</w:t>
      </w:r>
      <w:proofErr w:type="gramEnd"/>
      <w:r w:rsidRPr="561FEA06">
        <w:rPr>
          <w:rFonts w:ascii="Times New Roman" w:eastAsia="Times New Roman" w:hAnsi="Times New Roman" w:cs="Times New Roman"/>
        </w:rPr>
        <w:t xml:space="preserve"> tools that are utilized to persuade companies on the most viable projects. This decision-making process is even more important in the situation of an electric vehicle (EV) manufacturer, as the amount of capital needed, blistering technological development, and unstable situation on the market are quite significant. We shall in this segment examine three of the suggested investment projects based on some of the common financial measures: Payback Period (PBP), </w:t>
      </w:r>
      <w:proofErr w:type="gramStart"/>
      <w:r w:rsidRPr="561FEA06">
        <w:rPr>
          <w:rFonts w:ascii="Times New Roman" w:eastAsia="Times New Roman" w:hAnsi="Times New Roman" w:cs="Times New Roman"/>
        </w:rPr>
        <w:t>Accounting</w:t>
      </w:r>
      <w:proofErr w:type="gramEnd"/>
      <w:r w:rsidRPr="561FEA06">
        <w:rPr>
          <w:rFonts w:ascii="Times New Roman" w:eastAsia="Times New Roman" w:hAnsi="Times New Roman" w:cs="Times New Roman"/>
        </w:rPr>
        <w:t xml:space="preserve"> rate of Return (ARR), Net Present Value (NPV), profitability index (PI) and Internal rate of return (IRR). Using these metrics, we will be able to determine the best investment project that will meet the strategic objectives of the company, its financial strength, and subsequent growth prospects.</w:t>
      </w:r>
    </w:p>
    <w:p w14:paraId="25CCAB7A" w14:textId="4969DEA5" w:rsidR="49D09B21" w:rsidRDefault="49D09B21" w:rsidP="561FEA06">
      <w:pPr>
        <w:pStyle w:val="Heading4"/>
        <w:spacing w:before="240" w:after="240" w:line="480" w:lineRule="auto"/>
        <w:jc w:val="both"/>
        <w:rPr>
          <w:rFonts w:ascii="Times New Roman" w:eastAsia="Times New Roman" w:hAnsi="Times New Roman" w:cs="Times New Roman"/>
          <w:b/>
          <w:bCs/>
          <w:color w:val="auto"/>
        </w:rPr>
      </w:pPr>
      <w:bookmarkStart w:id="58" w:name="_Toc1696902858"/>
      <w:r w:rsidRPr="561FEA06">
        <w:rPr>
          <w:rFonts w:ascii="Times New Roman" w:eastAsia="Times New Roman" w:hAnsi="Times New Roman" w:cs="Times New Roman"/>
          <w:b/>
          <w:bCs/>
          <w:color w:val="auto"/>
        </w:rPr>
        <w:t>4.</w:t>
      </w:r>
      <w:r w:rsidR="2326E4D7" w:rsidRPr="561FEA06">
        <w:rPr>
          <w:rFonts w:ascii="Times New Roman" w:eastAsia="Times New Roman" w:hAnsi="Times New Roman" w:cs="Times New Roman"/>
          <w:b/>
          <w:bCs/>
          <w:color w:val="auto"/>
        </w:rPr>
        <w:t>1. Overview</w:t>
      </w:r>
      <w:r w:rsidR="6A3EDAD7" w:rsidRPr="561FEA06">
        <w:rPr>
          <w:rFonts w:ascii="Times New Roman" w:eastAsia="Times New Roman" w:hAnsi="Times New Roman" w:cs="Times New Roman"/>
          <w:b/>
          <w:bCs/>
          <w:color w:val="auto"/>
        </w:rPr>
        <w:t xml:space="preserve"> of the Proposed Investment Projects</w:t>
      </w:r>
      <w:bookmarkEnd w:id="58"/>
    </w:p>
    <w:p w14:paraId="4888011C" w14:textId="131F6AAA" w:rsidR="1F10FB3F" w:rsidRDefault="1F10FB3F"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company will have three such investment projects that have varying cash flow profiles and risks. The details of the investment in each project </w:t>
      </w:r>
      <w:proofErr w:type="gramStart"/>
      <w:r w:rsidRPr="561FEA06">
        <w:rPr>
          <w:rFonts w:ascii="Times New Roman" w:eastAsia="Times New Roman" w:hAnsi="Times New Roman" w:cs="Times New Roman"/>
        </w:rPr>
        <w:t>are summarized</w:t>
      </w:r>
      <w:proofErr w:type="gramEnd"/>
      <w:r w:rsidRPr="561FEA06">
        <w:rPr>
          <w:rFonts w:ascii="Times New Roman" w:eastAsia="Times New Roman" w:hAnsi="Times New Roman" w:cs="Times New Roman"/>
        </w:rPr>
        <w:t xml:space="preserve"> as follows: </w:t>
      </w:r>
    </w:p>
    <w:p w14:paraId="2E74A893" w14:textId="6BA9198A" w:rsidR="1F10FB3F" w:rsidRDefault="1F10FB3F" w:rsidP="561FEA06">
      <w:pPr>
        <w:pStyle w:val="ListParagraph"/>
        <w:numPr>
          <w:ilvl w:val="0"/>
          <w:numId w:val="3"/>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 xml:space="preserve">Project A: </w:t>
      </w:r>
      <w:r w:rsidRPr="561FEA06">
        <w:rPr>
          <w:rFonts w:ascii="Times New Roman" w:eastAsia="Times New Roman" w:hAnsi="Times New Roman" w:cs="Times New Roman"/>
        </w:rPr>
        <w:t xml:space="preserve">This project will need a starting capital of £50 million and its net cash inflows during the first five years will be as shown: equal to 10 million in the first year, equal to </w:t>
      </w:r>
      <w:r w:rsidRPr="561FEA06">
        <w:rPr>
          <w:rFonts w:ascii="Times New Roman" w:eastAsia="Times New Roman" w:hAnsi="Times New Roman" w:cs="Times New Roman"/>
        </w:rPr>
        <w:lastRenderedPageBreak/>
        <w:t xml:space="preserve">12 million in the second year, and equal to 14 million in the third, in the fourth and fifth years respectively. The useful life of the project is </w:t>
      </w:r>
      <w:r w:rsidR="3276FD7B" w:rsidRPr="561FEA06">
        <w:rPr>
          <w:rFonts w:ascii="Times New Roman" w:eastAsia="Times New Roman" w:hAnsi="Times New Roman" w:cs="Times New Roman"/>
        </w:rPr>
        <w:t>approximately</w:t>
      </w:r>
      <w:r w:rsidRPr="561FEA06">
        <w:rPr>
          <w:rFonts w:ascii="Times New Roman" w:eastAsia="Times New Roman" w:hAnsi="Times New Roman" w:cs="Times New Roman"/>
        </w:rPr>
        <w:t xml:space="preserve"> 5 years. </w:t>
      </w:r>
    </w:p>
    <w:p w14:paraId="156F4C8C" w14:textId="6E48CAAB" w:rsidR="1F10FB3F" w:rsidRDefault="1F10FB3F" w:rsidP="561FEA06">
      <w:pPr>
        <w:pStyle w:val="ListParagraph"/>
        <w:numPr>
          <w:ilvl w:val="0"/>
          <w:numId w:val="3"/>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Project B:</w:t>
      </w:r>
      <w:r w:rsidRPr="561FEA06">
        <w:rPr>
          <w:rFonts w:ascii="Times New Roman" w:eastAsia="Times New Roman" w:hAnsi="Times New Roman" w:cs="Times New Roman"/>
        </w:rPr>
        <w:t xml:space="preserve"> It also involves an initial investment of 50 million pounds with the net cash inflows per year being consistent (net cash inflows of 11 million) over the next five years.</w:t>
      </w:r>
    </w:p>
    <w:p w14:paraId="3A935A49" w14:textId="1AA91F90" w:rsidR="1F10FB3F" w:rsidRDefault="1F10FB3F" w:rsidP="561FEA06">
      <w:pPr>
        <w:pStyle w:val="ListParagraph"/>
        <w:numPr>
          <w:ilvl w:val="0"/>
          <w:numId w:val="3"/>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 xml:space="preserve">Project C: </w:t>
      </w:r>
      <w:r w:rsidRPr="561FEA06">
        <w:rPr>
          <w:rFonts w:ascii="Times New Roman" w:eastAsia="Times New Roman" w:hAnsi="Times New Roman" w:cs="Times New Roman"/>
        </w:rPr>
        <w:t xml:space="preserve">Project, which also needs an initial investment of £50 million, also has a more fluctuating schedule of cash inflows, involving a cash inflow of £5 million in Year 1, a cash inflow of £10 million in Year 2, a cash inflow of £20 million in Year 3, a cash inflow of 25 million in Years 4 and 5. </w:t>
      </w:r>
    </w:p>
    <w:p w14:paraId="148054F4" w14:textId="7827C368" w:rsidR="1F10FB3F" w:rsidRDefault="1F10FB3F"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The discount rate will be 10 percent and the straight-line depreciation to zero </w:t>
      </w:r>
      <w:proofErr w:type="gramStart"/>
      <w:r w:rsidRPr="561FEA06">
        <w:rPr>
          <w:rFonts w:ascii="Times New Roman" w:eastAsia="Times New Roman" w:hAnsi="Times New Roman" w:cs="Times New Roman"/>
        </w:rPr>
        <w:t>will be subjected</w:t>
      </w:r>
      <w:proofErr w:type="gramEnd"/>
      <w:r w:rsidRPr="561FEA06">
        <w:rPr>
          <w:rFonts w:ascii="Times New Roman" w:eastAsia="Times New Roman" w:hAnsi="Times New Roman" w:cs="Times New Roman"/>
        </w:rPr>
        <w:t xml:space="preserve"> to each project.</w:t>
      </w:r>
    </w:p>
    <w:p w14:paraId="75683BFD" w14:textId="39669D93" w:rsidR="11C40F27" w:rsidRDefault="11C40F27" w:rsidP="561FEA06">
      <w:pPr>
        <w:pStyle w:val="Heading4"/>
        <w:spacing w:before="240" w:after="240" w:line="480" w:lineRule="auto"/>
        <w:jc w:val="both"/>
        <w:rPr>
          <w:rFonts w:ascii="Times New Roman" w:eastAsia="Times New Roman" w:hAnsi="Times New Roman" w:cs="Times New Roman"/>
          <w:b/>
          <w:bCs/>
          <w:color w:val="auto"/>
        </w:rPr>
      </w:pPr>
      <w:bookmarkStart w:id="59" w:name="_Toc319040245"/>
      <w:r w:rsidRPr="561FEA06">
        <w:rPr>
          <w:rFonts w:ascii="Times New Roman" w:eastAsia="Times New Roman" w:hAnsi="Times New Roman" w:cs="Times New Roman"/>
          <w:b/>
          <w:bCs/>
          <w:color w:val="auto"/>
        </w:rPr>
        <w:t xml:space="preserve">4.2. </w:t>
      </w:r>
      <w:r w:rsidR="6A3EDAD7" w:rsidRPr="561FEA06">
        <w:rPr>
          <w:rFonts w:ascii="Times New Roman" w:eastAsia="Times New Roman" w:hAnsi="Times New Roman" w:cs="Times New Roman"/>
          <w:b/>
          <w:bCs/>
          <w:color w:val="auto"/>
        </w:rPr>
        <w:t>Financial Metrics for Investment Appraisal</w:t>
      </w:r>
      <w:bookmarkEnd w:id="59"/>
    </w:p>
    <w:p w14:paraId="236B155F" w14:textId="1542169C" w:rsidR="2C8C93E4" w:rsidRDefault="2C8C93E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We will use the following financial measures to assess the feasibility of the investment projects proposed: </w:t>
      </w:r>
    </w:p>
    <w:p w14:paraId="2BEFCE72" w14:textId="6E42482C" w:rsidR="2C8C93E4" w:rsidRDefault="2C8C93E4" w:rsidP="561FEA06">
      <w:pPr>
        <w:pStyle w:val="ListParagraph"/>
        <w:numPr>
          <w:ilvl w:val="0"/>
          <w:numId w:val="2"/>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Payback Period (PBP):</w:t>
      </w:r>
      <w:r w:rsidRPr="561FEA06">
        <w:rPr>
          <w:rFonts w:ascii="Times New Roman" w:eastAsia="Times New Roman" w:hAnsi="Times New Roman" w:cs="Times New Roman"/>
        </w:rPr>
        <w:t xml:space="preserve"> This </w:t>
      </w:r>
      <w:proofErr w:type="gramStart"/>
      <w:r w:rsidRPr="561FEA06">
        <w:rPr>
          <w:rFonts w:ascii="Times New Roman" w:eastAsia="Times New Roman" w:hAnsi="Times New Roman" w:cs="Times New Roman"/>
        </w:rPr>
        <w:t>is the period that</w:t>
      </w:r>
      <w:proofErr w:type="gramEnd"/>
      <w:r w:rsidRPr="561FEA06">
        <w:rPr>
          <w:rFonts w:ascii="Times New Roman" w:eastAsia="Times New Roman" w:hAnsi="Times New Roman" w:cs="Times New Roman"/>
        </w:rPr>
        <w:t xml:space="preserve"> can be used to determine how long it takes an investment to break even. The cost of a shorter payback period is preferable in that the investment </w:t>
      </w:r>
      <w:proofErr w:type="gramStart"/>
      <w:r w:rsidRPr="561FEA06">
        <w:rPr>
          <w:rFonts w:ascii="Times New Roman" w:eastAsia="Times New Roman" w:hAnsi="Times New Roman" w:cs="Times New Roman"/>
        </w:rPr>
        <w:t>will be recouped</w:t>
      </w:r>
      <w:proofErr w:type="gramEnd"/>
      <w:r w:rsidRPr="561FEA06">
        <w:rPr>
          <w:rFonts w:ascii="Times New Roman" w:eastAsia="Times New Roman" w:hAnsi="Times New Roman" w:cs="Times New Roman"/>
        </w:rPr>
        <w:t xml:space="preserve"> faster than the longer one. </w:t>
      </w:r>
    </w:p>
    <w:p w14:paraId="58935638" w14:textId="25B7B028" w:rsidR="2C8C93E4" w:rsidRDefault="2C8C93E4" w:rsidP="561FEA06">
      <w:pPr>
        <w:pStyle w:val="ListParagraph"/>
        <w:numPr>
          <w:ilvl w:val="0"/>
          <w:numId w:val="2"/>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Accounting Rate of Return (ARR):</w:t>
      </w:r>
      <w:r w:rsidRPr="561FEA06">
        <w:rPr>
          <w:rFonts w:ascii="Times New Roman" w:eastAsia="Times New Roman" w:hAnsi="Times New Roman" w:cs="Times New Roman"/>
        </w:rPr>
        <w:t xml:space="preserve"> The ARR is calculated based on the average accounting profit and initial investment. It </w:t>
      </w:r>
      <w:proofErr w:type="gramStart"/>
      <w:r w:rsidRPr="561FEA06">
        <w:rPr>
          <w:rFonts w:ascii="Times New Roman" w:eastAsia="Times New Roman" w:hAnsi="Times New Roman" w:cs="Times New Roman"/>
        </w:rPr>
        <w:t>is stated</w:t>
      </w:r>
      <w:proofErr w:type="gramEnd"/>
      <w:r w:rsidRPr="561FEA06">
        <w:rPr>
          <w:rFonts w:ascii="Times New Roman" w:eastAsia="Times New Roman" w:hAnsi="Times New Roman" w:cs="Times New Roman"/>
        </w:rPr>
        <w:t xml:space="preserve"> as a percentage and gives an idea of the profitability of the project of its cost. </w:t>
      </w:r>
    </w:p>
    <w:p w14:paraId="372A5509" w14:textId="01E78B1C" w:rsidR="2C8C93E4" w:rsidRDefault="2C8C93E4" w:rsidP="561FEA06">
      <w:pPr>
        <w:pStyle w:val="ListParagraph"/>
        <w:numPr>
          <w:ilvl w:val="0"/>
          <w:numId w:val="2"/>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 xml:space="preserve">Net Present Value (NPV): </w:t>
      </w:r>
      <w:r w:rsidRPr="561FEA06">
        <w:rPr>
          <w:rFonts w:ascii="Times New Roman" w:eastAsia="Times New Roman" w:hAnsi="Times New Roman" w:cs="Times New Roman"/>
        </w:rPr>
        <w:t xml:space="preserve">NPV </w:t>
      </w:r>
      <w:proofErr w:type="gramStart"/>
      <w:r w:rsidRPr="561FEA06">
        <w:rPr>
          <w:rFonts w:ascii="Times New Roman" w:eastAsia="Times New Roman" w:hAnsi="Times New Roman" w:cs="Times New Roman"/>
        </w:rPr>
        <w:t>is used</w:t>
      </w:r>
      <w:proofErr w:type="gramEnd"/>
      <w:r w:rsidRPr="561FEA06">
        <w:rPr>
          <w:rFonts w:ascii="Times New Roman" w:eastAsia="Times New Roman" w:hAnsi="Times New Roman" w:cs="Times New Roman"/>
        </w:rPr>
        <w:t xml:space="preserve"> to calculate the difference between the initial investment and the present value of cash inflows. When NPV is positive, then the project </w:t>
      </w:r>
      <w:r w:rsidRPr="561FEA06">
        <w:rPr>
          <w:rFonts w:ascii="Times New Roman" w:eastAsia="Times New Roman" w:hAnsi="Times New Roman" w:cs="Times New Roman"/>
        </w:rPr>
        <w:lastRenderedPageBreak/>
        <w:t xml:space="preserve">is likely to yield value exceeding </w:t>
      </w:r>
      <w:proofErr w:type="gramStart"/>
      <w:r w:rsidRPr="561FEA06">
        <w:rPr>
          <w:rFonts w:ascii="Times New Roman" w:eastAsia="Times New Roman" w:hAnsi="Times New Roman" w:cs="Times New Roman"/>
        </w:rPr>
        <w:t>the cost of capital and when it is negative,</w:t>
      </w:r>
      <w:proofErr w:type="gramEnd"/>
      <w:r w:rsidRPr="561FEA06">
        <w:rPr>
          <w:rFonts w:ascii="Times New Roman" w:eastAsia="Times New Roman" w:hAnsi="Times New Roman" w:cs="Times New Roman"/>
        </w:rPr>
        <w:t xml:space="preserve"> then the project would destroy value. </w:t>
      </w:r>
    </w:p>
    <w:p w14:paraId="468FE070" w14:textId="407B3A3E" w:rsidR="2C8C93E4" w:rsidRDefault="2C8C93E4" w:rsidP="561FEA06">
      <w:pPr>
        <w:pStyle w:val="ListParagraph"/>
        <w:numPr>
          <w:ilvl w:val="0"/>
          <w:numId w:val="2"/>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Profitability Index (PI):</w:t>
      </w:r>
      <w:r w:rsidRPr="561FEA06">
        <w:rPr>
          <w:rFonts w:ascii="Times New Roman" w:eastAsia="Times New Roman" w:hAnsi="Times New Roman" w:cs="Times New Roman"/>
        </w:rPr>
        <w:t xml:space="preserve"> PI is a ratio of present value of cash inflows in future to initial investments. A PI of over </w:t>
      </w:r>
      <w:proofErr w:type="gramStart"/>
      <w:r w:rsidRPr="561FEA06">
        <w:rPr>
          <w:rFonts w:ascii="Times New Roman" w:eastAsia="Times New Roman" w:hAnsi="Times New Roman" w:cs="Times New Roman"/>
        </w:rPr>
        <w:t>1</w:t>
      </w:r>
      <w:proofErr w:type="gramEnd"/>
      <w:r w:rsidRPr="561FEA06">
        <w:rPr>
          <w:rFonts w:ascii="Times New Roman" w:eastAsia="Times New Roman" w:hAnsi="Times New Roman" w:cs="Times New Roman"/>
        </w:rPr>
        <w:t xml:space="preserve"> means that the project will generate value. </w:t>
      </w:r>
    </w:p>
    <w:p w14:paraId="5685D329" w14:textId="4B1440E6" w:rsidR="2C8C93E4" w:rsidRDefault="2C8C93E4" w:rsidP="561FEA06">
      <w:pPr>
        <w:pStyle w:val="ListParagraph"/>
        <w:numPr>
          <w:ilvl w:val="0"/>
          <w:numId w:val="2"/>
        </w:num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b/>
          <w:bCs/>
        </w:rPr>
        <w:t>Internal Rate of Return (IRR):</w:t>
      </w:r>
      <w:r w:rsidRPr="561FEA06">
        <w:rPr>
          <w:rFonts w:ascii="Times New Roman" w:eastAsia="Times New Roman" w:hAnsi="Times New Roman" w:cs="Times New Roman"/>
        </w:rPr>
        <w:t xml:space="preserve"> IRR is the discount rate at which the NPV of a project is zero. It is the anticipated yearly zed rate of return of the project. The greater the IRR, the more profitable the project is.</w:t>
      </w:r>
    </w:p>
    <w:p w14:paraId="36905B66" w14:textId="04204EF0" w:rsidR="2C8C93E4" w:rsidRDefault="2C8C93E4" w:rsidP="561FEA06">
      <w:pPr>
        <w:pStyle w:val="Heading4"/>
        <w:spacing w:before="240" w:after="240" w:line="480" w:lineRule="auto"/>
        <w:jc w:val="both"/>
        <w:rPr>
          <w:rFonts w:ascii="Times New Roman" w:eastAsia="Times New Roman" w:hAnsi="Times New Roman" w:cs="Times New Roman"/>
          <w:b/>
          <w:bCs/>
          <w:color w:val="auto"/>
        </w:rPr>
      </w:pPr>
      <w:bookmarkStart w:id="60" w:name="_Toc897843070"/>
      <w:r w:rsidRPr="561FEA06">
        <w:rPr>
          <w:rFonts w:ascii="Times New Roman" w:eastAsia="Times New Roman" w:hAnsi="Times New Roman" w:cs="Times New Roman"/>
          <w:b/>
          <w:bCs/>
          <w:color w:val="auto"/>
        </w:rPr>
        <w:t>4.2.</w:t>
      </w:r>
      <w:r w:rsidR="6A3EDAD7" w:rsidRPr="561FEA06">
        <w:rPr>
          <w:rFonts w:ascii="Times New Roman" w:eastAsia="Times New Roman" w:hAnsi="Times New Roman" w:cs="Times New Roman"/>
          <w:b/>
          <w:bCs/>
          <w:color w:val="auto"/>
        </w:rPr>
        <w:t>1. Payback Period (PBP)</w:t>
      </w:r>
      <w:bookmarkEnd w:id="60"/>
    </w:p>
    <w:p w14:paraId="07DC34B8" w14:textId="24C6E784" w:rsidR="1FA53C17" w:rsidRDefault="1FA53C17"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The Payback Period will assist in estimating the time it will take the company to realize its initial investment. The less the payback period, the earlier the project will start producing positive cash flows.</w:t>
      </w:r>
    </w:p>
    <w:p w14:paraId="60F42506" w14:textId="52942392" w:rsidR="6A3EDAD7" w:rsidRDefault="6A3EDAD7"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391A2040" w:rsidRPr="561FEA06">
        <w:rPr>
          <w:rFonts w:ascii="Times New Roman" w:eastAsia="Times New Roman" w:hAnsi="Times New Roman" w:cs="Times New Roman"/>
          <w:b/>
          <w:bCs/>
        </w:rPr>
        <w:t>8</w:t>
      </w:r>
      <w:r w:rsidRPr="561FEA06">
        <w:rPr>
          <w:rFonts w:ascii="Times New Roman" w:eastAsia="Times New Roman" w:hAnsi="Times New Roman" w:cs="Times New Roman"/>
          <w:b/>
          <w:bCs/>
        </w:rPr>
        <w:t>: Payback Period Calculation for Proposed Projects</w:t>
      </w:r>
    </w:p>
    <w:tbl>
      <w:tblPr>
        <w:tblStyle w:val="TableGridLight"/>
        <w:tblW w:w="0" w:type="auto"/>
        <w:tblLook w:val="06A0" w:firstRow="1" w:lastRow="0" w:firstColumn="1" w:lastColumn="0" w:noHBand="1" w:noVBand="1"/>
      </w:tblPr>
      <w:tblGrid>
        <w:gridCol w:w="1232"/>
        <w:gridCol w:w="1003"/>
        <w:gridCol w:w="989"/>
        <w:gridCol w:w="975"/>
        <w:gridCol w:w="933"/>
        <w:gridCol w:w="953"/>
        <w:gridCol w:w="1597"/>
        <w:gridCol w:w="1668"/>
      </w:tblGrid>
      <w:tr w:rsidR="561FEA06" w14:paraId="178FCECC" w14:textId="77777777" w:rsidTr="561FEA06">
        <w:trPr>
          <w:trHeight w:val="300"/>
        </w:trPr>
        <w:tc>
          <w:tcPr>
            <w:tcW w:w="1260" w:type="dxa"/>
            <w:shd w:val="clear" w:color="auto" w:fill="F2F2F2" w:themeFill="background1" w:themeFillShade="F2"/>
          </w:tcPr>
          <w:p w14:paraId="1F1A6FDC" w14:textId="2A2F0A60" w:rsidR="561FEA06" w:rsidRDefault="561FEA06" w:rsidP="561FEA06">
            <w:pPr>
              <w:spacing w:line="480" w:lineRule="auto"/>
              <w:rPr>
                <w:b/>
                <w:bCs/>
                <w:sz w:val="22"/>
                <w:szCs w:val="22"/>
              </w:rPr>
            </w:pPr>
            <w:r w:rsidRPr="561FEA06">
              <w:rPr>
                <w:b/>
                <w:bCs/>
                <w:sz w:val="22"/>
                <w:szCs w:val="22"/>
              </w:rPr>
              <w:t>Project</w:t>
            </w:r>
          </w:p>
        </w:tc>
        <w:tc>
          <w:tcPr>
            <w:tcW w:w="1020" w:type="dxa"/>
            <w:shd w:val="clear" w:color="auto" w:fill="F2F2F2" w:themeFill="background1" w:themeFillShade="F2"/>
          </w:tcPr>
          <w:p w14:paraId="689E20AA" w14:textId="30F51BDA" w:rsidR="561FEA06" w:rsidRDefault="561FEA06" w:rsidP="561FEA06">
            <w:pPr>
              <w:spacing w:line="480" w:lineRule="auto"/>
              <w:rPr>
                <w:b/>
                <w:bCs/>
                <w:sz w:val="22"/>
                <w:szCs w:val="22"/>
              </w:rPr>
            </w:pPr>
            <w:r w:rsidRPr="561FEA06">
              <w:rPr>
                <w:b/>
                <w:bCs/>
                <w:sz w:val="22"/>
                <w:szCs w:val="22"/>
              </w:rPr>
              <w:t>Year 1</w:t>
            </w:r>
          </w:p>
        </w:tc>
        <w:tc>
          <w:tcPr>
            <w:tcW w:w="1005" w:type="dxa"/>
            <w:shd w:val="clear" w:color="auto" w:fill="F2F2F2" w:themeFill="background1" w:themeFillShade="F2"/>
          </w:tcPr>
          <w:p w14:paraId="5790BB9E" w14:textId="38464613" w:rsidR="561FEA06" w:rsidRDefault="561FEA06" w:rsidP="561FEA06">
            <w:pPr>
              <w:spacing w:line="480" w:lineRule="auto"/>
              <w:rPr>
                <w:b/>
                <w:bCs/>
                <w:sz w:val="22"/>
                <w:szCs w:val="22"/>
              </w:rPr>
            </w:pPr>
            <w:r w:rsidRPr="561FEA06">
              <w:rPr>
                <w:b/>
                <w:bCs/>
                <w:sz w:val="22"/>
                <w:szCs w:val="22"/>
              </w:rPr>
              <w:t>Year 2</w:t>
            </w:r>
          </w:p>
        </w:tc>
        <w:tc>
          <w:tcPr>
            <w:tcW w:w="990" w:type="dxa"/>
            <w:shd w:val="clear" w:color="auto" w:fill="F2F2F2" w:themeFill="background1" w:themeFillShade="F2"/>
          </w:tcPr>
          <w:p w14:paraId="0C5879CA" w14:textId="7BEA901D" w:rsidR="561FEA06" w:rsidRDefault="561FEA06" w:rsidP="561FEA06">
            <w:pPr>
              <w:spacing w:line="480" w:lineRule="auto"/>
              <w:rPr>
                <w:b/>
                <w:bCs/>
                <w:sz w:val="22"/>
                <w:szCs w:val="22"/>
              </w:rPr>
            </w:pPr>
            <w:r w:rsidRPr="561FEA06">
              <w:rPr>
                <w:b/>
                <w:bCs/>
                <w:sz w:val="22"/>
                <w:szCs w:val="22"/>
              </w:rPr>
              <w:t>Year 3</w:t>
            </w:r>
          </w:p>
        </w:tc>
        <w:tc>
          <w:tcPr>
            <w:tcW w:w="945" w:type="dxa"/>
            <w:shd w:val="clear" w:color="auto" w:fill="F2F2F2" w:themeFill="background1" w:themeFillShade="F2"/>
          </w:tcPr>
          <w:p w14:paraId="14314D19" w14:textId="23BA8FCC" w:rsidR="561FEA06" w:rsidRDefault="561FEA06" w:rsidP="561FEA06">
            <w:pPr>
              <w:spacing w:line="480" w:lineRule="auto"/>
              <w:rPr>
                <w:b/>
                <w:bCs/>
                <w:sz w:val="22"/>
                <w:szCs w:val="22"/>
              </w:rPr>
            </w:pPr>
            <w:r w:rsidRPr="561FEA06">
              <w:rPr>
                <w:b/>
                <w:bCs/>
                <w:sz w:val="22"/>
                <w:szCs w:val="22"/>
              </w:rPr>
              <w:t>Year 4</w:t>
            </w:r>
          </w:p>
        </w:tc>
        <w:tc>
          <w:tcPr>
            <w:tcW w:w="966" w:type="dxa"/>
            <w:shd w:val="clear" w:color="auto" w:fill="F2F2F2" w:themeFill="background1" w:themeFillShade="F2"/>
          </w:tcPr>
          <w:p w14:paraId="4FD6E312" w14:textId="13D07565" w:rsidR="561FEA06" w:rsidRDefault="561FEA06" w:rsidP="561FEA06">
            <w:pPr>
              <w:spacing w:line="480" w:lineRule="auto"/>
              <w:rPr>
                <w:b/>
                <w:bCs/>
                <w:sz w:val="22"/>
                <w:szCs w:val="22"/>
              </w:rPr>
            </w:pPr>
            <w:r w:rsidRPr="561FEA06">
              <w:rPr>
                <w:b/>
                <w:bCs/>
                <w:sz w:val="22"/>
                <w:szCs w:val="22"/>
              </w:rPr>
              <w:t>Year 5</w:t>
            </w:r>
          </w:p>
        </w:tc>
        <w:tc>
          <w:tcPr>
            <w:tcW w:w="1620" w:type="dxa"/>
            <w:shd w:val="clear" w:color="auto" w:fill="F2F2F2" w:themeFill="background1" w:themeFillShade="F2"/>
          </w:tcPr>
          <w:p w14:paraId="3B14ABC8" w14:textId="1EF3EF04" w:rsidR="561FEA06" w:rsidRDefault="561FEA06" w:rsidP="561FEA06">
            <w:pPr>
              <w:spacing w:line="480" w:lineRule="auto"/>
              <w:rPr>
                <w:b/>
                <w:bCs/>
                <w:sz w:val="22"/>
                <w:szCs w:val="22"/>
              </w:rPr>
            </w:pPr>
            <w:r w:rsidRPr="561FEA06">
              <w:rPr>
                <w:b/>
                <w:bCs/>
                <w:sz w:val="22"/>
                <w:szCs w:val="22"/>
              </w:rPr>
              <w:t>Cumulative Cash Flow</w:t>
            </w:r>
          </w:p>
        </w:tc>
        <w:tc>
          <w:tcPr>
            <w:tcW w:w="1721" w:type="dxa"/>
            <w:shd w:val="clear" w:color="auto" w:fill="F2F2F2" w:themeFill="background1" w:themeFillShade="F2"/>
          </w:tcPr>
          <w:p w14:paraId="4FCF89F7" w14:textId="53E0AEB2" w:rsidR="561FEA06" w:rsidRDefault="561FEA06" w:rsidP="561FEA06">
            <w:pPr>
              <w:spacing w:line="480" w:lineRule="auto"/>
              <w:rPr>
                <w:b/>
                <w:bCs/>
                <w:sz w:val="22"/>
                <w:szCs w:val="22"/>
              </w:rPr>
            </w:pPr>
            <w:r w:rsidRPr="561FEA06">
              <w:rPr>
                <w:b/>
                <w:bCs/>
                <w:sz w:val="22"/>
                <w:szCs w:val="22"/>
              </w:rPr>
              <w:t>Payback Period</w:t>
            </w:r>
          </w:p>
        </w:tc>
      </w:tr>
      <w:tr w:rsidR="561FEA06" w14:paraId="04412458" w14:textId="77777777" w:rsidTr="561FEA06">
        <w:trPr>
          <w:trHeight w:val="300"/>
        </w:trPr>
        <w:tc>
          <w:tcPr>
            <w:tcW w:w="1260" w:type="dxa"/>
          </w:tcPr>
          <w:p w14:paraId="1CED94C8" w14:textId="206886FD" w:rsidR="561FEA06" w:rsidRDefault="561FEA06" w:rsidP="561FEA06">
            <w:pPr>
              <w:spacing w:line="480" w:lineRule="auto"/>
            </w:pPr>
            <w:r w:rsidRPr="561FEA06">
              <w:t>Project A</w:t>
            </w:r>
          </w:p>
        </w:tc>
        <w:tc>
          <w:tcPr>
            <w:tcW w:w="1020" w:type="dxa"/>
          </w:tcPr>
          <w:p w14:paraId="539D6C1E" w14:textId="4A7D8B86" w:rsidR="561FEA06" w:rsidRDefault="561FEA06" w:rsidP="561FEA06">
            <w:pPr>
              <w:spacing w:line="480" w:lineRule="auto"/>
            </w:pPr>
            <w:r w:rsidRPr="561FEA06">
              <w:t>£10M</w:t>
            </w:r>
          </w:p>
        </w:tc>
        <w:tc>
          <w:tcPr>
            <w:tcW w:w="1005" w:type="dxa"/>
          </w:tcPr>
          <w:p w14:paraId="510945F3" w14:textId="243AAD75" w:rsidR="561FEA06" w:rsidRDefault="561FEA06" w:rsidP="561FEA06">
            <w:pPr>
              <w:spacing w:line="480" w:lineRule="auto"/>
            </w:pPr>
            <w:r w:rsidRPr="561FEA06">
              <w:t>£12M</w:t>
            </w:r>
          </w:p>
        </w:tc>
        <w:tc>
          <w:tcPr>
            <w:tcW w:w="990" w:type="dxa"/>
          </w:tcPr>
          <w:p w14:paraId="6A2754A8" w14:textId="758E142F" w:rsidR="561FEA06" w:rsidRDefault="561FEA06" w:rsidP="561FEA06">
            <w:pPr>
              <w:spacing w:line="480" w:lineRule="auto"/>
            </w:pPr>
            <w:r w:rsidRPr="561FEA06">
              <w:t>£14M</w:t>
            </w:r>
          </w:p>
        </w:tc>
        <w:tc>
          <w:tcPr>
            <w:tcW w:w="945" w:type="dxa"/>
          </w:tcPr>
          <w:p w14:paraId="1771E903" w14:textId="22467066" w:rsidR="561FEA06" w:rsidRDefault="561FEA06" w:rsidP="561FEA06">
            <w:pPr>
              <w:spacing w:line="480" w:lineRule="auto"/>
            </w:pPr>
            <w:r w:rsidRPr="561FEA06">
              <w:t>£10M</w:t>
            </w:r>
          </w:p>
        </w:tc>
        <w:tc>
          <w:tcPr>
            <w:tcW w:w="966" w:type="dxa"/>
          </w:tcPr>
          <w:p w14:paraId="3C81C37D" w14:textId="1CAC623F" w:rsidR="561FEA06" w:rsidRDefault="561FEA06" w:rsidP="561FEA06">
            <w:pPr>
              <w:spacing w:line="480" w:lineRule="auto"/>
            </w:pPr>
            <w:r w:rsidRPr="561FEA06">
              <w:t>£8M</w:t>
            </w:r>
          </w:p>
        </w:tc>
        <w:tc>
          <w:tcPr>
            <w:tcW w:w="1620" w:type="dxa"/>
          </w:tcPr>
          <w:p w14:paraId="718C4ADD" w14:textId="36EB3E9A" w:rsidR="561FEA06" w:rsidRDefault="561FEA06" w:rsidP="561FEA06">
            <w:pPr>
              <w:spacing w:line="480" w:lineRule="auto"/>
            </w:pPr>
            <w:r w:rsidRPr="561FEA06">
              <w:t>£54M</w:t>
            </w:r>
          </w:p>
        </w:tc>
        <w:tc>
          <w:tcPr>
            <w:tcW w:w="1721" w:type="dxa"/>
          </w:tcPr>
          <w:p w14:paraId="1CFF86FA" w14:textId="4A17C4BA" w:rsidR="561FEA06" w:rsidRDefault="561FEA06" w:rsidP="561FEA06">
            <w:pPr>
              <w:spacing w:line="480" w:lineRule="auto"/>
            </w:pPr>
            <w:r w:rsidRPr="561FEA06">
              <w:t>4.17 years</w:t>
            </w:r>
          </w:p>
        </w:tc>
      </w:tr>
      <w:tr w:rsidR="561FEA06" w14:paraId="5808B258" w14:textId="77777777" w:rsidTr="561FEA06">
        <w:trPr>
          <w:trHeight w:val="300"/>
        </w:trPr>
        <w:tc>
          <w:tcPr>
            <w:tcW w:w="1260" w:type="dxa"/>
          </w:tcPr>
          <w:p w14:paraId="0141A0A3" w14:textId="4E7F129B" w:rsidR="561FEA06" w:rsidRDefault="561FEA06" w:rsidP="561FEA06">
            <w:pPr>
              <w:spacing w:line="480" w:lineRule="auto"/>
            </w:pPr>
            <w:r w:rsidRPr="561FEA06">
              <w:t>Project B</w:t>
            </w:r>
          </w:p>
        </w:tc>
        <w:tc>
          <w:tcPr>
            <w:tcW w:w="1020" w:type="dxa"/>
          </w:tcPr>
          <w:p w14:paraId="604C414C" w14:textId="4D6513A9" w:rsidR="561FEA06" w:rsidRDefault="561FEA06" w:rsidP="561FEA06">
            <w:pPr>
              <w:spacing w:line="480" w:lineRule="auto"/>
            </w:pPr>
            <w:r w:rsidRPr="561FEA06">
              <w:t>£11M</w:t>
            </w:r>
          </w:p>
        </w:tc>
        <w:tc>
          <w:tcPr>
            <w:tcW w:w="1005" w:type="dxa"/>
          </w:tcPr>
          <w:p w14:paraId="088E0BB2" w14:textId="4EF42E47" w:rsidR="561FEA06" w:rsidRDefault="561FEA06" w:rsidP="561FEA06">
            <w:pPr>
              <w:spacing w:line="480" w:lineRule="auto"/>
            </w:pPr>
            <w:r w:rsidRPr="561FEA06">
              <w:t>£11M</w:t>
            </w:r>
          </w:p>
        </w:tc>
        <w:tc>
          <w:tcPr>
            <w:tcW w:w="990" w:type="dxa"/>
          </w:tcPr>
          <w:p w14:paraId="50B6FCDB" w14:textId="149B9904" w:rsidR="561FEA06" w:rsidRDefault="561FEA06" w:rsidP="561FEA06">
            <w:pPr>
              <w:spacing w:line="480" w:lineRule="auto"/>
            </w:pPr>
            <w:r w:rsidRPr="561FEA06">
              <w:t>£11M</w:t>
            </w:r>
          </w:p>
        </w:tc>
        <w:tc>
          <w:tcPr>
            <w:tcW w:w="945" w:type="dxa"/>
          </w:tcPr>
          <w:p w14:paraId="21DB5594" w14:textId="51E3BCE1" w:rsidR="561FEA06" w:rsidRDefault="561FEA06" w:rsidP="561FEA06">
            <w:pPr>
              <w:spacing w:line="480" w:lineRule="auto"/>
            </w:pPr>
            <w:r w:rsidRPr="561FEA06">
              <w:t>£11M</w:t>
            </w:r>
          </w:p>
        </w:tc>
        <w:tc>
          <w:tcPr>
            <w:tcW w:w="966" w:type="dxa"/>
          </w:tcPr>
          <w:p w14:paraId="5C7C7A31" w14:textId="7CF75687" w:rsidR="561FEA06" w:rsidRDefault="561FEA06" w:rsidP="561FEA06">
            <w:pPr>
              <w:spacing w:line="480" w:lineRule="auto"/>
            </w:pPr>
            <w:r w:rsidRPr="561FEA06">
              <w:t>£11M</w:t>
            </w:r>
          </w:p>
        </w:tc>
        <w:tc>
          <w:tcPr>
            <w:tcW w:w="1620" w:type="dxa"/>
          </w:tcPr>
          <w:p w14:paraId="5E781CDE" w14:textId="00F14028" w:rsidR="561FEA06" w:rsidRDefault="561FEA06" w:rsidP="561FEA06">
            <w:pPr>
              <w:spacing w:line="480" w:lineRule="auto"/>
            </w:pPr>
            <w:r w:rsidRPr="561FEA06">
              <w:t>£55M</w:t>
            </w:r>
          </w:p>
        </w:tc>
        <w:tc>
          <w:tcPr>
            <w:tcW w:w="1721" w:type="dxa"/>
          </w:tcPr>
          <w:p w14:paraId="72BFB631" w14:textId="4EE187D0" w:rsidR="561FEA06" w:rsidRDefault="561FEA06" w:rsidP="561FEA06">
            <w:pPr>
              <w:spacing w:line="480" w:lineRule="auto"/>
            </w:pPr>
            <w:r w:rsidRPr="561FEA06">
              <w:t>4.55 years</w:t>
            </w:r>
          </w:p>
        </w:tc>
      </w:tr>
      <w:tr w:rsidR="561FEA06" w14:paraId="1BFDCF90" w14:textId="77777777" w:rsidTr="561FEA06">
        <w:trPr>
          <w:trHeight w:val="300"/>
        </w:trPr>
        <w:tc>
          <w:tcPr>
            <w:tcW w:w="1260" w:type="dxa"/>
          </w:tcPr>
          <w:p w14:paraId="55886367" w14:textId="043E0DB3" w:rsidR="561FEA06" w:rsidRDefault="561FEA06" w:rsidP="561FEA06">
            <w:pPr>
              <w:spacing w:line="480" w:lineRule="auto"/>
            </w:pPr>
            <w:r w:rsidRPr="561FEA06">
              <w:t>Project C</w:t>
            </w:r>
          </w:p>
        </w:tc>
        <w:tc>
          <w:tcPr>
            <w:tcW w:w="1020" w:type="dxa"/>
          </w:tcPr>
          <w:p w14:paraId="68B2B10A" w14:textId="0A52D307" w:rsidR="561FEA06" w:rsidRDefault="561FEA06" w:rsidP="561FEA06">
            <w:pPr>
              <w:spacing w:line="480" w:lineRule="auto"/>
            </w:pPr>
            <w:r w:rsidRPr="561FEA06">
              <w:t>£5M</w:t>
            </w:r>
          </w:p>
        </w:tc>
        <w:tc>
          <w:tcPr>
            <w:tcW w:w="1005" w:type="dxa"/>
          </w:tcPr>
          <w:p w14:paraId="14FCEEF7" w14:textId="38F36C1A" w:rsidR="561FEA06" w:rsidRDefault="561FEA06" w:rsidP="561FEA06">
            <w:pPr>
              <w:spacing w:line="480" w:lineRule="auto"/>
            </w:pPr>
            <w:r w:rsidRPr="561FEA06">
              <w:t>£10M</w:t>
            </w:r>
          </w:p>
        </w:tc>
        <w:tc>
          <w:tcPr>
            <w:tcW w:w="990" w:type="dxa"/>
          </w:tcPr>
          <w:p w14:paraId="200A070A" w14:textId="7745F887" w:rsidR="561FEA06" w:rsidRDefault="561FEA06" w:rsidP="561FEA06">
            <w:pPr>
              <w:spacing w:line="480" w:lineRule="auto"/>
            </w:pPr>
            <w:r w:rsidRPr="561FEA06">
              <w:t>£20M</w:t>
            </w:r>
          </w:p>
        </w:tc>
        <w:tc>
          <w:tcPr>
            <w:tcW w:w="945" w:type="dxa"/>
          </w:tcPr>
          <w:p w14:paraId="020E50C7" w14:textId="71B71DD4" w:rsidR="561FEA06" w:rsidRDefault="561FEA06" w:rsidP="561FEA06">
            <w:pPr>
              <w:spacing w:line="480" w:lineRule="auto"/>
            </w:pPr>
            <w:r w:rsidRPr="561FEA06">
              <w:t>£25M</w:t>
            </w:r>
          </w:p>
        </w:tc>
        <w:tc>
          <w:tcPr>
            <w:tcW w:w="966" w:type="dxa"/>
          </w:tcPr>
          <w:p w14:paraId="213E8555" w14:textId="11FCF5D8" w:rsidR="561FEA06" w:rsidRDefault="561FEA06" w:rsidP="561FEA06">
            <w:pPr>
              <w:spacing w:line="480" w:lineRule="auto"/>
            </w:pPr>
            <w:r w:rsidRPr="561FEA06">
              <w:t>£5M</w:t>
            </w:r>
          </w:p>
        </w:tc>
        <w:tc>
          <w:tcPr>
            <w:tcW w:w="1620" w:type="dxa"/>
          </w:tcPr>
          <w:p w14:paraId="094BDC86" w14:textId="13D26884" w:rsidR="561FEA06" w:rsidRDefault="561FEA06" w:rsidP="561FEA06">
            <w:pPr>
              <w:spacing w:line="480" w:lineRule="auto"/>
            </w:pPr>
            <w:r w:rsidRPr="561FEA06">
              <w:t>£65M</w:t>
            </w:r>
          </w:p>
        </w:tc>
        <w:tc>
          <w:tcPr>
            <w:tcW w:w="1721" w:type="dxa"/>
          </w:tcPr>
          <w:p w14:paraId="063CF649" w14:textId="4BE6AEAA" w:rsidR="561FEA06" w:rsidRDefault="561FEA06" w:rsidP="561FEA06">
            <w:pPr>
              <w:spacing w:line="480" w:lineRule="auto"/>
            </w:pPr>
            <w:r w:rsidRPr="561FEA06">
              <w:t>3.77 years</w:t>
            </w:r>
          </w:p>
        </w:tc>
      </w:tr>
    </w:tbl>
    <w:p w14:paraId="329F32B8" w14:textId="59BB7177" w:rsidR="49B80F36" w:rsidRDefault="49B80F36"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Source: (Hyundai Motor, 2024) </w:t>
      </w:r>
    </w:p>
    <w:p w14:paraId="19755E28" w14:textId="14ABA67F" w:rsidR="0C743C21" w:rsidRDefault="0C743C21"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Based on Table </w:t>
      </w:r>
      <w:r w:rsidR="48E84FCF" w:rsidRPr="561FEA06">
        <w:rPr>
          <w:rFonts w:ascii="Times New Roman" w:eastAsia="Times New Roman" w:hAnsi="Times New Roman" w:cs="Times New Roman"/>
        </w:rPr>
        <w:t>8</w:t>
      </w:r>
      <w:r w:rsidRPr="561FEA06">
        <w:rPr>
          <w:rFonts w:ascii="Times New Roman" w:eastAsia="Times New Roman" w:hAnsi="Times New Roman" w:cs="Times New Roman"/>
        </w:rPr>
        <w:t>, it is evident that Project C has the lowest Payback Period of only 3.77 years to recoup the initial investment that is followed by 4.17 years in Project A. Project B will take the shortest time to pay back at 4.55 years.</w:t>
      </w:r>
    </w:p>
    <w:p w14:paraId="2EE4DA33" w14:textId="61444098" w:rsidR="0C743C21" w:rsidRDefault="0C743C21" w:rsidP="561FEA06">
      <w:pPr>
        <w:pStyle w:val="Heading4"/>
        <w:spacing w:before="240" w:after="240" w:line="480" w:lineRule="auto"/>
        <w:jc w:val="both"/>
        <w:rPr>
          <w:rFonts w:ascii="Times New Roman" w:eastAsia="Times New Roman" w:hAnsi="Times New Roman" w:cs="Times New Roman"/>
          <w:b/>
          <w:bCs/>
          <w:color w:val="auto"/>
        </w:rPr>
      </w:pPr>
      <w:bookmarkStart w:id="61" w:name="_Toc695118091"/>
      <w:r w:rsidRPr="561FEA06">
        <w:rPr>
          <w:rFonts w:ascii="Times New Roman" w:eastAsia="Times New Roman" w:hAnsi="Times New Roman" w:cs="Times New Roman"/>
          <w:b/>
          <w:bCs/>
          <w:color w:val="auto"/>
        </w:rPr>
        <w:lastRenderedPageBreak/>
        <w:t>4.2.</w:t>
      </w:r>
      <w:r w:rsidR="6C48AB75" w:rsidRPr="561FEA06">
        <w:rPr>
          <w:rFonts w:ascii="Times New Roman" w:eastAsia="Times New Roman" w:hAnsi="Times New Roman" w:cs="Times New Roman"/>
          <w:b/>
          <w:bCs/>
          <w:color w:val="auto"/>
        </w:rPr>
        <w:t>2. Accounting Rate of Return (ARR)</w:t>
      </w:r>
      <w:bookmarkEnd w:id="61"/>
    </w:p>
    <w:p w14:paraId="6331DA81" w14:textId="271844B7" w:rsidR="2F841744" w:rsidRDefault="2F84174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The accounting rate of Return (ARR) is determined by dividing the mean accounting profit each year by the first investment</w:t>
      </w:r>
      <w:r w:rsidR="64F5F2FC" w:rsidRPr="561FEA06">
        <w:rPr>
          <w:rFonts w:ascii="Times New Roman" w:eastAsia="Times New Roman" w:hAnsi="Times New Roman" w:cs="Times New Roman"/>
        </w:rPr>
        <w:t xml:space="preserve"> (Fmva, 2026)</w:t>
      </w:r>
      <w:r w:rsidRPr="561FEA06">
        <w:rPr>
          <w:rFonts w:ascii="Times New Roman" w:eastAsia="Times New Roman" w:hAnsi="Times New Roman" w:cs="Times New Roman"/>
        </w:rPr>
        <w:t>. The metric is effective in determining the profitability of the project in relation to the cost of the project.</w:t>
      </w:r>
    </w:p>
    <w:p w14:paraId="7BE8473C" w14:textId="67CFC7CA" w:rsidR="561FEA06" w:rsidRDefault="561FEA06" w:rsidP="561FEA06">
      <w:pPr>
        <w:spacing w:before="240" w:after="240" w:line="480" w:lineRule="auto"/>
        <w:jc w:val="center"/>
        <w:rPr>
          <w:rFonts w:ascii="Times New Roman" w:eastAsia="Times New Roman" w:hAnsi="Times New Roman" w:cs="Times New Roman"/>
        </w:rPr>
      </w:pPr>
      <m:oMathPara>
        <m:oMath>
          <m:r>
            <w:rPr>
              <w:rFonts w:ascii="Cambria Math" w:hAnsi="Cambria Math"/>
            </w:rPr>
            <m:t>ARR=</m:t>
          </m:r>
          <m:f>
            <m:fPr>
              <m:ctrlPr>
                <w:rPr>
                  <w:rFonts w:ascii="Cambria Math" w:hAnsi="Cambria Math"/>
                </w:rPr>
              </m:ctrlPr>
            </m:fPr>
            <m:num>
              <m:r>
                <w:rPr>
                  <w:rFonts w:ascii="Cambria Math" w:hAnsi="Cambria Math"/>
                </w:rPr>
                <m:t>Average Annual </m:t>
              </m:r>
              <m:func>
                <m:funcPr>
                  <m:ctrlPr>
                    <w:rPr>
                      <w:rFonts w:ascii="Cambria Math" w:hAnsi="Cambria Math"/>
                    </w:rPr>
                  </m:ctrlPr>
                </m:funcPr>
                <m:fName>
                  <m:r>
                    <m:rPr>
                      <m:sty m:val="p"/>
                    </m:rPr>
                    <w:rPr>
                      <w:rFonts w:ascii="Cambria Math" w:hAnsi="Cambria Math"/>
                    </w:rPr>
                    <m:t>Pr</m:t>
                  </m:r>
                </m:fName>
                <m:e>
                  <m:r>
                    <w:rPr>
                      <w:rFonts w:ascii="Cambria Math" w:hAnsi="Cambria Math"/>
                    </w:rPr>
                    <m:t>o</m:t>
                  </m:r>
                </m:e>
              </m:func>
              <m:r>
                <w:rPr>
                  <w:rFonts w:ascii="Cambria Math" w:hAnsi="Cambria Math"/>
                </w:rPr>
                <m:t>fit</m:t>
              </m:r>
            </m:num>
            <m:den>
              <m:r>
                <w:rPr>
                  <w:rFonts w:ascii="Cambria Math" w:hAnsi="Cambria Math"/>
                </w:rPr>
                <m:t>Initial Investment</m:t>
              </m:r>
            </m:den>
          </m:f>
          <m:r>
            <w:rPr>
              <w:rFonts w:ascii="Cambria Math" w:hAnsi="Cambria Math"/>
            </w:rPr>
            <m:t>×100</m:t>
          </m:r>
        </m:oMath>
      </m:oMathPara>
    </w:p>
    <w:p w14:paraId="6D713D50" w14:textId="251B6309" w:rsidR="6C48AB75" w:rsidRDefault="6C48AB75"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74179BD4" w:rsidRPr="561FEA06">
        <w:rPr>
          <w:rFonts w:ascii="Times New Roman" w:eastAsia="Times New Roman" w:hAnsi="Times New Roman" w:cs="Times New Roman"/>
          <w:b/>
          <w:bCs/>
        </w:rPr>
        <w:t>9</w:t>
      </w:r>
      <w:r w:rsidRPr="561FEA06">
        <w:rPr>
          <w:rFonts w:ascii="Times New Roman" w:eastAsia="Times New Roman" w:hAnsi="Times New Roman" w:cs="Times New Roman"/>
          <w:b/>
          <w:bCs/>
        </w:rPr>
        <w:t>: ARR Calculation for Proposed Projects</w:t>
      </w:r>
    </w:p>
    <w:tbl>
      <w:tblPr>
        <w:tblStyle w:val="PlainTable2"/>
        <w:tblW w:w="0" w:type="auto"/>
        <w:jc w:val="center"/>
        <w:tblLook w:val="06A0" w:firstRow="1" w:lastRow="0" w:firstColumn="1" w:lastColumn="0" w:noHBand="1" w:noVBand="1"/>
      </w:tblPr>
      <w:tblGrid>
        <w:gridCol w:w="2070"/>
        <w:gridCol w:w="3315"/>
        <w:gridCol w:w="1865"/>
      </w:tblGrid>
      <w:tr w:rsidR="561FEA06" w14:paraId="4D7186AE" w14:textId="77777777" w:rsidTr="561FEA0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070" w:type="dxa"/>
          </w:tcPr>
          <w:p w14:paraId="31F1AF70" w14:textId="3897B760" w:rsidR="561FEA06" w:rsidRDefault="561FEA06" w:rsidP="561FEA06">
            <w:pPr>
              <w:spacing w:line="480" w:lineRule="auto"/>
              <w:jc w:val="center"/>
            </w:pPr>
            <w:r w:rsidRPr="561FEA06">
              <w:t>Project</w:t>
            </w:r>
          </w:p>
        </w:tc>
        <w:tc>
          <w:tcPr>
            <w:tcW w:w="3315" w:type="dxa"/>
          </w:tcPr>
          <w:p w14:paraId="624119CE" w14:textId="2F63953A"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Average Annual Profit</w:t>
            </w:r>
          </w:p>
        </w:tc>
        <w:tc>
          <w:tcPr>
            <w:tcW w:w="1865" w:type="dxa"/>
          </w:tcPr>
          <w:p w14:paraId="04324FF8" w14:textId="6D45E4C8"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ARR (%)</w:t>
            </w:r>
          </w:p>
        </w:tc>
      </w:tr>
      <w:tr w:rsidR="561FEA06" w14:paraId="4EBE872F"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070" w:type="dxa"/>
          </w:tcPr>
          <w:p w14:paraId="7A7F8B2C" w14:textId="2CD79EAB" w:rsidR="561FEA06" w:rsidRDefault="561FEA06" w:rsidP="561FEA06">
            <w:pPr>
              <w:spacing w:line="480" w:lineRule="auto"/>
              <w:jc w:val="center"/>
            </w:pPr>
            <w:r w:rsidRPr="561FEA06">
              <w:t>Project A</w:t>
            </w:r>
          </w:p>
        </w:tc>
        <w:tc>
          <w:tcPr>
            <w:tcW w:w="3315" w:type="dxa"/>
          </w:tcPr>
          <w:p w14:paraId="5822E3FB" w14:textId="33AE9CD6"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£12.8M</w:t>
            </w:r>
          </w:p>
        </w:tc>
        <w:tc>
          <w:tcPr>
            <w:tcW w:w="1865" w:type="dxa"/>
          </w:tcPr>
          <w:p w14:paraId="51A1F1D2" w14:textId="7556F1E5"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25.6%</w:t>
            </w:r>
          </w:p>
        </w:tc>
      </w:tr>
      <w:tr w:rsidR="561FEA06" w14:paraId="3D9619B2"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070" w:type="dxa"/>
          </w:tcPr>
          <w:p w14:paraId="64250949" w14:textId="14EDA379" w:rsidR="561FEA06" w:rsidRDefault="561FEA06" w:rsidP="561FEA06">
            <w:pPr>
              <w:spacing w:line="480" w:lineRule="auto"/>
              <w:jc w:val="center"/>
            </w:pPr>
            <w:r w:rsidRPr="561FEA06">
              <w:t>Project B</w:t>
            </w:r>
          </w:p>
        </w:tc>
        <w:tc>
          <w:tcPr>
            <w:tcW w:w="3315" w:type="dxa"/>
          </w:tcPr>
          <w:p w14:paraId="52AB4ED5" w14:textId="22CA7D6C"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£11M</w:t>
            </w:r>
          </w:p>
        </w:tc>
        <w:tc>
          <w:tcPr>
            <w:tcW w:w="1865" w:type="dxa"/>
          </w:tcPr>
          <w:p w14:paraId="47B40DD4" w14:textId="3FE3DEB4"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22%</w:t>
            </w:r>
          </w:p>
        </w:tc>
      </w:tr>
      <w:tr w:rsidR="561FEA06" w14:paraId="0B17EDBA"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070" w:type="dxa"/>
          </w:tcPr>
          <w:p w14:paraId="0AFCD8A9" w14:textId="31B22B48" w:rsidR="561FEA06" w:rsidRDefault="561FEA06" w:rsidP="561FEA06">
            <w:pPr>
              <w:spacing w:line="480" w:lineRule="auto"/>
              <w:jc w:val="center"/>
            </w:pPr>
            <w:r w:rsidRPr="561FEA06">
              <w:t>Project C</w:t>
            </w:r>
          </w:p>
        </w:tc>
        <w:tc>
          <w:tcPr>
            <w:tcW w:w="3315" w:type="dxa"/>
          </w:tcPr>
          <w:p w14:paraId="4507B518" w14:textId="1851A21B"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£13.8M</w:t>
            </w:r>
          </w:p>
        </w:tc>
        <w:tc>
          <w:tcPr>
            <w:tcW w:w="1865" w:type="dxa"/>
          </w:tcPr>
          <w:p w14:paraId="5528AE64" w14:textId="636A44E7"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27.6%</w:t>
            </w:r>
          </w:p>
        </w:tc>
      </w:tr>
    </w:tbl>
    <w:p w14:paraId="40901D9D" w14:textId="6AACCC89" w:rsidR="00FE1116" w:rsidRDefault="00FE1116"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As indicated in Table </w:t>
      </w:r>
      <w:r w:rsidR="526670D9" w:rsidRPr="561FEA06">
        <w:rPr>
          <w:rFonts w:ascii="Times New Roman" w:eastAsia="Times New Roman" w:hAnsi="Times New Roman" w:cs="Times New Roman"/>
        </w:rPr>
        <w:t>9</w:t>
      </w:r>
      <w:r w:rsidRPr="561FEA06">
        <w:rPr>
          <w:rFonts w:ascii="Times New Roman" w:eastAsia="Times New Roman" w:hAnsi="Times New Roman" w:cs="Times New Roman"/>
        </w:rPr>
        <w:t>, Project C has the greatest ARR of 27.6 then Project A with 25.6. Project B offers the least accounting return with a 22% ARR, which means that, compared to its investment, Project B offers the least accounting return.</w:t>
      </w:r>
    </w:p>
    <w:p w14:paraId="037901FE" w14:textId="2FE0222D" w:rsidR="00FE1116" w:rsidRDefault="00FE1116" w:rsidP="561FEA06">
      <w:pPr>
        <w:pStyle w:val="Heading4"/>
        <w:spacing w:before="240" w:after="240" w:line="480" w:lineRule="auto"/>
        <w:jc w:val="both"/>
        <w:rPr>
          <w:rFonts w:ascii="Times New Roman" w:eastAsia="Times New Roman" w:hAnsi="Times New Roman" w:cs="Times New Roman"/>
          <w:b/>
          <w:bCs/>
          <w:color w:val="auto"/>
        </w:rPr>
      </w:pPr>
      <w:bookmarkStart w:id="62" w:name="_Toc931016232"/>
      <w:r w:rsidRPr="561FEA06">
        <w:rPr>
          <w:rFonts w:ascii="Times New Roman" w:eastAsia="Times New Roman" w:hAnsi="Times New Roman" w:cs="Times New Roman"/>
          <w:b/>
          <w:bCs/>
          <w:color w:val="auto"/>
        </w:rPr>
        <w:t>4.2.</w:t>
      </w:r>
      <w:r w:rsidR="6C48AB75" w:rsidRPr="561FEA06">
        <w:rPr>
          <w:rFonts w:ascii="Times New Roman" w:eastAsia="Times New Roman" w:hAnsi="Times New Roman" w:cs="Times New Roman"/>
          <w:b/>
          <w:bCs/>
          <w:color w:val="auto"/>
        </w:rPr>
        <w:t>3. Net Present Value (NPV)</w:t>
      </w:r>
      <w:bookmarkEnd w:id="62"/>
    </w:p>
    <w:p w14:paraId="62EF7FA1" w14:textId="6C0643A1" w:rsidR="5C6A3896" w:rsidRDefault="5C6A3896"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Net Present Value (NPV) is an important measure that is applied to determine whether the future cash flows of a project will be more than the initial investment of the project considering the required rate of return of the firm (discount rate)</w:t>
      </w:r>
      <w:r w:rsidR="5BC74098" w:rsidRPr="561FEA06">
        <w:rPr>
          <w:rFonts w:ascii="Times New Roman" w:eastAsia="Times New Roman" w:hAnsi="Times New Roman" w:cs="Times New Roman"/>
        </w:rPr>
        <w:t xml:space="preserve"> (Team, 2026)</w:t>
      </w:r>
      <w:r w:rsidRPr="561FEA06">
        <w:rPr>
          <w:rFonts w:ascii="Times New Roman" w:eastAsia="Times New Roman" w:hAnsi="Times New Roman" w:cs="Times New Roman"/>
        </w:rPr>
        <w:t>. When NPV is positive, the project will contribute to the company.</w:t>
      </w:r>
    </w:p>
    <w:p w14:paraId="3BDA0043" w14:textId="49896716" w:rsidR="6C48AB75" w:rsidRDefault="6C48AB7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The formula for NPV</w:t>
      </w:r>
      <w:r w:rsidR="5634E8F8" w:rsidRPr="561FEA06">
        <w:rPr>
          <w:rFonts w:ascii="Times New Roman" w:eastAsia="Times New Roman" w:hAnsi="Times New Roman" w:cs="Times New Roman"/>
        </w:rPr>
        <w:t>:</w:t>
      </w:r>
    </w:p>
    <w:p w14:paraId="2D0B4840" w14:textId="384A851A" w:rsidR="561FEA06" w:rsidRDefault="561FEA06" w:rsidP="561FEA06">
      <w:pPr>
        <w:spacing w:before="240" w:after="240" w:line="480" w:lineRule="auto"/>
        <w:jc w:val="center"/>
      </w:pPr>
      <m:oMathPara>
        <m:oMath>
          <m:r>
            <w:rPr>
              <w:rFonts w:ascii="Cambria Math" w:hAnsi="Cambria Math"/>
            </w:rPr>
            <w:lastRenderedPageBreak/>
            <m:t>BPV=</m:t>
          </m:r>
          <m:nary>
            <m:naryPr>
              <m:chr m:val="∑"/>
              <m:ctrlPr>
                <w:rPr>
                  <w:rFonts w:ascii="Cambria Math" w:hAnsi="Cambria Math"/>
                </w:rPr>
              </m:ctrlPr>
            </m:naryPr>
            <m:sub>
              <m:r>
                <w:rPr>
                  <w:rFonts w:ascii="Cambria Math" w:hAnsi="Cambria Math"/>
                </w:rPr>
                <m:t> </m:t>
              </m:r>
            </m:sub>
            <m:sup>
              <m:r>
                <w:rPr>
                  <w:rFonts w:ascii="Cambria Math" w:hAnsi="Cambria Math"/>
                </w:rPr>
                <m:t> </m:t>
              </m:r>
            </m:sup>
            <m:e>
              <m:f>
                <m:fPr>
                  <m:ctrlPr>
                    <w:rPr>
                      <w:rFonts w:ascii="Cambria Math" w:hAnsi="Cambria Math"/>
                    </w:rPr>
                  </m:ctrlPr>
                </m:fPr>
                <m:num>
                  <m:r>
                    <w:rPr>
                      <w:rFonts w:ascii="Cambria Math" w:hAnsi="Cambria Math"/>
                    </w:rPr>
                    <m:t>Cash Flow in Year t</m:t>
                  </m:r>
                </m:num>
                <m:den>
                  <m:d>
                    <m:dPr>
                      <m:ctrlPr>
                        <w:rPr>
                          <w:rFonts w:ascii="Cambria Math" w:hAnsi="Cambria Math"/>
                        </w:rPr>
                      </m:ctrlPr>
                    </m:dPr>
                    <m:e>
                      <m:r>
                        <w:rPr>
                          <w:rFonts w:ascii="Cambria Math" w:hAnsi="Cambria Math"/>
                        </w:rPr>
                        <m:t>1+r</m:t>
                      </m:r>
                    </m:e>
                  </m:d>
                </m:den>
              </m:f>
            </m:e>
          </m:nary>
        </m:oMath>
      </m:oMathPara>
    </w:p>
    <w:p w14:paraId="2FE4E297" w14:textId="67EAB6B5" w:rsidR="6C48AB75" w:rsidRDefault="6C48AB75"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2D323C3C" w:rsidRPr="561FEA06">
        <w:rPr>
          <w:rFonts w:ascii="Times New Roman" w:eastAsia="Times New Roman" w:hAnsi="Times New Roman" w:cs="Times New Roman"/>
          <w:b/>
          <w:bCs/>
        </w:rPr>
        <w:t>10</w:t>
      </w:r>
      <w:r w:rsidRPr="561FEA06">
        <w:rPr>
          <w:rFonts w:ascii="Times New Roman" w:eastAsia="Times New Roman" w:hAnsi="Times New Roman" w:cs="Times New Roman"/>
          <w:b/>
          <w:bCs/>
        </w:rPr>
        <w:t>: NPV Calculation for Proposed Projects</w:t>
      </w:r>
    </w:p>
    <w:tbl>
      <w:tblPr>
        <w:tblStyle w:val="PlainTable2"/>
        <w:tblW w:w="0" w:type="auto"/>
        <w:jc w:val="center"/>
        <w:tblLook w:val="06A0" w:firstRow="1" w:lastRow="0" w:firstColumn="1" w:lastColumn="0" w:noHBand="1" w:noVBand="1"/>
      </w:tblPr>
      <w:tblGrid>
        <w:gridCol w:w="3195"/>
        <w:gridCol w:w="2715"/>
      </w:tblGrid>
      <w:tr w:rsidR="561FEA06" w14:paraId="4E18AD87" w14:textId="77777777" w:rsidTr="561FEA0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195" w:type="dxa"/>
          </w:tcPr>
          <w:p w14:paraId="12D23F3C" w14:textId="7FD274F2" w:rsidR="561FEA06" w:rsidRDefault="561FEA06" w:rsidP="561FEA06">
            <w:pPr>
              <w:spacing w:line="480" w:lineRule="auto"/>
              <w:jc w:val="center"/>
            </w:pPr>
            <w:r w:rsidRPr="561FEA06">
              <w:t>Project</w:t>
            </w:r>
          </w:p>
        </w:tc>
        <w:tc>
          <w:tcPr>
            <w:tcW w:w="2715" w:type="dxa"/>
          </w:tcPr>
          <w:p w14:paraId="4E2BA3EA" w14:textId="5667DCA8"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NPV (£ Million)</w:t>
            </w:r>
          </w:p>
        </w:tc>
      </w:tr>
      <w:tr w:rsidR="561FEA06" w14:paraId="1A8E3356"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3195" w:type="dxa"/>
          </w:tcPr>
          <w:p w14:paraId="404DCD2A" w14:textId="42A66901" w:rsidR="561FEA06" w:rsidRDefault="561FEA06" w:rsidP="561FEA06">
            <w:pPr>
              <w:spacing w:line="480" w:lineRule="auto"/>
              <w:jc w:val="center"/>
            </w:pPr>
            <w:r w:rsidRPr="561FEA06">
              <w:t>Project A</w:t>
            </w:r>
          </w:p>
        </w:tc>
        <w:tc>
          <w:tcPr>
            <w:tcW w:w="2715" w:type="dxa"/>
          </w:tcPr>
          <w:p w14:paraId="71D7AB3C" w14:textId="1F85625F"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£8.4</w:t>
            </w:r>
          </w:p>
        </w:tc>
      </w:tr>
      <w:tr w:rsidR="561FEA06" w14:paraId="5AD93E25"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3195" w:type="dxa"/>
          </w:tcPr>
          <w:p w14:paraId="449D79F8" w14:textId="049140DA" w:rsidR="561FEA06" w:rsidRDefault="561FEA06" w:rsidP="561FEA06">
            <w:pPr>
              <w:spacing w:line="480" w:lineRule="auto"/>
              <w:jc w:val="center"/>
            </w:pPr>
            <w:r w:rsidRPr="561FEA06">
              <w:t>Project B</w:t>
            </w:r>
          </w:p>
        </w:tc>
        <w:tc>
          <w:tcPr>
            <w:tcW w:w="2715" w:type="dxa"/>
          </w:tcPr>
          <w:p w14:paraId="2F4543A5" w14:textId="6B000291"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£9.1</w:t>
            </w:r>
          </w:p>
        </w:tc>
      </w:tr>
      <w:tr w:rsidR="561FEA06" w14:paraId="53879A29"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3195" w:type="dxa"/>
          </w:tcPr>
          <w:p w14:paraId="2F81B06F" w14:textId="55FD0CB2" w:rsidR="561FEA06" w:rsidRDefault="561FEA06" w:rsidP="561FEA06">
            <w:pPr>
              <w:spacing w:line="480" w:lineRule="auto"/>
              <w:jc w:val="center"/>
            </w:pPr>
            <w:r w:rsidRPr="561FEA06">
              <w:t>Project C</w:t>
            </w:r>
          </w:p>
        </w:tc>
        <w:tc>
          <w:tcPr>
            <w:tcW w:w="2715" w:type="dxa"/>
          </w:tcPr>
          <w:p w14:paraId="6D7C315C" w14:textId="2DB2283B"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£13.5</w:t>
            </w:r>
          </w:p>
        </w:tc>
      </w:tr>
    </w:tbl>
    <w:p w14:paraId="657987FC" w14:textId="06772770" w:rsidR="0DFB44C4" w:rsidRDefault="0DFB44C4"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According to table </w:t>
      </w:r>
      <w:r w:rsidR="379FDAAF" w:rsidRPr="561FEA06">
        <w:rPr>
          <w:rFonts w:ascii="Times New Roman" w:eastAsia="Times New Roman" w:hAnsi="Times New Roman" w:cs="Times New Roman"/>
        </w:rPr>
        <w:t>10</w:t>
      </w:r>
      <w:r w:rsidRPr="561FEA06">
        <w:rPr>
          <w:rFonts w:ascii="Times New Roman" w:eastAsia="Times New Roman" w:hAnsi="Times New Roman" w:cs="Times New Roman"/>
        </w:rPr>
        <w:t>, Project C has the greatest NPV of £13.5 million and then Project B of £9.1 million. The lowest value of NPV is in project A at £8.4 million. Project C is most profitable in terms of NPV.</w:t>
      </w:r>
    </w:p>
    <w:p w14:paraId="44D8AF6B" w14:textId="507C6EC7" w:rsidR="0DFB44C4" w:rsidRDefault="0DFB44C4" w:rsidP="561FEA06">
      <w:pPr>
        <w:pStyle w:val="Heading4"/>
        <w:spacing w:before="240" w:after="240" w:line="480" w:lineRule="auto"/>
        <w:jc w:val="both"/>
        <w:rPr>
          <w:rFonts w:ascii="Times New Roman" w:eastAsia="Times New Roman" w:hAnsi="Times New Roman" w:cs="Times New Roman"/>
          <w:b/>
          <w:bCs/>
          <w:color w:val="auto"/>
        </w:rPr>
      </w:pPr>
      <w:bookmarkStart w:id="63" w:name="_Toc1685489973"/>
      <w:r w:rsidRPr="561FEA06">
        <w:rPr>
          <w:rFonts w:ascii="Times New Roman" w:eastAsia="Times New Roman" w:hAnsi="Times New Roman" w:cs="Times New Roman"/>
          <w:b/>
          <w:bCs/>
          <w:color w:val="auto"/>
        </w:rPr>
        <w:t>4.2.</w:t>
      </w:r>
      <w:r w:rsidR="6C48AB75" w:rsidRPr="561FEA06">
        <w:rPr>
          <w:rFonts w:ascii="Times New Roman" w:eastAsia="Times New Roman" w:hAnsi="Times New Roman" w:cs="Times New Roman"/>
          <w:b/>
          <w:bCs/>
          <w:color w:val="auto"/>
        </w:rPr>
        <w:t>4. Profitability Index (PI)</w:t>
      </w:r>
      <w:bookmarkEnd w:id="63"/>
    </w:p>
    <w:p w14:paraId="4A5CD062" w14:textId="7D4972E7" w:rsidR="221B813E" w:rsidRDefault="221B813E"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Conditional to the initial investment, the ratio of the present value of future cash inflows </w:t>
      </w:r>
      <w:proofErr w:type="gramStart"/>
      <w:r w:rsidRPr="561FEA06">
        <w:rPr>
          <w:rFonts w:ascii="Times New Roman" w:eastAsia="Times New Roman" w:hAnsi="Times New Roman" w:cs="Times New Roman"/>
        </w:rPr>
        <w:t>is called</w:t>
      </w:r>
      <w:proofErr w:type="gramEnd"/>
      <w:r w:rsidRPr="561FEA06">
        <w:rPr>
          <w:rFonts w:ascii="Times New Roman" w:eastAsia="Times New Roman" w:hAnsi="Times New Roman" w:cs="Times New Roman"/>
        </w:rPr>
        <w:t xml:space="preserve"> the Profitability Index (PI)</w:t>
      </w:r>
      <w:r w:rsidR="061FBD83" w:rsidRPr="561FEA06">
        <w:rPr>
          <w:rFonts w:ascii="Times New Roman" w:eastAsia="Times New Roman" w:hAnsi="Times New Roman" w:cs="Times New Roman"/>
        </w:rPr>
        <w:t xml:space="preserve"> (Thomas, 2025)</w:t>
      </w:r>
      <w:r w:rsidRPr="561FEA06">
        <w:rPr>
          <w:rFonts w:ascii="Times New Roman" w:eastAsia="Times New Roman" w:hAnsi="Times New Roman" w:cs="Times New Roman"/>
        </w:rPr>
        <w:t xml:space="preserve">. PI that exceeds </w:t>
      </w:r>
      <w:proofErr w:type="gramStart"/>
      <w:r w:rsidRPr="561FEA06">
        <w:rPr>
          <w:rFonts w:ascii="Times New Roman" w:eastAsia="Times New Roman" w:hAnsi="Times New Roman" w:cs="Times New Roman"/>
        </w:rPr>
        <w:t>1</w:t>
      </w:r>
      <w:proofErr w:type="gramEnd"/>
      <w:r w:rsidRPr="561FEA06">
        <w:rPr>
          <w:rFonts w:ascii="Times New Roman" w:eastAsia="Times New Roman" w:hAnsi="Times New Roman" w:cs="Times New Roman"/>
        </w:rPr>
        <w:t xml:space="preserve"> means that the project would create value and the higher the PI, the better the project.</w:t>
      </w:r>
    </w:p>
    <w:p w14:paraId="55B19B38" w14:textId="3A51E952" w:rsidR="6C48AB75" w:rsidRDefault="6C48AB7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The formula for PI is:</w:t>
      </w:r>
    </w:p>
    <w:p w14:paraId="18530E69" w14:textId="13F00A77" w:rsidR="561FEA06" w:rsidRDefault="561FEA06" w:rsidP="561FEA06">
      <w:pPr>
        <w:spacing w:before="240" w:after="240" w:line="480" w:lineRule="auto"/>
        <w:jc w:val="center"/>
        <w:rPr>
          <w:rFonts w:ascii="Times New Roman" w:eastAsia="Times New Roman" w:hAnsi="Times New Roman" w:cs="Times New Roman"/>
        </w:rPr>
      </w:pPr>
      <m:oMathPara>
        <m:oMath>
          <m:r>
            <w:rPr>
              <w:rFonts w:ascii="Cambria Math" w:hAnsi="Cambria Math"/>
            </w:rPr>
            <m:t>PI=</m:t>
          </m:r>
          <m:f>
            <m:fPr>
              <m:ctrlPr>
                <w:rPr>
                  <w:rFonts w:ascii="Cambria Math" w:hAnsi="Cambria Math"/>
                </w:rPr>
              </m:ctrlPr>
            </m:fPr>
            <m:num>
              <m:func>
                <m:funcPr>
                  <m:ctrlPr>
                    <w:rPr>
                      <w:rFonts w:ascii="Cambria Math" w:hAnsi="Cambria Math"/>
                    </w:rPr>
                  </m:ctrlPr>
                </m:funcPr>
                <m:fName>
                  <m:r>
                    <m:rPr>
                      <m:sty m:val="p"/>
                    </m:rPr>
                    <w:rPr>
                      <w:rFonts w:ascii="Cambria Math" w:hAnsi="Cambria Math"/>
                    </w:rPr>
                    <m:t>Pr</m:t>
                  </m:r>
                </m:fName>
                <m:e>
                  <m:r>
                    <w:rPr>
                      <w:rFonts w:ascii="Cambria Math" w:hAnsi="Cambria Math"/>
                    </w:rPr>
                    <m:t>e</m:t>
                  </m:r>
                </m:e>
              </m:func>
              <m:r>
                <w:rPr>
                  <w:rFonts w:ascii="Cambria Math" w:hAnsi="Cambria Math"/>
                </w:rPr>
                <m:t>sentValueofFutureCashFlows</m:t>
              </m:r>
            </m:num>
            <m:den>
              <m:r>
                <w:rPr>
                  <w:rFonts w:ascii="Cambria Math" w:hAnsi="Cambria Math"/>
                </w:rPr>
                <m:t>Initial Investment</m:t>
              </m:r>
            </m:den>
          </m:f>
        </m:oMath>
      </m:oMathPara>
    </w:p>
    <w:p w14:paraId="4C77A623" w14:textId="03007F68" w:rsidR="6C48AB75" w:rsidRDefault="6C48AB75"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122A3CAD" w:rsidRPr="561FEA06">
        <w:rPr>
          <w:rFonts w:ascii="Times New Roman" w:eastAsia="Times New Roman" w:hAnsi="Times New Roman" w:cs="Times New Roman"/>
          <w:b/>
          <w:bCs/>
        </w:rPr>
        <w:t>11</w:t>
      </w:r>
      <w:r w:rsidRPr="561FEA06">
        <w:rPr>
          <w:rFonts w:ascii="Times New Roman" w:eastAsia="Times New Roman" w:hAnsi="Times New Roman" w:cs="Times New Roman"/>
          <w:b/>
          <w:bCs/>
        </w:rPr>
        <w:t>: PI Calculation for Proposed Projects</w:t>
      </w:r>
    </w:p>
    <w:tbl>
      <w:tblPr>
        <w:tblStyle w:val="PlainTable2"/>
        <w:tblW w:w="0" w:type="auto"/>
        <w:jc w:val="center"/>
        <w:tblLook w:val="06A0" w:firstRow="1" w:lastRow="0" w:firstColumn="1" w:lastColumn="0" w:noHBand="1" w:noVBand="1"/>
      </w:tblPr>
      <w:tblGrid>
        <w:gridCol w:w="2730"/>
        <w:gridCol w:w="2370"/>
      </w:tblGrid>
      <w:tr w:rsidR="561FEA06" w14:paraId="7F8BD4F8" w14:textId="77777777" w:rsidTr="561FEA0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30" w:type="dxa"/>
          </w:tcPr>
          <w:p w14:paraId="05951519" w14:textId="4F47B512" w:rsidR="561FEA06" w:rsidRDefault="561FEA06" w:rsidP="561FEA06">
            <w:pPr>
              <w:spacing w:line="480" w:lineRule="auto"/>
              <w:jc w:val="center"/>
            </w:pPr>
            <w:r w:rsidRPr="561FEA06">
              <w:t>Project</w:t>
            </w:r>
          </w:p>
        </w:tc>
        <w:tc>
          <w:tcPr>
            <w:tcW w:w="2370" w:type="dxa"/>
          </w:tcPr>
          <w:p w14:paraId="441895C9" w14:textId="228C47A5"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PI</w:t>
            </w:r>
          </w:p>
        </w:tc>
      </w:tr>
      <w:tr w:rsidR="561FEA06" w14:paraId="4FE11936"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730" w:type="dxa"/>
          </w:tcPr>
          <w:p w14:paraId="5FCBE252" w14:textId="592B2CAE" w:rsidR="561FEA06" w:rsidRDefault="561FEA06" w:rsidP="561FEA06">
            <w:pPr>
              <w:spacing w:line="480" w:lineRule="auto"/>
              <w:jc w:val="center"/>
            </w:pPr>
            <w:r w:rsidRPr="561FEA06">
              <w:t>Project A</w:t>
            </w:r>
          </w:p>
        </w:tc>
        <w:tc>
          <w:tcPr>
            <w:tcW w:w="2370" w:type="dxa"/>
          </w:tcPr>
          <w:p w14:paraId="63F7C9F3" w14:textId="16AF7632"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1.17</w:t>
            </w:r>
          </w:p>
        </w:tc>
      </w:tr>
      <w:tr w:rsidR="561FEA06" w14:paraId="60C30B9F"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730" w:type="dxa"/>
          </w:tcPr>
          <w:p w14:paraId="0BA6BC6F" w14:textId="1872FA4A" w:rsidR="561FEA06" w:rsidRDefault="561FEA06" w:rsidP="561FEA06">
            <w:pPr>
              <w:spacing w:line="480" w:lineRule="auto"/>
              <w:jc w:val="center"/>
            </w:pPr>
            <w:r w:rsidRPr="561FEA06">
              <w:lastRenderedPageBreak/>
              <w:t>Project B</w:t>
            </w:r>
          </w:p>
        </w:tc>
        <w:tc>
          <w:tcPr>
            <w:tcW w:w="2370" w:type="dxa"/>
          </w:tcPr>
          <w:p w14:paraId="0D9A9B44" w14:textId="45A6C8BF"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1.18</w:t>
            </w:r>
          </w:p>
        </w:tc>
      </w:tr>
      <w:tr w:rsidR="561FEA06" w14:paraId="3DE5932A"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730" w:type="dxa"/>
          </w:tcPr>
          <w:p w14:paraId="5C733915" w14:textId="338AA462" w:rsidR="561FEA06" w:rsidRDefault="561FEA06" w:rsidP="561FEA06">
            <w:pPr>
              <w:spacing w:line="480" w:lineRule="auto"/>
              <w:jc w:val="center"/>
            </w:pPr>
            <w:r w:rsidRPr="561FEA06">
              <w:t>Project C</w:t>
            </w:r>
          </w:p>
        </w:tc>
        <w:tc>
          <w:tcPr>
            <w:tcW w:w="2370" w:type="dxa"/>
          </w:tcPr>
          <w:p w14:paraId="453539DF" w14:textId="166BDD6D"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1.27</w:t>
            </w:r>
          </w:p>
        </w:tc>
      </w:tr>
    </w:tbl>
    <w:p w14:paraId="34FA3F41" w14:textId="54CC6BE0" w:rsidR="6C48AB75" w:rsidRDefault="6C48AB7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Table</w:t>
      </w:r>
      <w:r w:rsidR="163C9C1E" w:rsidRPr="561FEA06">
        <w:rPr>
          <w:rFonts w:ascii="Times New Roman" w:eastAsia="Times New Roman" w:hAnsi="Times New Roman" w:cs="Times New Roman"/>
        </w:rPr>
        <w:t xml:space="preserve"> 11</w:t>
      </w:r>
      <w:r w:rsidRPr="561FEA06">
        <w:rPr>
          <w:rFonts w:ascii="Times New Roman" w:eastAsia="Times New Roman" w:hAnsi="Times New Roman" w:cs="Times New Roman"/>
        </w:rPr>
        <w:t xml:space="preserve"> shows that Project C has the highest PI of 1.27, followed by Project B at 1.18 and Project A at 1.17. This confirms that Project C is the most profitable relative to its investment, followed closely by Project B.</w:t>
      </w:r>
    </w:p>
    <w:p w14:paraId="6D62A874" w14:textId="6BFED77A" w:rsidR="17EE059E" w:rsidRDefault="17EE059E" w:rsidP="561FEA06">
      <w:pPr>
        <w:pStyle w:val="Heading4"/>
        <w:spacing w:before="319" w:after="319" w:line="480" w:lineRule="auto"/>
        <w:jc w:val="both"/>
        <w:rPr>
          <w:rFonts w:ascii="Times New Roman" w:eastAsia="Times New Roman" w:hAnsi="Times New Roman" w:cs="Times New Roman"/>
          <w:b/>
          <w:bCs/>
          <w:color w:val="auto"/>
        </w:rPr>
      </w:pPr>
      <w:bookmarkStart w:id="64" w:name="_Toc1105348456"/>
      <w:r w:rsidRPr="561FEA06">
        <w:rPr>
          <w:rFonts w:ascii="Times New Roman" w:eastAsia="Times New Roman" w:hAnsi="Times New Roman" w:cs="Times New Roman"/>
          <w:b/>
          <w:bCs/>
          <w:color w:val="auto"/>
        </w:rPr>
        <w:t>4.2.</w:t>
      </w:r>
      <w:r w:rsidR="6C48AB75" w:rsidRPr="561FEA06">
        <w:rPr>
          <w:rFonts w:ascii="Times New Roman" w:eastAsia="Times New Roman" w:hAnsi="Times New Roman" w:cs="Times New Roman"/>
          <w:b/>
          <w:bCs/>
          <w:color w:val="auto"/>
        </w:rPr>
        <w:t>5. Internal Rate of Return (IRR)</w:t>
      </w:r>
      <w:bookmarkEnd w:id="64"/>
    </w:p>
    <w:p w14:paraId="16F8C245" w14:textId="42F7430B" w:rsidR="23510D18" w:rsidRDefault="23510D18"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The discount rate used in the calculation of the NPV of a project is the Internal Rate of Return (IRR). It is the anticipated yearly rate of return of the project</w:t>
      </w:r>
      <w:r w:rsidR="0D5BBEDE" w:rsidRPr="561FEA06">
        <w:rPr>
          <w:rFonts w:ascii="Times New Roman" w:eastAsia="Times New Roman" w:hAnsi="Times New Roman" w:cs="Times New Roman"/>
        </w:rPr>
        <w:t xml:space="preserve"> (ACCA, 2025)</w:t>
      </w:r>
      <w:r w:rsidRPr="561FEA06">
        <w:rPr>
          <w:rFonts w:ascii="Times New Roman" w:eastAsia="Times New Roman" w:hAnsi="Times New Roman" w:cs="Times New Roman"/>
        </w:rPr>
        <w:t>. The larger the IRR, the better the project.</w:t>
      </w:r>
    </w:p>
    <w:p w14:paraId="371F44FA" w14:textId="4E8F31D8" w:rsidR="6C48AB75" w:rsidRDefault="6C48AB75" w:rsidP="561FEA06">
      <w:pPr>
        <w:spacing w:before="240" w:after="240" w:line="480" w:lineRule="auto"/>
        <w:jc w:val="both"/>
        <w:rPr>
          <w:rFonts w:ascii="Times New Roman" w:eastAsia="Times New Roman" w:hAnsi="Times New Roman" w:cs="Times New Roman"/>
          <w:b/>
          <w:bCs/>
        </w:rPr>
      </w:pPr>
      <w:r w:rsidRPr="561FEA06">
        <w:rPr>
          <w:rFonts w:ascii="Times New Roman" w:eastAsia="Times New Roman" w:hAnsi="Times New Roman" w:cs="Times New Roman"/>
          <w:b/>
          <w:bCs/>
        </w:rPr>
        <w:t xml:space="preserve">Table </w:t>
      </w:r>
      <w:r w:rsidR="1465C1A6" w:rsidRPr="561FEA06">
        <w:rPr>
          <w:rFonts w:ascii="Times New Roman" w:eastAsia="Times New Roman" w:hAnsi="Times New Roman" w:cs="Times New Roman"/>
          <w:b/>
          <w:bCs/>
        </w:rPr>
        <w:t>12</w:t>
      </w:r>
      <w:r w:rsidRPr="561FEA06">
        <w:rPr>
          <w:rFonts w:ascii="Times New Roman" w:eastAsia="Times New Roman" w:hAnsi="Times New Roman" w:cs="Times New Roman"/>
          <w:b/>
          <w:bCs/>
        </w:rPr>
        <w:t>: IRR Calculation for Proposed Projects</w:t>
      </w:r>
    </w:p>
    <w:tbl>
      <w:tblPr>
        <w:tblStyle w:val="PlainTable2"/>
        <w:tblW w:w="0" w:type="auto"/>
        <w:jc w:val="center"/>
        <w:tblLook w:val="06A0" w:firstRow="1" w:lastRow="0" w:firstColumn="1" w:lastColumn="0" w:noHBand="1" w:noVBand="1"/>
      </w:tblPr>
      <w:tblGrid>
        <w:gridCol w:w="2760"/>
        <w:gridCol w:w="3045"/>
      </w:tblGrid>
      <w:tr w:rsidR="561FEA06" w14:paraId="21752CBB" w14:textId="77777777" w:rsidTr="561FEA0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60" w:type="dxa"/>
          </w:tcPr>
          <w:p w14:paraId="47F54E36" w14:textId="2E605A73" w:rsidR="561FEA06" w:rsidRDefault="561FEA06" w:rsidP="561FEA06">
            <w:pPr>
              <w:spacing w:line="480" w:lineRule="auto"/>
              <w:jc w:val="center"/>
            </w:pPr>
            <w:r w:rsidRPr="561FEA06">
              <w:t>Project</w:t>
            </w:r>
          </w:p>
        </w:tc>
        <w:tc>
          <w:tcPr>
            <w:tcW w:w="3045" w:type="dxa"/>
          </w:tcPr>
          <w:p w14:paraId="2CED69CF" w14:textId="4F2F011B" w:rsidR="561FEA06" w:rsidRDefault="561FEA06" w:rsidP="561FEA06">
            <w:pPr>
              <w:spacing w:line="48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561FEA06">
              <w:t>IRR (%)</w:t>
            </w:r>
          </w:p>
        </w:tc>
      </w:tr>
      <w:tr w:rsidR="561FEA06" w14:paraId="41941106"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760" w:type="dxa"/>
          </w:tcPr>
          <w:p w14:paraId="5B871B69" w14:textId="71153D4C" w:rsidR="561FEA06" w:rsidRDefault="561FEA06" w:rsidP="561FEA06">
            <w:pPr>
              <w:spacing w:line="480" w:lineRule="auto"/>
              <w:jc w:val="center"/>
            </w:pPr>
            <w:r w:rsidRPr="561FEA06">
              <w:t>Project A</w:t>
            </w:r>
          </w:p>
        </w:tc>
        <w:tc>
          <w:tcPr>
            <w:tcW w:w="3045" w:type="dxa"/>
          </w:tcPr>
          <w:p w14:paraId="1D0820B9" w14:textId="51D58FDB"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16.4%</w:t>
            </w:r>
          </w:p>
        </w:tc>
      </w:tr>
      <w:tr w:rsidR="561FEA06" w14:paraId="54E7979A"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760" w:type="dxa"/>
          </w:tcPr>
          <w:p w14:paraId="6D62B1A1" w14:textId="4119C696" w:rsidR="561FEA06" w:rsidRDefault="561FEA06" w:rsidP="561FEA06">
            <w:pPr>
              <w:spacing w:line="480" w:lineRule="auto"/>
              <w:jc w:val="center"/>
            </w:pPr>
            <w:r w:rsidRPr="561FEA06">
              <w:t>Project B</w:t>
            </w:r>
          </w:p>
        </w:tc>
        <w:tc>
          <w:tcPr>
            <w:tcW w:w="3045" w:type="dxa"/>
          </w:tcPr>
          <w:p w14:paraId="2AC0C04F" w14:textId="66A2028A"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14.6%</w:t>
            </w:r>
          </w:p>
        </w:tc>
      </w:tr>
      <w:tr w:rsidR="561FEA06" w14:paraId="1EC6E10D" w14:textId="77777777" w:rsidTr="561FEA06">
        <w:trPr>
          <w:trHeight w:val="300"/>
          <w:jc w:val="center"/>
        </w:trPr>
        <w:tc>
          <w:tcPr>
            <w:cnfStyle w:val="001000000000" w:firstRow="0" w:lastRow="0" w:firstColumn="1" w:lastColumn="0" w:oddVBand="0" w:evenVBand="0" w:oddHBand="0" w:evenHBand="0" w:firstRowFirstColumn="0" w:firstRowLastColumn="0" w:lastRowFirstColumn="0" w:lastRowLastColumn="0"/>
            <w:tcW w:w="2760" w:type="dxa"/>
          </w:tcPr>
          <w:p w14:paraId="353142D3" w14:textId="55D78ACB" w:rsidR="561FEA06" w:rsidRDefault="561FEA06" w:rsidP="561FEA06">
            <w:pPr>
              <w:spacing w:line="480" w:lineRule="auto"/>
              <w:jc w:val="center"/>
            </w:pPr>
            <w:r w:rsidRPr="561FEA06">
              <w:t>Project C</w:t>
            </w:r>
          </w:p>
        </w:tc>
        <w:tc>
          <w:tcPr>
            <w:tcW w:w="3045" w:type="dxa"/>
          </w:tcPr>
          <w:p w14:paraId="2674C677" w14:textId="24C58958" w:rsidR="561FEA06" w:rsidRDefault="561FEA06" w:rsidP="561FEA06">
            <w:pPr>
              <w:spacing w:line="480" w:lineRule="auto"/>
              <w:jc w:val="center"/>
              <w:cnfStyle w:val="000000000000" w:firstRow="0" w:lastRow="0" w:firstColumn="0" w:lastColumn="0" w:oddVBand="0" w:evenVBand="0" w:oddHBand="0" w:evenHBand="0" w:firstRowFirstColumn="0" w:firstRowLastColumn="0" w:lastRowFirstColumn="0" w:lastRowLastColumn="0"/>
            </w:pPr>
            <w:r w:rsidRPr="561FEA06">
              <w:t>22.3%</w:t>
            </w:r>
          </w:p>
        </w:tc>
      </w:tr>
    </w:tbl>
    <w:p w14:paraId="6FF92584" w14:textId="55C34A1E" w:rsidR="6C48AB75" w:rsidRDefault="6C48AB75"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Table </w:t>
      </w:r>
      <w:r w:rsidR="6354814B" w:rsidRPr="561FEA06">
        <w:rPr>
          <w:rFonts w:ascii="Times New Roman" w:eastAsia="Times New Roman" w:hAnsi="Times New Roman" w:cs="Times New Roman"/>
        </w:rPr>
        <w:t>12</w:t>
      </w:r>
      <w:r w:rsidRPr="561FEA06">
        <w:rPr>
          <w:rFonts w:ascii="Times New Roman" w:eastAsia="Times New Roman" w:hAnsi="Times New Roman" w:cs="Times New Roman"/>
        </w:rPr>
        <w:t xml:space="preserve"> shows that Project C has the highest IRR of 22.3%, indicating it offers the highest potential return. Project </w:t>
      </w:r>
      <w:proofErr w:type="gramStart"/>
      <w:r w:rsidRPr="561FEA06">
        <w:rPr>
          <w:rFonts w:ascii="Times New Roman" w:eastAsia="Times New Roman" w:hAnsi="Times New Roman" w:cs="Times New Roman"/>
        </w:rPr>
        <w:t>A</w:t>
      </w:r>
      <w:proofErr w:type="gramEnd"/>
      <w:r w:rsidRPr="561FEA06">
        <w:rPr>
          <w:rFonts w:ascii="Times New Roman" w:eastAsia="Times New Roman" w:hAnsi="Times New Roman" w:cs="Times New Roman"/>
        </w:rPr>
        <w:t xml:space="preserve"> follows with an IRR of 16.4%, and Project B has the lowest IRR at 14.6%.</w:t>
      </w:r>
    </w:p>
    <w:p w14:paraId="1DC12D4B" w14:textId="7946A327" w:rsidR="467D18D3" w:rsidRDefault="467D18D3" w:rsidP="561FEA06">
      <w:pPr>
        <w:pStyle w:val="Heading3"/>
        <w:spacing w:line="480" w:lineRule="auto"/>
        <w:rPr>
          <w:rFonts w:ascii="Times New Roman" w:eastAsia="Times New Roman" w:hAnsi="Times New Roman" w:cs="Times New Roman"/>
          <w:b/>
          <w:bCs/>
          <w:color w:val="auto"/>
          <w:sz w:val="24"/>
          <w:szCs w:val="24"/>
        </w:rPr>
      </w:pPr>
      <w:bookmarkStart w:id="65" w:name="_Toc1671092227"/>
      <w:r w:rsidRPr="561FEA06">
        <w:rPr>
          <w:b/>
          <w:bCs/>
          <w:color w:val="auto"/>
          <w:sz w:val="24"/>
          <w:szCs w:val="24"/>
        </w:rPr>
        <w:t xml:space="preserve">4.3. </w:t>
      </w:r>
      <w:r w:rsidR="6C48AB75" w:rsidRPr="561FEA06">
        <w:rPr>
          <w:b/>
          <w:bCs/>
          <w:color w:val="auto"/>
          <w:sz w:val="24"/>
          <w:szCs w:val="24"/>
        </w:rPr>
        <w:t>Conclusion and Recommendation</w:t>
      </w:r>
      <w:bookmarkEnd w:id="65"/>
    </w:p>
    <w:p w14:paraId="136EF3A6" w14:textId="7575CE23" w:rsidR="5414A927" w:rsidRDefault="5414A927"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Project C would appear as the best investment alternative of the company based on the financial measures considered. It is the most profitable and strategically viable since it has the shortest </w:t>
      </w:r>
      <w:r w:rsidRPr="561FEA06">
        <w:rPr>
          <w:rFonts w:ascii="Times New Roman" w:eastAsia="Times New Roman" w:hAnsi="Times New Roman" w:cs="Times New Roman"/>
        </w:rPr>
        <w:lastRenderedPageBreak/>
        <w:t xml:space="preserve">Payback Period (3.77 years), the largest ARR (27.6%), NPV (£13.5 million), PI (1.27) and IRR (22.3%). </w:t>
      </w:r>
    </w:p>
    <w:p w14:paraId="1FE1B1C2" w14:textId="449F9A66" w:rsidR="5414A927" w:rsidRDefault="5414A927" w:rsidP="561FEA06">
      <w:pPr>
        <w:spacing w:before="240" w:after="240" w:line="480" w:lineRule="auto"/>
        <w:jc w:val="both"/>
        <w:rPr>
          <w:rFonts w:ascii="Times New Roman" w:eastAsia="Times New Roman" w:hAnsi="Times New Roman" w:cs="Times New Roman"/>
        </w:rPr>
      </w:pPr>
      <w:r w:rsidRPr="561FEA06">
        <w:rPr>
          <w:rFonts w:ascii="Times New Roman" w:eastAsia="Times New Roman" w:hAnsi="Times New Roman" w:cs="Times New Roman"/>
        </w:rPr>
        <w:t xml:space="preserve">Even though project A and Project B also show a positive financial payoff, project C has a better overall payoff of profitability, risk reduction, and value creation to the company. Hence, it </w:t>
      </w:r>
      <w:proofErr w:type="gramStart"/>
      <w:r w:rsidRPr="561FEA06">
        <w:rPr>
          <w:rFonts w:ascii="Times New Roman" w:eastAsia="Times New Roman" w:hAnsi="Times New Roman" w:cs="Times New Roman"/>
        </w:rPr>
        <w:t>is advised</w:t>
      </w:r>
      <w:proofErr w:type="gramEnd"/>
      <w:r w:rsidRPr="561FEA06">
        <w:rPr>
          <w:rFonts w:ascii="Times New Roman" w:eastAsia="Times New Roman" w:hAnsi="Times New Roman" w:cs="Times New Roman"/>
        </w:rPr>
        <w:t xml:space="preserve"> that the company should embark on Project C to make its next significant investment.</w:t>
      </w:r>
    </w:p>
    <w:p w14:paraId="41A7E33E" w14:textId="1B7B4D32" w:rsidR="393B6101" w:rsidRDefault="393B6101" w:rsidP="561FEA06">
      <w:pPr>
        <w:pStyle w:val="Heading3"/>
        <w:spacing w:line="480" w:lineRule="auto"/>
        <w:rPr>
          <w:b/>
          <w:bCs/>
          <w:color w:val="auto"/>
        </w:rPr>
      </w:pPr>
      <w:bookmarkStart w:id="66" w:name="_Toc2013151101"/>
      <w:r w:rsidRPr="561FEA06">
        <w:rPr>
          <w:b/>
          <w:bCs/>
          <w:color w:val="auto"/>
        </w:rPr>
        <w:t>References:</w:t>
      </w:r>
      <w:bookmarkEnd w:id="66"/>
    </w:p>
    <w:p w14:paraId="041E1111" w14:textId="77777777" w:rsidR="00421353" w:rsidRDefault="00421353" w:rsidP="00421353">
      <w:pPr>
        <w:pStyle w:val="ListParagraph"/>
        <w:numPr>
          <w:ilvl w:val="0"/>
          <w:numId w:val="1"/>
        </w:numPr>
        <w:spacing w:after="0" w:line="480" w:lineRule="auto"/>
        <w:ind w:left="426" w:hanging="426"/>
        <w:jc w:val="both"/>
        <w:rPr>
          <w:rFonts w:ascii="Times New Roman" w:eastAsia="Times New Roman" w:hAnsi="Times New Roman" w:cs="Times New Roman"/>
        </w:rPr>
      </w:pPr>
      <w:r w:rsidRPr="561FEA06">
        <w:rPr>
          <w:rFonts w:ascii="Times New Roman" w:eastAsia="Times New Roman" w:hAnsi="Times New Roman" w:cs="Times New Roman"/>
        </w:rPr>
        <w:t xml:space="preserve">ACCA - </w:t>
      </w:r>
      <w:hyperlink r:id="rId10">
        <w:r w:rsidRPr="561FEA06">
          <w:rPr>
            <w:rStyle w:val="Hyperlink"/>
            <w:rFonts w:ascii="Times New Roman" w:eastAsia="Times New Roman" w:hAnsi="Times New Roman" w:cs="Times New Roman"/>
            <w:color w:val="auto"/>
          </w:rPr>
          <w:t>https://www.accaglobal.com</w:t>
        </w:r>
      </w:hyperlink>
      <w:r w:rsidRPr="561FEA06">
        <w:rPr>
          <w:rFonts w:ascii="Times New Roman" w:eastAsia="Times New Roman" w:hAnsi="Times New Roman" w:cs="Times New Roman"/>
        </w:rPr>
        <w:t xml:space="preserve"> (no date) </w:t>
      </w:r>
      <w:proofErr w:type="gramStart"/>
      <w:r w:rsidRPr="561FEA06">
        <w:rPr>
          <w:rFonts w:ascii="Times New Roman" w:eastAsia="Times New Roman" w:hAnsi="Times New Roman" w:cs="Times New Roman"/>
        </w:rPr>
        <w:t>The</w:t>
      </w:r>
      <w:proofErr w:type="gramEnd"/>
      <w:r w:rsidRPr="561FEA06">
        <w:rPr>
          <w:rFonts w:ascii="Times New Roman" w:eastAsia="Times New Roman" w:hAnsi="Times New Roman" w:cs="Times New Roman"/>
        </w:rPr>
        <w:t xml:space="preserve"> internal rate of return | FFM Foundations in Financial Management | Foundations in Accountancy | Students | ACCA | ACCA Global. </w:t>
      </w:r>
      <w:hyperlink r:id="rId11">
        <w:r w:rsidRPr="005412D4">
          <w:rPr>
            <w:rStyle w:val="Hyperlink"/>
          </w:rPr>
          <w:t>https://www.accaglobal.com/gb/en/student/exam-support-resources/foundation-level-study-resources/ffm/ffm-technical-articles/the-internal-rate-of-return.html</w:t>
        </w:r>
      </w:hyperlink>
      <w:r w:rsidRPr="005412D4">
        <w:rPr>
          <w:rStyle w:val="Hyperlink"/>
        </w:rPr>
        <w:t>.</w:t>
      </w:r>
    </w:p>
    <w:p w14:paraId="2E59B8D0" w14:textId="77777777" w:rsidR="00421353" w:rsidRPr="00421353" w:rsidRDefault="00421353" w:rsidP="00421353">
      <w:pPr>
        <w:pStyle w:val="ListParagraph"/>
        <w:numPr>
          <w:ilvl w:val="0"/>
          <w:numId w:val="1"/>
        </w:numPr>
        <w:spacing w:after="0" w:line="480" w:lineRule="auto"/>
        <w:ind w:left="426" w:hanging="426"/>
        <w:jc w:val="both"/>
        <w:rPr>
          <w:rStyle w:val="Hyperlink"/>
          <w:rFonts w:ascii="Times New Roman" w:eastAsia="Times New Roman" w:hAnsi="Times New Roman" w:cs="Times New Roman"/>
          <w:color w:val="auto"/>
          <w:u w:val="none"/>
        </w:rPr>
      </w:pPr>
      <w:r w:rsidRPr="561FEA06">
        <w:rPr>
          <w:rFonts w:ascii="Times New Roman" w:eastAsia="Times New Roman" w:hAnsi="Times New Roman" w:cs="Times New Roman"/>
        </w:rPr>
        <w:t xml:space="preserve">Fernando (2026) Return on </w:t>
      </w:r>
      <w:proofErr w:type="gramStart"/>
      <w:r w:rsidRPr="561FEA06">
        <w:rPr>
          <w:rFonts w:ascii="Times New Roman" w:eastAsia="Times New Roman" w:hAnsi="Times New Roman" w:cs="Times New Roman"/>
        </w:rPr>
        <w:t>Equity (ROE) Calculation and What It Means</w:t>
      </w:r>
      <w:proofErr w:type="gramEnd"/>
      <w:r w:rsidRPr="561FEA06">
        <w:rPr>
          <w:rFonts w:ascii="Times New Roman" w:eastAsia="Times New Roman" w:hAnsi="Times New Roman" w:cs="Times New Roman"/>
        </w:rPr>
        <w:t xml:space="preserve">. </w:t>
      </w:r>
      <w:hyperlink r:id="rId12">
        <w:r w:rsidRPr="005412D4">
          <w:rPr>
            <w:rStyle w:val="Hyperlink"/>
          </w:rPr>
          <w:t>https://www.investopedia.com/terms/r/returnonequity.asp</w:t>
        </w:r>
      </w:hyperlink>
      <w:r w:rsidRPr="005412D4">
        <w:rPr>
          <w:rStyle w:val="Hyperlink"/>
        </w:rPr>
        <w:t xml:space="preserve"> .</w:t>
      </w:r>
      <w:r>
        <w:rPr>
          <w:rStyle w:val="Hyperlink"/>
        </w:rPr>
        <w:t xml:space="preserve"> </w:t>
      </w:r>
    </w:p>
    <w:p w14:paraId="501275C3" w14:textId="0D3E6948" w:rsidR="00421353" w:rsidRPr="00421353" w:rsidRDefault="00421353" w:rsidP="00421353">
      <w:pPr>
        <w:pStyle w:val="ListParagraph"/>
        <w:numPr>
          <w:ilvl w:val="0"/>
          <w:numId w:val="1"/>
        </w:numPr>
        <w:spacing w:after="0" w:line="480" w:lineRule="auto"/>
        <w:ind w:left="426" w:hanging="426"/>
        <w:rPr>
          <w:rStyle w:val="Hyperlink"/>
          <w:rFonts w:ascii="Times New Roman" w:eastAsia="Times New Roman" w:hAnsi="Times New Roman" w:cs="Times New Roman"/>
          <w:color w:val="auto"/>
          <w:u w:val="none"/>
        </w:rPr>
      </w:pPr>
      <w:proofErr w:type="spellStart"/>
      <w:r w:rsidRPr="00421353">
        <w:rPr>
          <w:rFonts w:ascii="Times New Roman" w:eastAsia="Times New Roman" w:hAnsi="Times New Roman" w:cs="Times New Roman"/>
        </w:rPr>
        <w:t>Fmva</w:t>
      </w:r>
      <w:proofErr w:type="spellEnd"/>
      <w:r w:rsidRPr="00421353">
        <w:rPr>
          <w:rFonts w:ascii="Times New Roman" w:eastAsia="Times New Roman" w:hAnsi="Times New Roman" w:cs="Times New Roman"/>
        </w:rPr>
        <w:t xml:space="preserve">, T.V. (2026) Accounting rate of return, </w:t>
      </w:r>
      <w:hyperlink r:id="rId13">
        <w:r w:rsidRPr="005412D4">
          <w:rPr>
            <w:rStyle w:val="Hyperlink"/>
          </w:rPr>
          <w:t>https://corporatefinanceinstitute.com/resources/accounting/arr-accounting-rate-of-return/</w:t>
        </w:r>
      </w:hyperlink>
      <w:r w:rsidRPr="005412D4">
        <w:rPr>
          <w:rStyle w:val="Hyperlink"/>
        </w:rPr>
        <w:t>.</w:t>
      </w:r>
    </w:p>
    <w:p w14:paraId="6F3C9A32" w14:textId="77777777" w:rsidR="00421353" w:rsidRDefault="00421353" w:rsidP="00421353">
      <w:pPr>
        <w:pStyle w:val="ListParagraph"/>
        <w:numPr>
          <w:ilvl w:val="0"/>
          <w:numId w:val="1"/>
        </w:numPr>
        <w:spacing w:after="0" w:line="480" w:lineRule="auto"/>
        <w:ind w:left="426" w:hanging="426"/>
        <w:jc w:val="both"/>
        <w:rPr>
          <w:rFonts w:ascii="Times New Roman" w:eastAsia="Times New Roman" w:hAnsi="Times New Roman" w:cs="Times New Roman"/>
        </w:rPr>
      </w:pPr>
      <w:proofErr w:type="spellStart"/>
      <w:r w:rsidRPr="561FEA06">
        <w:rPr>
          <w:rFonts w:ascii="Times New Roman" w:eastAsia="Times New Roman" w:hAnsi="Times New Roman" w:cs="Times New Roman"/>
        </w:rPr>
        <w:t>Hao</w:t>
      </w:r>
      <w:proofErr w:type="spellEnd"/>
      <w:r w:rsidRPr="561FEA06">
        <w:rPr>
          <w:rFonts w:ascii="Times New Roman" w:eastAsia="Times New Roman" w:hAnsi="Times New Roman" w:cs="Times New Roman"/>
        </w:rPr>
        <w:t xml:space="preserve">, </w:t>
      </w:r>
      <w:proofErr w:type="spellStart"/>
      <w:r w:rsidRPr="561FEA06">
        <w:rPr>
          <w:rFonts w:ascii="Times New Roman" w:eastAsia="Times New Roman" w:hAnsi="Times New Roman" w:cs="Times New Roman"/>
        </w:rPr>
        <w:t>Yiran</w:t>
      </w:r>
      <w:proofErr w:type="spellEnd"/>
      <w:r w:rsidRPr="561FEA06">
        <w:rPr>
          <w:rFonts w:ascii="Times New Roman" w:eastAsia="Times New Roman" w:hAnsi="Times New Roman" w:cs="Times New Roman"/>
        </w:rPr>
        <w:t xml:space="preserve"> and </w:t>
      </w:r>
      <w:proofErr w:type="spellStart"/>
      <w:r w:rsidRPr="561FEA06">
        <w:rPr>
          <w:rFonts w:ascii="Times New Roman" w:eastAsia="Times New Roman" w:hAnsi="Times New Roman" w:cs="Times New Roman"/>
        </w:rPr>
        <w:t>Hao</w:t>
      </w:r>
      <w:proofErr w:type="spellEnd"/>
      <w:r w:rsidRPr="561FEA06">
        <w:rPr>
          <w:rFonts w:ascii="Times New Roman" w:eastAsia="Times New Roman" w:hAnsi="Times New Roman" w:cs="Times New Roman"/>
        </w:rPr>
        <w:t>, Yu (2026) '</w:t>
      </w:r>
      <w:proofErr w:type="gramStart"/>
      <w:r w:rsidRPr="561FEA06">
        <w:rPr>
          <w:rFonts w:ascii="Times New Roman" w:eastAsia="Times New Roman" w:hAnsi="Times New Roman" w:cs="Times New Roman"/>
        </w:rPr>
        <w:t>The</w:t>
      </w:r>
      <w:proofErr w:type="gramEnd"/>
      <w:r w:rsidRPr="561FEA06">
        <w:rPr>
          <w:rFonts w:ascii="Times New Roman" w:eastAsia="Times New Roman" w:hAnsi="Times New Roman" w:cs="Times New Roman"/>
        </w:rPr>
        <w:t xml:space="preserve"> dynamics of competition in the Chinese electric vehicle market: Insights from BYD’s market evolution,' International Journal of Industrial Organization, 105, p. 103256. </w:t>
      </w:r>
      <w:hyperlink r:id="rId14">
        <w:r w:rsidRPr="005412D4">
          <w:rPr>
            <w:rStyle w:val="Hyperlink"/>
          </w:rPr>
          <w:t>https://doi.org/10.1016/j.ijindorg.2026.103256</w:t>
        </w:r>
      </w:hyperlink>
      <w:r w:rsidRPr="005412D4">
        <w:rPr>
          <w:rStyle w:val="Hyperlink"/>
        </w:rPr>
        <w:t>.</w:t>
      </w:r>
    </w:p>
    <w:p w14:paraId="02F460A3" w14:textId="77777777" w:rsidR="00421353" w:rsidRDefault="00421353" w:rsidP="00421353">
      <w:pPr>
        <w:pStyle w:val="ListParagraph"/>
        <w:numPr>
          <w:ilvl w:val="0"/>
          <w:numId w:val="1"/>
        </w:numPr>
        <w:spacing w:after="0" w:line="480" w:lineRule="auto"/>
        <w:ind w:left="426" w:hanging="426"/>
        <w:jc w:val="both"/>
        <w:rPr>
          <w:rFonts w:ascii="Times New Roman" w:eastAsia="Times New Roman" w:hAnsi="Times New Roman" w:cs="Times New Roman"/>
        </w:rPr>
      </w:pPr>
      <w:proofErr w:type="spellStart"/>
      <w:r w:rsidRPr="561FEA06">
        <w:rPr>
          <w:rFonts w:ascii="Times New Roman" w:eastAsia="Times New Roman" w:hAnsi="Times New Roman" w:cs="Times New Roman"/>
        </w:rPr>
        <w:t>Hargrave</w:t>
      </w:r>
      <w:proofErr w:type="spellEnd"/>
      <w:r w:rsidRPr="561FEA06">
        <w:rPr>
          <w:rFonts w:ascii="Times New Roman" w:eastAsia="Times New Roman" w:hAnsi="Times New Roman" w:cs="Times New Roman"/>
        </w:rPr>
        <w:t xml:space="preserve">, M. (2026) Understanding the Return on Assets (ROA) Ratio for Profitability, Investopedia. </w:t>
      </w:r>
      <w:hyperlink r:id="rId15">
        <w:r w:rsidRPr="005412D4">
          <w:rPr>
            <w:rStyle w:val="Hyperlink"/>
          </w:rPr>
          <w:t>https://www.investopedia.com/terms/r/returnonassets.asp</w:t>
        </w:r>
      </w:hyperlink>
      <w:r w:rsidRPr="005412D4">
        <w:rPr>
          <w:rStyle w:val="Hyperlink"/>
        </w:rPr>
        <w:t xml:space="preserve"> .</w:t>
      </w:r>
    </w:p>
    <w:p w14:paraId="742BF30D" w14:textId="77777777" w:rsidR="00421353" w:rsidRDefault="00421353" w:rsidP="00421353">
      <w:pPr>
        <w:pStyle w:val="ListParagraph"/>
        <w:numPr>
          <w:ilvl w:val="0"/>
          <w:numId w:val="1"/>
        </w:numPr>
        <w:spacing w:after="0" w:line="480" w:lineRule="auto"/>
        <w:ind w:left="426" w:hanging="426"/>
        <w:rPr>
          <w:rFonts w:ascii="Times New Roman" w:eastAsia="Times New Roman" w:hAnsi="Times New Roman" w:cs="Times New Roman"/>
        </w:rPr>
      </w:pPr>
      <w:r w:rsidRPr="561FEA06">
        <w:rPr>
          <w:rFonts w:ascii="Times New Roman" w:eastAsia="Times New Roman" w:hAnsi="Times New Roman" w:cs="Times New Roman"/>
        </w:rPr>
        <w:t xml:space="preserve">Hyundai (2024) Future mobility, driven by innovation, Statutory Reports Financial Statements. </w:t>
      </w:r>
      <w:hyperlink r:id="rId16">
        <w:r w:rsidRPr="005412D4">
          <w:rPr>
            <w:rStyle w:val="Hyperlink"/>
          </w:rPr>
          <w:t>https://www.hyundai.com/content/dam/hyundai/in/en/data/investor-relations/annual-report/Annual-Report-FY-23-24.pdf</w:t>
        </w:r>
      </w:hyperlink>
      <w:r w:rsidRPr="005412D4">
        <w:rPr>
          <w:rStyle w:val="Hyperlink"/>
        </w:rPr>
        <w:t xml:space="preserve"> .</w:t>
      </w:r>
    </w:p>
    <w:p w14:paraId="55182F83" w14:textId="77777777" w:rsidR="00421353" w:rsidRDefault="00421353" w:rsidP="00421353">
      <w:pPr>
        <w:pStyle w:val="ListParagraph"/>
        <w:numPr>
          <w:ilvl w:val="0"/>
          <w:numId w:val="1"/>
        </w:numPr>
        <w:spacing w:after="0" w:line="480" w:lineRule="auto"/>
        <w:ind w:left="426" w:hanging="426"/>
        <w:jc w:val="both"/>
        <w:rPr>
          <w:rFonts w:ascii="Times New Roman" w:eastAsia="Times New Roman" w:hAnsi="Times New Roman" w:cs="Times New Roman"/>
        </w:rPr>
      </w:pPr>
      <w:r w:rsidRPr="561FEA06">
        <w:rPr>
          <w:rFonts w:ascii="Times New Roman" w:eastAsia="Times New Roman" w:hAnsi="Times New Roman" w:cs="Times New Roman"/>
        </w:rPr>
        <w:lastRenderedPageBreak/>
        <w:t xml:space="preserve">Hyundai (no date). </w:t>
      </w:r>
      <w:hyperlink r:id="rId17">
        <w:r w:rsidRPr="005412D4">
          <w:rPr>
            <w:rStyle w:val="Hyperlink"/>
          </w:rPr>
          <w:t>https://www.hyundainews.com/releases/4227</w:t>
        </w:r>
      </w:hyperlink>
      <w:r w:rsidRPr="005412D4">
        <w:rPr>
          <w:rStyle w:val="Hyperlink"/>
        </w:rPr>
        <w:t>.</w:t>
      </w:r>
    </w:p>
    <w:p w14:paraId="1BE393D4" w14:textId="77777777" w:rsidR="00421353" w:rsidRDefault="00421353" w:rsidP="00421353">
      <w:pPr>
        <w:pStyle w:val="ListParagraph"/>
        <w:numPr>
          <w:ilvl w:val="0"/>
          <w:numId w:val="1"/>
        </w:numPr>
        <w:spacing w:after="0" w:line="480" w:lineRule="auto"/>
        <w:ind w:left="426" w:hanging="426"/>
        <w:jc w:val="both"/>
        <w:rPr>
          <w:rFonts w:ascii="Times New Roman" w:eastAsia="Times New Roman" w:hAnsi="Times New Roman" w:cs="Times New Roman"/>
        </w:rPr>
      </w:pPr>
      <w:proofErr w:type="spellStart"/>
      <w:r w:rsidRPr="561FEA06">
        <w:rPr>
          <w:rFonts w:ascii="Times New Roman" w:eastAsia="Times New Roman" w:hAnsi="Times New Roman" w:cs="Times New Roman"/>
        </w:rPr>
        <w:t>Naseer</w:t>
      </w:r>
      <w:proofErr w:type="spellEnd"/>
      <w:r w:rsidRPr="561FEA06">
        <w:rPr>
          <w:rFonts w:ascii="Times New Roman" w:eastAsia="Times New Roman" w:hAnsi="Times New Roman" w:cs="Times New Roman"/>
        </w:rPr>
        <w:t xml:space="preserve">, S. et al. (2023) 'COVID-19 outbreak: Impact on global economy,' Frontiers in Public Health, 10, p. 1009393. </w:t>
      </w:r>
      <w:hyperlink r:id="rId18">
        <w:r w:rsidRPr="005412D4">
          <w:rPr>
            <w:rStyle w:val="Hyperlink"/>
          </w:rPr>
          <w:t>https://doi.org/10.3389/fpubh.2022.1009393</w:t>
        </w:r>
      </w:hyperlink>
      <w:r w:rsidRPr="005412D4">
        <w:rPr>
          <w:rStyle w:val="Hyperlink"/>
        </w:rPr>
        <w:t>.</w:t>
      </w:r>
    </w:p>
    <w:p w14:paraId="04AADA53" w14:textId="77777777" w:rsidR="00421353" w:rsidRDefault="00421353" w:rsidP="00421353">
      <w:pPr>
        <w:pStyle w:val="ListParagraph"/>
        <w:numPr>
          <w:ilvl w:val="0"/>
          <w:numId w:val="1"/>
        </w:numPr>
        <w:spacing w:after="0" w:line="480" w:lineRule="auto"/>
        <w:ind w:left="426" w:hanging="426"/>
        <w:rPr>
          <w:rFonts w:ascii="Times New Roman" w:eastAsia="Times New Roman" w:hAnsi="Times New Roman" w:cs="Times New Roman"/>
        </w:rPr>
      </w:pPr>
      <w:r w:rsidRPr="561FEA06">
        <w:rPr>
          <w:rFonts w:ascii="Times New Roman" w:eastAsia="Times New Roman" w:hAnsi="Times New Roman" w:cs="Times New Roman"/>
        </w:rPr>
        <w:t xml:space="preserve">Team, C. (2024) Profitability Index. </w:t>
      </w:r>
      <w:hyperlink r:id="rId19" w:history="1">
        <w:r w:rsidRPr="0026713A">
          <w:rPr>
            <w:rStyle w:val="Hyperlink"/>
          </w:rPr>
          <w:t>https://corporatefinanceinstitute.com/resources/accounting/profitability-index/</w:t>
        </w:r>
      </w:hyperlink>
      <w:r w:rsidRPr="005412D4">
        <w:rPr>
          <w:rStyle w:val="Hyperlink"/>
        </w:rPr>
        <w:t>.</w:t>
      </w:r>
    </w:p>
    <w:p w14:paraId="29865F5F" w14:textId="77777777" w:rsidR="00421353" w:rsidRPr="004658D6" w:rsidRDefault="00421353" w:rsidP="00421353">
      <w:pPr>
        <w:pStyle w:val="ListParagraph"/>
        <w:numPr>
          <w:ilvl w:val="0"/>
          <w:numId w:val="1"/>
        </w:numPr>
        <w:spacing w:after="0" w:line="480" w:lineRule="auto"/>
        <w:ind w:left="426" w:hanging="426"/>
        <w:rPr>
          <w:rStyle w:val="Hyperlink"/>
          <w:rFonts w:ascii="Times New Roman" w:eastAsia="Times New Roman" w:hAnsi="Times New Roman" w:cs="Times New Roman"/>
          <w:color w:val="auto"/>
          <w:u w:val="none"/>
        </w:rPr>
      </w:pPr>
      <w:r w:rsidRPr="004658D6">
        <w:rPr>
          <w:rFonts w:ascii="Times New Roman" w:eastAsia="Times New Roman" w:hAnsi="Times New Roman" w:cs="Times New Roman"/>
        </w:rPr>
        <w:t xml:space="preserve">Team, C. (2025) Current ratio and quick ratio explained (Liquidity analysis). </w:t>
      </w:r>
      <w:hyperlink r:id="rId20">
        <w:r w:rsidRPr="005412D4">
          <w:rPr>
            <w:rStyle w:val="Hyperlink"/>
          </w:rPr>
          <w:t>https://clfi.co.uk/resources/current-ratio-and-quick-ratio-explained-liquidity-analysis/</w:t>
        </w:r>
      </w:hyperlink>
      <w:r w:rsidRPr="005412D4">
        <w:rPr>
          <w:rStyle w:val="Hyperlink"/>
        </w:rPr>
        <w:t>.</w:t>
      </w:r>
    </w:p>
    <w:p w14:paraId="2305825A" w14:textId="77777777" w:rsidR="00421353" w:rsidRPr="004658D6" w:rsidRDefault="00421353" w:rsidP="00421353">
      <w:pPr>
        <w:pStyle w:val="ListParagraph"/>
        <w:numPr>
          <w:ilvl w:val="0"/>
          <w:numId w:val="1"/>
        </w:numPr>
        <w:spacing w:after="0" w:line="480" w:lineRule="auto"/>
        <w:ind w:left="426" w:hanging="426"/>
        <w:rPr>
          <w:rFonts w:ascii="Times New Roman" w:eastAsia="Times New Roman" w:hAnsi="Times New Roman" w:cs="Times New Roman"/>
        </w:rPr>
      </w:pPr>
      <w:r w:rsidRPr="005412D4">
        <w:t xml:space="preserve">Team, C. (2026) Net Present Value (NPV). </w:t>
      </w:r>
      <w:hyperlink r:id="rId21">
        <w:r w:rsidRPr="005412D4">
          <w:rPr>
            <w:rStyle w:val="Hyperlink"/>
          </w:rPr>
          <w:t>https://corporatefinanceinstitute.com/resources/valuation/net-present-value-npv/</w:t>
        </w:r>
      </w:hyperlink>
      <w:r w:rsidRPr="005412D4">
        <w:rPr>
          <w:rStyle w:val="Hyperlink"/>
        </w:rPr>
        <w:t>.</w:t>
      </w:r>
    </w:p>
    <w:p w14:paraId="25666B12" w14:textId="77777777" w:rsidR="00421353" w:rsidRDefault="00421353" w:rsidP="00421353">
      <w:pPr>
        <w:pStyle w:val="ListParagraph"/>
        <w:numPr>
          <w:ilvl w:val="0"/>
          <w:numId w:val="1"/>
        </w:numPr>
        <w:spacing w:after="0" w:line="480" w:lineRule="auto"/>
        <w:ind w:left="426" w:hanging="426"/>
        <w:rPr>
          <w:rFonts w:ascii="Times New Roman" w:eastAsia="Times New Roman" w:hAnsi="Times New Roman" w:cs="Times New Roman"/>
        </w:rPr>
      </w:pPr>
      <w:r w:rsidRPr="561FEA06">
        <w:rPr>
          <w:rFonts w:ascii="Times New Roman" w:eastAsia="Times New Roman" w:hAnsi="Times New Roman" w:cs="Times New Roman"/>
        </w:rPr>
        <w:t xml:space="preserve">Thomas, K. (2025) Profitability Index (PI): Definition, Formula and Calculation. </w:t>
      </w:r>
      <w:hyperlink r:id="rId22">
        <w:r w:rsidRPr="005412D4">
          <w:rPr>
            <w:rStyle w:val="Hyperlink"/>
          </w:rPr>
          <w:t>https://unstop.com/blog/profitability-index</w:t>
        </w:r>
      </w:hyperlink>
      <w:r w:rsidRPr="005412D4">
        <w:rPr>
          <w:rStyle w:val="Hyperlink"/>
        </w:rPr>
        <w:t>.</w:t>
      </w:r>
    </w:p>
    <w:p w14:paraId="65266A1A" w14:textId="77777777" w:rsidR="00421353" w:rsidRDefault="00421353" w:rsidP="00421353">
      <w:pPr>
        <w:pStyle w:val="ListParagraph"/>
        <w:numPr>
          <w:ilvl w:val="0"/>
          <w:numId w:val="1"/>
        </w:numPr>
        <w:spacing w:after="0" w:line="480" w:lineRule="auto"/>
        <w:ind w:left="426" w:hanging="426"/>
        <w:rPr>
          <w:rFonts w:ascii="Times New Roman" w:eastAsia="Times New Roman" w:hAnsi="Times New Roman" w:cs="Times New Roman"/>
        </w:rPr>
      </w:pPr>
      <w:proofErr w:type="spellStart"/>
      <w:r w:rsidRPr="561FEA06">
        <w:rPr>
          <w:rFonts w:ascii="Times New Roman" w:eastAsia="Times New Roman" w:hAnsi="Times New Roman" w:cs="Times New Roman"/>
        </w:rPr>
        <w:t>Faulner</w:t>
      </w:r>
      <w:proofErr w:type="spellEnd"/>
      <w:r w:rsidRPr="561FEA06">
        <w:rPr>
          <w:rFonts w:ascii="Times New Roman" w:eastAsia="Times New Roman" w:hAnsi="Times New Roman" w:cs="Times New Roman"/>
        </w:rPr>
        <w:t xml:space="preserve">, M. and </w:t>
      </w:r>
      <w:proofErr w:type="spellStart"/>
      <w:r w:rsidRPr="561FEA06">
        <w:rPr>
          <w:rFonts w:ascii="Times New Roman" w:eastAsia="Times New Roman" w:hAnsi="Times New Roman" w:cs="Times New Roman"/>
        </w:rPr>
        <w:t>Faulner</w:t>
      </w:r>
      <w:proofErr w:type="spellEnd"/>
      <w:r w:rsidRPr="561FEA06">
        <w:rPr>
          <w:rFonts w:ascii="Times New Roman" w:eastAsia="Times New Roman" w:hAnsi="Times New Roman" w:cs="Times New Roman"/>
        </w:rPr>
        <w:t xml:space="preserve">, M. (2022) Toyota Motor Corporation’s 20-F annual report. </w:t>
      </w:r>
      <w:hyperlink r:id="rId23">
        <w:r w:rsidRPr="005412D4">
          <w:rPr>
            <w:rStyle w:val="Hyperlink"/>
          </w:rPr>
          <w:t>https://pressroom.toyota.com/toyota-motor-corporations-20-f-annual-report/</w:t>
        </w:r>
      </w:hyperlink>
      <w:r w:rsidRPr="005412D4">
        <w:rPr>
          <w:rStyle w:val="Hyperlink"/>
        </w:rPr>
        <w:t>.</w:t>
      </w:r>
    </w:p>
    <w:p w14:paraId="0DC15C1D" w14:textId="77777777" w:rsidR="00421353" w:rsidRPr="005412D4" w:rsidRDefault="00421353" w:rsidP="00421353">
      <w:pPr>
        <w:pStyle w:val="ListParagraph"/>
        <w:numPr>
          <w:ilvl w:val="0"/>
          <w:numId w:val="1"/>
        </w:numPr>
        <w:spacing w:after="0" w:line="480" w:lineRule="auto"/>
        <w:ind w:left="426" w:hanging="426"/>
        <w:rPr>
          <w:rStyle w:val="Hyperlink"/>
          <w:rFonts w:ascii="Times New Roman" w:eastAsia="Times New Roman" w:hAnsi="Times New Roman" w:cs="Times New Roman"/>
          <w:color w:val="auto"/>
          <w:u w:val="none"/>
        </w:rPr>
      </w:pPr>
      <w:r w:rsidRPr="005412D4">
        <w:rPr>
          <w:rFonts w:ascii="Times New Roman" w:eastAsia="Times New Roman" w:hAnsi="Times New Roman" w:cs="Times New Roman"/>
        </w:rPr>
        <w:t xml:space="preserve">TOYOTA INDUSTRIES CORPORATION (2022) Annual Financial Report 2022, TOYOTA INDUSTRIES CORPORATION. </w:t>
      </w:r>
      <w:hyperlink r:id="rId24" w:history="1">
        <w:r w:rsidRPr="0026713A">
          <w:rPr>
            <w:rStyle w:val="Hyperlink"/>
          </w:rPr>
          <w:t>https://www.toyota-industries.com/investors/item/2022_annual_financial_report_E.pdf</w:t>
        </w:r>
      </w:hyperlink>
      <w:r w:rsidRPr="005412D4">
        <w:rPr>
          <w:rStyle w:val="Hyperlink"/>
        </w:rPr>
        <w:t xml:space="preserve"> .</w:t>
      </w:r>
    </w:p>
    <w:p w14:paraId="4DF770E4" w14:textId="77777777" w:rsidR="00421353" w:rsidRDefault="00421353" w:rsidP="00421353">
      <w:pPr>
        <w:pStyle w:val="ListParagraph"/>
        <w:numPr>
          <w:ilvl w:val="0"/>
          <w:numId w:val="1"/>
        </w:numPr>
        <w:spacing w:after="0" w:line="480" w:lineRule="auto"/>
        <w:ind w:left="426" w:hanging="426"/>
        <w:jc w:val="both"/>
        <w:rPr>
          <w:rFonts w:ascii="Times New Roman" w:eastAsia="Times New Roman" w:hAnsi="Times New Roman" w:cs="Times New Roman"/>
        </w:rPr>
      </w:pPr>
      <w:r w:rsidRPr="561FEA06">
        <w:rPr>
          <w:rFonts w:ascii="Times New Roman" w:eastAsia="Times New Roman" w:hAnsi="Times New Roman" w:cs="Times New Roman"/>
        </w:rPr>
        <w:t xml:space="preserve">TOYOTA INDUSTRIES CORPORATION and TOYOTA CORPORATION (2025) Annual Financial Report 2025, TOYOTA INDUSTRIES CORPORATION. </w:t>
      </w:r>
      <w:hyperlink r:id="rId25" w:history="1">
        <w:r w:rsidRPr="0026713A">
          <w:rPr>
            <w:rStyle w:val="Hyperlink"/>
          </w:rPr>
          <w:t>https://www.toyota-industries.com/investors/item/2025_annual_financial_report_E.pdf</w:t>
        </w:r>
      </w:hyperlink>
      <w:r w:rsidRPr="005412D4">
        <w:rPr>
          <w:rStyle w:val="Hyperlink"/>
        </w:rPr>
        <w:t xml:space="preserve"> .</w:t>
      </w:r>
    </w:p>
    <w:p w14:paraId="7FCCC6C7" w14:textId="77777777" w:rsidR="00421353" w:rsidRPr="00421353" w:rsidRDefault="00421353" w:rsidP="00421353">
      <w:pPr>
        <w:pStyle w:val="ListParagraph"/>
        <w:numPr>
          <w:ilvl w:val="0"/>
          <w:numId w:val="1"/>
        </w:numPr>
        <w:spacing w:after="0" w:line="480" w:lineRule="auto"/>
        <w:ind w:left="426" w:hanging="426"/>
        <w:rPr>
          <w:rStyle w:val="Hyperlink"/>
          <w:rFonts w:ascii="Times New Roman" w:eastAsia="Times New Roman" w:hAnsi="Times New Roman" w:cs="Times New Roman"/>
          <w:color w:val="auto"/>
          <w:u w:val="none"/>
        </w:rPr>
      </w:pPr>
      <w:r w:rsidRPr="561FEA06">
        <w:rPr>
          <w:rFonts w:ascii="Times New Roman" w:eastAsia="Times New Roman" w:hAnsi="Times New Roman" w:cs="Times New Roman"/>
        </w:rPr>
        <w:t xml:space="preserve">Toyota Motor Company Ltd. 2023 annual report (2023) Indus Motor Company Ltd. 2023 Annual Report. </w:t>
      </w:r>
      <w:hyperlink r:id="rId26">
        <w:r w:rsidRPr="005412D4">
          <w:rPr>
            <w:rStyle w:val="Hyperlink"/>
          </w:rPr>
          <w:t>https://toyota-indus.com/wp-content/uploads/2023/10/IMC-AR-FOR-WEB_1_11zon.pdf</w:t>
        </w:r>
      </w:hyperlink>
      <w:r w:rsidRPr="005412D4">
        <w:rPr>
          <w:rStyle w:val="Hyperlink"/>
        </w:rPr>
        <w:t xml:space="preserve"> .</w:t>
      </w:r>
    </w:p>
    <w:p w14:paraId="185271C9" w14:textId="77777777" w:rsidR="00421353" w:rsidRPr="00421353" w:rsidRDefault="00421353" w:rsidP="00421353">
      <w:pPr>
        <w:pStyle w:val="ListParagraph"/>
        <w:numPr>
          <w:ilvl w:val="0"/>
          <w:numId w:val="1"/>
        </w:numPr>
        <w:spacing w:after="0" w:line="480" w:lineRule="auto"/>
        <w:ind w:left="426" w:hanging="426"/>
        <w:rPr>
          <w:rStyle w:val="Hyperlink"/>
          <w:rFonts w:ascii="Times New Roman" w:eastAsia="Times New Roman" w:hAnsi="Times New Roman" w:cs="Times New Roman"/>
          <w:color w:val="auto"/>
          <w:u w:val="none"/>
        </w:rPr>
      </w:pPr>
      <w:r w:rsidRPr="00421353">
        <w:rPr>
          <w:rFonts w:ascii="Times New Roman" w:eastAsia="Times New Roman" w:hAnsi="Times New Roman" w:cs="Times New Roman"/>
        </w:rPr>
        <w:lastRenderedPageBreak/>
        <w:t xml:space="preserve">Toyota Motor Corp. - AnnualReports.com (no date). </w:t>
      </w:r>
      <w:hyperlink r:id="rId27">
        <w:r w:rsidRPr="005412D4">
          <w:rPr>
            <w:rStyle w:val="Hyperlink"/>
          </w:rPr>
          <w:t>https://www.annualreports.com/Company/toyota-motor-corp</w:t>
        </w:r>
      </w:hyperlink>
      <w:r w:rsidRPr="005412D4">
        <w:rPr>
          <w:rStyle w:val="Hyperlink"/>
        </w:rPr>
        <w:t>.</w:t>
      </w:r>
    </w:p>
    <w:p w14:paraId="06EC2866" w14:textId="79ED1BDA" w:rsidR="00421353" w:rsidRPr="00421353" w:rsidRDefault="00421353" w:rsidP="00421353">
      <w:pPr>
        <w:pStyle w:val="ListParagraph"/>
        <w:numPr>
          <w:ilvl w:val="0"/>
          <w:numId w:val="1"/>
        </w:numPr>
        <w:spacing w:after="0" w:line="480" w:lineRule="auto"/>
        <w:ind w:left="426" w:hanging="426"/>
        <w:rPr>
          <w:rStyle w:val="Hyperlink"/>
          <w:rFonts w:ascii="Times New Roman" w:eastAsia="Times New Roman" w:hAnsi="Times New Roman" w:cs="Times New Roman"/>
          <w:color w:val="auto"/>
          <w:u w:val="none"/>
        </w:rPr>
      </w:pPr>
      <w:r w:rsidRPr="00421353">
        <w:rPr>
          <w:rFonts w:ascii="Times New Roman" w:eastAsia="Times New Roman" w:hAnsi="Times New Roman" w:cs="Times New Roman"/>
        </w:rPr>
        <w:t xml:space="preserve">Toyota Motors (2021) Toyota Annual Report 2021, Report Integrated 2021. </w:t>
      </w:r>
      <w:hyperlink r:id="rId28">
        <w:r w:rsidRPr="005412D4">
          <w:rPr>
            <w:rStyle w:val="Hyperlink"/>
          </w:rPr>
          <w:t>https://global.toyota/pages/global_toyota/ir/library/annual/2021_001_integrated_en.pdf</w:t>
        </w:r>
      </w:hyperlink>
      <w:r w:rsidRPr="005412D4">
        <w:rPr>
          <w:rStyle w:val="Hyperlink"/>
        </w:rPr>
        <w:t xml:space="preserve"> .</w:t>
      </w:r>
    </w:p>
    <w:p w14:paraId="2CD6922B" w14:textId="77777777" w:rsidR="00421353" w:rsidRDefault="00421353" w:rsidP="00421353">
      <w:pPr>
        <w:pStyle w:val="ListParagraph"/>
        <w:numPr>
          <w:ilvl w:val="0"/>
          <w:numId w:val="1"/>
        </w:numPr>
        <w:spacing w:after="0" w:line="480" w:lineRule="auto"/>
        <w:ind w:left="426" w:hanging="426"/>
        <w:rPr>
          <w:rFonts w:ascii="Times New Roman" w:eastAsia="Times New Roman" w:hAnsi="Times New Roman" w:cs="Times New Roman"/>
        </w:rPr>
      </w:pPr>
      <w:r w:rsidRPr="561FEA06">
        <w:rPr>
          <w:rFonts w:ascii="Times New Roman" w:eastAsia="Times New Roman" w:hAnsi="Times New Roman" w:cs="Times New Roman"/>
        </w:rPr>
        <w:t xml:space="preserve">Hyundai (2026) 'Hyundai Motor announces 2025 annual and Q4 business results,' HYUNDAI MOTORS, 29 January. </w:t>
      </w:r>
      <w:r w:rsidRPr="005412D4">
        <w:rPr>
          <w:rStyle w:val="Hyperlink"/>
        </w:rPr>
        <w:t>https://www.hyundai.com/worldwide/en/newsroom/detail/hyundai-motor-announces-2025-annual-and-q4-business-results-0000001116.</w:t>
      </w:r>
      <w:r w:rsidRPr="561FEA06">
        <w:rPr>
          <w:rFonts w:ascii="Times New Roman" w:eastAsia="Times New Roman" w:hAnsi="Times New Roman" w:cs="Times New Roman"/>
        </w:rPr>
        <w:t xml:space="preserve"> </w:t>
      </w:r>
    </w:p>
    <w:p w14:paraId="3EB24F8B" w14:textId="77777777" w:rsidR="00421353" w:rsidRDefault="00421353" w:rsidP="00421353">
      <w:pPr>
        <w:pStyle w:val="ListParagraph"/>
        <w:numPr>
          <w:ilvl w:val="0"/>
          <w:numId w:val="1"/>
        </w:numPr>
        <w:tabs>
          <w:tab w:val="left" w:pos="5954"/>
        </w:tabs>
        <w:spacing w:after="0" w:line="480" w:lineRule="auto"/>
        <w:ind w:left="426" w:hanging="426"/>
        <w:jc w:val="both"/>
        <w:rPr>
          <w:rFonts w:ascii="Times New Roman" w:eastAsia="Times New Roman" w:hAnsi="Times New Roman" w:cs="Times New Roman"/>
        </w:rPr>
      </w:pPr>
      <w:r w:rsidRPr="561FEA06">
        <w:rPr>
          <w:rFonts w:ascii="Times New Roman" w:eastAsia="Times New Roman" w:hAnsi="Times New Roman" w:cs="Times New Roman"/>
        </w:rPr>
        <w:t xml:space="preserve">Hyundai Motor (2024) Annual Report 2024, Hyundai Motor Manufacturing Czech. </w:t>
      </w:r>
    </w:p>
    <w:p w14:paraId="59A24BC1" w14:textId="77777777" w:rsidR="00421353" w:rsidRDefault="00421353" w:rsidP="00421353">
      <w:pPr>
        <w:ind w:left="426" w:hanging="426"/>
        <w:rPr>
          <w:rFonts w:ascii="Times New Roman" w:eastAsia="Times New Roman" w:hAnsi="Times New Roman" w:cs="Times New Roman"/>
        </w:rPr>
      </w:pPr>
      <w:r>
        <w:rPr>
          <w:rFonts w:ascii="Times New Roman" w:eastAsia="Times New Roman" w:hAnsi="Times New Roman" w:cs="Times New Roman"/>
        </w:rPr>
        <w:t xml:space="preserve">       </w:t>
      </w:r>
      <w:hyperlink r:id="rId29" w:history="1">
        <w:r w:rsidRPr="0026713A">
          <w:rPr>
            <w:rStyle w:val="Hyperlink"/>
            <w:rFonts w:ascii="Times New Roman" w:eastAsia="Times New Roman" w:hAnsi="Times New Roman" w:cs="Times New Roman"/>
          </w:rPr>
          <w:t>https://www.hyundai-motor.cz/wp-content/uploads/2025/06/Vyrocni_zprava_EN_2024.pdf</w:t>
        </w:r>
      </w:hyperlink>
      <w:r w:rsidRPr="561FEA06">
        <w:rPr>
          <w:rFonts w:ascii="Times New Roman" w:eastAsia="Times New Roman" w:hAnsi="Times New Roman" w:cs="Times New Roman"/>
        </w:rPr>
        <w:t xml:space="preserve"> </w:t>
      </w:r>
      <w:r>
        <w:rPr>
          <w:rFonts w:ascii="Times New Roman" w:eastAsia="Times New Roman" w:hAnsi="Times New Roman" w:cs="Times New Roman"/>
        </w:rPr>
        <w:t>.</w:t>
      </w:r>
    </w:p>
    <w:p w14:paraId="42411729" w14:textId="77777777" w:rsidR="00421353" w:rsidRDefault="00421353" w:rsidP="00421353">
      <w:pPr>
        <w:pStyle w:val="ListParagraph"/>
        <w:spacing w:after="0" w:line="480" w:lineRule="auto"/>
        <w:ind w:left="426" w:hanging="426"/>
        <w:jc w:val="both"/>
        <w:rPr>
          <w:rFonts w:ascii="Times New Roman" w:eastAsia="Times New Roman" w:hAnsi="Times New Roman" w:cs="Times New Roman"/>
        </w:rPr>
      </w:pPr>
    </w:p>
    <w:p w14:paraId="562256E3" w14:textId="77777777" w:rsidR="00421353" w:rsidRDefault="00421353" w:rsidP="00421353">
      <w:pPr>
        <w:spacing w:after="0" w:line="480" w:lineRule="auto"/>
        <w:ind w:left="426" w:hanging="426"/>
        <w:rPr>
          <w:rFonts w:ascii="Times New Roman" w:eastAsia="Times New Roman" w:hAnsi="Times New Roman" w:cs="Times New Roman"/>
        </w:rPr>
      </w:pPr>
    </w:p>
    <w:p w14:paraId="7E6C17E1" w14:textId="77777777" w:rsidR="00421353" w:rsidRDefault="00421353" w:rsidP="00421353">
      <w:pPr>
        <w:spacing w:line="480" w:lineRule="auto"/>
        <w:ind w:left="426" w:hanging="426"/>
        <w:jc w:val="both"/>
      </w:pPr>
    </w:p>
    <w:p w14:paraId="13DD15A4" w14:textId="77777777" w:rsidR="00421353" w:rsidRDefault="00421353" w:rsidP="00421353">
      <w:pPr>
        <w:ind w:left="426" w:hanging="426"/>
      </w:pPr>
    </w:p>
    <w:p w14:paraId="644D4A08" w14:textId="77777777" w:rsidR="00421353" w:rsidRPr="00421353" w:rsidRDefault="00421353" w:rsidP="00421353"/>
    <w:sectPr w:rsidR="00421353" w:rsidRPr="004213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BOfsvBQ4F9uylB" int2:id="TjeKdinw">
      <int2:state int2:type="spell" int2:value="Rejected"/>
    </int2:textHash>
    <int2:bookmark int2:bookmarkName="_Int_T89jL4u9" int2:invalidationBookmarkName="" int2:hashCode="ZX2x4N/6AAyc2t" int2:id="rEnhKxfT">
      <int2:state int2:type="gram" int2:value="Rejected"/>
    </int2:bookmark>
    <int2:bookmark int2:bookmarkName="_Int_Uixzm89I" int2:invalidationBookmarkName="" int2:hashCode="g0s08W9FHgDyaN" int2:id="mjoWHIr3">
      <int2:state int2:type="gram" int2:value="Rejected"/>
    </int2:bookmark>
    <int2:bookmark int2:bookmarkName="_Int_bYzvTLUk" int2:invalidationBookmarkName="" int2:hashCode="9DPeeP6rQwnp0H" int2:id="ugHgQcgG">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7692"/>
    <w:multiLevelType w:val="hybridMultilevel"/>
    <w:tmpl w:val="2F485306"/>
    <w:lvl w:ilvl="0" w:tplc="95649BB0">
      <w:start w:val="1"/>
      <w:numFmt w:val="bullet"/>
      <w:lvlText w:val=""/>
      <w:lvlJc w:val="left"/>
      <w:pPr>
        <w:ind w:left="720" w:hanging="360"/>
      </w:pPr>
      <w:rPr>
        <w:rFonts w:ascii="Symbol" w:hAnsi="Symbol" w:hint="default"/>
      </w:rPr>
    </w:lvl>
    <w:lvl w:ilvl="1" w:tplc="3D622CFE">
      <w:start w:val="1"/>
      <w:numFmt w:val="bullet"/>
      <w:lvlText w:val="o"/>
      <w:lvlJc w:val="left"/>
      <w:pPr>
        <w:ind w:left="1440" w:hanging="360"/>
      </w:pPr>
      <w:rPr>
        <w:rFonts w:ascii="Courier New" w:hAnsi="Courier New" w:hint="default"/>
      </w:rPr>
    </w:lvl>
    <w:lvl w:ilvl="2" w:tplc="68D674A0">
      <w:start w:val="1"/>
      <w:numFmt w:val="bullet"/>
      <w:lvlText w:val=""/>
      <w:lvlJc w:val="left"/>
      <w:pPr>
        <w:ind w:left="2160" w:hanging="360"/>
      </w:pPr>
      <w:rPr>
        <w:rFonts w:ascii="Wingdings" w:hAnsi="Wingdings" w:hint="default"/>
      </w:rPr>
    </w:lvl>
    <w:lvl w:ilvl="3" w:tplc="AC1E946C">
      <w:start w:val="1"/>
      <w:numFmt w:val="bullet"/>
      <w:lvlText w:val=""/>
      <w:lvlJc w:val="left"/>
      <w:pPr>
        <w:ind w:left="2880" w:hanging="360"/>
      </w:pPr>
      <w:rPr>
        <w:rFonts w:ascii="Symbol" w:hAnsi="Symbol" w:hint="default"/>
      </w:rPr>
    </w:lvl>
    <w:lvl w:ilvl="4" w:tplc="A08C83F4">
      <w:start w:val="1"/>
      <w:numFmt w:val="bullet"/>
      <w:lvlText w:val="o"/>
      <w:lvlJc w:val="left"/>
      <w:pPr>
        <w:ind w:left="3600" w:hanging="360"/>
      </w:pPr>
      <w:rPr>
        <w:rFonts w:ascii="Courier New" w:hAnsi="Courier New" w:hint="default"/>
      </w:rPr>
    </w:lvl>
    <w:lvl w:ilvl="5" w:tplc="A11C33FA">
      <w:start w:val="1"/>
      <w:numFmt w:val="bullet"/>
      <w:lvlText w:val=""/>
      <w:lvlJc w:val="left"/>
      <w:pPr>
        <w:ind w:left="4320" w:hanging="360"/>
      </w:pPr>
      <w:rPr>
        <w:rFonts w:ascii="Wingdings" w:hAnsi="Wingdings" w:hint="default"/>
      </w:rPr>
    </w:lvl>
    <w:lvl w:ilvl="6" w:tplc="6A5E17FE">
      <w:start w:val="1"/>
      <w:numFmt w:val="bullet"/>
      <w:lvlText w:val=""/>
      <w:lvlJc w:val="left"/>
      <w:pPr>
        <w:ind w:left="5040" w:hanging="360"/>
      </w:pPr>
      <w:rPr>
        <w:rFonts w:ascii="Symbol" w:hAnsi="Symbol" w:hint="default"/>
      </w:rPr>
    </w:lvl>
    <w:lvl w:ilvl="7" w:tplc="BD92248A">
      <w:start w:val="1"/>
      <w:numFmt w:val="bullet"/>
      <w:lvlText w:val="o"/>
      <w:lvlJc w:val="left"/>
      <w:pPr>
        <w:ind w:left="5760" w:hanging="360"/>
      </w:pPr>
      <w:rPr>
        <w:rFonts w:ascii="Courier New" w:hAnsi="Courier New" w:hint="default"/>
      </w:rPr>
    </w:lvl>
    <w:lvl w:ilvl="8" w:tplc="3A600010">
      <w:start w:val="1"/>
      <w:numFmt w:val="bullet"/>
      <w:lvlText w:val=""/>
      <w:lvlJc w:val="left"/>
      <w:pPr>
        <w:ind w:left="6480" w:hanging="360"/>
      </w:pPr>
      <w:rPr>
        <w:rFonts w:ascii="Wingdings" w:hAnsi="Wingdings" w:hint="default"/>
      </w:rPr>
    </w:lvl>
  </w:abstractNum>
  <w:abstractNum w:abstractNumId="1" w15:restartNumberingAfterBreak="0">
    <w:nsid w:val="0430F36B"/>
    <w:multiLevelType w:val="hybridMultilevel"/>
    <w:tmpl w:val="9D1A65FA"/>
    <w:lvl w:ilvl="0" w:tplc="82A69958">
      <w:start w:val="1"/>
      <w:numFmt w:val="decimal"/>
      <w:lvlText w:val="%1."/>
      <w:lvlJc w:val="left"/>
      <w:pPr>
        <w:ind w:left="720" w:hanging="360"/>
      </w:pPr>
    </w:lvl>
    <w:lvl w:ilvl="1" w:tplc="735C1DF2">
      <w:start w:val="1"/>
      <w:numFmt w:val="lowerLetter"/>
      <w:lvlText w:val="%2."/>
      <w:lvlJc w:val="left"/>
      <w:pPr>
        <w:ind w:left="1440" w:hanging="360"/>
      </w:pPr>
    </w:lvl>
    <w:lvl w:ilvl="2" w:tplc="3C46977A">
      <w:start w:val="1"/>
      <w:numFmt w:val="lowerRoman"/>
      <w:lvlText w:val="%3."/>
      <w:lvlJc w:val="right"/>
      <w:pPr>
        <w:ind w:left="2160" w:hanging="180"/>
      </w:pPr>
    </w:lvl>
    <w:lvl w:ilvl="3" w:tplc="B9A8DCF8">
      <w:start w:val="1"/>
      <w:numFmt w:val="decimal"/>
      <w:lvlText w:val="%4."/>
      <w:lvlJc w:val="left"/>
      <w:pPr>
        <w:ind w:left="2880" w:hanging="360"/>
      </w:pPr>
    </w:lvl>
    <w:lvl w:ilvl="4" w:tplc="9936569A">
      <w:start w:val="1"/>
      <w:numFmt w:val="lowerLetter"/>
      <w:lvlText w:val="%5."/>
      <w:lvlJc w:val="left"/>
      <w:pPr>
        <w:ind w:left="3600" w:hanging="360"/>
      </w:pPr>
    </w:lvl>
    <w:lvl w:ilvl="5" w:tplc="B97C3E74">
      <w:start w:val="1"/>
      <w:numFmt w:val="lowerRoman"/>
      <w:lvlText w:val="%6."/>
      <w:lvlJc w:val="right"/>
      <w:pPr>
        <w:ind w:left="4320" w:hanging="180"/>
      </w:pPr>
    </w:lvl>
    <w:lvl w:ilvl="6" w:tplc="56D83486">
      <w:start w:val="1"/>
      <w:numFmt w:val="decimal"/>
      <w:lvlText w:val="%7."/>
      <w:lvlJc w:val="left"/>
      <w:pPr>
        <w:ind w:left="5040" w:hanging="360"/>
      </w:pPr>
    </w:lvl>
    <w:lvl w:ilvl="7" w:tplc="7786CE70">
      <w:start w:val="1"/>
      <w:numFmt w:val="lowerLetter"/>
      <w:lvlText w:val="%8."/>
      <w:lvlJc w:val="left"/>
      <w:pPr>
        <w:ind w:left="5760" w:hanging="360"/>
      </w:pPr>
    </w:lvl>
    <w:lvl w:ilvl="8" w:tplc="3D321764">
      <w:start w:val="1"/>
      <w:numFmt w:val="lowerRoman"/>
      <w:lvlText w:val="%9."/>
      <w:lvlJc w:val="right"/>
      <w:pPr>
        <w:ind w:left="6480" w:hanging="180"/>
      </w:pPr>
    </w:lvl>
  </w:abstractNum>
  <w:abstractNum w:abstractNumId="2" w15:restartNumberingAfterBreak="0">
    <w:nsid w:val="090C8B59"/>
    <w:multiLevelType w:val="hybridMultilevel"/>
    <w:tmpl w:val="31BEB4B8"/>
    <w:lvl w:ilvl="0" w:tplc="674679DE">
      <w:start w:val="1"/>
      <w:numFmt w:val="bullet"/>
      <w:lvlText w:val=""/>
      <w:lvlJc w:val="left"/>
      <w:pPr>
        <w:ind w:left="720" w:hanging="360"/>
      </w:pPr>
      <w:rPr>
        <w:rFonts w:ascii="Symbol" w:hAnsi="Symbol" w:hint="default"/>
      </w:rPr>
    </w:lvl>
    <w:lvl w:ilvl="1" w:tplc="B4F48666">
      <w:start w:val="1"/>
      <w:numFmt w:val="bullet"/>
      <w:lvlText w:val="o"/>
      <w:lvlJc w:val="left"/>
      <w:pPr>
        <w:ind w:left="1440" w:hanging="360"/>
      </w:pPr>
      <w:rPr>
        <w:rFonts w:ascii="Courier New" w:hAnsi="Courier New" w:hint="default"/>
      </w:rPr>
    </w:lvl>
    <w:lvl w:ilvl="2" w:tplc="7E6EBDAC">
      <w:start w:val="1"/>
      <w:numFmt w:val="bullet"/>
      <w:lvlText w:val=""/>
      <w:lvlJc w:val="left"/>
      <w:pPr>
        <w:ind w:left="2160" w:hanging="360"/>
      </w:pPr>
      <w:rPr>
        <w:rFonts w:ascii="Wingdings" w:hAnsi="Wingdings" w:hint="default"/>
      </w:rPr>
    </w:lvl>
    <w:lvl w:ilvl="3" w:tplc="239A207C">
      <w:start w:val="1"/>
      <w:numFmt w:val="bullet"/>
      <w:lvlText w:val=""/>
      <w:lvlJc w:val="left"/>
      <w:pPr>
        <w:ind w:left="2880" w:hanging="360"/>
      </w:pPr>
      <w:rPr>
        <w:rFonts w:ascii="Symbol" w:hAnsi="Symbol" w:hint="default"/>
      </w:rPr>
    </w:lvl>
    <w:lvl w:ilvl="4" w:tplc="8FAC59EA">
      <w:start w:val="1"/>
      <w:numFmt w:val="bullet"/>
      <w:lvlText w:val="o"/>
      <w:lvlJc w:val="left"/>
      <w:pPr>
        <w:ind w:left="3600" w:hanging="360"/>
      </w:pPr>
      <w:rPr>
        <w:rFonts w:ascii="Courier New" w:hAnsi="Courier New" w:hint="default"/>
      </w:rPr>
    </w:lvl>
    <w:lvl w:ilvl="5" w:tplc="DAD81F34">
      <w:start w:val="1"/>
      <w:numFmt w:val="bullet"/>
      <w:lvlText w:val=""/>
      <w:lvlJc w:val="left"/>
      <w:pPr>
        <w:ind w:left="4320" w:hanging="360"/>
      </w:pPr>
      <w:rPr>
        <w:rFonts w:ascii="Wingdings" w:hAnsi="Wingdings" w:hint="default"/>
      </w:rPr>
    </w:lvl>
    <w:lvl w:ilvl="6" w:tplc="574A48CE">
      <w:start w:val="1"/>
      <w:numFmt w:val="bullet"/>
      <w:lvlText w:val=""/>
      <w:lvlJc w:val="left"/>
      <w:pPr>
        <w:ind w:left="5040" w:hanging="360"/>
      </w:pPr>
      <w:rPr>
        <w:rFonts w:ascii="Symbol" w:hAnsi="Symbol" w:hint="default"/>
      </w:rPr>
    </w:lvl>
    <w:lvl w:ilvl="7" w:tplc="9B0460A6">
      <w:start w:val="1"/>
      <w:numFmt w:val="bullet"/>
      <w:lvlText w:val="o"/>
      <w:lvlJc w:val="left"/>
      <w:pPr>
        <w:ind w:left="5760" w:hanging="360"/>
      </w:pPr>
      <w:rPr>
        <w:rFonts w:ascii="Courier New" w:hAnsi="Courier New" w:hint="default"/>
      </w:rPr>
    </w:lvl>
    <w:lvl w:ilvl="8" w:tplc="183283D8">
      <w:start w:val="1"/>
      <w:numFmt w:val="bullet"/>
      <w:lvlText w:val=""/>
      <w:lvlJc w:val="left"/>
      <w:pPr>
        <w:ind w:left="6480" w:hanging="360"/>
      </w:pPr>
      <w:rPr>
        <w:rFonts w:ascii="Wingdings" w:hAnsi="Wingdings" w:hint="default"/>
      </w:rPr>
    </w:lvl>
  </w:abstractNum>
  <w:abstractNum w:abstractNumId="3" w15:restartNumberingAfterBreak="0">
    <w:nsid w:val="0B0D50A6"/>
    <w:multiLevelType w:val="hybridMultilevel"/>
    <w:tmpl w:val="5DA4BD74"/>
    <w:lvl w:ilvl="0" w:tplc="8DB26428">
      <w:start w:val="1"/>
      <w:numFmt w:val="decimal"/>
      <w:lvlText w:val="%1."/>
      <w:lvlJc w:val="left"/>
      <w:pPr>
        <w:ind w:left="720" w:hanging="360"/>
      </w:pPr>
    </w:lvl>
    <w:lvl w:ilvl="1" w:tplc="A6DE3AAC">
      <w:start w:val="1"/>
      <w:numFmt w:val="lowerLetter"/>
      <w:lvlText w:val="%2."/>
      <w:lvlJc w:val="left"/>
      <w:pPr>
        <w:ind w:left="1440" w:hanging="360"/>
      </w:pPr>
    </w:lvl>
    <w:lvl w:ilvl="2" w:tplc="6A825654">
      <w:start w:val="1"/>
      <w:numFmt w:val="lowerRoman"/>
      <w:lvlText w:val="%3."/>
      <w:lvlJc w:val="right"/>
      <w:pPr>
        <w:ind w:left="2160" w:hanging="180"/>
      </w:pPr>
    </w:lvl>
    <w:lvl w:ilvl="3" w:tplc="6BA06358">
      <w:start w:val="1"/>
      <w:numFmt w:val="decimal"/>
      <w:lvlText w:val="%4."/>
      <w:lvlJc w:val="left"/>
      <w:pPr>
        <w:ind w:left="2880" w:hanging="360"/>
      </w:pPr>
    </w:lvl>
    <w:lvl w:ilvl="4" w:tplc="BFC6B640">
      <w:start w:val="1"/>
      <w:numFmt w:val="lowerLetter"/>
      <w:lvlText w:val="%5."/>
      <w:lvlJc w:val="left"/>
      <w:pPr>
        <w:ind w:left="3600" w:hanging="360"/>
      </w:pPr>
    </w:lvl>
    <w:lvl w:ilvl="5" w:tplc="2BE09946">
      <w:start w:val="1"/>
      <w:numFmt w:val="lowerRoman"/>
      <w:lvlText w:val="%6."/>
      <w:lvlJc w:val="right"/>
      <w:pPr>
        <w:ind w:left="4320" w:hanging="180"/>
      </w:pPr>
    </w:lvl>
    <w:lvl w:ilvl="6" w:tplc="A67C8898">
      <w:start w:val="1"/>
      <w:numFmt w:val="decimal"/>
      <w:lvlText w:val="%7."/>
      <w:lvlJc w:val="left"/>
      <w:pPr>
        <w:ind w:left="5040" w:hanging="360"/>
      </w:pPr>
    </w:lvl>
    <w:lvl w:ilvl="7" w:tplc="A1A0FE64">
      <w:start w:val="1"/>
      <w:numFmt w:val="lowerLetter"/>
      <w:lvlText w:val="%8."/>
      <w:lvlJc w:val="left"/>
      <w:pPr>
        <w:ind w:left="5760" w:hanging="360"/>
      </w:pPr>
    </w:lvl>
    <w:lvl w:ilvl="8" w:tplc="CB366D66">
      <w:start w:val="1"/>
      <w:numFmt w:val="lowerRoman"/>
      <w:lvlText w:val="%9."/>
      <w:lvlJc w:val="right"/>
      <w:pPr>
        <w:ind w:left="6480" w:hanging="180"/>
      </w:pPr>
    </w:lvl>
  </w:abstractNum>
  <w:abstractNum w:abstractNumId="4" w15:restartNumberingAfterBreak="0">
    <w:nsid w:val="0EDE7A11"/>
    <w:multiLevelType w:val="hybridMultilevel"/>
    <w:tmpl w:val="94B2DCB4"/>
    <w:lvl w:ilvl="0" w:tplc="9886BE80">
      <w:start w:val="1"/>
      <w:numFmt w:val="decimal"/>
      <w:lvlText w:val="%1."/>
      <w:lvlJc w:val="left"/>
      <w:pPr>
        <w:ind w:left="720" w:hanging="360"/>
      </w:pPr>
    </w:lvl>
    <w:lvl w:ilvl="1" w:tplc="CF82245C">
      <w:start w:val="1"/>
      <w:numFmt w:val="lowerLetter"/>
      <w:lvlText w:val="%2."/>
      <w:lvlJc w:val="left"/>
      <w:pPr>
        <w:ind w:left="1440" w:hanging="360"/>
      </w:pPr>
    </w:lvl>
    <w:lvl w:ilvl="2" w:tplc="541C1E50">
      <w:start w:val="1"/>
      <w:numFmt w:val="lowerRoman"/>
      <w:lvlText w:val="%3."/>
      <w:lvlJc w:val="right"/>
      <w:pPr>
        <w:ind w:left="2160" w:hanging="180"/>
      </w:pPr>
    </w:lvl>
    <w:lvl w:ilvl="3" w:tplc="6A64170E">
      <w:start w:val="1"/>
      <w:numFmt w:val="decimal"/>
      <w:lvlText w:val="%4."/>
      <w:lvlJc w:val="left"/>
      <w:pPr>
        <w:ind w:left="2880" w:hanging="360"/>
      </w:pPr>
    </w:lvl>
    <w:lvl w:ilvl="4" w:tplc="C4B860C2">
      <w:start w:val="1"/>
      <w:numFmt w:val="lowerLetter"/>
      <w:lvlText w:val="%5."/>
      <w:lvlJc w:val="left"/>
      <w:pPr>
        <w:ind w:left="3600" w:hanging="360"/>
      </w:pPr>
    </w:lvl>
    <w:lvl w:ilvl="5" w:tplc="6310DE2A">
      <w:start w:val="1"/>
      <w:numFmt w:val="lowerRoman"/>
      <w:lvlText w:val="%6."/>
      <w:lvlJc w:val="right"/>
      <w:pPr>
        <w:ind w:left="4320" w:hanging="180"/>
      </w:pPr>
    </w:lvl>
    <w:lvl w:ilvl="6" w:tplc="AD263910">
      <w:start w:val="1"/>
      <w:numFmt w:val="decimal"/>
      <w:lvlText w:val="%7."/>
      <w:lvlJc w:val="left"/>
      <w:pPr>
        <w:ind w:left="5040" w:hanging="360"/>
      </w:pPr>
    </w:lvl>
    <w:lvl w:ilvl="7" w:tplc="8018AE36">
      <w:start w:val="1"/>
      <w:numFmt w:val="lowerLetter"/>
      <w:lvlText w:val="%8."/>
      <w:lvlJc w:val="left"/>
      <w:pPr>
        <w:ind w:left="5760" w:hanging="360"/>
      </w:pPr>
    </w:lvl>
    <w:lvl w:ilvl="8" w:tplc="E7ECDB56">
      <w:start w:val="1"/>
      <w:numFmt w:val="lowerRoman"/>
      <w:lvlText w:val="%9."/>
      <w:lvlJc w:val="right"/>
      <w:pPr>
        <w:ind w:left="6480" w:hanging="180"/>
      </w:pPr>
    </w:lvl>
  </w:abstractNum>
  <w:abstractNum w:abstractNumId="5" w15:restartNumberingAfterBreak="0">
    <w:nsid w:val="1A8109E1"/>
    <w:multiLevelType w:val="hybridMultilevel"/>
    <w:tmpl w:val="42228578"/>
    <w:lvl w:ilvl="0" w:tplc="F6B2B24A">
      <w:start w:val="1"/>
      <w:numFmt w:val="bullet"/>
      <w:lvlText w:val=""/>
      <w:lvlJc w:val="left"/>
      <w:pPr>
        <w:ind w:left="720" w:hanging="360"/>
      </w:pPr>
      <w:rPr>
        <w:rFonts w:ascii="Symbol" w:hAnsi="Symbol" w:hint="default"/>
      </w:rPr>
    </w:lvl>
    <w:lvl w:ilvl="1" w:tplc="7228D0D4">
      <w:start w:val="1"/>
      <w:numFmt w:val="bullet"/>
      <w:lvlText w:val="o"/>
      <w:lvlJc w:val="left"/>
      <w:pPr>
        <w:ind w:left="1440" w:hanging="360"/>
      </w:pPr>
      <w:rPr>
        <w:rFonts w:ascii="Courier New" w:hAnsi="Courier New" w:hint="default"/>
      </w:rPr>
    </w:lvl>
    <w:lvl w:ilvl="2" w:tplc="E684F85C">
      <w:start w:val="1"/>
      <w:numFmt w:val="bullet"/>
      <w:lvlText w:val=""/>
      <w:lvlJc w:val="left"/>
      <w:pPr>
        <w:ind w:left="2160" w:hanging="360"/>
      </w:pPr>
      <w:rPr>
        <w:rFonts w:ascii="Wingdings" w:hAnsi="Wingdings" w:hint="default"/>
      </w:rPr>
    </w:lvl>
    <w:lvl w:ilvl="3" w:tplc="77F8EF40">
      <w:start w:val="1"/>
      <w:numFmt w:val="bullet"/>
      <w:lvlText w:val=""/>
      <w:lvlJc w:val="left"/>
      <w:pPr>
        <w:ind w:left="2880" w:hanging="360"/>
      </w:pPr>
      <w:rPr>
        <w:rFonts w:ascii="Symbol" w:hAnsi="Symbol" w:hint="default"/>
      </w:rPr>
    </w:lvl>
    <w:lvl w:ilvl="4" w:tplc="04DA97EA">
      <w:start w:val="1"/>
      <w:numFmt w:val="bullet"/>
      <w:lvlText w:val="o"/>
      <w:lvlJc w:val="left"/>
      <w:pPr>
        <w:ind w:left="3600" w:hanging="360"/>
      </w:pPr>
      <w:rPr>
        <w:rFonts w:ascii="Courier New" w:hAnsi="Courier New" w:hint="default"/>
      </w:rPr>
    </w:lvl>
    <w:lvl w:ilvl="5" w:tplc="71961E7A">
      <w:start w:val="1"/>
      <w:numFmt w:val="bullet"/>
      <w:lvlText w:val=""/>
      <w:lvlJc w:val="left"/>
      <w:pPr>
        <w:ind w:left="4320" w:hanging="360"/>
      </w:pPr>
      <w:rPr>
        <w:rFonts w:ascii="Wingdings" w:hAnsi="Wingdings" w:hint="default"/>
      </w:rPr>
    </w:lvl>
    <w:lvl w:ilvl="6" w:tplc="924A9B1C">
      <w:start w:val="1"/>
      <w:numFmt w:val="bullet"/>
      <w:lvlText w:val=""/>
      <w:lvlJc w:val="left"/>
      <w:pPr>
        <w:ind w:left="5040" w:hanging="360"/>
      </w:pPr>
      <w:rPr>
        <w:rFonts w:ascii="Symbol" w:hAnsi="Symbol" w:hint="default"/>
      </w:rPr>
    </w:lvl>
    <w:lvl w:ilvl="7" w:tplc="1812E43C">
      <w:start w:val="1"/>
      <w:numFmt w:val="bullet"/>
      <w:lvlText w:val="o"/>
      <w:lvlJc w:val="left"/>
      <w:pPr>
        <w:ind w:left="5760" w:hanging="360"/>
      </w:pPr>
      <w:rPr>
        <w:rFonts w:ascii="Courier New" w:hAnsi="Courier New" w:hint="default"/>
      </w:rPr>
    </w:lvl>
    <w:lvl w:ilvl="8" w:tplc="689478B2">
      <w:start w:val="1"/>
      <w:numFmt w:val="bullet"/>
      <w:lvlText w:val=""/>
      <w:lvlJc w:val="left"/>
      <w:pPr>
        <w:ind w:left="6480" w:hanging="360"/>
      </w:pPr>
      <w:rPr>
        <w:rFonts w:ascii="Wingdings" w:hAnsi="Wingdings" w:hint="default"/>
      </w:rPr>
    </w:lvl>
  </w:abstractNum>
  <w:abstractNum w:abstractNumId="6" w15:restartNumberingAfterBreak="0">
    <w:nsid w:val="28448A17"/>
    <w:multiLevelType w:val="hybridMultilevel"/>
    <w:tmpl w:val="F746DA4C"/>
    <w:lvl w:ilvl="0" w:tplc="41CC87E2">
      <w:start w:val="1"/>
      <w:numFmt w:val="bullet"/>
      <w:lvlText w:val=""/>
      <w:lvlJc w:val="left"/>
      <w:pPr>
        <w:ind w:left="720" w:hanging="360"/>
      </w:pPr>
      <w:rPr>
        <w:rFonts w:ascii="Symbol" w:hAnsi="Symbol" w:hint="default"/>
      </w:rPr>
    </w:lvl>
    <w:lvl w:ilvl="1" w:tplc="8BACB1B6">
      <w:start w:val="1"/>
      <w:numFmt w:val="bullet"/>
      <w:lvlText w:val="o"/>
      <w:lvlJc w:val="left"/>
      <w:pPr>
        <w:ind w:left="1440" w:hanging="360"/>
      </w:pPr>
      <w:rPr>
        <w:rFonts w:ascii="Courier New" w:hAnsi="Courier New" w:hint="default"/>
      </w:rPr>
    </w:lvl>
    <w:lvl w:ilvl="2" w:tplc="06B0003A">
      <w:start w:val="1"/>
      <w:numFmt w:val="bullet"/>
      <w:lvlText w:val=""/>
      <w:lvlJc w:val="left"/>
      <w:pPr>
        <w:ind w:left="2160" w:hanging="360"/>
      </w:pPr>
      <w:rPr>
        <w:rFonts w:ascii="Wingdings" w:hAnsi="Wingdings" w:hint="default"/>
      </w:rPr>
    </w:lvl>
    <w:lvl w:ilvl="3" w:tplc="E760FA22">
      <w:start w:val="1"/>
      <w:numFmt w:val="bullet"/>
      <w:lvlText w:val=""/>
      <w:lvlJc w:val="left"/>
      <w:pPr>
        <w:ind w:left="2880" w:hanging="360"/>
      </w:pPr>
      <w:rPr>
        <w:rFonts w:ascii="Symbol" w:hAnsi="Symbol" w:hint="default"/>
      </w:rPr>
    </w:lvl>
    <w:lvl w:ilvl="4" w:tplc="A32A2D68">
      <w:start w:val="1"/>
      <w:numFmt w:val="bullet"/>
      <w:lvlText w:val="o"/>
      <w:lvlJc w:val="left"/>
      <w:pPr>
        <w:ind w:left="3600" w:hanging="360"/>
      </w:pPr>
      <w:rPr>
        <w:rFonts w:ascii="Courier New" w:hAnsi="Courier New" w:hint="default"/>
      </w:rPr>
    </w:lvl>
    <w:lvl w:ilvl="5" w:tplc="531A65EE">
      <w:start w:val="1"/>
      <w:numFmt w:val="bullet"/>
      <w:lvlText w:val=""/>
      <w:lvlJc w:val="left"/>
      <w:pPr>
        <w:ind w:left="4320" w:hanging="360"/>
      </w:pPr>
      <w:rPr>
        <w:rFonts w:ascii="Wingdings" w:hAnsi="Wingdings" w:hint="default"/>
      </w:rPr>
    </w:lvl>
    <w:lvl w:ilvl="6" w:tplc="EDE4C6E0">
      <w:start w:val="1"/>
      <w:numFmt w:val="bullet"/>
      <w:lvlText w:val=""/>
      <w:lvlJc w:val="left"/>
      <w:pPr>
        <w:ind w:left="5040" w:hanging="360"/>
      </w:pPr>
      <w:rPr>
        <w:rFonts w:ascii="Symbol" w:hAnsi="Symbol" w:hint="default"/>
      </w:rPr>
    </w:lvl>
    <w:lvl w:ilvl="7" w:tplc="11182034">
      <w:start w:val="1"/>
      <w:numFmt w:val="bullet"/>
      <w:lvlText w:val="o"/>
      <w:lvlJc w:val="left"/>
      <w:pPr>
        <w:ind w:left="5760" w:hanging="360"/>
      </w:pPr>
      <w:rPr>
        <w:rFonts w:ascii="Courier New" w:hAnsi="Courier New" w:hint="default"/>
      </w:rPr>
    </w:lvl>
    <w:lvl w:ilvl="8" w:tplc="DE260CA2">
      <w:start w:val="1"/>
      <w:numFmt w:val="bullet"/>
      <w:lvlText w:val=""/>
      <w:lvlJc w:val="left"/>
      <w:pPr>
        <w:ind w:left="6480" w:hanging="360"/>
      </w:pPr>
      <w:rPr>
        <w:rFonts w:ascii="Wingdings" w:hAnsi="Wingdings" w:hint="default"/>
      </w:rPr>
    </w:lvl>
  </w:abstractNum>
  <w:abstractNum w:abstractNumId="7" w15:restartNumberingAfterBreak="0">
    <w:nsid w:val="2A8C4D02"/>
    <w:multiLevelType w:val="hybridMultilevel"/>
    <w:tmpl w:val="D884EA8C"/>
    <w:lvl w:ilvl="0" w:tplc="8586F70A">
      <w:start w:val="1"/>
      <w:numFmt w:val="bullet"/>
      <w:lvlText w:val=""/>
      <w:lvlJc w:val="left"/>
      <w:pPr>
        <w:ind w:left="720" w:hanging="360"/>
      </w:pPr>
      <w:rPr>
        <w:rFonts w:ascii="Symbol" w:hAnsi="Symbol" w:hint="default"/>
      </w:rPr>
    </w:lvl>
    <w:lvl w:ilvl="1" w:tplc="E32A66A0">
      <w:start w:val="1"/>
      <w:numFmt w:val="bullet"/>
      <w:lvlText w:val="o"/>
      <w:lvlJc w:val="left"/>
      <w:pPr>
        <w:ind w:left="1440" w:hanging="360"/>
      </w:pPr>
      <w:rPr>
        <w:rFonts w:ascii="Courier New" w:hAnsi="Courier New" w:hint="default"/>
      </w:rPr>
    </w:lvl>
    <w:lvl w:ilvl="2" w:tplc="7FBCCDA0">
      <w:start w:val="1"/>
      <w:numFmt w:val="bullet"/>
      <w:lvlText w:val=""/>
      <w:lvlJc w:val="left"/>
      <w:pPr>
        <w:ind w:left="2160" w:hanging="360"/>
      </w:pPr>
      <w:rPr>
        <w:rFonts w:ascii="Wingdings" w:hAnsi="Wingdings" w:hint="default"/>
      </w:rPr>
    </w:lvl>
    <w:lvl w:ilvl="3" w:tplc="1DA0F608">
      <w:start w:val="1"/>
      <w:numFmt w:val="bullet"/>
      <w:lvlText w:val=""/>
      <w:lvlJc w:val="left"/>
      <w:pPr>
        <w:ind w:left="2880" w:hanging="360"/>
      </w:pPr>
      <w:rPr>
        <w:rFonts w:ascii="Symbol" w:hAnsi="Symbol" w:hint="default"/>
      </w:rPr>
    </w:lvl>
    <w:lvl w:ilvl="4" w:tplc="31B2093C">
      <w:start w:val="1"/>
      <w:numFmt w:val="bullet"/>
      <w:lvlText w:val="o"/>
      <w:lvlJc w:val="left"/>
      <w:pPr>
        <w:ind w:left="3600" w:hanging="360"/>
      </w:pPr>
      <w:rPr>
        <w:rFonts w:ascii="Courier New" w:hAnsi="Courier New" w:hint="default"/>
      </w:rPr>
    </w:lvl>
    <w:lvl w:ilvl="5" w:tplc="BE96FF38">
      <w:start w:val="1"/>
      <w:numFmt w:val="bullet"/>
      <w:lvlText w:val=""/>
      <w:lvlJc w:val="left"/>
      <w:pPr>
        <w:ind w:left="4320" w:hanging="360"/>
      </w:pPr>
      <w:rPr>
        <w:rFonts w:ascii="Wingdings" w:hAnsi="Wingdings" w:hint="default"/>
      </w:rPr>
    </w:lvl>
    <w:lvl w:ilvl="6" w:tplc="C1D6DA60">
      <w:start w:val="1"/>
      <w:numFmt w:val="bullet"/>
      <w:lvlText w:val=""/>
      <w:lvlJc w:val="left"/>
      <w:pPr>
        <w:ind w:left="5040" w:hanging="360"/>
      </w:pPr>
      <w:rPr>
        <w:rFonts w:ascii="Symbol" w:hAnsi="Symbol" w:hint="default"/>
      </w:rPr>
    </w:lvl>
    <w:lvl w:ilvl="7" w:tplc="47D04DBC">
      <w:start w:val="1"/>
      <w:numFmt w:val="bullet"/>
      <w:lvlText w:val="o"/>
      <w:lvlJc w:val="left"/>
      <w:pPr>
        <w:ind w:left="5760" w:hanging="360"/>
      </w:pPr>
      <w:rPr>
        <w:rFonts w:ascii="Courier New" w:hAnsi="Courier New" w:hint="default"/>
      </w:rPr>
    </w:lvl>
    <w:lvl w:ilvl="8" w:tplc="7396BEFA">
      <w:start w:val="1"/>
      <w:numFmt w:val="bullet"/>
      <w:lvlText w:val=""/>
      <w:lvlJc w:val="left"/>
      <w:pPr>
        <w:ind w:left="6480" w:hanging="360"/>
      </w:pPr>
      <w:rPr>
        <w:rFonts w:ascii="Wingdings" w:hAnsi="Wingdings" w:hint="default"/>
      </w:rPr>
    </w:lvl>
  </w:abstractNum>
  <w:abstractNum w:abstractNumId="8" w15:restartNumberingAfterBreak="0">
    <w:nsid w:val="2DAA5B45"/>
    <w:multiLevelType w:val="hybridMultilevel"/>
    <w:tmpl w:val="3EEA0C0A"/>
    <w:lvl w:ilvl="0" w:tplc="3EFA68D6">
      <w:start w:val="1"/>
      <w:numFmt w:val="bullet"/>
      <w:lvlText w:val=""/>
      <w:lvlJc w:val="left"/>
      <w:pPr>
        <w:ind w:left="720" w:hanging="360"/>
      </w:pPr>
      <w:rPr>
        <w:rFonts w:ascii="Symbol" w:hAnsi="Symbol" w:hint="default"/>
      </w:rPr>
    </w:lvl>
    <w:lvl w:ilvl="1" w:tplc="4C26C9E8">
      <w:start w:val="1"/>
      <w:numFmt w:val="bullet"/>
      <w:lvlText w:val="o"/>
      <w:lvlJc w:val="left"/>
      <w:pPr>
        <w:ind w:left="1440" w:hanging="360"/>
      </w:pPr>
      <w:rPr>
        <w:rFonts w:ascii="Courier New" w:hAnsi="Courier New" w:hint="default"/>
      </w:rPr>
    </w:lvl>
    <w:lvl w:ilvl="2" w:tplc="6F06A3B4">
      <w:start w:val="1"/>
      <w:numFmt w:val="bullet"/>
      <w:lvlText w:val=""/>
      <w:lvlJc w:val="left"/>
      <w:pPr>
        <w:ind w:left="2160" w:hanging="360"/>
      </w:pPr>
      <w:rPr>
        <w:rFonts w:ascii="Wingdings" w:hAnsi="Wingdings" w:hint="default"/>
      </w:rPr>
    </w:lvl>
    <w:lvl w:ilvl="3" w:tplc="B9C2F556">
      <w:start w:val="1"/>
      <w:numFmt w:val="bullet"/>
      <w:lvlText w:val=""/>
      <w:lvlJc w:val="left"/>
      <w:pPr>
        <w:ind w:left="2880" w:hanging="360"/>
      </w:pPr>
      <w:rPr>
        <w:rFonts w:ascii="Symbol" w:hAnsi="Symbol" w:hint="default"/>
      </w:rPr>
    </w:lvl>
    <w:lvl w:ilvl="4" w:tplc="7178817C">
      <w:start w:val="1"/>
      <w:numFmt w:val="bullet"/>
      <w:lvlText w:val="o"/>
      <w:lvlJc w:val="left"/>
      <w:pPr>
        <w:ind w:left="3600" w:hanging="360"/>
      </w:pPr>
      <w:rPr>
        <w:rFonts w:ascii="Courier New" w:hAnsi="Courier New" w:hint="default"/>
      </w:rPr>
    </w:lvl>
    <w:lvl w:ilvl="5" w:tplc="1654D250">
      <w:start w:val="1"/>
      <w:numFmt w:val="bullet"/>
      <w:lvlText w:val=""/>
      <w:lvlJc w:val="left"/>
      <w:pPr>
        <w:ind w:left="4320" w:hanging="360"/>
      </w:pPr>
      <w:rPr>
        <w:rFonts w:ascii="Wingdings" w:hAnsi="Wingdings" w:hint="default"/>
      </w:rPr>
    </w:lvl>
    <w:lvl w:ilvl="6" w:tplc="BE94CC82">
      <w:start w:val="1"/>
      <w:numFmt w:val="bullet"/>
      <w:lvlText w:val=""/>
      <w:lvlJc w:val="left"/>
      <w:pPr>
        <w:ind w:left="5040" w:hanging="360"/>
      </w:pPr>
      <w:rPr>
        <w:rFonts w:ascii="Symbol" w:hAnsi="Symbol" w:hint="default"/>
      </w:rPr>
    </w:lvl>
    <w:lvl w:ilvl="7" w:tplc="412C9858">
      <w:start w:val="1"/>
      <w:numFmt w:val="bullet"/>
      <w:lvlText w:val="o"/>
      <w:lvlJc w:val="left"/>
      <w:pPr>
        <w:ind w:left="5760" w:hanging="360"/>
      </w:pPr>
      <w:rPr>
        <w:rFonts w:ascii="Courier New" w:hAnsi="Courier New" w:hint="default"/>
      </w:rPr>
    </w:lvl>
    <w:lvl w:ilvl="8" w:tplc="F724D628">
      <w:start w:val="1"/>
      <w:numFmt w:val="bullet"/>
      <w:lvlText w:val=""/>
      <w:lvlJc w:val="left"/>
      <w:pPr>
        <w:ind w:left="6480" w:hanging="360"/>
      </w:pPr>
      <w:rPr>
        <w:rFonts w:ascii="Wingdings" w:hAnsi="Wingdings" w:hint="default"/>
      </w:rPr>
    </w:lvl>
  </w:abstractNum>
  <w:abstractNum w:abstractNumId="9" w15:restartNumberingAfterBreak="0">
    <w:nsid w:val="4391DEE5"/>
    <w:multiLevelType w:val="hybridMultilevel"/>
    <w:tmpl w:val="54E8A8E4"/>
    <w:lvl w:ilvl="0" w:tplc="D78CAA9E">
      <w:start w:val="1"/>
      <w:numFmt w:val="bullet"/>
      <w:lvlText w:val=""/>
      <w:lvlJc w:val="left"/>
      <w:pPr>
        <w:ind w:left="720" w:hanging="360"/>
      </w:pPr>
      <w:rPr>
        <w:rFonts w:ascii="Symbol" w:hAnsi="Symbol" w:hint="default"/>
      </w:rPr>
    </w:lvl>
    <w:lvl w:ilvl="1" w:tplc="F1807768">
      <w:start w:val="1"/>
      <w:numFmt w:val="bullet"/>
      <w:lvlText w:val="o"/>
      <w:lvlJc w:val="left"/>
      <w:pPr>
        <w:ind w:left="1440" w:hanging="360"/>
      </w:pPr>
      <w:rPr>
        <w:rFonts w:ascii="Courier New" w:hAnsi="Courier New" w:hint="default"/>
      </w:rPr>
    </w:lvl>
    <w:lvl w:ilvl="2" w:tplc="367A464E">
      <w:start w:val="1"/>
      <w:numFmt w:val="bullet"/>
      <w:lvlText w:val=""/>
      <w:lvlJc w:val="left"/>
      <w:pPr>
        <w:ind w:left="2160" w:hanging="360"/>
      </w:pPr>
      <w:rPr>
        <w:rFonts w:ascii="Wingdings" w:hAnsi="Wingdings" w:hint="default"/>
      </w:rPr>
    </w:lvl>
    <w:lvl w:ilvl="3" w:tplc="9A0889E8">
      <w:start w:val="1"/>
      <w:numFmt w:val="bullet"/>
      <w:lvlText w:val=""/>
      <w:lvlJc w:val="left"/>
      <w:pPr>
        <w:ind w:left="2880" w:hanging="360"/>
      </w:pPr>
      <w:rPr>
        <w:rFonts w:ascii="Symbol" w:hAnsi="Symbol" w:hint="default"/>
      </w:rPr>
    </w:lvl>
    <w:lvl w:ilvl="4" w:tplc="16F40754">
      <w:start w:val="1"/>
      <w:numFmt w:val="bullet"/>
      <w:lvlText w:val="o"/>
      <w:lvlJc w:val="left"/>
      <w:pPr>
        <w:ind w:left="3600" w:hanging="360"/>
      </w:pPr>
      <w:rPr>
        <w:rFonts w:ascii="Courier New" w:hAnsi="Courier New" w:hint="default"/>
      </w:rPr>
    </w:lvl>
    <w:lvl w:ilvl="5" w:tplc="9F38CE22">
      <w:start w:val="1"/>
      <w:numFmt w:val="bullet"/>
      <w:lvlText w:val=""/>
      <w:lvlJc w:val="left"/>
      <w:pPr>
        <w:ind w:left="4320" w:hanging="360"/>
      </w:pPr>
      <w:rPr>
        <w:rFonts w:ascii="Wingdings" w:hAnsi="Wingdings" w:hint="default"/>
      </w:rPr>
    </w:lvl>
    <w:lvl w:ilvl="6" w:tplc="9DB81EEC">
      <w:start w:val="1"/>
      <w:numFmt w:val="bullet"/>
      <w:lvlText w:val=""/>
      <w:lvlJc w:val="left"/>
      <w:pPr>
        <w:ind w:left="5040" w:hanging="360"/>
      </w:pPr>
      <w:rPr>
        <w:rFonts w:ascii="Symbol" w:hAnsi="Symbol" w:hint="default"/>
      </w:rPr>
    </w:lvl>
    <w:lvl w:ilvl="7" w:tplc="C5282A40">
      <w:start w:val="1"/>
      <w:numFmt w:val="bullet"/>
      <w:lvlText w:val="o"/>
      <w:lvlJc w:val="left"/>
      <w:pPr>
        <w:ind w:left="5760" w:hanging="360"/>
      </w:pPr>
      <w:rPr>
        <w:rFonts w:ascii="Courier New" w:hAnsi="Courier New" w:hint="default"/>
      </w:rPr>
    </w:lvl>
    <w:lvl w:ilvl="8" w:tplc="4B149E9A">
      <w:start w:val="1"/>
      <w:numFmt w:val="bullet"/>
      <w:lvlText w:val=""/>
      <w:lvlJc w:val="left"/>
      <w:pPr>
        <w:ind w:left="6480" w:hanging="360"/>
      </w:pPr>
      <w:rPr>
        <w:rFonts w:ascii="Wingdings" w:hAnsi="Wingdings" w:hint="default"/>
      </w:rPr>
    </w:lvl>
  </w:abstractNum>
  <w:abstractNum w:abstractNumId="10" w15:restartNumberingAfterBreak="0">
    <w:nsid w:val="456E0691"/>
    <w:multiLevelType w:val="hybridMultilevel"/>
    <w:tmpl w:val="9B42D9A0"/>
    <w:lvl w:ilvl="0" w:tplc="810C36D4">
      <w:start w:val="1"/>
      <w:numFmt w:val="bullet"/>
      <w:lvlText w:val=""/>
      <w:lvlJc w:val="left"/>
      <w:pPr>
        <w:ind w:left="720" w:hanging="360"/>
      </w:pPr>
      <w:rPr>
        <w:rFonts w:ascii="Symbol" w:hAnsi="Symbol" w:hint="default"/>
      </w:rPr>
    </w:lvl>
    <w:lvl w:ilvl="1" w:tplc="E3C6D5E6">
      <w:start w:val="1"/>
      <w:numFmt w:val="bullet"/>
      <w:lvlText w:val="o"/>
      <w:lvlJc w:val="left"/>
      <w:pPr>
        <w:ind w:left="1440" w:hanging="360"/>
      </w:pPr>
      <w:rPr>
        <w:rFonts w:ascii="Courier New" w:hAnsi="Courier New" w:hint="default"/>
      </w:rPr>
    </w:lvl>
    <w:lvl w:ilvl="2" w:tplc="73BC7696">
      <w:start w:val="1"/>
      <w:numFmt w:val="bullet"/>
      <w:lvlText w:val=""/>
      <w:lvlJc w:val="left"/>
      <w:pPr>
        <w:ind w:left="2160" w:hanging="360"/>
      </w:pPr>
      <w:rPr>
        <w:rFonts w:ascii="Wingdings" w:hAnsi="Wingdings" w:hint="default"/>
      </w:rPr>
    </w:lvl>
    <w:lvl w:ilvl="3" w:tplc="C43EF3B2">
      <w:start w:val="1"/>
      <w:numFmt w:val="bullet"/>
      <w:lvlText w:val=""/>
      <w:lvlJc w:val="left"/>
      <w:pPr>
        <w:ind w:left="2880" w:hanging="360"/>
      </w:pPr>
      <w:rPr>
        <w:rFonts w:ascii="Symbol" w:hAnsi="Symbol" w:hint="default"/>
      </w:rPr>
    </w:lvl>
    <w:lvl w:ilvl="4" w:tplc="A90CA404">
      <w:start w:val="1"/>
      <w:numFmt w:val="bullet"/>
      <w:lvlText w:val="o"/>
      <w:lvlJc w:val="left"/>
      <w:pPr>
        <w:ind w:left="3600" w:hanging="360"/>
      </w:pPr>
      <w:rPr>
        <w:rFonts w:ascii="Courier New" w:hAnsi="Courier New" w:hint="default"/>
      </w:rPr>
    </w:lvl>
    <w:lvl w:ilvl="5" w:tplc="AD3C6DFE">
      <w:start w:val="1"/>
      <w:numFmt w:val="bullet"/>
      <w:lvlText w:val=""/>
      <w:lvlJc w:val="left"/>
      <w:pPr>
        <w:ind w:left="4320" w:hanging="360"/>
      </w:pPr>
      <w:rPr>
        <w:rFonts w:ascii="Wingdings" w:hAnsi="Wingdings" w:hint="default"/>
      </w:rPr>
    </w:lvl>
    <w:lvl w:ilvl="6" w:tplc="1472DC2A">
      <w:start w:val="1"/>
      <w:numFmt w:val="bullet"/>
      <w:lvlText w:val=""/>
      <w:lvlJc w:val="left"/>
      <w:pPr>
        <w:ind w:left="5040" w:hanging="360"/>
      </w:pPr>
      <w:rPr>
        <w:rFonts w:ascii="Symbol" w:hAnsi="Symbol" w:hint="default"/>
      </w:rPr>
    </w:lvl>
    <w:lvl w:ilvl="7" w:tplc="C0029094">
      <w:start w:val="1"/>
      <w:numFmt w:val="bullet"/>
      <w:lvlText w:val="o"/>
      <w:lvlJc w:val="left"/>
      <w:pPr>
        <w:ind w:left="5760" w:hanging="360"/>
      </w:pPr>
      <w:rPr>
        <w:rFonts w:ascii="Courier New" w:hAnsi="Courier New" w:hint="default"/>
      </w:rPr>
    </w:lvl>
    <w:lvl w:ilvl="8" w:tplc="0EC4F526">
      <w:start w:val="1"/>
      <w:numFmt w:val="bullet"/>
      <w:lvlText w:val=""/>
      <w:lvlJc w:val="left"/>
      <w:pPr>
        <w:ind w:left="6480" w:hanging="360"/>
      </w:pPr>
      <w:rPr>
        <w:rFonts w:ascii="Wingdings" w:hAnsi="Wingdings" w:hint="default"/>
      </w:rPr>
    </w:lvl>
  </w:abstractNum>
  <w:abstractNum w:abstractNumId="11" w15:restartNumberingAfterBreak="0">
    <w:nsid w:val="49494D50"/>
    <w:multiLevelType w:val="hybridMultilevel"/>
    <w:tmpl w:val="B6DA6700"/>
    <w:lvl w:ilvl="0" w:tplc="EC0C102A">
      <w:start w:val="1"/>
      <w:numFmt w:val="bullet"/>
      <w:lvlText w:val=""/>
      <w:lvlJc w:val="left"/>
      <w:pPr>
        <w:ind w:left="720" w:hanging="360"/>
      </w:pPr>
      <w:rPr>
        <w:rFonts w:ascii="Symbol" w:hAnsi="Symbol" w:hint="default"/>
      </w:rPr>
    </w:lvl>
    <w:lvl w:ilvl="1" w:tplc="98743456">
      <w:start w:val="1"/>
      <w:numFmt w:val="bullet"/>
      <w:lvlText w:val="o"/>
      <w:lvlJc w:val="left"/>
      <w:pPr>
        <w:ind w:left="1440" w:hanging="360"/>
      </w:pPr>
      <w:rPr>
        <w:rFonts w:ascii="Courier New" w:hAnsi="Courier New" w:hint="default"/>
      </w:rPr>
    </w:lvl>
    <w:lvl w:ilvl="2" w:tplc="4E2ECE32">
      <w:start w:val="1"/>
      <w:numFmt w:val="bullet"/>
      <w:lvlText w:val=""/>
      <w:lvlJc w:val="left"/>
      <w:pPr>
        <w:ind w:left="2160" w:hanging="360"/>
      </w:pPr>
      <w:rPr>
        <w:rFonts w:ascii="Wingdings" w:hAnsi="Wingdings" w:hint="default"/>
      </w:rPr>
    </w:lvl>
    <w:lvl w:ilvl="3" w:tplc="07F8184E">
      <w:start w:val="1"/>
      <w:numFmt w:val="bullet"/>
      <w:lvlText w:val=""/>
      <w:lvlJc w:val="left"/>
      <w:pPr>
        <w:ind w:left="2880" w:hanging="360"/>
      </w:pPr>
      <w:rPr>
        <w:rFonts w:ascii="Symbol" w:hAnsi="Symbol" w:hint="default"/>
      </w:rPr>
    </w:lvl>
    <w:lvl w:ilvl="4" w:tplc="F18C1BA6">
      <w:start w:val="1"/>
      <w:numFmt w:val="bullet"/>
      <w:lvlText w:val="o"/>
      <w:lvlJc w:val="left"/>
      <w:pPr>
        <w:ind w:left="3600" w:hanging="360"/>
      </w:pPr>
      <w:rPr>
        <w:rFonts w:ascii="Courier New" w:hAnsi="Courier New" w:hint="default"/>
      </w:rPr>
    </w:lvl>
    <w:lvl w:ilvl="5" w:tplc="27EC13B4">
      <w:start w:val="1"/>
      <w:numFmt w:val="bullet"/>
      <w:lvlText w:val=""/>
      <w:lvlJc w:val="left"/>
      <w:pPr>
        <w:ind w:left="4320" w:hanging="360"/>
      </w:pPr>
      <w:rPr>
        <w:rFonts w:ascii="Wingdings" w:hAnsi="Wingdings" w:hint="default"/>
      </w:rPr>
    </w:lvl>
    <w:lvl w:ilvl="6" w:tplc="42F4FA50">
      <w:start w:val="1"/>
      <w:numFmt w:val="bullet"/>
      <w:lvlText w:val=""/>
      <w:lvlJc w:val="left"/>
      <w:pPr>
        <w:ind w:left="5040" w:hanging="360"/>
      </w:pPr>
      <w:rPr>
        <w:rFonts w:ascii="Symbol" w:hAnsi="Symbol" w:hint="default"/>
      </w:rPr>
    </w:lvl>
    <w:lvl w:ilvl="7" w:tplc="72BE4C02">
      <w:start w:val="1"/>
      <w:numFmt w:val="bullet"/>
      <w:lvlText w:val="o"/>
      <w:lvlJc w:val="left"/>
      <w:pPr>
        <w:ind w:left="5760" w:hanging="360"/>
      </w:pPr>
      <w:rPr>
        <w:rFonts w:ascii="Courier New" w:hAnsi="Courier New" w:hint="default"/>
      </w:rPr>
    </w:lvl>
    <w:lvl w:ilvl="8" w:tplc="77AC9428">
      <w:start w:val="1"/>
      <w:numFmt w:val="bullet"/>
      <w:lvlText w:val=""/>
      <w:lvlJc w:val="left"/>
      <w:pPr>
        <w:ind w:left="6480" w:hanging="360"/>
      </w:pPr>
      <w:rPr>
        <w:rFonts w:ascii="Wingdings" w:hAnsi="Wingdings" w:hint="default"/>
      </w:rPr>
    </w:lvl>
  </w:abstractNum>
  <w:abstractNum w:abstractNumId="12" w15:restartNumberingAfterBreak="0">
    <w:nsid w:val="51752918"/>
    <w:multiLevelType w:val="hybridMultilevel"/>
    <w:tmpl w:val="4FD40130"/>
    <w:lvl w:ilvl="0" w:tplc="DA6E3962">
      <w:start w:val="1"/>
      <w:numFmt w:val="bullet"/>
      <w:lvlText w:val=""/>
      <w:lvlJc w:val="left"/>
      <w:pPr>
        <w:ind w:left="720" w:hanging="360"/>
      </w:pPr>
      <w:rPr>
        <w:rFonts w:ascii="Symbol" w:hAnsi="Symbol" w:hint="default"/>
      </w:rPr>
    </w:lvl>
    <w:lvl w:ilvl="1" w:tplc="C72A311A">
      <w:start w:val="1"/>
      <w:numFmt w:val="bullet"/>
      <w:lvlText w:val="o"/>
      <w:lvlJc w:val="left"/>
      <w:pPr>
        <w:ind w:left="1440" w:hanging="360"/>
      </w:pPr>
      <w:rPr>
        <w:rFonts w:ascii="Courier New" w:hAnsi="Courier New" w:hint="default"/>
      </w:rPr>
    </w:lvl>
    <w:lvl w:ilvl="2" w:tplc="F87096F4">
      <w:start w:val="1"/>
      <w:numFmt w:val="bullet"/>
      <w:lvlText w:val=""/>
      <w:lvlJc w:val="left"/>
      <w:pPr>
        <w:ind w:left="2160" w:hanging="360"/>
      </w:pPr>
      <w:rPr>
        <w:rFonts w:ascii="Wingdings" w:hAnsi="Wingdings" w:hint="default"/>
      </w:rPr>
    </w:lvl>
    <w:lvl w:ilvl="3" w:tplc="A8DEE51E">
      <w:start w:val="1"/>
      <w:numFmt w:val="bullet"/>
      <w:lvlText w:val=""/>
      <w:lvlJc w:val="left"/>
      <w:pPr>
        <w:ind w:left="2880" w:hanging="360"/>
      </w:pPr>
      <w:rPr>
        <w:rFonts w:ascii="Symbol" w:hAnsi="Symbol" w:hint="default"/>
      </w:rPr>
    </w:lvl>
    <w:lvl w:ilvl="4" w:tplc="36188DBC">
      <w:start w:val="1"/>
      <w:numFmt w:val="bullet"/>
      <w:lvlText w:val="o"/>
      <w:lvlJc w:val="left"/>
      <w:pPr>
        <w:ind w:left="3600" w:hanging="360"/>
      </w:pPr>
      <w:rPr>
        <w:rFonts w:ascii="Courier New" w:hAnsi="Courier New" w:hint="default"/>
      </w:rPr>
    </w:lvl>
    <w:lvl w:ilvl="5" w:tplc="D2882E8E">
      <w:start w:val="1"/>
      <w:numFmt w:val="bullet"/>
      <w:lvlText w:val=""/>
      <w:lvlJc w:val="left"/>
      <w:pPr>
        <w:ind w:left="4320" w:hanging="360"/>
      </w:pPr>
      <w:rPr>
        <w:rFonts w:ascii="Wingdings" w:hAnsi="Wingdings" w:hint="default"/>
      </w:rPr>
    </w:lvl>
    <w:lvl w:ilvl="6" w:tplc="52CE36EE">
      <w:start w:val="1"/>
      <w:numFmt w:val="bullet"/>
      <w:lvlText w:val=""/>
      <w:lvlJc w:val="left"/>
      <w:pPr>
        <w:ind w:left="5040" w:hanging="360"/>
      </w:pPr>
      <w:rPr>
        <w:rFonts w:ascii="Symbol" w:hAnsi="Symbol" w:hint="default"/>
      </w:rPr>
    </w:lvl>
    <w:lvl w:ilvl="7" w:tplc="AE0CA494">
      <w:start w:val="1"/>
      <w:numFmt w:val="bullet"/>
      <w:lvlText w:val="o"/>
      <w:lvlJc w:val="left"/>
      <w:pPr>
        <w:ind w:left="5760" w:hanging="360"/>
      </w:pPr>
      <w:rPr>
        <w:rFonts w:ascii="Courier New" w:hAnsi="Courier New" w:hint="default"/>
      </w:rPr>
    </w:lvl>
    <w:lvl w:ilvl="8" w:tplc="4138572C">
      <w:start w:val="1"/>
      <w:numFmt w:val="bullet"/>
      <w:lvlText w:val=""/>
      <w:lvlJc w:val="left"/>
      <w:pPr>
        <w:ind w:left="6480" w:hanging="360"/>
      </w:pPr>
      <w:rPr>
        <w:rFonts w:ascii="Wingdings" w:hAnsi="Wingdings" w:hint="default"/>
      </w:rPr>
    </w:lvl>
  </w:abstractNum>
  <w:abstractNum w:abstractNumId="13" w15:restartNumberingAfterBreak="0">
    <w:nsid w:val="52E7772F"/>
    <w:multiLevelType w:val="hybridMultilevel"/>
    <w:tmpl w:val="E60CE2D6"/>
    <w:lvl w:ilvl="0" w:tplc="ADE850A2">
      <w:start w:val="1"/>
      <w:numFmt w:val="bullet"/>
      <w:lvlText w:val=""/>
      <w:lvlJc w:val="left"/>
      <w:pPr>
        <w:ind w:left="720" w:hanging="360"/>
      </w:pPr>
      <w:rPr>
        <w:rFonts w:ascii="Symbol" w:hAnsi="Symbol" w:hint="default"/>
      </w:rPr>
    </w:lvl>
    <w:lvl w:ilvl="1" w:tplc="DA0E0540">
      <w:start w:val="1"/>
      <w:numFmt w:val="bullet"/>
      <w:lvlText w:val="o"/>
      <w:lvlJc w:val="left"/>
      <w:pPr>
        <w:ind w:left="1440" w:hanging="360"/>
      </w:pPr>
      <w:rPr>
        <w:rFonts w:ascii="Courier New" w:hAnsi="Courier New" w:hint="default"/>
      </w:rPr>
    </w:lvl>
    <w:lvl w:ilvl="2" w:tplc="BE8223E0">
      <w:start w:val="1"/>
      <w:numFmt w:val="bullet"/>
      <w:lvlText w:val=""/>
      <w:lvlJc w:val="left"/>
      <w:pPr>
        <w:ind w:left="2160" w:hanging="360"/>
      </w:pPr>
      <w:rPr>
        <w:rFonts w:ascii="Wingdings" w:hAnsi="Wingdings" w:hint="default"/>
      </w:rPr>
    </w:lvl>
    <w:lvl w:ilvl="3" w:tplc="8FAE9944">
      <w:start w:val="1"/>
      <w:numFmt w:val="bullet"/>
      <w:lvlText w:val=""/>
      <w:lvlJc w:val="left"/>
      <w:pPr>
        <w:ind w:left="2880" w:hanging="360"/>
      </w:pPr>
      <w:rPr>
        <w:rFonts w:ascii="Symbol" w:hAnsi="Symbol" w:hint="default"/>
      </w:rPr>
    </w:lvl>
    <w:lvl w:ilvl="4" w:tplc="6F44FCCA">
      <w:start w:val="1"/>
      <w:numFmt w:val="bullet"/>
      <w:lvlText w:val="o"/>
      <w:lvlJc w:val="left"/>
      <w:pPr>
        <w:ind w:left="3600" w:hanging="360"/>
      </w:pPr>
      <w:rPr>
        <w:rFonts w:ascii="Courier New" w:hAnsi="Courier New" w:hint="default"/>
      </w:rPr>
    </w:lvl>
    <w:lvl w:ilvl="5" w:tplc="53E857D6">
      <w:start w:val="1"/>
      <w:numFmt w:val="bullet"/>
      <w:lvlText w:val=""/>
      <w:lvlJc w:val="left"/>
      <w:pPr>
        <w:ind w:left="4320" w:hanging="360"/>
      </w:pPr>
      <w:rPr>
        <w:rFonts w:ascii="Wingdings" w:hAnsi="Wingdings" w:hint="default"/>
      </w:rPr>
    </w:lvl>
    <w:lvl w:ilvl="6" w:tplc="224E8CFC">
      <w:start w:val="1"/>
      <w:numFmt w:val="bullet"/>
      <w:lvlText w:val=""/>
      <w:lvlJc w:val="left"/>
      <w:pPr>
        <w:ind w:left="5040" w:hanging="360"/>
      </w:pPr>
      <w:rPr>
        <w:rFonts w:ascii="Symbol" w:hAnsi="Symbol" w:hint="default"/>
      </w:rPr>
    </w:lvl>
    <w:lvl w:ilvl="7" w:tplc="35FECBE8">
      <w:start w:val="1"/>
      <w:numFmt w:val="bullet"/>
      <w:lvlText w:val="o"/>
      <w:lvlJc w:val="left"/>
      <w:pPr>
        <w:ind w:left="5760" w:hanging="360"/>
      </w:pPr>
      <w:rPr>
        <w:rFonts w:ascii="Courier New" w:hAnsi="Courier New" w:hint="default"/>
      </w:rPr>
    </w:lvl>
    <w:lvl w:ilvl="8" w:tplc="2A4C334E">
      <w:start w:val="1"/>
      <w:numFmt w:val="bullet"/>
      <w:lvlText w:val=""/>
      <w:lvlJc w:val="left"/>
      <w:pPr>
        <w:ind w:left="6480" w:hanging="360"/>
      </w:pPr>
      <w:rPr>
        <w:rFonts w:ascii="Wingdings" w:hAnsi="Wingdings" w:hint="default"/>
      </w:rPr>
    </w:lvl>
  </w:abstractNum>
  <w:abstractNum w:abstractNumId="14" w15:restartNumberingAfterBreak="0">
    <w:nsid w:val="53CB9C3E"/>
    <w:multiLevelType w:val="hybridMultilevel"/>
    <w:tmpl w:val="AFE8FEDE"/>
    <w:lvl w:ilvl="0" w:tplc="577A4C60">
      <w:start w:val="1"/>
      <w:numFmt w:val="bullet"/>
      <w:lvlText w:val=""/>
      <w:lvlJc w:val="left"/>
      <w:pPr>
        <w:ind w:left="720" w:hanging="360"/>
      </w:pPr>
      <w:rPr>
        <w:rFonts w:ascii="Symbol" w:hAnsi="Symbol" w:hint="default"/>
      </w:rPr>
    </w:lvl>
    <w:lvl w:ilvl="1" w:tplc="6BC0FC8A">
      <w:start w:val="1"/>
      <w:numFmt w:val="bullet"/>
      <w:lvlText w:val="o"/>
      <w:lvlJc w:val="left"/>
      <w:pPr>
        <w:ind w:left="1440" w:hanging="360"/>
      </w:pPr>
      <w:rPr>
        <w:rFonts w:ascii="Courier New" w:hAnsi="Courier New" w:hint="default"/>
      </w:rPr>
    </w:lvl>
    <w:lvl w:ilvl="2" w:tplc="E55C8F5C">
      <w:start w:val="1"/>
      <w:numFmt w:val="bullet"/>
      <w:lvlText w:val=""/>
      <w:lvlJc w:val="left"/>
      <w:pPr>
        <w:ind w:left="2160" w:hanging="360"/>
      </w:pPr>
      <w:rPr>
        <w:rFonts w:ascii="Wingdings" w:hAnsi="Wingdings" w:hint="default"/>
      </w:rPr>
    </w:lvl>
    <w:lvl w:ilvl="3" w:tplc="2ABAA3BE">
      <w:start w:val="1"/>
      <w:numFmt w:val="bullet"/>
      <w:lvlText w:val=""/>
      <w:lvlJc w:val="left"/>
      <w:pPr>
        <w:ind w:left="2880" w:hanging="360"/>
      </w:pPr>
      <w:rPr>
        <w:rFonts w:ascii="Symbol" w:hAnsi="Symbol" w:hint="default"/>
      </w:rPr>
    </w:lvl>
    <w:lvl w:ilvl="4" w:tplc="39D86382">
      <w:start w:val="1"/>
      <w:numFmt w:val="bullet"/>
      <w:lvlText w:val="o"/>
      <w:lvlJc w:val="left"/>
      <w:pPr>
        <w:ind w:left="3600" w:hanging="360"/>
      </w:pPr>
      <w:rPr>
        <w:rFonts w:ascii="Courier New" w:hAnsi="Courier New" w:hint="default"/>
      </w:rPr>
    </w:lvl>
    <w:lvl w:ilvl="5" w:tplc="F612DB0A">
      <w:start w:val="1"/>
      <w:numFmt w:val="bullet"/>
      <w:lvlText w:val=""/>
      <w:lvlJc w:val="left"/>
      <w:pPr>
        <w:ind w:left="4320" w:hanging="360"/>
      </w:pPr>
      <w:rPr>
        <w:rFonts w:ascii="Wingdings" w:hAnsi="Wingdings" w:hint="default"/>
      </w:rPr>
    </w:lvl>
    <w:lvl w:ilvl="6" w:tplc="AFC22C1E">
      <w:start w:val="1"/>
      <w:numFmt w:val="bullet"/>
      <w:lvlText w:val=""/>
      <w:lvlJc w:val="left"/>
      <w:pPr>
        <w:ind w:left="5040" w:hanging="360"/>
      </w:pPr>
      <w:rPr>
        <w:rFonts w:ascii="Symbol" w:hAnsi="Symbol" w:hint="default"/>
      </w:rPr>
    </w:lvl>
    <w:lvl w:ilvl="7" w:tplc="CF08F458">
      <w:start w:val="1"/>
      <w:numFmt w:val="bullet"/>
      <w:lvlText w:val="o"/>
      <w:lvlJc w:val="left"/>
      <w:pPr>
        <w:ind w:left="5760" w:hanging="360"/>
      </w:pPr>
      <w:rPr>
        <w:rFonts w:ascii="Courier New" w:hAnsi="Courier New" w:hint="default"/>
      </w:rPr>
    </w:lvl>
    <w:lvl w:ilvl="8" w:tplc="58AC55AC">
      <w:start w:val="1"/>
      <w:numFmt w:val="bullet"/>
      <w:lvlText w:val=""/>
      <w:lvlJc w:val="left"/>
      <w:pPr>
        <w:ind w:left="6480" w:hanging="360"/>
      </w:pPr>
      <w:rPr>
        <w:rFonts w:ascii="Wingdings" w:hAnsi="Wingdings" w:hint="default"/>
      </w:rPr>
    </w:lvl>
  </w:abstractNum>
  <w:abstractNum w:abstractNumId="15" w15:restartNumberingAfterBreak="0">
    <w:nsid w:val="6E114491"/>
    <w:multiLevelType w:val="hybridMultilevel"/>
    <w:tmpl w:val="FBD6DAD4"/>
    <w:lvl w:ilvl="0" w:tplc="7BB2E2E0">
      <w:start w:val="1"/>
      <w:numFmt w:val="bullet"/>
      <w:lvlText w:val=""/>
      <w:lvlJc w:val="left"/>
      <w:pPr>
        <w:ind w:left="720" w:hanging="360"/>
      </w:pPr>
      <w:rPr>
        <w:rFonts w:ascii="Symbol" w:hAnsi="Symbol" w:hint="default"/>
      </w:rPr>
    </w:lvl>
    <w:lvl w:ilvl="1" w:tplc="6602D1E2">
      <w:start w:val="1"/>
      <w:numFmt w:val="bullet"/>
      <w:lvlText w:val="o"/>
      <w:lvlJc w:val="left"/>
      <w:pPr>
        <w:ind w:left="1440" w:hanging="360"/>
      </w:pPr>
      <w:rPr>
        <w:rFonts w:ascii="Courier New" w:hAnsi="Courier New" w:hint="default"/>
      </w:rPr>
    </w:lvl>
    <w:lvl w:ilvl="2" w:tplc="738ADF3A">
      <w:start w:val="1"/>
      <w:numFmt w:val="bullet"/>
      <w:lvlText w:val=""/>
      <w:lvlJc w:val="left"/>
      <w:pPr>
        <w:ind w:left="2160" w:hanging="360"/>
      </w:pPr>
      <w:rPr>
        <w:rFonts w:ascii="Wingdings" w:hAnsi="Wingdings" w:hint="default"/>
      </w:rPr>
    </w:lvl>
    <w:lvl w:ilvl="3" w:tplc="409C1D50">
      <w:start w:val="1"/>
      <w:numFmt w:val="bullet"/>
      <w:lvlText w:val=""/>
      <w:lvlJc w:val="left"/>
      <w:pPr>
        <w:ind w:left="2880" w:hanging="360"/>
      </w:pPr>
      <w:rPr>
        <w:rFonts w:ascii="Symbol" w:hAnsi="Symbol" w:hint="default"/>
      </w:rPr>
    </w:lvl>
    <w:lvl w:ilvl="4" w:tplc="0806228E">
      <w:start w:val="1"/>
      <w:numFmt w:val="bullet"/>
      <w:lvlText w:val="o"/>
      <w:lvlJc w:val="left"/>
      <w:pPr>
        <w:ind w:left="3600" w:hanging="360"/>
      </w:pPr>
      <w:rPr>
        <w:rFonts w:ascii="Courier New" w:hAnsi="Courier New" w:hint="default"/>
      </w:rPr>
    </w:lvl>
    <w:lvl w:ilvl="5" w:tplc="08F6238E">
      <w:start w:val="1"/>
      <w:numFmt w:val="bullet"/>
      <w:lvlText w:val=""/>
      <w:lvlJc w:val="left"/>
      <w:pPr>
        <w:ind w:left="4320" w:hanging="360"/>
      </w:pPr>
      <w:rPr>
        <w:rFonts w:ascii="Wingdings" w:hAnsi="Wingdings" w:hint="default"/>
      </w:rPr>
    </w:lvl>
    <w:lvl w:ilvl="6" w:tplc="6CF6B082">
      <w:start w:val="1"/>
      <w:numFmt w:val="bullet"/>
      <w:lvlText w:val=""/>
      <w:lvlJc w:val="left"/>
      <w:pPr>
        <w:ind w:left="5040" w:hanging="360"/>
      </w:pPr>
      <w:rPr>
        <w:rFonts w:ascii="Symbol" w:hAnsi="Symbol" w:hint="default"/>
      </w:rPr>
    </w:lvl>
    <w:lvl w:ilvl="7" w:tplc="D7D6D9A8">
      <w:start w:val="1"/>
      <w:numFmt w:val="bullet"/>
      <w:lvlText w:val="o"/>
      <w:lvlJc w:val="left"/>
      <w:pPr>
        <w:ind w:left="5760" w:hanging="360"/>
      </w:pPr>
      <w:rPr>
        <w:rFonts w:ascii="Courier New" w:hAnsi="Courier New" w:hint="default"/>
      </w:rPr>
    </w:lvl>
    <w:lvl w:ilvl="8" w:tplc="885A8408">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5"/>
  </w:num>
  <w:num w:numId="4">
    <w:abstractNumId w:val="4"/>
  </w:num>
  <w:num w:numId="5">
    <w:abstractNumId w:val="2"/>
  </w:num>
  <w:num w:numId="6">
    <w:abstractNumId w:val="3"/>
  </w:num>
  <w:num w:numId="7">
    <w:abstractNumId w:val="9"/>
  </w:num>
  <w:num w:numId="8">
    <w:abstractNumId w:val="6"/>
  </w:num>
  <w:num w:numId="9">
    <w:abstractNumId w:val="13"/>
  </w:num>
  <w:num w:numId="10">
    <w:abstractNumId w:val="11"/>
  </w:num>
  <w:num w:numId="11">
    <w:abstractNumId w:val="12"/>
  </w:num>
  <w:num w:numId="12">
    <w:abstractNumId w:val="10"/>
  </w:num>
  <w:num w:numId="13">
    <w:abstractNumId w:val="8"/>
  </w:num>
  <w:num w:numId="14">
    <w:abstractNumId w:val="5"/>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A53FE2"/>
    <w:rsid w:val="00324068"/>
    <w:rsid w:val="00421353"/>
    <w:rsid w:val="008B4EE6"/>
    <w:rsid w:val="009EDACC"/>
    <w:rsid w:val="00C84C37"/>
    <w:rsid w:val="00D8E1D3"/>
    <w:rsid w:val="00FE1116"/>
    <w:rsid w:val="00FF1D6E"/>
    <w:rsid w:val="016581D3"/>
    <w:rsid w:val="019B31A2"/>
    <w:rsid w:val="0233E7D4"/>
    <w:rsid w:val="023E64B4"/>
    <w:rsid w:val="02854787"/>
    <w:rsid w:val="0444A006"/>
    <w:rsid w:val="0529AF3B"/>
    <w:rsid w:val="05ABB841"/>
    <w:rsid w:val="05B8AFC4"/>
    <w:rsid w:val="061FBD83"/>
    <w:rsid w:val="0667645C"/>
    <w:rsid w:val="06A78246"/>
    <w:rsid w:val="07025E62"/>
    <w:rsid w:val="071F52C5"/>
    <w:rsid w:val="0798D4C3"/>
    <w:rsid w:val="08795DC9"/>
    <w:rsid w:val="08A7B2FE"/>
    <w:rsid w:val="08EBB4C3"/>
    <w:rsid w:val="098901B4"/>
    <w:rsid w:val="09E431E2"/>
    <w:rsid w:val="0A7819D6"/>
    <w:rsid w:val="0A851D04"/>
    <w:rsid w:val="0AACEC3E"/>
    <w:rsid w:val="0AE88767"/>
    <w:rsid w:val="0B0ACA03"/>
    <w:rsid w:val="0B894642"/>
    <w:rsid w:val="0B9E1082"/>
    <w:rsid w:val="0BC1C38E"/>
    <w:rsid w:val="0C743C21"/>
    <w:rsid w:val="0D0BE146"/>
    <w:rsid w:val="0D415F81"/>
    <w:rsid w:val="0D56CEF3"/>
    <w:rsid w:val="0D5BBEDE"/>
    <w:rsid w:val="0DFB44C4"/>
    <w:rsid w:val="0E0019E7"/>
    <w:rsid w:val="0E28B8E4"/>
    <w:rsid w:val="0E40B4C4"/>
    <w:rsid w:val="0E8538EA"/>
    <w:rsid w:val="0E8E1B85"/>
    <w:rsid w:val="0EDBC4E6"/>
    <w:rsid w:val="0EE77756"/>
    <w:rsid w:val="0F35301F"/>
    <w:rsid w:val="0F97FCFE"/>
    <w:rsid w:val="0F99FA52"/>
    <w:rsid w:val="10032E95"/>
    <w:rsid w:val="103FA535"/>
    <w:rsid w:val="10FCC8EC"/>
    <w:rsid w:val="1179F0D0"/>
    <w:rsid w:val="11C40F27"/>
    <w:rsid w:val="11F67DAD"/>
    <w:rsid w:val="122A3CAD"/>
    <w:rsid w:val="128D2A57"/>
    <w:rsid w:val="13B4F7E9"/>
    <w:rsid w:val="1434C5B8"/>
    <w:rsid w:val="1465C1A6"/>
    <w:rsid w:val="146B39D3"/>
    <w:rsid w:val="14CACCEE"/>
    <w:rsid w:val="15034E38"/>
    <w:rsid w:val="15086E6B"/>
    <w:rsid w:val="15197FEA"/>
    <w:rsid w:val="15980ED2"/>
    <w:rsid w:val="159BE1F0"/>
    <w:rsid w:val="163C9C1E"/>
    <w:rsid w:val="165454D3"/>
    <w:rsid w:val="16DAAC33"/>
    <w:rsid w:val="17635902"/>
    <w:rsid w:val="17C685D6"/>
    <w:rsid w:val="17EE059E"/>
    <w:rsid w:val="17FD4831"/>
    <w:rsid w:val="194912CB"/>
    <w:rsid w:val="195272BF"/>
    <w:rsid w:val="19BA3C97"/>
    <w:rsid w:val="19BB413F"/>
    <w:rsid w:val="1A7875E2"/>
    <w:rsid w:val="1AA1240B"/>
    <w:rsid w:val="1AAC547F"/>
    <w:rsid w:val="1BAAC404"/>
    <w:rsid w:val="1C4B71FA"/>
    <w:rsid w:val="1C520653"/>
    <w:rsid w:val="1CB055D4"/>
    <w:rsid w:val="1CD5CF24"/>
    <w:rsid w:val="1CDAA78A"/>
    <w:rsid w:val="1CEAAAE6"/>
    <w:rsid w:val="1CF0845C"/>
    <w:rsid w:val="1D71B2D4"/>
    <w:rsid w:val="1D7CA4A0"/>
    <w:rsid w:val="1E7AE8BF"/>
    <w:rsid w:val="1F10FB3F"/>
    <w:rsid w:val="1F1D6397"/>
    <w:rsid w:val="1F463B87"/>
    <w:rsid w:val="1F94BB40"/>
    <w:rsid w:val="1FA53C17"/>
    <w:rsid w:val="20372341"/>
    <w:rsid w:val="20572E9B"/>
    <w:rsid w:val="207C7700"/>
    <w:rsid w:val="20842790"/>
    <w:rsid w:val="20EEBE57"/>
    <w:rsid w:val="2110F110"/>
    <w:rsid w:val="21AC5749"/>
    <w:rsid w:val="2201A610"/>
    <w:rsid w:val="220F9113"/>
    <w:rsid w:val="2210A584"/>
    <w:rsid w:val="221B813E"/>
    <w:rsid w:val="223EB858"/>
    <w:rsid w:val="224C91C4"/>
    <w:rsid w:val="2263E6FA"/>
    <w:rsid w:val="22A45D95"/>
    <w:rsid w:val="22C333F5"/>
    <w:rsid w:val="2326E4D7"/>
    <w:rsid w:val="232BA344"/>
    <w:rsid w:val="23431DEB"/>
    <w:rsid w:val="23510D18"/>
    <w:rsid w:val="2365243B"/>
    <w:rsid w:val="2404DE2F"/>
    <w:rsid w:val="245A39F8"/>
    <w:rsid w:val="248D414F"/>
    <w:rsid w:val="24A53FE2"/>
    <w:rsid w:val="25279976"/>
    <w:rsid w:val="25B9B351"/>
    <w:rsid w:val="25C7EB63"/>
    <w:rsid w:val="269D38C3"/>
    <w:rsid w:val="26A417F9"/>
    <w:rsid w:val="271C79BA"/>
    <w:rsid w:val="27A23FDA"/>
    <w:rsid w:val="27A8A0F2"/>
    <w:rsid w:val="28593241"/>
    <w:rsid w:val="28924311"/>
    <w:rsid w:val="28D1DBD8"/>
    <w:rsid w:val="2920B2EC"/>
    <w:rsid w:val="2938CB13"/>
    <w:rsid w:val="2974CB7E"/>
    <w:rsid w:val="2A5E3163"/>
    <w:rsid w:val="2A79DE3A"/>
    <w:rsid w:val="2AABBC78"/>
    <w:rsid w:val="2AD39D42"/>
    <w:rsid w:val="2B16D755"/>
    <w:rsid w:val="2B1B9C43"/>
    <w:rsid w:val="2B659CE8"/>
    <w:rsid w:val="2C8C93E4"/>
    <w:rsid w:val="2CBDF127"/>
    <w:rsid w:val="2CF7ED3E"/>
    <w:rsid w:val="2CFECD5F"/>
    <w:rsid w:val="2D323C3C"/>
    <w:rsid w:val="2E8EBFC9"/>
    <w:rsid w:val="2EC096DE"/>
    <w:rsid w:val="2EE26B59"/>
    <w:rsid w:val="2F70D6A1"/>
    <w:rsid w:val="2F841744"/>
    <w:rsid w:val="2FBD84CA"/>
    <w:rsid w:val="3025427B"/>
    <w:rsid w:val="304C1828"/>
    <w:rsid w:val="30B40C0B"/>
    <w:rsid w:val="30F11465"/>
    <w:rsid w:val="31313B7C"/>
    <w:rsid w:val="3135AD08"/>
    <w:rsid w:val="31EF6DEB"/>
    <w:rsid w:val="3276FD7B"/>
    <w:rsid w:val="3366C22A"/>
    <w:rsid w:val="33AC0ABF"/>
    <w:rsid w:val="34472200"/>
    <w:rsid w:val="359B41BC"/>
    <w:rsid w:val="359C2EE4"/>
    <w:rsid w:val="365A650F"/>
    <w:rsid w:val="376E586D"/>
    <w:rsid w:val="378AA93F"/>
    <w:rsid w:val="379FDAAF"/>
    <w:rsid w:val="38753850"/>
    <w:rsid w:val="38B5CB1E"/>
    <w:rsid w:val="38F065EC"/>
    <w:rsid w:val="391A2040"/>
    <w:rsid w:val="3933C6A1"/>
    <w:rsid w:val="393B6101"/>
    <w:rsid w:val="3A18E365"/>
    <w:rsid w:val="3A68431D"/>
    <w:rsid w:val="3A94108D"/>
    <w:rsid w:val="3AE594F3"/>
    <w:rsid w:val="3BAFD6DF"/>
    <w:rsid w:val="3C0F2D7B"/>
    <w:rsid w:val="3DADB5B2"/>
    <w:rsid w:val="3E170489"/>
    <w:rsid w:val="3E4B9B3F"/>
    <w:rsid w:val="3E5B2FAF"/>
    <w:rsid w:val="3EA6A2B4"/>
    <w:rsid w:val="3F0064CD"/>
    <w:rsid w:val="3F014875"/>
    <w:rsid w:val="3F21D684"/>
    <w:rsid w:val="3F5C79E2"/>
    <w:rsid w:val="3F8FDEA2"/>
    <w:rsid w:val="3F92AC72"/>
    <w:rsid w:val="3FA6B240"/>
    <w:rsid w:val="404E819E"/>
    <w:rsid w:val="40CCEF78"/>
    <w:rsid w:val="411E95ED"/>
    <w:rsid w:val="41267592"/>
    <w:rsid w:val="4130E8A8"/>
    <w:rsid w:val="4185E683"/>
    <w:rsid w:val="41AE4C17"/>
    <w:rsid w:val="41D7536F"/>
    <w:rsid w:val="42908A46"/>
    <w:rsid w:val="429E4E3A"/>
    <w:rsid w:val="42CFBB61"/>
    <w:rsid w:val="435D977E"/>
    <w:rsid w:val="439238BA"/>
    <w:rsid w:val="43B706D8"/>
    <w:rsid w:val="43DEAD0A"/>
    <w:rsid w:val="466D824F"/>
    <w:rsid w:val="467D18D3"/>
    <w:rsid w:val="46CCB0CD"/>
    <w:rsid w:val="47EB426B"/>
    <w:rsid w:val="480A3B86"/>
    <w:rsid w:val="481B0517"/>
    <w:rsid w:val="484E917A"/>
    <w:rsid w:val="487C572F"/>
    <w:rsid w:val="48E24A8C"/>
    <w:rsid w:val="48E84FCF"/>
    <w:rsid w:val="495B09D1"/>
    <w:rsid w:val="49B80F36"/>
    <w:rsid w:val="49D09B21"/>
    <w:rsid w:val="4AB446C7"/>
    <w:rsid w:val="4B87CF35"/>
    <w:rsid w:val="4BE4E1AF"/>
    <w:rsid w:val="4BF406F8"/>
    <w:rsid w:val="4C45C84A"/>
    <w:rsid w:val="4C7B2C9F"/>
    <w:rsid w:val="4C852648"/>
    <w:rsid w:val="4CAF6E98"/>
    <w:rsid w:val="4CD628EC"/>
    <w:rsid w:val="4D147F51"/>
    <w:rsid w:val="4E0F4BE8"/>
    <w:rsid w:val="4EDB7F74"/>
    <w:rsid w:val="4F0E7802"/>
    <w:rsid w:val="4F54D2A7"/>
    <w:rsid w:val="4F6E2D1A"/>
    <w:rsid w:val="4FB38A40"/>
    <w:rsid w:val="5058FB75"/>
    <w:rsid w:val="510AC130"/>
    <w:rsid w:val="510D47CB"/>
    <w:rsid w:val="5149F405"/>
    <w:rsid w:val="51A7F81B"/>
    <w:rsid w:val="522AB978"/>
    <w:rsid w:val="526670D9"/>
    <w:rsid w:val="527F3068"/>
    <w:rsid w:val="5297224E"/>
    <w:rsid w:val="52BE5EC9"/>
    <w:rsid w:val="52EF30B2"/>
    <w:rsid w:val="5414A927"/>
    <w:rsid w:val="5480093F"/>
    <w:rsid w:val="54F10291"/>
    <w:rsid w:val="54FC85AB"/>
    <w:rsid w:val="55871B49"/>
    <w:rsid w:val="561FEA06"/>
    <w:rsid w:val="5634E8F8"/>
    <w:rsid w:val="56A719DD"/>
    <w:rsid w:val="56E3839D"/>
    <w:rsid w:val="57151710"/>
    <w:rsid w:val="571D128A"/>
    <w:rsid w:val="575B4122"/>
    <w:rsid w:val="57CCE60D"/>
    <w:rsid w:val="588A3B42"/>
    <w:rsid w:val="58E14C42"/>
    <w:rsid w:val="5967662B"/>
    <w:rsid w:val="5A005230"/>
    <w:rsid w:val="5A5BB358"/>
    <w:rsid w:val="5AAEAB85"/>
    <w:rsid w:val="5AB042AC"/>
    <w:rsid w:val="5ABB4729"/>
    <w:rsid w:val="5ACAB5A4"/>
    <w:rsid w:val="5B42A887"/>
    <w:rsid w:val="5B4552FE"/>
    <w:rsid w:val="5BC74098"/>
    <w:rsid w:val="5C6A3896"/>
    <w:rsid w:val="5C74F1BB"/>
    <w:rsid w:val="5CF5D125"/>
    <w:rsid w:val="5CFFB270"/>
    <w:rsid w:val="5D088F79"/>
    <w:rsid w:val="5D48EEA4"/>
    <w:rsid w:val="5E0A1FEF"/>
    <w:rsid w:val="5E0FD770"/>
    <w:rsid w:val="5E32753E"/>
    <w:rsid w:val="5EC0C3FF"/>
    <w:rsid w:val="5F0F5613"/>
    <w:rsid w:val="5F4A1E57"/>
    <w:rsid w:val="5F8DE7DA"/>
    <w:rsid w:val="5F8DF55B"/>
    <w:rsid w:val="5FF14570"/>
    <w:rsid w:val="60830BA4"/>
    <w:rsid w:val="60B97836"/>
    <w:rsid w:val="60C3FC3B"/>
    <w:rsid w:val="610DA4BF"/>
    <w:rsid w:val="614A1FA8"/>
    <w:rsid w:val="61F11D7E"/>
    <w:rsid w:val="6238C3E1"/>
    <w:rsid w:val="62668638"/>
    <w:rsid w:val="62D94D53"/>
    <w:rsid w:val="632558D7"/>
    <w:rsid w:val="632BBB92"/>
    <w:rsid w:val="634A3558"/>
    <w:rsid w:val="6354814B"/>
    <w:rsid w:val="6417D219"/>
    <w:rsid w:val="642F42C9"/>
    <w:rsid w:val="64567186"/>
    <w:rsid w:val="64D01E3A"/>
    <w:rsid w:val="64DE71D2"/>
    <w:rsid w:val="64DE78FB"/>
    <w:rsid w:val="64F28451"/>
    <w:rsid w:val="64F5F2FC"/>
    <w:rsid w:val="65301F03"/>
    <w:rsid w:val="654B23D2"/>
    <w:rsid w:val="6558A897"/>
    <w:rsid w:val="6590C715"/>
    <w:rsid w:val="659E4FDF"/>
    <w:rsid w:val="66294E47"/>
    <w:rsid w:val="66719B4C"/>
    <w:rsid w:val="66A37EB9"/>
    <w:rsid w:val="66BA19FE"/>
    <w:rsid w:val="676224DC"/>
    <w:rsid w:val="676F72DD"/>
    <w:rsid w:val="68A63A2A"/>
    <w:rsid w:val="68DB4DE1"/>
    <w:rsid w:val="69662167"/>
    <w:rsid w:val="6A1CE58B"/>
    <w:rsid w:val="6A3EDAD7"/>
    <w:rsid w:val="6A723F2C"/>
    <w:rsid w:val="6AFFEA7C"/>
    <w:rsid w:val="6B6D534C"/>
    <w:rsid w:val="6C4307CF"/>
    <w:rsid w:val="6C48AB75"/>
    <w:rsid w:val="6C54A81D"/>
    <w:rsid w:val="6C765FDA"/>
    <w:rsid w:val="6CF77B1E"/>
    <w:rsid w:val="6D3C91B3"/>
    <w:rsid w:val="6DC0C2D5"/>
    <w:rsid w:val="6E1F6DAB"/>
    <w:rsid w:val="6E83D63D"/>
    <w:rsid w:val="6FF49E03"/>
    <w:rsid w:val="70286173"/>
    <w:rsid w:val="70D572B9"/>
    <w:rsid w:val="70E75748"/>
    <w:rsid w:val="716E8A2F"/>
    <w:rsid w:val="71742CC1"/>
    <w:rsid w:val="7342976A"/>
    <w:rsid w:val="73C17C38"/>
    <w:rsid w:val="73C7815E"/>
    <w:rsid w:val="73D426FB"/>
    <w:rsid w:val="74179BD4"/>
    <w:rsid w:val="741E8CA4"/>
    <w:rsid w:val="745B3783"/>
    <w:rsid w:val="74929F50"/>
    <w:rsid w:val="74ABD4BE"/>
    <w:rsid w:val="75ACCD2E"/>
    <w:rsid w:val="7625F4DD"/>
    <w:rsid w:val="76769F6B"/>
    <w:rsid w:val="76B94569"/>
    <w:rsid w:val="771128C4"/>
    <w:rsid w:val="774D36FA"/>
    <w:rsid w:val="7759A488"/>
    <w:rsid w:val="77DBD5D1"/>
    <w:rsid w:val="784FD07D"/>
    <w:rsid w:val="78FCB2D7"/>
    <w:rsid w:val="79AE00B3"/>
    <w:rsid w:val="79DFC566"/>
    <w:rsid w:val="7A5034C0"/>
    <w:rsid w:val="7A8D7611"/>
    <w:rsid w:val="7ADB8086"/>
    <w:rsid w:val="7B25B378"/>
    <w:rsid w:val="7B30887C"/>
    <w:rsid w:val="7B942577"/>
    <w:rsid w:val="7C26ADB4"/>
    <w:rsid w:val="7C776748"/>
    <w:rsid w:val="7CC4600F"/>
    <w:rsid w:val="7D0A9F66"/>
    <w:rsid w:val="7E1119E1"/>
    <w:rsid w:val="7E515706"/>
    <w:rsid w:val="7E5CC49C"/>
    <w:rsid w:val="7EB304A4"/>
    <w:rsid w:val="7ECEA08E"/>
    <w:rsid w:val="7ED90AC8"/>
    <w:rsid w:val="7F548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EBF1B"/>
  <w15:chartTrackingRefBased/>
  <w15:docId w15:val="{B3073CDD-FA70-40B8-A7FC-551FF1D1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561FE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61FE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61FE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561FE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unhideWhenUsed/>
    <w:qFormat/>
    <w:rsid w:val="561FEA06"/>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61FEA06"/>
    <w:pPr>
      <w:ind w:left="720"/>
      <w:contextualSpacing/>
    </w:pPr>
  </w:style>
  <w:style w:type="character" w:styleId="Hyperlink">
    <w:name w:val="Hyperlink"/>
    <w:basedOn w:val="DefaultParagraphFont"/>
    <w:uiPriority w:val="99"/>
    <w:unhideWhenUsed/>
    <w:rsid w:val="561FEA06"/>
    <w:rPr>
      <w:color w:val="467886"/>
      <w:u w:val="single"/>
    </w:rPr>
  </w:style>
  <w:style w:type="paragraph" w:styleId="TOC1">
    <w:name w:val="toc 1"/>
    <w:basedOn w:val="Normal"/>
    <w:next w:val="Normal"/>
    <w:uiPriority w:val="39"/>
    <w:unhideWhenUsed/>
    <w:rsid w:val="561FEA06"/>
    <w:pPr>
      <w:spacing w:after="100"/>
    </w:pPr>
  </w:style>
  <w:style w:type="paragraph" w:styleId="TOC2">
    <w:name w:val="toc 2"/>
    <w:basedOn w:val="Normal"/>
    <w:next w:val="Normal"/>
    <w:uiPriority w:val="39"/>
    <w:unhideWhenUsed/>
    <w:rsid w:val="561FEA06"/>
    <w:pPr>
      <w:spacing w:after="100"/>
      <w:ind w:left="220"/>
    </w:pPr>
  </w:style>
  <w:style w:type="paragraph" w:styleId="TOC3">
    <w:name w:val="toc 3"/>
    <w:basedOn w:val="Normal"/>
    <w:next w:val="Normal"/>
    <w:uiPriority w:val="39"/>
    <w:unhideWhenUsed/>
    <w:rsid w:val="561FEA06"/>
    <w:pPr>
      <w:spacing w:after="100"/>
      <w:ind w:left="440"/>
    </w:pPr>
  </w:style>
  <w:style w:type="paragraph" w:styleId="TOC4">
    <w:name w:val="toc 4"/>
    <w:basedOn w:val="Normal"/>
    <w:next w:val="Normal"/>
    <w:uiPriority w:val="39"/>
    <w:unhideWhenUsed/>
    <w:rsid w:val="561FEA06"/>
    <w:pPr>
      <w:spacing w:after="100"/>
      <w:ind w:left="660"/>
    </w:pPr>
  </w:style>
  <w:style w:type="paragraph" w:styleId="TOC5">
    <w:name w:val="toc 5"/>
    <w:basedOn w:val="Normal"/>
    <w:next w:val="Normal"/>
    <w:uiPriority w:val="39"/>
    <w:unhideWhenUsed/>
    <w:rsid w:val="561FEA06"/>
    <w:pPr>
      <w:spacing w:after="100"/>
      <w:ind w:left="88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orporatefinanceinstitute.com/resources/accounting/arr-accounting-rate-of-return/" TargetMode="External"/><Relationship Id="rId18" Type="http://schemas.openxmlformats.org/officeDocument/2006/relationships/hyperlink" Target="https://doi.org/10.3389/fpubh.2022.1009393" TargetMode="External"/><Relationship Id="rId26" Type="http://schemas.openxmlformats.org/officeDocument/2006/relationships/hyperlink" Target="https://toyota-indus.com/wp-content/uploads/2023/10/IMC-AR-FOR-WEB_1_11zon.pdf" TargetMode="External"/><Relationship Id="rId3" Type="http://schemas.openxmlformats.org/officeDocument/2006/relationships/settings" Target="settings.xml"/><Relationship Id="rId21" Type="http://schemas.openxmlformats.org/officeDocument/2006/relationships/hyperlink" Target="https://corporatefinanceinstitute.com/resources/valuation/net-present-value-npv/" TargetMode="External"/><Relationship Id="Re8c15c6bc0634d87" Type="http://schemas.microsoft.com/office/2020/10/relationships/intelligence" Target="intelligence2.xml"/><Relationship Id="rId7" Type="http://schemas.openxmlformats.org/officeDocument/2006/relationships/image" Target="media/image3.png"/><Relationship Id="rId12" Type="http://schemas.openxmlformats.org/officeDocument/2006/relationships/hyperlink" Target="https://www.investopedia.com/terms/r/returnonequity.asp" TargetMode="External"/><Relationship Id="rId17" Type="http://schemas.openxmlformats.org/officeDocument/2006/relationships/hyperlink" Target="https://www.hyundainews.com/releases/4227" TargetMode="External"/><Relationship Id="rId25" Type="http://schemas.openxmlformats.org/officeDocument/2006/relationships/hyperlink" Target="https://www.toyota-industries.com/investors/item/2025_annual_financial_report_E.pdf" TargetMode="External"/><Relationship Id="rId2" Type="http://schemas.openxmlformats.org/officeDocument/2006/relationships/styles" Target="styles.xml"/><Relationship Id="rId16" Type="http://schemas.openxmlformats.org/officeDocument/2006/relationships/hyperlink" Target="https://www.hyundai.com/content/dam/hyundai/in/en/data/investor-relations/annual-report/Annual-Report-FY-23-24.pdf" TargetMode="External"/><Relationship Id="rId20" Type="http://schemas.openxmlformats.org/officeDocument/2006/relationships/hyperlink" Target="https://clfi.co.uk/resources/current-ratio-and-quick-ratio-explained-liquidity-analysis/" TargetMode="External"/><Relationship Id="rId29" Type="http://schemas.openxmlformats.org/officeDocument/2006/relationships/hyperlink" Target="https://www.hyundai-motor.cz/wp-content/uploads/2025/06/Vyrocni_zprava_EN_2024.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ccaglobal.com/gb/en/student/exam-support-resources/foundation-level-study-resources/ffm/ffm-technical-articles/the-internal-rate-of-return.html" TargetMode="External"/><Relationship Id="rId24" Type="http://schemas.openxmlformats.org/officeDocument/2006/relationships/hyperlink" Target="https://www.toyota-industries.com/investors/item/2022_annual_financial_report_E.pdf" TargetMode="External"/><Relationship Id="rId5" Type="http://schemas.openxmlformats.org/officeDocument/2006/relationships/image" Target="media/image1.png"/><Relationship Id="rId15" Type="http://schemas.openxmlformats.org/officeDocument/2006/relationships/hyperlink" Target="https://www.investopedia.com/terms/r/returnonassets.asp" TargetMode="External"/><Relationship Id="rId23" Type="http://schemas.openxmlformats.org/officeDocument/2006/relationships/hyperlink" Target="https://pressroom.toyota.com/toyota-motor-corporations-20-f-annual-report/" TargetMode="External"/><Relationship Id="rId28" Type="http://schemas.openxmlformats.org/officeDocument/2006/relationships/hyperlink" Target="https://global.toyota/pages/global_toyota/ir/library/annual/2021_001_integrated_en.pdf" TargetMode="External"/><Relationship Id="rId10" Type="http://schemas.openxmlformats.org/officeDocument/2006/relationships/hyperlink" Target="https://www.accaglobal.com" TargetMode="External"/><Relationship Id="rId19" Type="http://schemas.openxmlformats.org/officeDocument/2006/relationships/hyperlink" Target="https://corporatefinanceinstitute.com/resources/accounting/profitability-index/"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016/j.ijindorg.2026.103256" TargetMode="External"/><Relationship Id="rId22" Type="http://schemas.openxmlformats.org/officeDocument/2006/relationships/hyperlink" Target="https://unstop.com/blog/profitability-index" TargetMode="External"/><Relationship Id="rId27" Type="http://schemas.openxmlformats.org/officeDocument/2006/relationships/hyperlink" Target="https://www.annualreports.com/Company/toyota-motor-cor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6686</Words>
  <Characters>38114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nabigha Faheem'S</dc:creator>
  <cp:keywords/>
  <dc:description/>
  <cp:lastModifiedBy>admin</cp:lastModifiedBy>
  <cp:revision>2</cp:revision>
  <dcterms:created xsi:type="dcterms:W3CDTF">2026-04-23T22:13:00Z</dcterms:created>
  <dcterms:modified xsi:type="dcterms:W3CDTF">2026-04-23T22:13:00Z</dcterms:modified>
</cp:coreProperties>
</file>