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4DDABD4F" w:rsidR="004A7D3D" w:rsidRPr="004A1148" w:rsidRDefault="000F47EE" w:rsidP="000F47EE">
            <w:pPr>
              <w:pStyle w:val="TableText"/>
              <w:rPr>
                <w:rFonts w:cs="Arial"/>
              </w:rPr>
            </w:pPr>
            <w:r>
              <w:rPr>
                <w:rFonts w:cs="Arial"/>
              </w:rPr>
              <w:t>B-2000</w:t>
            </w:r>
          </w:p>
        </w:tc>
        <w:tc>
          <w:tcPr>
            <w:tcW w:w="2561" w:type="dxa"/>
            <w:vAlign w:val="bottom"/>
          </w:tcPr>
          <w:p w14:paraId="325D5AA6" w14:textId="1934D6A9" w:rsidR="004A7D3D" w:rsidRPr="004A1148" w:rsidRDefault="000F47EE" w:rsidP="00F5276B">
            <w:pPr>
              <w:pStyle w:val="TableText"/>
              <w:rPr>
                <w:rFonts w:cs="Arial"/>
              </w:rPr>
            </w:pPr>
            <w:r>
              <w:rPr>
                <w:rFonts w:cs="Arial"/>
              </w:rPr>
              <w:t>172.16.</w:t>
            </w:r>
            <w:r w:rsidR="005F5097">
              <w:rPr>
                <w:rFonts w:cs="Arial"/>
              </w:rPr>
              <w:t>2</w:t>
            </w:r>
            <w:r>
              <w:rPr>
                <w:rFonts w:cs="Arial"/>
              </w:rPr>
              <w:t>.0</w:t>
            </w:r>
          </w:p>
        </w:tc>
        <w:tc>
          <w:tcPr>
            <w:tcW w:w="2552" w:type="dxa"/>
          </w:tcPr>
          <w:p w14:paraId="6456BC46" w14:textId="77777777" w:rsidR="00385CFB" w:rsidRDefault="00385CFB" w:rsidP="00F5276B">
            <w:pPr>
              <w:pStyle w:val="TableText"/>
              <w:rPr>
                <w:rFonts w:cs="Arial"/>
              </w:rPr>
            </w:pPr>
          </w:p>
          <w:p w14:paraId="64D79944" w14:textId="71CD1976" w:rsidR="004A7D3D" w:rsidRPr="004A1148" w:rsidRDefault="000F47EE" w:rsidP="00F5276B">
            <w:pPr>
              <w:pStyle w:val="TableText"/>
              <w:rPr>
                <w:rFonts w:cs="Arial"/>
              </w:rPr>
            </w:pPr>
            <w:r>
              <w:rPr>
                <w:rFonts w:cs="Arial"/>
              </w:rPr>
              <w:t>255.255.</w:t>
            </w:r>
            <w:r w:rsidR="00385CFB">
              <w:rPr>
                <w:rFonts w:cs="Arial"/>
              </w:rPr>
              <w:t>248.0</w:t>
            </w:r>
          </w:p>
        </w:tc>
        <w:tc>
          <w:tcPr>
            <w:tcW w:w="2724" w:type="dxa"/>
            <w:vAlign w:val="bottom"/>
          </w:tcPr>
          <w:p w14:paraId="426B55D1" w14:textId="1821A843" w:rsidR="004A7D3D" w:rsidRPr="004A1148" w:rsidRDefault="00385CFB" w:rsidP="00F5276B">
            <w:pPr>
              <w:pStyle w:val="TableText"/>
              <w:rPr>
                <w:rFonts w:cs="Arial"/>
              </w:rPr>
            </w:pPr>
            <w:r>
              <w:rPr>
                <w:rFonts w:cs="Arial"/>
              </w:rPr>
              <w:t>172.16.13.1</w:t>
            </w:r>
          </w:p>
        </w:tc>
        <w:tc>
          <w:tcPr>
            <w:tcW w:w="2922" w:type="dxa"/>
            <w:vAlign w:val="bottom"/>
          </w:tcPr>
          <w:p w14:paraId="2AC7FFA7" w14:textId="116ACBCB" w:rsidR="004A7D3D" w:rsidRPr="004A1148" w:rsidRDefault="00385CFB" w:rsidP="00F5276B">
            <w:pPr>
              <w:pStyle w:val="TableText"/>
              <w:rPr>
                <w:rFonts w:cs="Arial"/>
              </w:rPr>
            </w:pPr>
            <w:r>
              <w:rPr>
                <w:rFonts w:cs="Arial"/>
              </w:rPr>
              <w:t>172.16.13.254</w:t>
            </w:r>
          </w:p>
        </w:tc>
        <w:tc>
          <w:tcPr>
            <w:tcW w:w="2905" w:type="dxa"/>
            <w:vAlign w:val="bottom"/>
          </w:tcPr>
          <w:p w14:paraId="55A78382" w14:textId="57950A33" w:rsidR="004A7D3D" w:rsidRPr="004A1148" w:rsidRDefault="000F47EE" w:rsidP="00F5276B">
            <w:pPr>
              <w:pStyle w:val="TableText"/>
              <w:ind w:left="284"/>
              <w:rPr>
                <w:rFonts w:cs="Arial"/>
              </w:rPr>
            </w:pPr>
            <w:r>
              <w:rPr>
                <w:rFonts w:cs="Arial"/>
              </w:rPr>
              <w:t>172.16.13.255</w:t>
            </w:r>
          </w:p>
        </w:tc>
      </w:tr>
      <w:tr w:rsidR="004A7D3D" w:rsidRPr="004A1148" w14:paraId="25431512" w14:textId="77777777" w:rsidTr="005554AB">
        <w:trPr>
          <w:cantSplit/>
          <w:trHeight w:val="510"/>
          <w:jc w:val="center"/>
        </w:trPr>
        <w:tc>
          <w:tcPr>
            <w:tcW w:w="1412" w:type="dxa"/>
            <w:vAlign w:val="bottom"/>
          </w:tcPr>
          <w:p w14:paraId="6A6FC7F1" w14:textId="7CEFD255" w:rsidR="004A7D3D" w:rsidRPr="004A1148" w:rsidRDefault="000F47EE" w:rsidP="000F47EE">
            <w:pPr>
              <w:pStyle w:val="TableText"/>
              <w:rPr>
                <w:rFonts w:cs="Arial"/>
              </w:rPr>
            </w:pPr>
            <w:r>
              <w:rPr>
                <w:rFonts w:cs="Arial"/>
              </w:rPr>
              <w:t>D-500</w:t>
            </w:r>
          </w:p>
        </w:tc>
        <w:tc>
          <w:tcPr>
            <w:tcW w:w="2561" w:type="dxa"/>
            <w:vAlign w:val="bottom"/>
          </w:tcPr>
          <w:p w14:paraId="5D565D23" w14:textId="2585A513" w:rsidR="004A7D3D" w:rsidRPr="004A1148" w:rsidRDefault="00385CFB" w:rsidP="00F5276B">
            <w:pPr>
              <w:pStyle w:val="TableText"/>
              <w:rPr>
                <w:rFonts w:cs="Arial"/>
              </w:rPr>
            </w:pPr>
            <w:r>
              <w:rPr>
                <w:rFonts w:cs="Arial"/>
              </w:rPr>
              <w:t>172.16.</w:t>
            </w:r>
            <w:r w:rsidR="005F5097">
              <w:rPr>
                <w:rFonts w:cs="Arial"/>
              </w:rPr>
              <w:t>14.0</w:t>
            </w:r>
          </w:p>
        </w:tc>
        <w:tc>
          <w:tcPr>
            <w:tcW w:w="2552" w:type="dxa"/>
          </w:tcPr>
          <w:p w14:paraId="2CA65FD0" w14:textId="77777777" w:rsidR="007B1577" w:rsidRDefault="007B1577" w:rsidP="00F5276B">
            <w:pPr>
              <w:pStyle w:val="TableText"/>
              <w:rPr>
                <w:rFonts w:cs="Arial"/>
              </w:rPr>
            </w:pPr>
          </w:p>
          <w:p w14:paraId="5E77A652" w14:textId="51C278F0" w:rsidR="004A7D3D" w:rsidRPr="004A1148" w:rsidRDefault="007B1577" w:rsidP="00F5276B">
            <w:pPr>
              <w:pStyle w:val="TableText"/>
              <w:rPr>
                <w:rFonts w:cs="Arial"/>
              </w:rPr>
            </w:pPr>
            <w:r>
              <w:rPr>
                <w:rFonts w:cs="Arial"/>
              </w:rPr>
              <w:t>255.255.254.0</w:t>
            </w:r>
          </w:p>
        </w:tc>
        <w:tc>
          <w:tcPr>
            <w:tcW w:w="2724" w:type="dxa"/>
            <w:vAlign w:val="bottom"/>
          </w:tcPr>
          <w:p w14:paraId="553FF9D4" w14:textId="5E24CA46" w:rsidR="004A7D3D" w:rsidRPr="004A1148" w:rsidRDefault="005F5097" w:rsidP="00F5276B">
            <w:pPr>
              <w:pStyle w:val="TableText"/>
              <w:rPr>
                <w:rFonts w:cs="Arial"/>
              </w:rPr>
            </w:pPr>
            <w:r>
              <w:rPr>
                <w:rFonts w:cs="Arial"/>
              </w:rPr>
              <w:t>172.16.14.1</w:t>
            </w:r>
          </w:p>
        </w:tc>
        <w:tc>
          <w:tcPr>
            <w:tcW w:w="2922" w:type="dxa"/>
            <w:vAlign w:val="bottom"/>
          </w:tcPr>
          <w:p w14:paraId="12602C5C" w14:textId="6764A528" w:rsidR="004A7D3D" w:rsidRPr="004A1148" w:rsidRDefault="005F5097" w:rsidP="00F5276B">
            <w:pPr>
              <w:pStyle w:val="TableText"/>
              <w:rPr>
                <w:rFonts w:cs="Arial"/>
              </w:rPr>
            </w:pPr>
            <w:r>
              <w:rPr>
                <w:rFonts w:cs="Arial"/>
              </w:rPr>
              <w:t>172.16.1</w:t>
            </w:r>
            <w:r w:rsidR="007B1577">
              <w:rPr>
                <w:rFonts w:cs="Arial"/>
              </w:rPr>
              <w:t>5</w:t>
            </w:r>
            <w:r>
              <w:rPr>
                <w:rFonts w:cs="Arial"/>
              </w:rPr>
              <w:t>.254</w:t>
            </w:r>
          </w:p>
        </w:tc>
        <w:tc>
          <w:tcPr>
            <w:tcW w:w="2905" w:type="dxa"/>
            <w:vAlign w:val="bottom"/>
          </w:tcPr>
          <w:p w14:paraId="0E927FF2" w14:textId="7932879A" w:rsidR="004A7D3D" w:rsidRPr="004A1148" w:rsidRDefault="005F5097" w:rsidP="00F5276B">
            <w:pPr>
              <w:pStyle w:val="TableText"/>
              <w:ind w:left="284"/>
              <w:rPr>
                <w:rFonts w:cs="Arial"/>
              </w:rPr>
            </w:pPr>
            <w:r>
              <w:rPr>
                <w:rFonts w:cs="Arial"/>
              </w:rPr>
              <w:t>172.16.15.255</w:t>
            </w:r>
          </w:p>
        </w:tc>
      </w:tr>
      <w:tr w:rsidR="004A7D3D" w:rsidRPr="004A1148" w14:paraId="1804910C" w14:textId="77777777" w:rsidTr="005554AB">
        <w:trPr>
          <w:cantSplit/>
          <w:trHeight w:val="510"/>
          <w:jc w:val="center"/>
        </w:trPr>
        <w:tc>
          <w:tcPr>
            <w:tcW w:w="1412" w:type="dxa"/>
            <w:vAlign w:val="bottom"/>
          </w:tcPr>
          <w:p w14:paraId="198C292F" w14:textId="39785AA4" w:rsidR="004A7D3D" w:rsidRPr="004A1148" w:rsidRDefault="000F47EE" w:rsidP="000F47EE">
            <w:pPr>
              <w:pStyle w:val="TableText"/>
              <w:rPr>
                <w:rFonts w:cs="Arial"/>
              </w:rPr>
            </w:pPr>
            <w:r>
              <w:rPr>
                <w:rFonts w:cs="Arial"/>
              </w:rPr>
              <w:t>F-180</w:t>
            </w:r>
          </w:p>
        </w:tc>
        <w:tc>
          <w:tcPr>
            <w:tcW w:w="2561" w:type="dxa"/>
            <w:vAlign w:val="bottom"/>
          </w:tcPr>
          <w:p w14:paraId="3114BB27" w14:textId="6681A5C7" w:rsidR="004A7D3D" w:rsidRPr="004A1148" w:rsidRDefault="007B1577" w:rsidP="00F5276B">
            <w:pPr>
              <w:pStyle w:val="TableText"/>
              <w:rPr>
                <w:rFonts w:cs="Arial"/>
              </w:rPr>
            </w:pPr>
            <w:r>
              <w:rPr>
                <w:rFonts w:cs="Arial"/>
              </w:rPr>
              <w:t>172.</w:t>
            </w:r>
            <w:r w:rsidR="00616D51">
              <w:rPr>
                <w:rFonts w:cs="Arial"/>
              </w:rPr>
              <w:t>16.16.0</w:t>
            </w:r>
          </w:p>
        </w:tc>
        <w:tc>
          <w:tcPr>
            <w:tcW w:w="2552" w:type="dxa"/>
          </w:tcPr>
          <w:p w14:paraId="13130434" w14:textId="77777777" w:rsidR="00A31141" w:rsidRDefault="00A31141" w:rsidP="00F5276B">
            <w:pPr>
              <w:pStyle w:val="TableText"/>
              <w:rPr>
                <w:rFonts w:cs="Arial"/>
              </w:rPr>
            </w:pPr>
          </w:p>
          <w:p w14:paraId="0D8FD5C7" w14:textId="399F08BD" w:rsidR="004A7D3D" w:rsidRPr="004A1148" w:rsidRDefault="00C5211E" w:rsidP="00F5276B">
            <w:pPr>
              <w:pStyle w:val="TableText"/>
              <w:rPr>
                <w:rFonts w:cs="Arial"/>
              </w:rPr>
            </w:pPr>
            <w:r>
              <w:rPr>
                <w:rFonts w:cs="Arial"/>
              </w:rPr>
              <w:t>255.255.255.255</w:t>
            </w:r>
          </w:p>
        </w:tc>
        <w:tc>
          <w:tcPr>
            <w:tcW w:w="2724" w:type="dxa"/>
            <w:vAlign w:val="bottom"/>
          </w:tcPr>
          <w:p w14:paraId="035CA129" w14:textId="203B083D" w:rsidR="004A7D3D" w:rsidRPr="004A1148" w:rsidRDefault="00616D51" w:rsidP="00F5276B">
            <w:pPr>
              <w:pStyle w:val="TableText"/>
              <w:rPr>
                <w:rFonts w:cs="Arial"/>
              </w:rPr>
            </w:pPr>
            <w:r>
              <w:rPr>
                <w:rFonts w:cs="Arial"/>
              </w:rPr>
              <w:t>172.16.16.1</w:t>
            </w:r>
          </w:p>
        </w:tc>
        <w:tc>
          <w:tcPr>
            <w:tcW w:w="2922" w:type="dxa"/>
            <w:vAlign w:val="bottom"/>
          </w:tcPr>
          <w:p w14:paraId="139F5B25" w14:textId="60C98CF8" w:rsidR="004A7D3D" w:rsidRPr="004A1148" w:rsidRDefault="00616D51" w:rsidP="00F5276B">
            <w:pPr>
              <w:pStyle w:val="TableText"/>
              <w:rPr>
                <w:rFonts w:cs="Arial"/>
              </w:rPr>
            </w:pPr>
            <w:r>
              <w:rPr>
                <w:rFonts w:cs="Arial"/>
              </w:rPr>
              <w:t>172.16.16.</w:t>
            </w:r>
            <w:r w:rsidR="00C5211E">
              <w:rPr>
                <w:rFonts w:cs="Arial"/>
              </w:rPr>
              <w:t>179</w:t>
            </w:r>
          </w:p>
        </w:tc>
        <w:tc>
          <w:tcPr>
            <w:tcW w:w="2905" w:type="dxa"/>
            <w:vAlign w:val="bottom"/>
          </w:tcPr>
          <w:p w14:paraId="63784539" w14:textId="1860B775" w:rsidR="004A7D3D" w:rsidRPr="004A1148" w:rsidRDefault="00616D51" w:rsidP="00F5276B">
            <w:pPr>
              <w:pStyle w:val="TableText"/>
              <w:ind w:left="284"/>
              <w:rPr>
                <w:rFonts w:cs="Arial"/>
              </w:rPr>
            </w:pPr>
            <w:r>
              <w:rPr>
                <w:rFonts w:cs="Arial"/>
              </w:rPr>
              <w:t>172.16.16.</w:t>
            </w:r>
            <w:r w:rsidR="00C5211E">
              <w:rPr>
                <w:rFonts w:cs="Arial"/>
              </w:rPr>
              <w:t>180</w:t>
            </w:r>
          </w:p>
        </w:tc>
      </w:tr>
      <w:tr w:rsidR="004A7D3D" w:rsidRPr="004A1148" w14:paraId="6FCEA750" w14:textId="77777777" w:rsidTr="005554AB">
        <w:trPr>
          <w:cantSplit/>
          <w:trHeight w:val="510"/>
          <w:jc w:val="center"/>
        </w:trPr>
        <w:tc>
          <w:tcPr>
            <w:tcW w:w="1412" w:type="dxa"/>
            <w:vAlign w:val="bottom"/>
          </w:tcPr>
          <w:p w14:paraId="023D3E13" w14:textId="05E86534" w:rsidR="004A7D3D" w:rsidRPr="004A1148" w:rsidRDefault="000F47EE" w:rsidP="000F47EE">
            <w:pPr>
              <w:pStyle w:val="TableText"/>
              <w:rPr>
                <w:rFonts w:cs="Arial"/>
              </w:rPr>
            </w:pPr>
            <w:r>
              <w:rPr>
                <w:rFonts w:cs="Arial"/>
              </w:rPr>
              <w:t>E-60</w:t>
            </w:r>
          </w:p>
        </w:tc>
        <w:tc>
          <w:tcPr>
            <w:tcW w:w="2561" w:type="dxa"/>
            <w:vAlign w:val="bottom"/>
          </w:tcPr>
          <w:p w14:paraId="028301AC" w14:textId="757F0D3C" w:rsidR="004A7D3D" w:rsidRPr="004A1148" w:rsidRDefault="00A31141" w:rsidP="00F5276B">
            <w:pPr>
              <w:pStyle w:val="TableText"/>
              <w:rPr>
                <w:rFonts w:cs="Arial"/>
              </w:rPr>
            </w:pPr>
            <w:r>
              <w:rPr>
                <w:rFonts w:cs="Arial"/>
              </w:rPr>
              <w:t>172.16.</w:t>
            </w:r>
            <w:r w:rsidR="00C5211E">
              <w:rPr>
                <w:rFonts w:cs="Arial"/>
              </w:rPr>
              <w:t>16.181</w:t>
            </w:r>
          </w:p>
        </w:tc>
        <w:tc>
          <w:tcPr>
            <w:tcW w:w="2552" w:type="dxa"/>
          </w:tcPr>
          <w:p w14:paraId="4FD8069F" w14:textId="77777777" w:rsidR="003F2773" w:rsidRDefault="003F2773" w:rsidP="00F5276B">
            <w:pPr>
              <w:pStyle w:val="TableText"/>
              <w:rPr>
                <w:rFonts w:cs="Arial"/>
              </w:rPr>
            </w:pPr>
          </w:p>
          <w:p w14:paraId="0E107CA2" w14:textId="364D558E" w:rsidR="004A7D3D" w:rsidRPr="004A1148" w:rsidRDefault="003F2773" w:rsidP="00F5276B">
            <w:pPr>
              <w:pStyle w:val="TableText"/>
              <w:rPr>
                <w:rFonts w:cs="Arial"/>
              </w:rPr>
            </w:pPr>
            <w:r>
              <w:rPr>
                <w:rFonts w:cs="Arial"/>
              </w:rPr>
              <w:t>255.255.255.255</w:t>
            </w:r>
          </w:p>
        </w:tc>
        <w:tc>
          <w:tcPr>
            <w:tcW w:w="2724" w:type="dxa"/>
            <w:vAlign w:val="bottom"/>
          </w:tcPr>
          <w:p w14:paraId="76E3E1C0" w14:textId="637B9ADF" w:rsidR="004A7D3D" w:rsidRPr="004A1148" w:rsidRDefault="00A31141" w:rsidP="00F5276B">
            <w:pPr>
              <w:pStyle w:val="TableText"/>
              <w:rPr>
                <w:rFonts w:cs="Arial"/>
              </w:rPr>
            </w:pPr>
            <w:r>
              <w:rPr>
                <w:rFonts w:cs="Arial"/>
              </w:rPr>
              <w:t>172.16.</w:t>
            </w:r>
            <w:r w:rsidR="00C5211E">
              <w:rPr>
                <w:rFonts w:cs="Arial"/>
              </w:rPr>
              <w:t>16.182</w:t>
            </w:r>
          </w:p>
        </w:tc>
        <w:tc>
          <w:tcPr>
            <w:tcW w:w="2922" w:type="dxa"/>
            <w:vAlign w:val="bottom"/>
          </w:tcPr>
          <w:p w14:paraId="1F58716B" w14:textId="00F97954" w:rsidR="004A7D3D" w:rsidRPr="004A1148" w:rsidRDefault="00A31141" w:rsidP="00F5276B">
            <w:pPr>
              <w:pStyle w:val="TableText"/>
              <w:rPr>
                <w:rFonts w:cs="Arial"/>
              </w:rPr>
            </w:pPr>
            <w:r>
              <w:rPr>
                <w:rFonts w:cs="Arial"/>
              </w:rPr>
              <w:t>172.16.17.</w:t>
            </w:r>
            <w:r w:rsidR="003F2773">
              <w:rPr>
                <w:rFonts w:cs="Arial"/>
              </w:rPr>
              <w:t>242</w:t>
            </w:r>
          </w:p>
        </w:tc>
        <w:tc>
          <w:tcPr>
            <w:tcW w:w="2905" w:type="dxa"/>
            <w:vAlign w:val="bottom"/>
          </w:tcPr>
          <w:p w14:paraId="1F03CCA5" w14:textId="5350F4D5" w:rsidR="004A7D3D" w:rsidRPr="004A1148" w:rsidRDefault="00A31141" w:rsidP="00F5276B">
            <w:pPr>
              <w:pStyle w:val="TableText"/>
              <w:ind w:left="284"/>
              <w:rPr>
                <w:rFonts w:cs="Arial"/>
              </w:rPr>
            </w:pPr>
            <w:r>
              <w:rPr>
                <w:rFonts w:cs="Arial"/>
              </w:rPr>
              <w:t>172.16,1</w:t>
            </w:r>
            <w:r w:rsidR="003F2773">
              <w:rPr>
                <w:rFonts w:cs="Arial"/>
              </w:rPr>
              <w:t>7</w:t>
            </w:r>
            <w:r>
              <w:rPr>
                <w:rFonts w:cs="Arial"/>
              </w:rPr>
              <w:t>.</w:t>
            </w:r>
            <w:r w:rsidR="003F2773">
              <w:rPr>
                <w:rFonts w:cs="Arial"/>
              </w:rPr>
              <w:t>243</w:t>
            </w:r>
          </w:p>
        </w:tc>
      </w:tr>
      <w:tr w:rsidR="004A7D3D" w:rsidRPr="004A1148" w14:paraId="6B34B8B1" w14:textId="77777777" w:rsidTr="005554AB">
        <w:trPr>
          <w:cantSplit/>
          <w:trHeight w:val="510"/>
          <w:jc w:val="center"/>
        </w:trPr>
        <w:tc>
          <w:tcPr>
            <w:tcW w:w="1412" w:type="dxa"/>
            <w:vAlign w:val="bottom"/>
          </w:tcPr>
          <w:p w14:paraId="65F58BF1" w14:textId="06A09A19" w:rsidR="004A7D3D" w:rsidRPr="004A1148" w:rsidRDefault="000F47EE" w:rsidP="000F47EE">
            <w:pPr>
              <w:pStyle w:val="TableText"/>
              <w:rPr>
                <w:rFonts w:cs="Arial"/>
              </w:rPr>
            </w:pPr>
            <w:r>
              <w:rPr>
                <w:rFonts w:cs="Arial"/>
              </w:rPr>
              <w:t>A-16</w:t>
            </w:r>
          </w:p>
        </w:tc>
        <w:tc>
          <w:tcPr>
            <w:tcW w:w="2561" w:type="dxa"/>
            <w:vAlign w:val="bottom"/>
          </w:tcPr>
          <w:p w14:paraId="18067B56" w14:textId="65EAEF3E" w:rsidR="004A7D3D" w:rsidRPr="004A1148" w:rsidRDefault="003F2773" w:rsidP="00F5276B">
            <w:pPr>
              <w:pStyle w:val="TableText"/>
              <w:rPr>
                <w:rFonts w:cs="Arial"/>
              </w:rPr>
            </w:pPr>
            <w:r>
              <w:rPr>
                <w:rFonts w:cs="Arial"/>
              </w:rPr>
              <w:t>172.16.17.244</w:t>
            </w:r>
          </w:p>
        </w:tc>
        <w:tc>
          <w:tcPr>
            <w:tcW w:w="2552" w:type="dxa"/>
          </w:tcPr>
          <w:p w14:paraId="75CC2B56" w14:textId="77777777" w:rsidR="003F2773" w:rsidRDefault="003F2773" w:rsidP="00F5276B">
            <w:pPr>
              <w:pStyle w:val="TableText"/>
              <w:rPr>
                <w:rFonts w:cs="Arial"/>
              </w:rPr>
            </w:pPr>
          </w:p>
          <w:p w14:paraId="309D051E" w14:textId="1F6A0BBB" w:rsidR="004A7D3D" w:rsidRPr="004A1148" w:rsidRDefault="003F2773" w:rsidP="00F5276B">
            <w:pPr>
              <w:pStyle w:val="TableText"/>
              <w:rPr>
                <w:rFonts w:cs="Arial"/>
              </w:rPr>
            </w:pPr>
            <w:r>
              <w:rPr>
                <w:rFonts w:cs="Arial"/>
              </w:rPr>
              <w:t>255.255.255.</w:t>
            </w:r>
            <w:r w:rsidR="00F13E82">
              <w:rPr>
                <w:rFonts w:cs="Arial"/>
              </w:rPr>
              <w:t>16</w:t>
            </w:r>
          </w:p>
        </w:tc>
        <w:tc>
          <w:tcPr>
            <w:tcW w:w="2724" w:type="dxa"/>
            <w:vAlign w:val="bottom"/>
          </w:tcPr>
          <w:p w14:paraId="4BB66377" w14:textId="7DA1F5C1" w:rsidR="004A7D3D" w:rsidRPr="004A1148" w:rsidRDefault="00F13E82" w:rsidP="00F5276B">
            <w:pPr>
              <w:pStyle w:val="TableText"/>
              <w:rPr>
                <w:rFonts w:cs="Arial"/>
              </w:rPr>
            </w:pPr>
            <w:r>
              <w:rPr>
                <w:rFonts w:cs="Arial"/>
              </w:rPr>
              <w:t>172.16.17.245</w:t>
            </w:r>
          </w:p>
        </w:tc>
        <w:tc>
          <w:tcPr>
            <w:tcW w:w="2922" w:type="dxa"/>
            <w:vAlign w:val="bottom"/>
          </w:tcPr>
          <w:p w14:paraId="2F12A22D" w14:textId="0B8D9766" w:rsidR="004A7D3D" w:rsidRPr="004A1148" w:rsidRDefault="00F13E82" w:rsidP="00F5276B">
            <w:pPr>
              <w:pStyle w:val="TableText"/>
              <w:rPr>
                <w:rFonts w:cs="Arial"/>
              </w:rPr>
            </w:pPr>
            <w:r>
              <w:rPr>
                <w:rFonts w:cs="Arial"/>
              </w:rPr>
              <w:t>172.16.18.6</w:t>
            </w:r>
          </w:p>
        </w:tc>
        <w:tc>
          <w:tcPr>
            <w:tcW w:w="2905" w:type="dxa"/>
            <w:vAlign w:val="bottom"/>
          </w:tcPr>
          <w:p w14:paraId="78E458EF" w14:textId="626CFB50" w:rsidR="004A7D3D" w:rsidRPr="004A1148" w:rsidRDefault="00F13E82" w:rsidP="00F5276B">
            <w:pPr>
              <w:pStyle w:val="TableText"/>
              <w:ind w:left="284"/>
              <w:rPr>
                <w:rFonts w:cs="Arial"/>
              </w:rPr>
            </w:pPr>
            <w:r>
              <w:rPr>
                <w:rFonts w:cs="Arial"/>
              </w:rPr>
              <w:t>172.16.18.30</w:t>
            </w:r>
          </w:p>
        </w:tc>
      </w:tr>
      <w:tr w:rsidR="004A7D3D" w:rsidRPr="004A1148" w14:paraId="0B4ED2B0" w14:textId="77777777" w:rsidTr="005554AB">
        <w:trPr>
          <w:cantSplit/>
          <w:trHeight w:val="510"/>
          <w:jc w:val="center"/>
        </w:trPr>
        <w:tc>
          <w:tcPr>
            <w:tcW w:w="1412" w:type="dxa"/>
            <w:vAlign w:val="bottom"/>
          </w:tcPr>
          <w:p w14:paraId="609E3F7B" w14:textId="52E9E0FB" w:rsidR="004A7D3D" w:rsidRPr="004A1148" w:rsidRDefault="000F47EE" w:rsidP="000F47EE">
            <w:pPr>
              <w:pStyle w:val="TableText"/>
              <w:rPr>
                <w:rFonts w:cs="Arial"/>
              </w:rPr>
            </w:pPr>
            <w:r>
              <w:rPr>
                <w:rFonts w:cs="Arial"/>
              </w:rPr>
              <w:t>C-6</w:t>
            </w:r>
          </w:p>
        </w:tc>
        <w:tc>
          <w:tcPr>
            <w:tcW w:w="2561" w:type="dxa"/>
            <w:vAlign w:val="bottom"/>
          </w:tcPr>
          <w:p w14:paraId="31F64227" w14:textId="6F58B3FE" w:rsidR="004A7D3D" w:rsidRPr="004A1148" w:rsidRDefault="00057F38" w:rsidP="00F5276B">
            <w:pPr>
              <w:pStyle w:val="TableText"/>
              <w:rPr>
                <w:rFonts w:cs="Arial"/>
              </w:rPr>
            </w:pPr>
            <w:r>
              <w:rPr>
                <w:rFonts w:cs="Arial"/>
              </w:rPr>
              <w:t>172.16.18.7</w:t>
            </w:r>
          </w:p>
        </w:tc>
        <w:tc>
          <w:tcPr>
            <w:tcW w:w="2552" w:type="dxa"/>
          </w:tcPr>
          <w:p w14:paraId="1C34A279" w14:textId="77777777" w:rsidR="00057F38" w:rsidRDefault="00057F38" w:rsidP="00F5276B">
            <w:pPr>
              <w:pStyle w:val="TableText"/>
              <w:rPr>
                <w:rFonts w:cs="Arial"/>
              </w:rPr>
            </w:pPr>
          </w:p>
          <w:p w14:paraId="55665601" w14:textId="1BF4DFA6" w:rsidR="004A7D3D" w:rsidRPr="004A1148" w:rsidRDefault="00057F38" w:rsidP="00F5276B">
            <w:pPr>
              <w:pStyle w:val="TableText"/>
              <w:rPr>
                <w:rFonts w:cs="Arial"/>
              </w:rPr>
            </w:pPr>
            <w:r>
              <w:rPr>
                <w:rFonts w:cs="Arial"/>
              </w:rPr>
              <w:t>255.255.255.8</w:t>
            </w:r>
          </w:p>
        </w:tc>
        <w:tc>
          <w:tcPr>
            <w:tcW w:w="2724" w:type="dxa"/>
            <w:vAlign w:val="bottom"/>
          </w:tcPr>
          <w:p w14:paraId="4F549E4B" w14:textId="324EC33C" w:rsidR="004A7D3D" w:rsidRPr="004A1148" w:rsidRDefault="00057F38" w:rsidP="00F5276B">
            <w:pPr>
              <w:pStyle w:val="TableText"/>
              <w:rPr>
                <w:rFonts w:cs="Arial"/>
              </w:rPr>
            </w:pPr>
            <w:r>
              <w:rPr>
                <w:rFonts w:cs="Arial"/>
              </w:rPr>
              <w:t>172.16.18.9</w:t>
            </w:r>
          </w:p>
        </w:tc>
        <w:tc>
          <w:tcPr>
            <w:tcW w:w="2922" w:type="dxa"/>
            <w:vAlign w:val="bottom"/>
          </w:tcPr>
          <w:p w14:paraId="7C499210" w14:textId="5857810A" w:rsidR="004A7D3D" w:rsidRPr="004A1148" w:rsidRDefault="00057F38" w:rsidP="00F5276B">
            <w:pPr>
              <w:pStyle w:val="TableText"/>
              <w:rPr>
                <w:rFonts w:cs="Arial"/>
              </w:rPr>
            </w:pPr>
            <w:r>
              <w:rPr>
                <w:rFonts w:cs="Arial"/>
              </w:rPr>
              <w:t>172.16.18.15</w:t>
            </w:r>
          </w:p>
        </w:tc>
        <w:tc>
          <w:tcPr>
            <w:tcW w:w="2905" w:type="dxa"/>
            <w:vAlign w:val="bottom"/>
          </w:tcPr>
          <w:p w14:paraId="2D756274" w14:textId="46E6ECD8" w:rsidR="004A7D3D" w:rsidRPr="004A1148" w:rsidRDefault="00057F38" w:rsidP="00F5276B">
            <w:pPr>
              <w:pStyle w:val="TableText"/>
              <w:ind w:left="284"/>
              <w:rPr>
                <w:rFonts w:cs="Arial"/>
              </w:rPr>
            </w:pPr>
            <w:r>
              <w:rPr>
                <w:rFonts w:cs="Arial"/>
              </w:rPr>
              <w:t>172.16.18.16</w:t>
            </w:r>
          </w:p>
        </w:tc>
      </w:tr>
      <w:tr w:rsidR="004A7D3D" w:rsidRPr="004A1148" w14:paraId="27709968" w14:textId="77777777" w:rsidTr="005554AB">
        <w:trPr>
          <w:cantSplit/>
          <w:trHeight w:val="510"/>
          <w:jc w:val="center"/>
        </w:trPr>
        <w:tc>
          <w:tcPr>
            <w:tcW w:w="1412" w:type="dxa"/>
            <w:vAlign w:val="bottom"/>
          </w:tcPr>
          <w:p w14:paraId="20984A5F" w14:textId="77777777" w:rsidR="004A7D3D" w:rsidRPr="004A1148" w:rsidRDefault="004A7D3D" w:rsidP="00F5276B">
            <w:pPr>
              <w:pStyle w:val="TableText"/>
              <w:ind w:left="284"/>
              <w:rPr>
                <w:rFonts w:cs="Arial"/>
              </w:rPr>
            </w:pPr>
          </w:p>
        </w:tc>
        <w:tc>
          <w:tcPr>
            <w:tcW w:w="2561" w:type="dxa"/>
            <w:vAlign w:val="bottom"/>
          </w:tcPr>
          <w:p w14:paraId="0D69D9DC" w14:textId="77777777" w:rsidR="004A7D3D" w:rsidRPr="004A1148" w:rsidRDefault="004A7D3D" w:rsidP="00F5276B">
            <w:pPr>
              <w:pStyle w:val="TableText"/>
              <w:rPr>
                <w:rFonts w:cs="Arial"/>
              </w:rPr>
            </w:pPr>
          </w:p>
        </w:tc>
        <w:tc>
          <w:tcPr>
            <w:tcW w:w="2552" w:type="dxa"/>
          </w:tcPr>
          <w:p w14:paraId="30D77B01" w14:textId="77777777" w:rsidR="004A7D3D" w:rsidRPr="004A1148" w:rsidRDefault="004A7D3D" w:rsidP="00F5276B">
            <w:pPr>
              <w:pStyle w:val="TableText"/>
              <w:rPr>
                <w:rFonts w:cs="Arial"/>
              </w:rPr>
            </w:pPr>
          </w:p>
        </w:tc>
        <w:tc>
          <w:tcPr>
            <w:tcW w:w="2724" w:type="dxa"/>
            <w:vAlign w:val="bottom"/>
          </w:tcPr>
          <w:p w14:paraId="5596A409" w14:textId="77777777" w:rsidR="004A7D3D" w:rsidRPr="004A1148" w:rsidRDefault="004A7D3D" w:rsidP="00F5276B">
            <w:pPr>
              <w:pStyle w:val="TableText"/>
              <w:rPr>
                <w:rFonts w:cs="Arial"/>
              </w:rPr>
            </w:pPr>
          </w:p>
        </w:tc>
        <w:tc>
          <w:tcPr>
            <w:tcW w:w="2922" w:type="dxa"/>
            <w:vAlign w:val="bottom"/>
          </w:tcPr>
          <w:p w14:paraId="0F1FE2D6" w14:textId="77777777" w:rsidR="004A7D3D" w:rsidRPr="004A1148" w:rsidRDefault="004A7D3D" w:rsidP="00F5276B">
            <w:pPr>
              <w:pStyle w:val="TableText"/>
              <w:rPr>
                <w:rFonts w:cs="Arial"/>
              </w:rPr>
            </w:pPr>
            <w:bookmarkStart w:id="0" w:name="_GoBack"/>
            <w:bookmarkEnd w:id="0"/>
          </w:p>
        </w:tc>
        <w:tc>
          <w:tcPr>
            <w:tcW w:w="2905" w:type="dxa"/>
            <w:vAlign w:val="bottom"/>
          </w:tcPr>
          <w:p w14:paraId="554DDEFE" w14:textId="77777777" w:rsidR="004A7D3D" w:rsidRPr="004A1148" w:rsidRDefault="004A7D3D" w:rsidP="00F5276B">
            <w:pPr>
              <w:pStyle w:val="TableText"/>
              <w:ind w:left="284"/>
              <w:rPr>
                <w:rFonts w:cs="Arial"/>
              </w:rPr>
            </w:pPr>
          </w:p>
        </w:tc>
      </w:tr>
      <w:tr w:rsidR="004A7D3D" w:rsidRPr="004A1148" w14:paraId="0B6C4A12" w14:textId="77777777" w:rsidTr="005554AB">
        <w:trPr>
          <w:cantSplit/>
          <w:trHeight w:val="510"/>
          <w:jc w:val="center"/>
        </w:trPr>
        <w:tc>
          <w:tcPr>
            <w:tcW w:w="1412" w:type="dxa"/>
            <w:vAlign w:val="bottom"/>
          </w:tcPr>
          <w:p w14:paraId="61BCB553" w14:textId="77777777" w:rsidR="004A7D3D" w:rsidRPr="004A1148" w:rsidRDefault="004A7D3D" w:rsidP="00F5276B">
            <w:pPr>
              <w:pStyle w:val="TableText"/>
              <w:ind w:left="284"/>
              <w:rPr>
                <w:rFonts w:cs="Arial"/>
              </w:rPr>
            </w:pPr>
          </w:p>
        </w:tc>
        <w:tc>
          <w:tcPr>
            <w:tcW w:w="2561" w:type="dxa"/>
            <w:vAlign w:val="bottom"/>
          </w:tcPr>
          <w:p w14:paraId="1F850D77" w14:textId="77777777" w:rsidR="004A7D3D" w:rsidRPr="004A1148" w:rsidRDefault="004A7D3D" w:rsidP="00F5276B">
            <w:pPr>
              <w:pStyle w:val="TableText"/>
              <w:rPr>
                <w:rFonts w:cs="Arial"/>
              </w:rPr>
            </w:pPr>
          </w:p>
        </w:tc>
        <w:tc>
          <w:tcPr>
            <w:tcW w:w="2552" w:type="dxa"/>
          </w:tcPr>
          <w:p w14:paraId="4E625FAD" w14:textId="77777777" w:rsidR="004A7D3D" w:rsidRPr="004A1148" w:rsidRDefault="004A7D3D" w:rsidP="00F5276B">
            <w:pPr>
              <w:pStyle w:val="TableText"/>
              <w:rPr>
                <w:rFonts w:cs="Arial"/>
              </w:rPr>
            </w:pPr>
          </w:p>
        </w:tc>
        <w:tc>
          <w:tcPr>
            <w:tcW w:w="2724" w:type="dxa"/>
            <w:vAlign w:val="bottom"/>
          </w:tcPr>
          <w:p w14:paraId="2EFD5AB2" w14:textId="77777777" w:rsidR="004A7D3D" w:rsidRPr="004A1148" w:rsidRDefault="004A7D3D" w:rsidP="00F5276B">
            <w:pPr>
              <w:pStyle w:val="TableText"/>
              <w:rPr>
                <w:rFonts w:cs="Arial"/>
              </w:rPr>
            </w:pPr>
          </w:p>
        </w:tc>
        <w:tc>
          <w:tcPr>
            <w:tcW w:w="2922" w:type="dxa"/>
            <w:vAlign w:val="bottom"/>
          </w:tcPr>
          <w:p w14:paraId="488D3941" w14:textId="77777777" w:rsidR="004A7D3D" w:rsidRPr="004A1148" w:rsidRDefault="004A7D3D" w:rsidP="00F5276B">
            <w:pPr>
              <w:pStyle w:val="TableText"/>
              <w:rPr>
                <w:rFonts w:cs="Arial"/>
              </w:rPr>
            </w:pPr>
          </w:p>
        </w:tc>
        <w:tc>
          <w:tcPr>
            <w:tcW w:w="2905" w:type="dxa"/>
            <w:vAlign w:val="bottom"/>
          </w:tcPr>
          <w:p w14:paraId="6CDA3D3D" w14:textId="77777777" w:rsidR="004A7D3D" w:rsidRPr="004A1148" w:rsidRDefault="004A7D3D" w:rsidP="00F5276B">
            <w:pPr>
              <w:pStyle w:val="TableText"/>
              <w:ind w:left="284"/>
              <w:rPr>
                <w:rFonts w:cs="Arial"/>
              </w:rPr>
            </w:pP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355A5B03" w14:textId="77777777" w:rsidR="0032173B" w:rsidRDefault="0032173B" w:rsidP="0032173B">
      <w:pPr>
        <w:rPr>
          <w:rFonts w:cstheme="minorHAnsi"/>
        </w:rPr>
      </w:pPr>
      <w:r w:rsidRPr="00794ED7">
        <w:rPr>
          <w:rFonts w:cstheme="minorHAnsi"/>
        </w:rPr>
        <w:lastRenderedPageBreak/>
        <w:t>To understand IPv4 and IPv6 addressing, we first need to look at what defines</w:t>
      </w:r>
      <w:r>
        <w:rPr>
          <w:rFonts w:cstheme="minorHAnsi"/>
        </w:rPr>
        <w:t xml:space="preserve"> each addressing format</w:t>
      </w:r>
      <w:r w:rsidRPr="00794ED7">
        <w:rPr>
          <w:rFonts w:cstheme="minorHAnsi"/>
        </w:rPr>
        <w:t>. To begin with we need to understand what an IP address is</w:t>
      </w:r>
      <w:r>
        <w:rPr>
          <w:rFonts w:cstheme="minorHAnsi"/>
        </w:rPr>
        <w:t>-</w:t>
      </w:r>
      <w:r w:rsidRPr="00794ED7">
        <w:rPr>
          <w:rFonts w:cstheme="minorHAnsi"/>
        </w:rPr>
        <w:t xml:space="preserve"> An IP address serves to identif</w:t>
      </w:r>
      <w:r>
        <w:rPr>
          <w:rFonts w:cstheme="minorHAnsi"/>
        </w:rPr>
        <w:t>y</w:t>
      </w:r>
      <w:r w:rsidRPr="00794ED7">
        <w:rPr>
          <w:rFonts w:cstheme="minorHAnsi"/>
        </w:rPr>
        <w:t xml:space="preserve"> devices and </w:t>
      </w:r>
      <w:r>
        <w:rPr>
          <w:rFonts w:cstheme="minorHAnsi"/>
        </w:rPr>
        <w:t>their</w:t>
      </w:r>
      <w:r w:rsidRPr="00794ED7">
        <w:rPr>
          <w:rFonts w:cstheme="minorHAnsi"/>
        </w:rPr>
        <w:t xml:space="preserve"> location. </w:t>
      </w:r>
      <w:r w:rsidRPr="00794ED7">
        <w:rPr>
          <w:rFonts w:cstheme="minorHAnsi"/>
          <w:color w:val="333333"/>
          <w:lang w:val="en"/>
        </w:rPr>
        <w:t>This effects</w:t>
      </w:r>
      <w:r>
        <w:rPr>
          <w:rFonts w:cstheme="minorHAnsi"/>
          <w:color w:val="333333"/>
          <w:lang w:val="en"/>
        </w:rPr>
        <w:t xml:space="preserve"> all</w:t>
      </w:r>
      <w:r w:rsidRPr="00794ED7">
        <w:rPr>
          <w:rFonts w:cstheme="minorHAnsi"/>
          <w:color w:val="333333"/>
          <w:lang w:val="en"/>
        </w:rPr>
        <w:t xml:space="preserve"> devices such as computers</w:t>
      </w:r>
      <w:r>
        <w:rPr>
          <w:rFonts w:cstheme="minorHAnsi"/>
          <w:color w:val="333333"/>
          <w:lang w:val="en"/>
        </w:rPr>
        <w:t xml:space="preserve"> and</w:t>
      </w:r>
      <w:r w:rsidRPr="00794ED7">
        <w:rPr>
          <w:rFonts w:cstheme="minorHAnsi"/>
          <w:color w:val="333333"/>
          <w:lang w:val="en"/>
        </w:rPr>
        <w:t xml:space="preserve"> mobile phones that </w:t>
      </w:r>
      <w:r>
        <w:rPr>
          <w:rFonts w:cstheme="minorHAnsi"/>
          <w:color w:val="333333"/>
          <w:lang w:val="en"/>
        </w:rPr>
        <w:t>have internet connectivity. When you think of the millions of devices around the world, you realize the scope of IP addressing</w:t>
      </w:r>
      <w:r>
        <w:rPr>
          <w:rFonts w:cstheme="minorHAnsi"/>
        </w:rPr>
        <w:t xml:space="preserve">. </w:t>
      </w:r>
      <w:r w:rsidRPr="00794ED7">
        <w:rPr>
          <w:rFonts w:cstheme="minorHAnsi"/>
        </w:rPr>
        <w:t>With this understanding we can know look further in</w:t>
      </w:r>
      <w:r>
        <w:rPr>
          <w:rFonts w:cstheme="minorHAnsi"/>
        </w:rPr>
        <w:t>to</w:t>
      </w:r>
      <w:r w:rsidRPr="00794ED7">
        <w:rPr>
          <w:rFonts w:cstheme="minorHAnsi"/>
        </w:rPr>
        <w:t xml:space="preserve"> understanding b</w:t>
      </w:r>
      <w:r>
        <w:rPr>
          <w:rFonts w:cstheme="minorHAnsi"/>
        </w:rPr>
        <w:t>o</w:t>
      </w:r>
      <w:r w:rsidRPr="00794ED7">
        <w:rPr>
          <w:rFonts w:cstheme="minorHAnsi"/>
        </w:rPr>
        <w:t xml:space="preserve">th IPv4 and IPv6 addressing. </w:t>
      </w:r>
    </w:p>
    <w:p w14:paraId="66625615" w14:textId="77777777" w:rsidR="0032173B" w:rsidRPr="00794ED7" w:rsidRDefault="0032173B" w:rsidP="0032173B">
      <w:pPr>
        <w:rPr>
          <w:rFonts w:cstheme="minorHAnsi"/>
          <w:color w:val="333333"/>
          <w:lang w:val="en"/>
        </w:rPr>
      </w:pPr>
      <w:r w:rsidRPr="00794ED7">
        <w:rPr>
          <w:rFonts w:cstheme="minorHAnsi"/>
        </w:rPr>
        <w:t xml:space="preserve">The Internet Society states </w:t>
      </w:r>
      <w:proofErr w:type="gramStart"/>
      <w:r w:rsidRPr="00794ED7">
        <w:rPr>
          <w:rFonts w:cstheme="minorHAnsi"/>
        </w:rPr>
        <w:t>that  “</w:t>
      </w:r>
      <w:proofErr w:type="gramEnd"/>
      <w:r w:rsidRPr="00794ED7">
        <w:rPr>
          <w:rFonts w:cstheme="minorHAnsi"/>
          <w:color w:val="0C1C2C"/>
        </w:rPr>
        <w:t xml:space="preserve">IPv6 is the next generation Internet Protocol (IP) standard intended to eventually replace IPv4, the protocol many Internet services still use today.” </w:t>
      </w:r>
      <w:r>
        <w:rPr>
          <w:rFonts w:cstheme="minorHAnsi"/>
          <w:color w:val="333333"/>
          <w:lang w:val="en"/>
        </w:rPr>
        <w:t xml:space="preserve">[1]. </w:t>
      </w:r>
      <w:r w:rsidRPr="00794ED7">
        <w:rPr>
          <w:rFonts w:cstheme="minorHAnsi"/>
          <w:color w:val="333333"/>
          <w:lang w:val="en"/>
        </w:rPr>
        <w:t>This give us an insight in to how to compare</w:t>
      </w:r>
      <w:r>
        <w:rPr>
          <w:rFonts w:cstheme="minorHAnsi"/>
          <w:color w:val="333333"/>
          <w:lang w:val="en"/>
        </w:rPr>
        <w:t xml:space="preserve"> them</w:t>
      </w:r>
      <w:r w:rsidRPr="00794ED7">
        <w:rPr>
          <w:rFonts w:cstheme="minorHAnsi"/>
          <w:color w:val="333333"/>
          <w:lang w:val="en"/>
        </w:rPr>
        <w:t xml:space="preserve"> against each other. Differences between the two are that IPv4 is </w:t>
      </w:r>
      <w:r>
        <w:rPr>
          <w:rFonts w:cstheme="minorHAnsi"/>
          <w:color w:val="333333"/>
          <w:lang w:val="en"/>
        </w:rPr>
        <w:t>32 bits</w:t>
      </w:r>
      <w:r w:rsidRPr="00794ED7">
        <w:rPr>
          <w:rFonts w:cstheme="minorHAnsi"/>
          <w:color w:val="333333"/>
          <w:lang w:val="en"/>
        </w:rPr>
        <w:t xml:space="preserve"> and has a total range of 4.3 billion possible addresses. In comparison IPv6 is 128 </w:t>
      </w:r>
      <w:proofErr w:type="gramStart"/>
      <w:r w:rsidRPr="00794ED7">
        <w:rPr>
          <w:rFonts w:cstheme="minorHAnsi"/>
          <w:color w:val="333333"/>
          <w:lang w:val="en"/>
        </w:rPr>
        <w:t>bits,  and</w:t>
      </w:r>
      <w:proofErr w:type="gramEnd"/>
      <w:r w:rsidRPr="00794ED7">
        <w:rPr>
          <w:rFonts w:cstheme="minorHAnsi"/>
          <w:color w:val="333333"/>
          <w:lang w:val="en"/>
        </w:rPr>
        <w:t xml:space="preserve"> has a total range of 340 undecillion possible addresses. Any device that connects to the internet will need a numerical IP address. This is so </w:t>
      </w:r>
      <w:r>
        <w:rPr>
          <w:rFonts w:cstheme="minorHAnsi"/>
          <w:color w:val="333333"/>
          <w:lang w:val="en"/>
        </w:rPr>
        <w:t xml:space="preserve">that </w:t>
      </w:r>
      <w:r w:rsidRPr="00794ED7">
        <w:rPr>
          <w:rFonts w:cstheme="minorHAnsi"/>
          <w:color w:val="333333"/>
          <w:lang w:val="en"/>
        </w:rPr>
        <w:t>the</w:t>
      </w:r>
      <w:r>
        <w:rPr>
          <w:rFonts w:cstheme="minorHAnsi"/>
          <w:color w:val="333333"/>
          <w:lang w:val="en"/>
        </w:rPr>
        <w:t xml:space="preserve"> device</w:t>
      </w:r>
      <w:r w:rsidRPr="00794ED7">
        <w:rPr>
          <w:rFonts w:cstheme="minorHAnsi"/>
          <w:color w:val="333333"/>
          <w:lang w:val="en"/>
        </w:rPr>
        <w:t xml:space="preserve"> can communicate with other devices. I</w:t>
      </w:r>
      <w:r>
        <w:rPr>
          <w:rFonts w:cstheme="minorHAnsi"/>
          <w:color w:val="333333"/>
          <w:lang w:val="en"/>
        </w:rPr>
        <w:t>P</w:t>
      </w:r>
      <w:r w:rsidRPr="00794ED7">
        <w:rPr>
          <w:rFonts w:cstheme="minorHAnsi"/>
          <w:color w:val="333333"/>
          <w:lang w:val="en"/>
        </w:rPr>
        <w:t xml:space="preserve">v4 was the original IP address scheme. </w:t>
      </w:r>
      <w:proofErr w:type="spellStart"/>
      <w:r w:rsidRPr="00794ED7">
        <w:rPr>
          <w:rFonts w:cstheme="minorHAnsi"/>
          <w:color w:val="333333"/>
          <w:lang w:val="en"/>
        </w:rPr>
        <w:t>Comparitech</w:t>
      </w:r>
      <w:proofErr w:type="spellEnd"/>
      <w:r w:rsidRPr="00794ED7">
        <w:rPr>
          <w:rFonts w:cstheme="minorHAnsi"/>
          <w:color w:val="333333"/>
          <w:lang w:val="en"/>
        </w:rPr>
        <w:t xml:space="preserve"> states that “</w:t>
      </w:r>
      <w:r w:rsidRPr="00794ED7">
        <w:rPr>
          <w:rFonts w:cstheme="minorHAnsi"/>
          <w:color w:val="444444"/>
        </w:rPr>
        <w:t>IPv4 was created in 1983 before the internet ever went global, and yet it remains the primary means of routing internet traffic between devices today</w:t>
      </w:r>
      <w:proofErr w:type="gramStart"/>
      <w:r w:rsidRPr="00794ED7">
        <w:rPr>
          <w:rFonts w:cstheme="minorHAnsi"/>
          <w:color w:val="444444"/>
        </w:rPr>
        <w:t>.”</w:t>
      </w:r>
      <w:r>
        <w:rPr>
          <w:rFonts w:cstheme="minorHAnsi"/>
          <w:color w:val="444444"/>
        </w:rPr>
        <w:t>[</w:t>
      </w:r>
      <w:proofErr w:type="gramEnd"/>
      <w:r>
        <w:rPr>
          <w:rFonts w:cstheme="minorHAnsi"/>
          <w:color w:val="444444"/>
        </w:rPr>
        <w:t>2].</w:t>
      </w:r>
      <w:r w:rsidRPr="00794ED7">
        <w:rPr>
          <w:rFonts w:cstheme="minorHAnsi"/>
          <w:color w:val="444444"/>
        </w:rPr>
        <w:t xml:space="preserve"> </w:t>
      </w:r>
      <w:r w:rsidRPr="00794ED7">
        <w:rPr>
          <w:rFonts w:cstheme="minorHAnsi"/>
          <w:iCs/>
          <w:color w:val="000000" w:themeColor="text1"/>
        </w:rPr>
        <w:t xml:space="preserve"> </w:t>
      </w:r>
      <w:proofErr w:type="gramStart"/>
      <w:r w:rsidRPr="00794ED7">
        <w:rPr>
          <w:rFonts w:cstheme="minorHAnsi"/>
          <w:iCs/>
          <w:color w:val="000000" w:themeColor="text1"/>
        </w:rPr>
        <w:t>However</w:t>
      </w:r>
      <w:proofErr w:type="gramEnd"/>
      <w:r w:rsidRPr="00794ED7">
        <w:rPr>
          <w:rFonts w:cstheme="minorHAnsi"/>
          <w:iCs/>
          <w:color w:val="000000" w:themeColor="text1"/>
        </w:rPr>
        <w:t xml:space="preserve"> </w:t>
      </w:r>
      <w:r w:rsidRPr="00794ED7">
        <w:rPr>
          <w:rFonts w:cstheme="minorHAnsi"/>
          <w:color w:val="333333"/>
          <w:lang w:val="en"/>
        </w:rPr>
        <w:t xml:space="preserve">IPv4 is running out of addresses which is why </w:t>
      </w:r>
      <w:r>
        <w:rPr>
          <w:rFonts w:cstheme="minorHAnsi"/>
          <w:color w:val="333333"/>
          <w:lang w:val="en"/>
        </w:rPr>
        <w:t>the need for Ipv6 has come into play.</w:t>
      </w:r>
    </w:p>
    <w:p w14:paraId="658D5538" w14:textId="77777777" w:rsidR="0032173B" w:rsidRPr="00794ED7" w:rsidRDefault="0032173B" w:rsidP="0032173B">
      <w:pPr>
        <w:rPr>
          <w:rFonts w:cstheme="minorHAnsi"/>
          <w:iCs/>
          <w:color w:val="000000" w:themeColor="text1"/>
        </w:rPr>
      </w:pPr>
    </w:p>
    <w:p w14:paraId="7A0B2D44" w14:textId="77777777" w:rsidR="0032173B" w:rsidRPr="00794ED7" w:rsidRDefault="0032173B" w:rsidP="0032173B">
      <w:pPr>
        <w:rPr>
          <w:rFonts w:cstheme="minorHAnsi"/>
          <w:iCs/>
          <w:color w:val="000000" w:themeColor="text1"/>
        </w:rPr>
      </w:pPr>
      <w:r w:rsidRPr="00794ED7">
        <w:rPr>
          <w:rFonts w:cstheme="minorHAnsi"/>
          <w:color w:val="333333"/>
          <w:lang w:val="en"/>
        </w:rPr>
        <w:t xml:space="preserve">It’s interesting to </w:t>
      </w:r>
      <w:r>
        <w:rPr>
          <w:rFonts w:cstheme="minorHAnsi"/>
          <w:color w:val="333333"/>
          <w:lang w:val="en"/>
        </w:rPr>
        <w:t>compare the security of</w:t>
      </w:r>
      <w:r w:rsidRPr="00794ED7">
        <w:rPr>
          <w:rFonts w:cstheme="minorHAnsi"/>
          <w:color w:val="333333"/>
          <w:lang w:val="en"/>
        </w:rPr>
        <w:t xml:space="preserve"> IPv4 and IPv</w:t>
      </w:r>
      <w:proofErr w:type="gramStart"/>
      <w:r w:rsidRPr="00794ED7">
        <w:rPr>
          <w:rFonts w:cstheme="minorHAnsi"/>
          <w:color w:val="333333"/>
          <w:lang w:val="en"/>
        </w:rPr>
        <w:t>6 .</w:t>
      </w:r>
      <w:proofErr w:type="gramEnd"/>
      <w:r w:rsidRPr="00794ED7">
        <w:rPr>
          <w:rFonts w:cstheme="minorHAnsi"/>
          <w:color w:val="333333"/>
          <w:lang w:val="en"/>
        </w:rPr>
        <w:t xml:space="preserve"> Security </w:t>
      </w:r>
      <w:r>
        <w:rPr>
          <w:rFonts w:cstheme="minorHAnsi"/>
          <w:color w:val="333333"/>
          <w:lang w:val="en"/>
        </w:rPr>
        <w:t>was and is a key factor</w:t>
      </w:r>
      <w:r w:rsidRPr="00794ED7">
        <w:rPr>
          <w:rFonts w:cstheme="minorHAnsi"/>
          <w:color w:val="333333"/>
          <w:lang w:val="en"/>
        </w:rPr>
        <w:t xml:space="preserve"> during the development of IPv4 and IPv6 networks. This</w:t>
      </w:r>
      <w:r>
        <w:rPr>
          <w:rFonts w:cstheme="minorHAnsi"/>
          <w:color w:val="333333"/>
          <w:lang w:val="en"/>
        </w:rPr>
        <w:t xml:space="preserve"> is</w:t>
      </w:r>
      <w:r w:rsidRPr="00794ED7">
        <w:rPr>
          <w:rFonts w:cstheme="minorHAnsi"/>
          <w:color w:val="333333"/>
          <w:lang w:val="en"/>
        </w:rPr>
        <w:t xml:space="preserve"> especially true when it come</w:t>
      </w:r>
      <w:r>
        <w:rPr>
          <w:rFonts w:cstheme="minorHAnsi"/>
          <w:color w:val="333333"/>
          <w:lang w:val="en"/>
        </w:rPr>
        <w:t>s to</w:t>
      </w:r>
      <w:r w:rsidRPr="00794ED7">
        <w:rPr>
          <w:rFonts w:cstheme="minorHAnsi"/>
          <w:color w:val="333333"/>
          <w:lang w:val="en"/>
        </w:rPr>
        <w:t xml:space="preserve"> I</w:t>
      </w:r>
      <w:r>
        <w:rPr>
          <w:rFonts w:cstheme="minorHAnsi"/>
          <w:color w:val="333333"/>
          <w:lang w:val="en"/>
        </w:rPr>
        <w:t>P</w:t>
      </w:r>
      <w:r w:rsidRPr="00794ED7">
        <w:rPr>
          <w:rFonts w:cstheme="minorHAnsi"/>
          <w:color w:val="333333"/>
          <w:lang w:val="en"/>
        </w:rPr>
        <w:t>v6 which</w:t>
      </w:r>
      <w:r>
        <w:rPr>
          <w:rFonts w:cstheme="minorHAnsi"/>
          <w:color w:val="333333"/>
          <w:lang w:val="en"/>
        </w:rPr>
        <w:t>, moving forward will be likely used on a broader scale</w:t>
      </w:r>
      <w:r w:rsidRPr="00794ED7">
        <w:rPr>
          <w:rFonts w:cstheme="minorHAnsi"/>
          <w:color w:val="333333"/>
          <w:lang w:val="en"/>
        </w:rPr>
        <w:t>.  The Search Networking states that “</w:t>
      </w:r>
      <w:r w:rsidRPr="00794ED7">
        <w:rPr>
          <w:rFonts w:cstheme="minorHAnsi"/>
          <w:iCs/>
          <w:color w:val="000000" w:themeColor="text1"/>
        </w:rPr>
        <w:t>IPv6 auto-configured addresses have three security implications: They allow attackers to reduce the search space when performing address scanning attacks, they allow correlation of node activities within a network and they can make host tracking easier.”</w:t>
      </w:r>
      <w:r>
        <w:rPr>
          <w:rFonts w:cstheme="minorHAnsi"/>
          <w:iCs/>
          <w:color w:val="000000" w:themeColor="text1"/>
        </w:rPr>
        <w:t>[3].</w:t>
      </w:r>
      <w:r w:rsidRPr="00794ED7">
        <w:rPr>
          <w:rFonts w:cstheme="minorHAnsi"/>
          <w:iCs/>
          <w:color w:val="000000" w:themeColor="text1"/>
        </w:rPr>
        <w:t xml:space="preserve"> These vulnerabilities </w:t>
      </w:r>
      <w:r>
        <w:rPr>
          <w:rFonts w:cstheme="minorHAnsi"/>
          <w:iCs/>
          <w:color w:val="000000" w:themeColor="text1"/>
        </w:rPr>
        <w:t>highlight</w:t>
      </w:r>
      <w:r w:rsidRPr="00794ED7">
        <w:rPr>
          <w:rFonts w:cstheme="minorHAnsi"/>
          <w:iCs/>
          <w:color w:val="000000" w:themeColor="text1"/>
        </w:rPr>
        <w:t xml:space="preserve"> the</w:t>
      </w:r>
      <w:r>
        <w:rPr>
          <w:rFonts w:cstheme="minorHAnsi"/>
          <w:iCs/>
          <w:color w:val="000000" w:themeColor="text1"/>
        </w:rPr>
        <w:t xml:space="preserve"> complexity and scope when </w:t>
      </w:r>
      <w:r w:rsidRPr="00794ED7">
        <w:rPr>
          <w:rFonts w:cstheme="minorHAnsi"/>
          <w:iCs/>
          <w:color w:val="000000" w:themeColor="text1"/>
        </w:rPr>
        <w:t>consider</w:t>
      </w:r>
      <w:r>
        <w:rPr>
          <w:rFonts w:cstheme="minorHAnsi"/>
          <w:iCs/>
          <w:color w:val="000000" w:themeColor="text1"/>
        </w:rPr>
        <w:t>ing security</w:t>
      </w:r>
      <w:r w:rsidRPr="00794ED7">
        <w:rPr>
          <w:rFonts w:cstheme="minorHAnsi"/>
          <w:iCs/>
          <w:color w:val="000000" w:themeColor="text1"/>
        </w:rPr>
        <w:t xml:space="preserve"> at length. Although IPv6 could </w:t>
      </w:r>
      <w:proofErr w:type="gramStart"/>
      <w:r w:rsidRPr="00794ED7">
        <w:rPr>
          <w:rFonts w:cstheme="minorHAnsi"/>
          <w:iCs/>
          <w:color w:val="000000" w:themeColor="text1"/>
        </w:rPr>
        <w:t>be seen as</w:t>
      </w:r>
      <w:proofErr w:type="gramEnd"/>
      <w:r w:rsidRPr="00794ED7">
        <w:rPr>
          <w:rFonts w:cstheme="minorHAnsi"/>
          <w:iCs/>
          <w:color w:val="000000" w:themeColor="text1"/>
        </w:rPr>
        <w:t xml:space="preserve"> IPv4 with more space, there are a </w:t>
      </w:r>
      <w:r>
        <w:rPr>
          <w:rFonts w:cstheme="minorHAnsi"/>
          <w:iCs/>
          <w:color w:val="000000" w:themeColor="text1"/>
        </w:rPr>
        <w:t>number of</w:t>
      </w:r>
      <w:r w:rsidRPr="00794ED7">
        <w:rPr>
          <w:rFonts w:cstheme="minorHAnsi"/>
          <w:iCs/>
          <w:color w:val="000000" w:themeColor="text1"/>
        </w:rPr>
        <w:t xml:space="preserve"> differences that se</w:t>
      </w:r>
      <w:r>
        <w:rPr>
          <w:rFonts w:cstheme="minorHAnsi"/>
          <w:iCs/>
          <w:color w:val="000000" w:themeColor="text1"/>
        </w:rPr>
        <w:t>t</w:t>
      </w:r>
      <w:r w:rsidRPr="00794ED7">
        <w:rPr>
          <w:rFonts w:cstheme="minorHAnsi"/>
          <w:iCs/>
          <w:color w:val="000000" w:themeColor="text1"/>
        </w:rPr>
        <w:t xml:space="preserve"> them apart </w:t>
      </w:r>
      <w:r>
        <w:rPr>
          <w:rFonts w:cstheme="minorHAnsi"/>
          <w:iCs/>
          <w:color w:val="000000" w:themeColor="text1"/>
        </w:rPr>
        <w:t>from a security standpoint.</w:t>
      </w:r>
      <w:r w:rsidRPr="00794ED7">
        <w:rPr>
          <w:rFonts w:cstheme="minorHAnsi"/>
          <w:iCs/>
          <w:color w:val="000000" w:themeColor="text1"/>
        </w:rPr>
        <w:t xml:space="preserve"> </w:t>
      </w:r>
      <w:proofErr w:type="spellStart"/>
      <w:r w:rsidRPr="00794ED7">
        <w:rPr>
          <w:rFonts w:cstheme="minorHAnsi"/>
          <w:color w:val="333333"/>
          <w:lang w:val="en"/>
        </w:rPr>
        <w:t>Comparitech</w:t>
      </w:r>
      <w:proofErr w:type="spellEnd"/>
      <w:r w:rsidRPr="00794ED7">
        <w:rPr>
          <w:rFonts w:cstheme="minorHAnsi"/>
          <w:color w:val="333333"/>
          <w:lang w:val="en"/>
        </w:rPr>
        <w:t xml:space="preserve"> states that the following characteristics set the IPv6 </w:t>
      </w:r>
      <w:r>
        <w:rPr>
          <w:rFonts w:cstheme="minorHAnsi"/>
          <w:color w:val="333333"/>
          <w:lang w:val="en"/>
        </w:rPr>
        <w:t>a</w:t>
      </w:r>
      <w:r w:rsidRPr="00794ED7">
        <w:rPr>
          <w:rFonts w:cstheme="minorHAnsi"/>
          <w:color w:val="333333"/>
          <w:lang w:val="en"/>
        </w:rPr>
        <w:t>part. These differences are</w:t>
      </w:r>
      <w:r w:rsidRPr="00794ED7">
        <w:rPr>
          <w:rFonts w:cstheme="minorHAnsi"/>
          <w:iCs/>
          <w:color w:val="000000" w:themeColor="text1"/>
        </w:rPr>
        <w:t xml:space="preserve"> as follow</w:t>
      </w:r>
      <w:r>
        <w:rPr>
          <w:rFonts w:cstheme="minorHAnsi"/>
          <w:iCs/>
          <w:color w:val="000000" w:themeColor="text1"/>
        </w:rPr>
        <w:t>ed</w:t>
      </w:r>
      <w:r w:rsidRPr="00794ED7">
        <w:rPr>
          <w:rFonts w:cstheme="minorHAnsi"/>
          <w:iCs/>
          <w:color w:val="000000" w:themeColor="text1"/>
        </w:rPr>
        <w:t xml:space="preserve"> “</w:t>
      </w:r>
      <w:r w:rsidRPr="00794ED7">
        <w:rPr>
          <w:rFonts w:cstheme="minorHAnsi"/>
          <w:bCs/>
          <w:color w:val="444444"/>
        </w:rPr>
        <w:t>Multicasting</w:t>
      </w:r>
      <w:r w:rsidRPr="00794ED7">
        <w:rPr>
          <w:rFonts w:cstheme="minorHAnsi"/>
          <w:color w:val="444444"/>
        </w:rPr>
        <w:t xml:space="preserve"> allows a single packet to be transmitted to multiple destinations in a single send operation. A</w:t>
      </w:r>
      <w:r w:rsidRPr="00BF33B4">
        <w:rPr>
          <w:rFonts w:cstheme="minorHAnsi"/>
          <w:color w:val="444444"/>
        </w:rPr>
        <w:t>utoconfiguration allows devices to automatically configure their IP address and other parameters without the need for a server</w:t>
      </w:r>
      <w:r w:rsidRPr="00794ED7">
        <w:rPr>
          <w:rFonts w:cstheme="minorHAnsi"/>
          <w:iCs/>
          <w:color w:val="000000" w:themeColor="text1"/>
        </w:rPr>
        <w:t xml:space="preserve">. </w:t>
      </w:r>
      <w:r w:rsidRPr="00BF33B4">
        <w:rPr>
          <w:rFonts w:cstheme="minorHAnsi"/>
          <w:color w:val="444444"/>
        </w:rPr>
        <w:t xml:space="preserve">Network-layer security adds </w:t>
      </w:r>
      <w:proofErr w:type="spellStart"/>
      <w:r w:rsidRPr="00BF33B4">
        <w:rPr>
          <w:rFonts w:cstheme="minorHAnsi"/>
          <w:color w:val="444444"/>
        </w:rPr>
        <w:t>IPSec</w:t>
      </w:r>
      <w:proofErr w:type="spellEnd"/>
      <w:r w:rsidRPr="00BF33B4">
        <w:rPr>
          <w:rFonts w:cstheme="minorHAnsi"/>
          <w:color w:val="444444"/>
        </w:rPr>
        <w:t xml:space="preserve"> encryption to all nodes, though it’s no longer a strict requirement</w:t>
      </w:r>
      <w:r w:rsidRPr="00794ED7">
        <w:rPr>
          <w:rFonts w:cstheme="minorHAnsi"/>
          <w:iCs/>
          <w:color w:val="000000" w:themeColor="text1"/>
        </w:rPr>
        <w:t xml:space="preserve">. </w:t>
      </w:r>
      <w:r w:rsidRPr="00BF33B4">
        <w:rPr>
          <w:rFonts w:cstheme="minorHAnsi"/>
          <w:color w:val="444444"/>
        </w:rPr>
        <w:t>IPv6 will work better on mobile devices by eliminating triangular routing</w:t>
      </w:r>
      <w:r w:rsidRPr="00794ED7">
        <w:rPr>
          <w:rFonts w:cstheme="minorHAnsi"/>
          <w:iCs/>
          <w:color w:val="000000" w:themeColor="text1"/>
        </w:rPr>
        <w:t xml:space="preserve">. </w:t>
      </w:r>
      <w:r w:rsidRPr="00794ED7">
        <w:rPr>
          <w:rFonts w:cstheme="minorHAnsi"/>
          <w:color w:val="444444"/>
        </w:rPr>
        <w:t xml:space="preserve">The processing required by routers handling requests is much more efficient and simplified”. </w:t>
      </w:r>
      <w:r>
        <w:rPr>
          <w:rFonts w:cstheme="minorHAnsi"/>
          <w:color w:val="444444"/>
        </w:rPr>
        <w:t>[1].</w:t>
      </w:r>
      <w:r w:rsidRPr="00794ED7">
        <w:rPr>
          <w:rFonts w:cstheme="minorHAnsi"/>
          <w:color w:val="444444"/>
        </w:rPr>
        <w:t xml:space="preserve"> </w:t>
      </w:r>
      <w:r>
        <w:rPr>
          <w:rFonts w:cstheme="minorHAnsi"/>
          <w:color w:val="444444"/>
        </w:rPr>
        <w:t xml:space="preserve">This list shows that whilst also having more room, there are also improvements made that will be beneficial when the transition over to IPv6 is compete. After researching both IPv4 and IPv6 with regards to security, there are both similarities and differences to consider. </w:t>
      </w:r>
    </w:p>
    <w:p w14:paraId="19D4876F" w14:textId="77777777" w:rsidR="0032173B" w:rsidRPr="00794ED7" w:rsidRDefault="0032173B" w:rsidP="0032173B">
      <w:pPr>
        <w:rPr>
          <w:rFonts w:cstheme="minorHAnsi"/>
          <w:iCs/>
          <w:color w:val="000000" w:themeColor="text1"/>
        </w:rPr>
      </w:pPr>
    </w:p>
    <w:p w14:paraId="095C7F60" w14:textId="77777777" w:rsidR="0032173B" w:rsidRDefault="0032173B" w:rsidP="0032173B">
      <w:pPr>
        <w:rPr>
          <w:rFonts w:cstheme="minorHAnsi"/>
          <w:color w:val="444444"/>
        </w:rPr>
      </w:pPr>
      <w:r w:rsidRPr="00794ED7">
        <w:rPr>
          <w:rFonts w:cstheme="minorHAnsi"/>
          <w:iCs/>
          <w:color w:val="000000" w:themeColor="text1"/>
        </w:rPr>
        <w:t xml:space="preserve">Another interesting area to discuss in the transition </w:t>
      </w:r>
      <w:r>
        <w:rPr>
          <w:rFonts w:cstheme="minorHAnsi"/>
          <w:iCs/>
          <w:color w:val="000000" w:themeColor="text1"/>
        </w:rPr>
        <w:t>from</w:t>
      </w:r>
      <w:r w:rsidRPr="00794ED7">
        <w:rPr>
          <w:rFonts w:cstheme="minorHAnsi"/>
          <w:iCs/>
          <w:color w:val="000000" w:themeColor="text1"/>
        </w:rPr>
        <w:t xml:space="preserve"> IPv4 </w:t>
      </w:r>
      <w:r>
        <w:rPr>
          <w:rFonts w:cstheme="minorHAnsi"/>
          <w:iCs/>
          <w:color w:val="000000" w:themeColor="text1"/>
        </w:rPr>
        <w:t>to</w:t>
      </w:r>
      <w:r w:rsidRPr="00794ED7">
        <w:rPr>
          <w:rFonts w:cstheme="minorHAnsi"/>
          <w:iCs/>
          <w:color w:val="000000" w:themeColor="text1"/>
        </w:rPr>
        <w:t xml:space="preserve"> IPv6. </w:t>
      </w:r>
      <w:proofErr w:type="spellStart"/>
      <w:r w:rsidRPr="00794ED7">
        <w:rPr>
          <w:rFonts w:cstheme="minorHAnsi"/>
          <w:color w:val="333333"/>
          <w:lang w:val="en"/>
        </w:rPr>
        <w:t>Comparitech</w:t>
      </w:r>
      <w:proofErr w:type="spellEnd"/>
      <w:r w:rsidRPr="00794ED7">
        <w:rPr>
          <w:rFonts w:cstheme="minorHAnsi"/>
          <w:color w:val="333333"/>
          <w:lang w:val="en"/>
        </w:rPr>
        <w:t xml:space="preserve"> states that</w:t>
      </w:r>
      <w:r w:rsidRPr="00794ED7">
        <w:rPr>
          <w:rFonts w:cstheme="minorHAnsi"/>
          <w:iCs/>
          <w:color w:val="000000" w:themeColor="text1"/>
        </w:rPr>
        <w:t xml:space="preserve"> “</w:t>
      </w:r>
      <w:r w:rsidRPr="00794ED7">
        <w:rPr>
          <w:rFonts w:cstheme="minorHAnsi"/>
          <w:color w:val="444444"/>
        </w:rPr>
        <w:t xml:space="preserve">The transition process has been slow. The bottleneck primarily lies with internet service providers, but also with data </w:t>
      </w:r>
      <w:proofErr w:type="spellStart"/>
      <w:r w:rsidRPr="00794ED7">
        <w:rPr>
          <w:rFonts w:cstheme="minorHAnsi"/>
          <w:color w:val="444444"/>
        </w:rPr>
        <w:t>cent</w:t>
      </w:r>
      <w:r>
        <w:rPr>
          <w:rFonts w:cstheme="minorHAnsi"/>
          <w:color w:val="444444"/>
        </w:rPr>
        <w:t>er</w:t>
      </w:r>
      <w:proofErr w:type="spellEnd"/>
      <w:r w:rsidRPr="00794ED7">
        <w:rPr>
          <w:rFonts w:cstheme="minorHAnsi"/>
          <w:color w:val="444444"/>
        </w:rPr>
        <w:t xml:space="preserve"> and end users.” </w:t>
      </w:r>
      <w:r>
        <w:rPr>
          <w:rFonts w:cstheme="minorHAnsi"/>
          <w:color w:val="444444"/>
        </w:rPr>
        <w:t xml:space="preserve">[1]. </w:t>
      </w:r>
      <w:r w:rsidRPr="00794ED7">
        <w:rPr>
          <w:rFonts w:cstheme="minorHAnsi"/>
          <w:color w:val="444444"/>
        </w:rPr>
        <w:t xml:space="preserve"> This shows that there are a few factors as to why the transition period is gradually happening</w:t>
      </w:r>
      <w:r>
        <w:rPr>
          <w:rFonts w:cstheme="minorHAnsi"/>
          <w:color w:val="444444"/>
        </w:rPr>
        <w:t>, instead of right away</w:t>
      </w:r>
      <w:r w:rsidRPr="00794ED7">
        <w:rPr>
          <w:rFonts w:cstheme="minorHAnsi"/>
          <w:color w:val="444444"/>
        </w:rPr>
        <w:t xml:space="preserve">. Although the length of time taken could be </w:t>
      </w:r>
      <w:r>
        <w:rPr>
          <w:rFonts w:cstheme="minorHAnsi"/>
          <w:color w:val="444444"/>
        </w:rPr>
        <w:t xml:space="preserve">viewed </w:t>
      </w:r>
      <w:r w:rsidRPr="00794ED7">
        <w:rPr>
          <w:rFonts w:cstheme="minorHAnsi"/>
          <w:color w:val="444444"/>
        </w:rPr>
        <w:t xml:space="preserve">as a negative, it could also be </w:t>
      </w:r>
      <w:r>
        <w:rPr>
          <w:rFonts w:cstheme="minorHAnsi"/>
          <w:color w:val="444444"/>
        </w:rPr>
        <w:t>viewed</w:t>
      </w:r>
      <w:r w:rsidRPr="00794ED7">
        <w:rPr>
          <w:rFonts w:cstheme="minorHAnsi"/>
          <w:color w:val="444444"/>
        </w:rPr>
        <w:t xml:space="preserve"> as a positive. When more time is taken, this can reflect that more care and preparation has been put in place.</w:t>
      </w:r>
      <w:r>
        <w:rPr>
          <w:rFonts w:cstheme="minorHAnsi"/>
          <w:color w:val="444444"/>
        </w:rPr>
        <w:t xml:space="preserve"> The primary factor</w:t>
      </w:r>
      <w:r w:rsidRPr="00794ED7">
        <w:rPr>
          <w:rFonts w:cstheme="minorHAnsi"/>
          <w:color w:val="444444"/>
        </w:rPr>
        <w:t xml:space="preserve"> that could be holding up the trans</w:t>
      </w:r>
      <w:r>
        <w:rPr>
          <w:rFonts w:cstheme="minorHAnsi"/>
          <w:color w:val="444444"/>
        </w:rPr>
        <w:t>ition</w:t>
      </w:r>
      <w:r w:rsidRPr="00794ED7">
        <w:rPr>
          <w:rFonts w:cstheme="minorHAnsi"/>
          <w:color w:val="444444"/>
        </w:rPr>
        <w:t xml:space="preserve"> is</w:t>
      </w:r>
      <w:r>
        <w:rPr>
          <w:rFonts w:cstheme="minorHAnsi"/>
          <w:color w:val="444444"/>
        </w:rPr>
        <w:t xml:space="preserve"> the</w:t>
      </w:r>
      <w:r w:rsidRPr="00794ED7">
        <w:rPr>
          <w:rFonts w:cstheme="minorHAnsi"/>
          <w:color w:val="444444"/>
        </w:rPr>
        <w:t xml:space="preserve"> cost</w:t>
      </w:r>
      <w:r>
        <w:rPr>
          <w:rFonts w:cstheme="minorHAnsi"/>
          <w:color w:val="444444"/>
        </w:rPr>
        <w:t>, or the notion that upgrading to IPV6 will be expensive</w:t>
      </w:r>
      <w:r w:rsidRPr="00794ED7">
        <w:rPr>
          <w:rFonts w:cstheme="minorHAnsi"/>
          <w:color w:val="444444"/>
        </w:rPr>
        <w:t xml:space="preserve">. Any upgrades can be both costly and time consuming. This is especially true when it </w:t>
      </w:r>
      <w:proofErr w:type="spellStart"/>
      <w:r w:rsidRPr="00794ED7">
        <w:rPr>
          <w:rFonts w:cstheme="minorHAnsi"/>
          <w:color w:val="444444"/>
        </w:rPr>
        <w:t>come</w:t>
      </w:r>
      <w:proofErr w:type="spellEnd"/>
      <w:r w:rsidRPr="00794ED7">
        <w:rPr>
          <w:rFonts w:cstheme="minorHAnsi"/>
          <w:color w:val="444444"/>
        </w:rPr>
        <w:t xml:space="preserve"> to upgrading routers and servers</w:t>
      </w:r>
      <w:r>
        <w:rPr>
          <w:rFonts w:cstheme="minorHAnsi"/>
          <w:color w:val="444444"/>
        </w:rPr>
        <w:t xml:space="preserve"> because of the scale of the upgrade</w:t>
      </w:r>
      <w:r w:rsidRPr="00794ED7">
        <w:rPr>
          <w:rFonts w:cstheme="minorHAnsi"/>
          <w:color w:val="444444"/>
        </w:rPr>
        <w:t xml:space="preserve">. This factor will influence why the transition is happening gradually and </w:t>
      </w:r>
      <w:r>
        <w:rPr>
          <w:rFonts w:cstheme="minorHAnsi"/>
          <w:color w:val="444444"/>
        </w:rPr>
        <w:t xml:space="preserve">why </w:t>
      </w:r>
      <w:r w:rsidRPr="00794ED7">
        <w:rPr>
          <w:rFonts w:cstheme="minorHAnsi"/>
          <w:color w:val="444444"/>
        </w:rPr>
        <w:t xml:space="preserve">the two coexist </w:t>
      </w:r>
      <w:proofErr w:type="gramStart"/>
      <w:r w:rsidRPr="00794ED7">
        <w:rPr>
          <w:rFonts w:cstheme="minorHAnsi"/>
          <w:color w:val="444444"/>
        </w:rPr>
        <w:t>at the moment</w:t>
      </w:r>
      <w:proofErr w:type="gramEnd"/>
      <w:r w:rsidRPr="00794ED7">
        <w:rPr>
          <w:rFonts w:cstheme="minorHAnsi"/>
          <w:color w:val="444444"/>
        </w:rPr>
        <w:t xml:space="preserve">. Another factor is the buy in from companies. </w:t>
      </w:r>
      <w:r>
        <w:rPr>
          <w:rFonts w:cstheme="minorHAnsi"/>
          <w:color w:val="444444"/>
        </w:rPr>
        <w:t xml:space="preserve">Some companies look ahead to have the latest upgrades, but this will not always be the case. </w:t>
      </w:r>
      <w:r w:rsidRPr="00794ED7">
        <w:rPr>
          <w:rFonts w:cstheme="minorHAnsi"/>
          <w:color w:val="444444"/>
        </w:rPr>
        <w:t xml:space="preserve">A lot of companies are budget </w:t>
      </w:r>
      <w:proofErr w:type="gramStart"/>
      <w:r w:rsidRPr="00794ED7">
        <w:rPr>
          <w:rFonts w:cstheme="minorHAnsi"/>
          <w:color w:val="444444"/>
        </w:rPr>
        <w:t>conscious,</w:t>
      </w:r>
      <w:proofErr w:type="gramEnd"/>
      <w:r w:rsidRPr="00794ED7">
        <w:rPr>
          <w:rFonts w:cstheme="minorHAnsi"/>
          <w:color w:val="444444"/>
        </w:rPr>
        <w:t xml:space="preserve"> they won’t normally commit the time </w:t>
      </w:r>
      <w:r>
        <w:rPr>
          <w:rFonts w:cstheme="minorHAnsi"/>
          <w:color w:val="444444"/>
        </w:rPr>
        <w:t xml:space="preserve">and </w:t>
      </w:r>
      <w:r w:rsidRPr="00794ED7">
        <w:rPr>
          <w:rFonts w:cstheme="minorHAnsi"/>
          <w:color w:val="444444"/>
        </w:rPr>
        <w:t xml:space="preserve">money to upgrading unless they have to. This could mean delays in the transition as companies might be more reactive to upgrading rather than </w:t>
      </w:r>
      <w:r>
        <w:rPr>
          <w:rFonts w:cstheme="minorHAnsi"/>
          <w:color w:val="444444"/>
        </w:rPr>
        <w:t>p</w:t>
      </w:r>
      <w:r w:rsidRPr="00794ED7">
        <w:rPr>
          <w:rFonts w:cstheme="minorHAnsi"/>
          <w:color w:val="444444"/>
        </w:rPr>
        <w:t xml:space="preserve">roactive. </w:t>
      </w:r>
      <w:r>
        <w:rPr>
          <w:rFonts w:cstheme="minorHAnsi"/>
          <w:color w:val="444444"/>
        </w:rPr>
        <w:t xml:space="preserve">Some companies will only embrace the upgrade when the previous version will no longer be supported. The transition is also affected by the end user. By the end users being aware of both IP addresses and knowing why the transition is taking place, they are more likely to embrace the change that come with the move over to IPv6. </w:t>
      </w:r>
    </w:p>
    <w:p w14:paraId="3C8F3561" w14:textId="77777777" w:rsidR="0032173B" w:rsidRPr="00794ED7" w:rsidRDefault="0032173B" w:rsidP="0032173B">
      <w:pPr>
        <w:rPr>
          <w:rFonts w:cstheme="minorHAnsi"/>
          <w:iCs/>
          <w:color w:val="000000" w:themeColor="text1"/>
        </w:rPr>
      </w:pPr>
    </w:p>
    <w:p w14:paraId="5CFFAA38" w14:textId="77777777" w:rsidR="0032173B" w:rsidRDefault="0032173B" w:rsidP="0032173B">
      <w:pPr>
        <w:rPr>
          <w:rFonts w:cstheme="minorHAnsi"/>
          <w:iCs/>
          <w:color w:val="000000" w:themeColor="text1"/>
        </w:rPr>
      </w:pPr>
      <w:r w:rsidRPr="00794ED7">
        <w:rPr>
          <w:rFonts w:cstheme="minorHAnsi"/>
          <w:iCs/>
          <w:color w:val="000000" w:themeColor="text1"/>
        </w:rPr>
        <w:t xml:space="preserve">In conclusion the IPv4 fundamentally does the same </w:t>
      </w:r>
      <w:proofErr w:type="gramStart"/>
      <w:r w:rsidRPr="00794ED7">
        <w:rPr>
          <w:rFonts w:cstheme="minorHAnsi"/>
          <w:iCs/>
          <w:color w:val="000000" w:themeColor="text1"/>
        </w:rPr>
        <w:t>as  IPv</w:t>
      </w:r>
      <w:proofErr w:type="gramEnd"/>
      <w:r w:rsidRPr="00794ED7">
        <w:rPr>
          <w:rFonts w:cstheme="minorHAnsi"/>
          <w:iCs/>
          <w:color w:val="000000" w:themeColor="text1"/>
        </w:rPr>
        <w:t>6, however IPv6 has the availability for far more addresses</w:t>
      </w:r>
      <w:r>
        <w:rPr>
          <w:rFonts w:cstheme="minorHAnsi"/>
          <w:iCs/>
          <w:color w:val="000000" w:themeColor="text1"/>
        </w:rPr>
        <w:t xml:space="preserve"> and as we’ve discussed there are some areas which have seen developments and improvements</w:t>
      </w:r>
      <w:r w:rsidRPr="00794ED7">
        <w:rPr>
          <w:rFonts w:cstheme="minorHAnsi"/>
          <w:iCs/>
          <w:color w:val="000000" w:themeColor="text1"/>
        </w:rPr>
        <w:t xml:space="preserve">. </w:t>
      </w:r>
      <w:r>
        <w:rPr>
          <w:rFonts w:cstheme="minorHAnsi"/>
          <w:iCs/>
          <w:color w:val="000000" w:themeColor="text1"/>
        </w:rPr>
        <w:t xml:space="preserve">The move to </w:t>
      </w:r>
      <w:r w:rsidRPr="00794ED7">
        <w:rPr>
          <w:rFonts w:cstheme="minorHAnsi"/>
          <w:iCs/>
          <w:color w:val="000000" w:themeColor="text1"/>
        </w:rPr>
        <w:t xml:space="preserve">IPv6 is </w:t>
      </w:r>
      <w:r>
        <w:rPr>
          <w:rFonts w:cstheme="minorHAnsi"/>
          <w:iCs/>
          <w:color w:val="000000" w:themeColor="text1"/>
        </w:rPr>
        <w:t>an eventuality,</w:t>
      </w:r>
      <w:r w:rsidRPr="00794ED7">
        <w:rPr>
          <w:rFonts w:cstheme="minorHAnsi"/>
          <w:iCs/>
          <w:color w:val="000000" w:themeColor="text1"/>
        </w:rPr>
        <w:t xml:space="preserve"> as without it</w:t>
      </w:r>
      <w:r>
        <w:rPr>
          <w:rFonts w:cstheme="minorHAnsi"/>
          <w:iCs/>
          <w:color w:val="000000" w:themeColor="text1"/>
        </w:rPr>
        <w:t xml:space="preserve">, our ever growing technological society will run into addressing </w:t>
      </w:r>
      <w:proofErr w:type="gramStart"/>
      <w:r>
        <w:rPr>
          <w:rFonts w:cstheme="minorHAnsi"/>
          <w:iCs/>
          <w:color w:val="000000" w:themeColor="text1"/>
        </w:rPr>
        <w:t xml:space="preserve">issues </w:t>
      </w:r>
      <w:r w:rsidRPr="00794ED7">
        <w:rPr>
          <w:rFonts w:cstheme="minorHAnsi"/>
          <w:iCs/>
          <w:color w:val="000000" w:themeColor="text1"/>
        </w:rPr>
        <w:t>.</w:t>
      </w:r>
      <w:proofErr w:type="gramEnd"/>
      <w:r>
        <w:rPr>
          <w:rFonts w:cstheme="minorHAnsi"/>
          <w:iCs/>
          <w:color w:val="000000" w:themeColor="text1"/>
        </w:rPr>
        <w:t xml:space="preserve"> There is a strong possibility that</w:t>
      </w:r>
      <w:r w:rsidRPr="00794ED7">
        <w:rPr>
          <w:rFonts w:cstheme="minorHAnsi"/>
          <w:iCs/>
          <w:color w:val="000000" w:themeColor="text1"/>
        </w:rPr>
        <w:t xml:space="preserve"> </w:t>
      </w:r>
      <w:r>
        <w:rPr>
          <w:rFonts w:cstheme="minorHAnsi"/>
          <w:iCs/>
          <w:color w:val="000000" w:themeColor="text1"/>
        </w:rPr>
        <w:t>e</w:t>
      </w:r>
      <w:r w:rsidRPr="00794ED7">
        <w:rPr>
          <w:rFonts w:cstheme="minorHAnsi"/>
          <w:iCs/>
          <w:color w:val="000000" w:themeColor="text1"/>
        </w:rPr>
        <w:t>ventually</w:t>
      </w:r>
      <w:r>
        <w:rPr>
          <w:rFonts w:cstheme="minorHAnsi"/>
          <w:iCs/>
          <w:color w:val="000000" w:themeColor="text1"/>
        </w:rPr>
        <w:t>,</w:t>
      </w:r>
      <w:r w:rsidRPr="00794ED7">
        <w:rPr>
          <w:rFonts w:cstheme="minorHAnsi"/>
          <w:iCs/>
          <w:color w:val="000000" w:themeColor="text1"/>
        </w:rPr>
        <w:t xml:space="preserve"> we may </w:t>
      </w:r>
      <w:proofErr w:type="gramStart"/>
      <w:r w:rsidRPr="00794ED7">
        <w:rPr>
          <w:rFonts w:cstheme="minorHAnsi"/>
          <w:iCs/>
          <w:color w:val="000000" w:themeColor="text1"/>
        </w:rPr>
        <w:t>find  IPv</w:t>
      </w:r>
      <w:proofErr w:type="gramEnd"/>
      <w:r w:rsidRPr="00794ED7">
        <w:rPr>
          <w:rFonts w:cstheme="minorHAnsi"/>
          <w:iCs/>
          <w:color w:val="000000" w:themeColor="text1"/>
        </w:rPr>
        <w:t xml:space="preserve">6 will also run out of </w:t>
      </w:r>
      <w:r>
        <w:rPr>
          <w:rFonts w:cstheme="minorHAnsi"/>
          <w:iCs/>
          <w:color w:val="000000" w:themeColor="text1"/>
        </w:rPr>
        <w:t>addresses</w:t>
      </w:r>
      <w:r w:rsidRPr="00794ED7">
        <w:rPr>
          <w:rFonts w:cstheme="minorHAnsi"/>
          <w:iCs/>
          <w:color w:val="000000" w:themeColor="text1"/>
        </w:rPr>
        <w:t xml:space="preserve"> like IPv4. However, this is something that will be not be a concern for a considerable amount of time. </w:t>
      </w:r>
      <w:r>
        <w:rPr>
          <w:rFonts w:cstheme="minorHAnsi"/>
          <w:iCs/>
          <w:color w:val="000000" w:themeColor="text1"/>
        </w:rPr>
        <w:t xml:space="preserve">By the time this starts to become a concern, there will likely be a new IP addressing scheme. </w:t>
      </w:r>
      <w:r w:rsidRPr="00794ED7">
        <w:rPr>
          <w:rFonts w:cstheme="minorHAnsi"/>
          <w:iCs/>
          <w:color w:val="000000" w:themeColor="text1"/>
        </w:rPr>
        <w:t xml:space="preserve">Although both IPv4 and IPv6 currently coexist, IPv6 </w:t>
      </w:r>
      <w:r>
        <w:rPr>
          <w:rFonts w:cstheme="minorHAnsi"/>
          <w:iCs/>
          <w:color w:val="000000" w:themeColor="text1"/>
        </w:rPr>
        <w:t xml:space="preserve">is like to be utilised a lot more </w:t>
      </w:r>
      <w:proofErr w:type="gramStart"/>
      <w:r>
        <w:rPr>
          <w:rFonts w:cstheme="minorHAnsi"/>
          <w:iCs/>
          <w:color w:val="000000" w:themeColor="text1"/>
        </w:rPr>
        <w:t>in the near future</w:t>
      </w:r>
      <w:proofErr w:type="gramEnd"/>
      <w:r>
        <w:rPr>
          <w:rFonts w:cstheme="minorHAnsi"/>
          <w:iCs/>
          <w:color w:val="000000" w:themeColor="text1"/>
        </w:rPr>
        <w:t>.</w:t>
      </w:r>
    </w:p>
    <w:sdt>
      <w:sdtPr>
        <w:rPr>
          <w:b w:val="0"/>
          <w:sz w:val="20"/>
        </w:rPr>
        <w:id w:val="-1961945367"/>
        <w:docPartObj>
          <w:docPartGallery w:val="Bibliographies"/>
          <w:docPartUnique/>
        </w:docPartObj>
      </w:sdtPr>
      <w:sdtEndPr/>
      <w:sdtContent>
        <w:p w14:paraId="57321A55" w14:textId="77777777" w:rsidR="0032173B" w:rsidRDefault="0032173B" w:rsidP="0032173B">
          <w:pPr>
            <w:pStyle w:val="Heading1"/>
          </w:pPr>
          <w:r>
            <w:t>References</w:t>
          </w:r>
        </w:p>
        <w:sdt>
          <w:sdtPr>
            <w:id w:val="-573587230"/>
            <w:bibliography/>
          </w:sdtPr>
          <w:sdtEndPr/>
          <w:sdtContent>
            <w:p w14:paraId="38290F9D" w14:textId="77777777" w:rsidR="0032173B" w:rsidRDefault="0032173B" w:rsidP="0032173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5"/>
                <w:gridCol w:w="9576"/>
              </w:tblGrid>
              <w:tr w:rsidR="0032173B" w14:paraId="7CDEF9D8" w14:textId="77777777" w:rsidTr="0044249A">
                <w:trPr>
                  <w:tblCellSpacing w:w="15" w:type="dxa"/>
                </w:trPr>
                <w:tc>
                  <w:tcPr>
                    <w:tcW w:w="50" w:type="pct"/>
                    <w:hideMark/>
                  </w:tcPr>
                  <w:p w14:paraId="1A48C09F" w14:textId="77777777" w:rsidR="0032173B" w:rsidRDefault="0032173B" w:rsidP="0044249A">
                    <w:pPr>
                      <w:pStyle w:val="Bibliography"/>
                      <w:rPr>
                        <w:noProof/>
                        <w:sz w:val="24"/>
                        <w:szCs w:val="24"/>
                        <w:lang w:val="en-US"/>
                      </w:rPr>
                    </w:pPr>
                    <w:r>
                      <w:rPr>
                        <w:noProof/>
                        <w:lang w:val="en-US"/>
                      </w:rPr>
                      <w:t xml:space="preserve">[1] </w:t>
                    </w:r>
                  </w:p>
                </w:tc>
                <w:tc>
                  <w:tcPr>
                    <w:tcW w:w="0" w:type="auto"/>
                    <w:hideMark/>
                  </w:tcPr>
                  <w:p w14:paraId="74124B48" w14:textId="77777777" w:rsidR="0032173B" w:rsidRDefault="0032173B" w:rsidP="0044249A">
                    <w:pPr>
                      <w:pStyle w:val="Bibliography"/>
                      <w:rPr>
                        <w:noProof/>
                        <w:lang w:val="en-US"/>
                      </w:rPr>
                    </w:pPr>
                    <w:r>
                      <w:rPr>
                        <w:noProof/>
                        <w:lang w:val="en-US"/>
                      </w:rPr>
                      <w:t>"https://www.internetsociety.org/deploy360/ipv6/?gclid=CjwKCAiAob3vBRAUEiwAIbs5TlBxNYsWeJLe3qW0JrDHYputDGlU-EjdVmL4ADV8Fsj6UndTNjDllRoCsIEQAvD_BwE," [Online]. [Accessed 10 12 2019].</w:t>
                    </w:r>
                  </w:p>
                </w:tc>
              </w:tr>
              <w:tr w:rsidR="0032173B" w14:paraId="61FA504B" w14:textId="77777777" w:rsidTr="0044249A">
                <w:trPr>
                  <w:tblCellSpacing w:w="15" w:type="dxa"/>
                </w:trPr>
                <w:tc>
                  <w:tcPr>
                    <w:tcW w:w="50" w:type="pct"/>
                    <w:hideMark/>
                  </w:tcPr>
                  <w:p w14:paraId="1123DADE" w14:textId="77777777" w:rsidR="0032173B" w:rsidRDefault="0032173B" w:rsidP="0044249A">
                    <w:pPr>
                      <w:pStyle w:val="Bibliography"/>
                      <w:rPr>
                        <w:noProof/>
                        <w:lang w:val="en-US"/>
                      </w:rPr>
                    </w:pPr>
                    <w:r>
                      <w:rPr>
                        <w:noProof/>
                        <w:lang w:val="en-US"/>
                      </w:rPr>
                      <w:t>[2</w:t>
                    </w:r>
                    <w:r>
                      <w:rPr>
                        <w:noProof/>
                        <w:lang w:val="en-US"/>
                      </w:rPr>
                      <w:lastRenderedPageBreak/>
                      <w:t xml:space="preserve">] </w:t>
                    </w:r>
                  </w:p>
                </w:tc>
                <w:tc>
                  <w:tcPr>
                    <w:tcW w:w="0" w:type="auto"/>
                    <w:hideMark/>
                  </w:tcPr>
                  <w:p w14:paraId="279032D1" w14:textId="77777777" w:rsidR="0032173B" w:rsidRDefault="0032173B" w:rsidP="0044249A">
                    <w:pPr>
                      <w:pStyle w:val="Bibliography"/>
                      <w:rPr>
                        <w:noProof/>
                        <w:lang w:val="en-US"/>
                      </w:rPr>
                    </w:pPr>
                    <w:r>
                      <w:rPr>
                        <w:noProof/>
                        <w:lang w:val="en-US"/>
                      </w:rPr>
                      <w:lastRenderedPageBreak/>
                      <w:t xml:space="preserve">P. Bischoff, "https://www.comparitech.com/blog/vpn-privacy/ipv6-vs-ipv4/," 01 2019. [Online]. </w:t>
                    </w:r>
                    <w:r>
                      <w:rPr>
                        <w:noProof/>
                        <w:lang w:val="en-US"/>
                      </w:rPr>
                      <w:lastRenderedPageBreak/>
                      <w:t>[Accessed 12 2019].</w:t>
                    </w:r>
                  </w:p>
                </w:tc>
              </w:tr>
              <w:tr w:rsidR="0032173B" w14:paraId="42DB29A0" w14:textId="77777777" w:rsidTr="0044249A">
                <w:trPr>
                  <w:tblCellSpacing w:w="15" w:type="dxa"/>
                </w:trPr>
                <w:tc>
                  <w:tcPr>
                    <w:tcW w:w="50" w:type="pct"/>
                    <w:hideMark/>
                  </w:tcPr>
                  <w:p w14:paraId="5AE73B50" w14:textId="77777777" w:rsidR="0032173B" w:rsidRDefault="0032173B" w:rsidP="0044249A">
                    <w:pPr>
                      <w:pStyle w:val="Bibliography"/>
                      <w:rPr>
                        <w:noProof/>
                        <w:lang w:val="en-US"/>
                      </w:rPr>
                    </w:pPr>
                    <w:r>
                      <w:rPr>
                        <w:noProof/>
                        <w:lang w:val="en-US"/>
                      </w:rPr>
                      <w:lastRenderedPageBreak/>
                      <w:t xml:space="preserve">[3] </w:t>
                    </w:r>
                  </w:p>
                </w:tc>
                <w:tc>
                  <w:tcPr>
                    <w:tcW w:w="0" w:type="auto"/>
                    <w:hideMark/>
                  </w:tcPr>
                  <w:p w14:paraId="73DB65BE" w14:textId="77777777" w:rsidR="0032173B" w:rsidRDefault="0032173B" w:rsidP="0044249A">
                    <w:pPr>
                      <w:pStyle w:val="Bibliography"/>
                      <w:rPr>
                        <w:noProof/>
                        <w:lang w:val="en-US"/>
                      </w:rPr>
                    </w:pPr>
                    <w:r>
                      <w:rPr>
                        <w:noProof/>
                        <w:lang w:val="en-US"/>
                      </w:rPr>
                      <w:t>F. Gaunt, "https://searchnetworking.techtarget.com/tip/IPv6-addressing-requires-special-attention-to-ensure-security," 2013. [Online]. [Accessed 2019].</w:t>
                    </w:r>
                  </w:p>
                </w:tc>
              </w:tr>
            </w:tbl>
            <w:p w14:paraId="6CD8C5D9" w14:textId="77777777" w:rsidR="0032173B" w:rsidRDefault="0032173B" w:rsidP="0032173B">
              <w:pPr>
                <w:rPr>
                  <w:noProof/>
                </w:rPr>
              </w:pPr>
            </w:p>
            <w:p w14:paraId="532B1728" w14:textId="77777777" w:rsidR="0032173B" w:rsidRDefault="0032173B" w:rsidP="0032173B">
              <w:r>
                <w:rPr>
                  <w:b/>
                  <w:bCs/>
                  <w:noProof/>
                </w:rPr>
                <w:fldChar w:fldCharType="end"/>
              </w:r>
            </w:p>
          </w:sdtContent>
        </w:sdt>
      </w:sdtContent>
    </w:sdt>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6C5A2C" w14:textId="77777777" w:rsidR="00C43360" w:rsidRDefault="00C43360">
      <w:r>
        <w:separator/>
      </w:r>
    </w:p>
  </w:endnote>
  <w:endnote w:type="continuationSeparator" w:id="0">
    <w:p w14:paraId="761C1E37" w14:textId="77777777" w:rsidR="00C43360" w:rsidRDefault="00C433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5BF16" w14:textId="77777777" w:rsidR="00C43360" w:rsidRDefault="00C43360">
      <w:r>
        <w:separator/>
      </w:r>
    </w:p>
  </w:footnote>
  <w:footnote w:type="continuationSeparator" w:id="0">
    <w:p w14:paraId="3E0E05D8" w14:textId="77777777" w:rsidR="00C43360" w:rsidRDefault="00C433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57F38"/>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47EE"/>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173B"/>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5CFB"/>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2773"/>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097"/>
    <w:rsid w:val="005F526A"/>
    <w:rsid w:val="00603190"/>
    <w:rsid w:val="00605FFC"/>
    <w:rsid w:val="006140BF"/>
    <w:rsid w:val="00616D51"/>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577"/>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1141"/>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3360"/>
    <w:rsid w:val="00C46149"/>
    <w:rsid w:val="00C50DC2"/>
    <w:rsid w:val="00C519BA"/>
    <w:rsid w:val="00C5211E"/>
    <w:rsid w:val="00C66B33"/>
    <w:rsid w:val="00C75DF8"/>
    <w:rsid w:val="00C7673E"/>
    <w:rsid w:val="00C803C6"/>
    <w:rsid w:val="00C80527"/>
    <w:rsid w:val="00C82D8F"/>
    <w:rsid w:val="00C868FA"/>
    <w:rsid w:val="00C92323"/>
    <w:rsid w:val="00C93A58"/>
    <w:rsid w:val="00C93B79"/>
    <w:rsid w:val="00C93BCB"/>
    <w:rsid w:val="00C94B3B"/>
    <w:rsid w:val="00CA0B03"/>
    <w:rsid w:val="00CB329F"/>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13E82"/>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Bibliography">
    <w:name w:val="Bibliography"/>
    <w:basedOn w:val="Normal"/>
    <w:next w:val="Normal"/>
    <w:uiPriority w:val="37"/>
    <w:unhideWhenUsed/>
    <w:rsid w:val="0032173B"/>
    <w:pPr>
      <w:spacing w:after="200" w:line="276"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htt19</b:Tag>
    <b:SourceType>InternetSite</b:SourceType>
    <b:Guid>{FB31259A-3744-4068-8379-C768A71A436F}</b:Guid>
    <b:Title>https://www.internetsociety.org/deploy360/ipv6/?gclid=CjwKCAiAob3vBRAUEiwAIbs5TlBxNYsWeJLe3qW0JrDHYputDGlU-EjdVmL4ADV8Fsj6UndTNjDllRoCsIEQAvD_BwE </b:Title>
    <b:YearAccessed>2019</b:YearAccessed>
    <b:MonthAccessed>12</b:MonthAccessed>
    <b:DayAccessed>10</b:DayAccessed>
    <b:RefOrder>1</b:RefOrder>
  </b:Source>
  <b:Source>
    <b:Tag>Bis19</b:Tag>
    <b:SourceType>InternetSite</b:SourceType>
    <b:Guid>{2F28C9B3-4280-49D3-AC93-EC677D8C9A9C}</b:Guid>
    <b:Title>https://www.comparitech.com/blog/vpn-privacy/ipv6-vs-ipv4/</b:Title>
    <b:Year>2019</b:Year>
    <b:Month>01</b:Month>
    <b:YearAccessed>2019</b:YearAccessed>
    <b:MonthAccessed>12</b:MonthAccessed>
    <b:Author>
      <b:Author>
        <b:NameList>
          <b:Person>
            <b:Last>Bischoff</b:Last>
            <b:First>Paul</b:First>
          </b:Person>
        </b:NameList>
      </b:Author>
    </b:Author>
    <b:RefOrder>2</b:RefOrder>
  </b:Source>
  <b:Source>
    <b:Tag>Gau13</b:Tag>
    <b:SourceType>InternetSite</b:SourceType>
    <b:Guid>{7CABD144-11CE-494C-98DC-40447666248B}</b:Guid>
    <b:Author>
      <b:Author>
        <b:NameList>
          <b:Person>
            <b:Last>Gaunt</b:Last>
            <b:First>Fernando</b:First>
          </b:Person>
        </b:NameList>
      </b:Author>
    </b:Author>
    <b:Title>https://searchnetworking.techtarget.com/tip/IPv6-addressing-requires-special-attention-to-ensure-security</b:Title>
    <b:Year>2013</b:Year>
    <b:YearAccessed>2019</b:YearAccessed>
    <b:RefOrder>3</b:RefOrder>
  </b:Source>
</b:Sources>
</file>

<file path=customXml/itemProps1.xml><?xml version="1.0" encoding="utf-8"?>
<ds:datastoreItem xmlns:ds="http://schemas.openxmlformats.org/officeDocument/2006/customXml" ds:itemID="{111CE0AC-DABA-432E-A084-6A61AD37D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1431</TotalTime>
  <Pages>4</Pages>
  <Words>1086</Words>
  <Characters>6191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7263</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Doe (1903705)</cp:lastModifiedBy>
  <cp:revision>149</cp:revision>
  <cp:lastPrinted>2014-11-07T14:47:00Z</cp:lastPrinted>
  <dcterms:created xsi:type="dcterms:W3CDTF">2014-11-07T15:09:00Z</dcterms:created>
  <dcterms:modified xsi:type="dcterms:W3CDTF">2019-12-12T20:29:00Z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