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F94A8" w14:textId="48CBFA86" w:rsidR="006E4326" w:rsidRDefault="003366CF">
      <w:pPr>
        <w:rPr>
          <w:sz w:val="24"/>
          <w:szCs w:val="24"/>
        </w:rPr>
      </w:pPr>
      <w:proofErr w:type="spellStart"/>
      <w:r>
        <w:rPr>
          <w:sz w:val="24"/>
          <w:szCs w:val="24"/>
        </w:rPr>
        <w:t>Llyanll</w:t>
      </w:r>
      <w:r w:rsidR="0079558B">
        <w:rPr>
          <w:sz w:val="24"/>
          <w:szCs w:val="24"/>
        </w:rPr>
        <w:t>y</w:t>
      </w:r>
      <w:r>
        <w:rPr>
          <w:sz w:val="24"/>
          <w:szCs w:val="24"/>
        </w:rPr>
        <w:t>r</w:t>
      </w:r>
      <w:proofErr w:type="spellEnd"/>
      <w:r>
        <w:rPr>
          <w:sz w:val="24"/>
          <w:szCs w:val="24"/>
        </w:rPr>
        <w:t xml:space="preserve"> landscape characterisation </w:t>
      </w:r>
    </w:p>
    <w:p w14:paraId="2ADED3C7" w14:textId="77777777" w:rsidR="003366CF" w:rsidRDefault="003366CF"/>
    <w:p w14:paraId="7E65BBA3" w14:textId="77777777" w:rsidR="003366CF" w:rsidRDefault="003366CF"/>
    <w:p w14:paraId="631D2EB0" w14:textId="6F293C7D" w:rsidR="003366CF" w:rsidRDefault="003366CF">
      <w:r>
        <w:t>Key words</w:t>
      </w:r>
    </w:p>
    <w:p w14:paraId="6196A7B9" w14:textId="35EFCEF6" w:rsidR="00D50E32" w:rsidRDefault="00606667">
      <w:proofErr w:type="spellStart"/>
      <w:r>
        <w:t>Llanllyr</w:t>
      </w:r>
      <w:proofErr w:type="spellEnd"/>
      <w:r w:rsidR="003F5E3A">
        <w:t>,</w:t>
      </w:r>
      <w:r>
        <w:t xml:space="preserve"> dendrochronology</w:t>
      </w:r>
      <w:r w:rsidR="003F5E3A">
        <w:t xml:space="preserve">, </w:t>
      </w:r>
      <w:r w:rsidR="00597600">
        <w:t>dig-site,</w:t>
      </w:r>
      <w:r w:rsidR="0072408E">
        <w:t xml:space="preserve"> dendrochronology, </w:t>
      </w:r>
      <w:proofErr w:type="gramStart"/>
      <w:r w:rsidR="0072408E">
        <w:t>neolithic</w:t>
      </w:r>
      <w:proofErr w:type="gramEnd"/>
    </w:p>
    <w:p w14:paraId="1E80E8F8" w14:textId="4B8EC09E" w:rsidR="003366CF" w:rsidRDefault="003366CF"/>
    <w:p w14:paraId="2318CDDB" w14:textId="77777777" w:rsidR="00A02D8B" w:rsidRDefault="00A02D8B"/>
    <w:p w14:paraId="031384FD" w14:textId="0343FEFB" w:rsidR="003366CF" w:rsidRDefault="00A02D8B">
      <w:pPr>
        <w:rPr>
          <w:sz w:val="24"/>
          <w:szCs w:val="24"/>
        </w:rPr>
      </w:pPr>
      <w:proofErr w:type="spellStart"/>
      <w:r w:rsidRPr="00F81834">
        <w:rPr>
          <w:sz w:val="24"/>
          <w:szCs w:val="24"/>
        </w:rPr>
        <w:t>Ll</w:t>
      </w:r>
      <w:r w:rsidR="000E30FC" w:rsidRPr="00F81834">
        <w:rPr>
          <w:sz w:val="24"/>
          <w:szCs w:val="24"/>
        </w:rPr>
        <w:t>anllyr</w:t>
      </w:r>
      <w:proofErr w:type="spellEnd"/>
      <w:r w:rsidR="00E83F05" w:rsidRPr="00F81834">
        <w:rPr>
          <w:sz w:val="24"/>
          <w:szCs w:val="24"/>
        </w:rPr>
        <w:t xml:space="preserve"> is </w:t>
      </w:r>
      <w:r w:rsidR="00A625B2" w:rsidRPr="00F81834">
        <w:rPr>
          <w:sz w:val="24"/>
          <w:szCs w:val="24"/>
        </w:rPr>
        <w:t xml:space="preserve">currently a </w:t>
      </w:r>
      <w:r w:rsidR="00E46614" w:rsidRPr="00F81834">
        <w:rPr>
          <w:sz w:val="24"/>
          <w:szCs w:val="24"/>
        </w:rPr>
        <w:t>free-range</w:t>
      </w:r>
      <w:r w:rsidR="00A625B2" w:rsidRPr="00F81834">
        <w:rPr>
          <w:sz w:val="24"/>
          <w:szCs w:val="24"/>
        </w:rPr>
        <w:t xml:space="preserve"> </w:t>
      </w:r>
      <w:r w:rsidR="00B85609" w:rsidRPr="00F81834">
        <w:rPr>
          <w:sz w:val="24"/>
          <w:szCs w:val="24"/>
        </w:rPr>
        <w:t>livestock</w:t>
      </w:r>
      <w:r w:rsidR="00204A24" w:rsidRPr="00F81834">
        <w:rPr>
          <w:sz w:val="24"/>
          <w:szCs w:val="24"/>
        </w:rPr>
        <w:t xml:space="preserve"> farm that </w:t>
      </w:r>
      <w:r w:rsidR="00AD3077" w:rsidRPr="00F81834">
        <w:rPr>
          <w:sz w:val="24"/>
          <w:szCs w:val="24"/>
        </w:rPr>
        <w:t xml:space="preserve">is located </w:t>
      </w:r>
      <w:proofErr w:type="gramStart"/>
      <w:r w:rsidR="00AD3077" w:rsidRPr="00F81834">
        <w:rPr>
          <w:sz w:val="24"/>
          <w:szCs w:val="24"/>
        </w:rPr>
        <w:t>In</w:t>
      </w:r>
      <w:proofErr w:type="gramEnd"/>
      <w:r w:rsidR="00AD3077" w:rsidRPr="00F81834">
        <w:rPr>
          <w:sz w:val="24"/>
          <w:szCs w:val="24"/>
        </w:rPr>
        <w:t xml:space="preserve"> the greater </w:t>
      </w:r>
      <w:r w:rsidR="00C54668" w:rsidRPr="00F81834">
        <w:rPr>
          <w:sz w:val="24"/>
          <w:szCs w:val="24"/>
        </w:rPr>
        <w:t>C</w:t>
      </w:r>
      <w:r w:rsidR="00AD3077" w:rsidRPr="00F81834">
        <w:rPr>
          <w:sz w:val="24"/>
          <w:szCs w:val="24"/>
        </w:rPr>
        <w:t>eredigion area.</w:t>
      </w:r>
      <w:r w:rsidR="00A82830" w:rsidRPr="00F81834">
        <w:rPr>
          <w:sz w:val="24"/>
          <w:szCs w:val="24"/>
        </w:rPr>
        <w:t xml:space="preserve"> It was a nunnery in the </w:t>
      </w:r>
      <w:r w:rsidR="002A3FD7" w:rsidRPr="00F81834">
        <w:rPr>
          <w:sz w:val="24"/>
          <w:szCs w:val="24"/>
        </w:rPr>
        <w:t>Cistercian</w:t>
      </w:r>
      <w:r w:rsidR="00A82830" w:rsidRPr="00F81834">
        <w:rPr>
          <w:sz w:val="24"/>
          <w:szCs w:val="24"/>
        </w:rPr>
        <w:t xml:space="preserve"> period </w:t>
      </w:r>
      <w:r w:rsidR="00A86CBC" w:rsidRPr="00F81834">
        <w:rPr>
          <w:sz w:val="24"/>
          <w:szCs w:val="24"/>
        </w:rPr>
        <w:fldChar w:fldCharType="begin"/>
      </w:r>
      <w:r w:rsidR="00167C47" w:rsidRPr="00F81834">
        <w:rPr>
          <w:sz w:val="24"/>
          <w:szCs w:val="24"/>
        </w:rPr>
        <w:instrText xml:space="preserve"> ADDIN ZOTERO_ITEM CSL_CITATION {"citationID":"3yKPjaT5","properties":{"formattedCitation":"(Murphy, no date)","plainCitation":"(Murphy, no date)","dontUpdate":true,"noteIndex":0},"citationItems":[{"id":120,"uris":["http://zotero.org/users/local/gg1ZQu5V/items/K7T52PS5"],"itemData":{"id":120,"type":"article-journal","abstract":"Rhys ap Gruffydd founded Llanllyr nunnery in the 1180s. At its dissolution in 1537 it is presumed that some of the former nunnery buildings were converted into a house. This house continued in use until c.1830 when it was demolished and building material reused in a new house constructed a few hundred metres away. No surface evidence survives for the nunnery and post-dissolution house.","language":"en","source":"Zotero","title":"SURVEY AND EXCAVATION AT LLANLLYR MEDIEVAL NUNNERY AND POST-MEDIEVAL MANSION, CEREDIGION, 2014-2015","author":[{"family":"Murphy","given":"Frances"}]}}],"schema":"https://github.com/citation-style-language/schema/raw/master/csl-citation.json"} </w:instrText>
      </w:r>
      <w:r w:rsidR="00A86CBC" w:rsidRPr="00F81834">
        <w:rPr>
          <w:sz w:val="24"/>
          <w:szCs w:val="24"/>
        </w:rPr>
        <w:fldChar w:fldCharType="separate"/>
      </w:r>
      <w:r w:rsidR="00A86CBC" w:rsidRPr="00F81834">
        <w:rPr>
          <w:rFonts w:ascii="Aptos" w:hAnsi="Aptos"/>
          <w:sz w:val="24"/>
          <w:szCs w:val="24"/>
        </w:rPr>
        <w:t>(Murphy,</w:t>
      </w:r>
      <w:r w:rsidR="006C6B8D" w:rsidRPr="00F81834">
        <w:rPr>
          <w:rFonts w:ascii="Aptos" w:hAnsi="Aptos"/>
          <w:sz w:val="24"/>
          <w:szCs w:val="24"/>
        </w:rPr>
        <w:t>2015 p.3</w:t>
      </w:r>
      <w:r w:rsidR="00A86CBC" w:rsidRPr="00F81834">
        <w:rPr>
          <w:rFonts w:ascii="Aptos" w:hAnsi="Aptos"/>
          <w:sz w:val="24"/>
          <w:szCs w:val="24"/>
        </w:rPr>
        <w:t>)</w:t>
      </w:r>
      <w:r w:rsidR="00A86CBC" w:rsidRPr="00F81834">
        <w:rPr>
          <w:sz w:val="24"/>
          <w:szCs w:val="24"/>
        </w:rPr>
        <w:fldChar w:fldCharType="end"/>
      </w:r>
      <w:r w:rsidR="006C6B8D" w:rsidRPr="00F81834">
        <w:rPr>
          <w:sz w:val="24"/>
          <w:szCs w:val="24"/>
        </w:rPr>
        <w:t xml:space="preserve"> </w:t>
      </w:r>
      <w:r w:rsidR="00554158" w:rsidRPr="00F81834">
        <w:rPr>
          <w:sz w:val="24"/>
          <w:szCs w:val="24"/>
        </w:rPr>
        <w:t xml:space="preserve">the area </w:t>
      </w:r>
      <w:r w:rsidR="00F751F5" w:rsidRPr="00F81834">
        <w:rPr>
          <w:sz w:val="24"/>
          <w:szCs w:val="24"/>
        </w:rPr>
        <w:t xml:space="preserve">itself is a </w:t>
      </w:r>
      <w:r w:rsidR="007E097E">
        <w:rPr>
          <w:sz w:val="24"/>
          <w:szCs w:val="24"/>
        </w:rPr>
        <w:t>s</w:t>
      </w:r>
      <w:r w:rsidR="00F751F5" w:rsidRPr="00F81834">
        <w:rPr>
          <w:sz w:val="24"/>
          <w:szCs w:val="24"/>
        </w:rPr>
        <w:t>uch green collection of fields that are there for sheep and cattle to graze i</w:t>
      </w:r>
      <w:r w:rsidR="007224A8" w:rsidRPr="00F81834">
        <w:rPr>
          <w:sz w:val="24"/>
          <w:szCs w:val="24"/>
        </w:rPr>
        <w:t xml:space="preserve">n. </w:t>
      </w:r>
      <w:r w:rsidR="00B56B87" w:rsidRPr="00F81834">
        <w:rPr>
          <w:sz w:val="24"/>
          <w:szCs w:val="24"/>
        </w:rPr>
        <w:t xml:space="preserve">like in many fields in rural farmland it is segmented by </w:t>
      </w:r>
      <w:r w:rsidR="009030FC" w:rsidRPr="00F81834">
        <w:rPr>
          <w:sz w:val="24"/>
          <w:szCs w:val="24"/>
        </w:rPr>
        <w:t>fences made of various types of shrubbery and</w:t>
      </w:r>
      <w:r w:rsidR="00AE243A" w:rsidRPr="00F81834">
        <w:rPr>
          <w:sz w:val="24"/>
          <w:szCs w:val="24"/>
        </w:rPr>
        <w:t xml:space="preserve"> flora. The </w:t>
      </w:r>
      <w:r w:rsidR="007658A9" w:rsidRPr="00F81834">
        <w:rPr>
          <w:sz w:val="24"/>
          <w:szCs w:val="24"/>
        </w:rPr>
        <w:t>botanic</w:t>
      </w:r>
      <w:r w:rsidR="00152402" w:rsidRPr="00F81834">
        <w:rPr>
          <w:sz w:val="24"/>
          <w:szCs w:val="24"/>
        </w:rPr>
        <w:t xml:space="preserve">al archaeology of the area is of </w:t>
      </w:r>
      <w:r w:rsidR="004166BC" w:rsidRPr="00F81834">
        <w:rPr>
          <w:sz w:val="24"/>
          <w:szCs w:val="24"/>
        </w:rPr>
        <w:t>k</w:t>
      </w:r>
      <w:r w:rsidR="00152402" w:rsidRPr="00F81834">
        <w:rPr>
          <w:sz w:val="24"/>
          <w:szCs w:val="24"/>
        </w:rPr>
        <w:t xml:space="preserve">ey interest as it can reveal a </w:t>
      </w:r>
      <w:r w:rsidR="00A9365C" w:rsidRPr="00F81834">
        <w:rPr>
          <w:sz w:val="24"/>
          <w:szCs w:val="24"/>
        </w:rPr>
        <w:t>significant portion of history</w:t>
      </w:r>
      <w:r w:rsidR="00566995" w:rsidRPr="00F81834">
        <w:rPr>
          <w:sz w:val="24"/>
          <w:szCs w:val="24"/>
        </w:rPr>
        <w:t>, as the</w:t>
      </w:r>
      <w:r w:rsidR="00AE5969" w:rsidRPr="00F81834">
        <w:rPr>
          <w:sz w:val="24"/>
          <w:szCs w:val="24"/>
        </w:rPr>
        <w:t xml:space="preserve"> neolithic era is primarily known </w:t>
      </w:r>
      <w:r w:rsidR="00E93059" w:rsidRPr="00F81834">
        <w:rPr>
          <w:sz w:val="24"/>
          <w:szCs w:val="24"/>
        </w:rPr>
        <w:t>as the time period when</w:t>
      </w:r>
      <w:r w:rsidR="00B60FAB" w:rsidRPr="00F81834">
        <w:rPr>
          <w:sz w:val="24"/>
          <w:szCs w:val="24"/>
        </w:rPr>
        <w:t xml:space="preserve"> humanity began farming</w:t>
      </w:r>
      <w:r w:rsidR="00B85609" w:rsidRPr="00F81834">
        <w:rPr>
          <w:sz w:val="24"/>
          <w:szCs w:val="24"/>
        </w:rPr>
        <w:t>, although</w:t>
      </w:r>
      <w:r w:rsidR="00316229" w:rsidRPr="00F81834">
        <w:rPr>
          <w:sz w:val="24"/>
          <w:szCs w:val="24"/>
        </w:rPr>
        <w:t xml:space="preserve">, </w:t>
      </w:r>
      <w:proofErr w:type="spellStart"/>
      <w:r w:rsidR="00316229" w:rsidRPr="00F81834">
        <w:rPr>
          <w:sz w:val="24"/>
          <w:szCs w:val="24"/>
        </w:rPr>
        <w:t>britain</w:t>
      </w:r>
      <w:proofErr w:type="spellEnd"/>
      <w:r w:rsidR="00316229" w:rsidRPr="00F81834">
        <w:rPr>
          <w:sz w:val="24"/>
          <w:szCs w:val="24"/>
        </w:rPr>
        <w:t xml:space="preserve"> did begin farming later</w:t>
      </w:r>
      <w:r w:rsidR="00167C47" w:rsidRPr="00F81834">
        <w:rPr>
          <w:sz w:val="24"/>
          <w:szCs w:val="24"/>
        </w:rPr>
        <w:t xml:space="preserve"> as it took a little longer for the climate change enough for farming</w:t>
      </w:r>
      <w:r w:rsidR="00167C47" w:rsidRPr="00F81834">
        <w:rPr>
          <w:sz w:val="24"/>
          <w:szCs w:val="24"/>
        </w:rPr>
        <w:fldChar w:fldCharType="begin"/>
      </w:r>
      <w:r w:rsidR="00586CFE" w:rsidRPr="00F81834">
        <w:rPr>
          <w:sz w:val="24"/>
          <w:szCs w:val="24"/>
        </w:rPr>
        <w:instrText xml:space="preserve"> ADDIN ZOTERO_ITEM CSL_CITATION {"citationID":"bvfucoBc","properties":{"formattedCitation":"({\\i{}Prehistoric Wales | Cadw}, no date)","plainCitation":"(Prehistoric Wales | Cadw, no date)","dontUpdate":true,"noteIndex":0},"citationItems":[{"id":143,"uris":["http://zotero.org/users/local/gg1ZQu5V/items/NRKHSND8"],"itemData":{"id":143,"type":"webpage","language":"en","title":"Prehistoric Wales | Cadw","URL":"https://cadw.gov.wales/learn/sites-through-centuries/prehistoric-wales","accessed":{"date-parts":[["2024",5,16]]}}}],"schema":"https://github.com/citation-style-language/schema/raw/master/csl-citation.json"} </w:instrText>
      </w:r>
      <w:r w:rsidR="00167C47" w:rsidRPr="00F81834">
        <w:rPr>
          <w:sz w:val="24"/>
          <w:szCs w:val="24"/>
        </w:rPr>
        <w:fldChar w:fldCharType="separate"/>
      </w:r>
      <w:r w:rsidR="00167C47" w:rsidRPr="00F81834">
        <w:rPr>
          <w:rFonts w:ascii="Aptos" w:hAnsi="Aptos" w:cs="Times New Roman"/>
          <w:kern w:val="0"/>
          <w:sz w:val="24"/>
          <w:szCs w:val="24"/>
        </w:rPr>
        <w:t>(</w:t>
      </w:r>
      <w:r w:rsidR="00167C47" w:rsidRPr="00F81834">
        <w:rPr>
          <w:rFonts w:ascii="Aptos" w:hAnsi="Aptos" w:cs="Times New Roman"/>
          <w:i/>
          <w:iCs/>
          <w:kern w:val="0"/>
          <w:sz w:val="24"/>
          <w:szCs w:val="24"/>
        </w:rPr>
        <w:t xml:space="preserve">Prehistoric Wales | </w:t>
      </w:r>
      <w:proofErr w:type="spellStart"/>
      <w:r w:rsidR="00167C47" w:rsidRPr="00F81834">
        <w:rPr>
          <w:rFonts w:ascii="Aptos" w:hAnsi="Aptos" w:cs="Times New Roman"/>
          <w:i/>
          <w:iCs/>
          <w:kern w:val="0"/>
          <w:sz w:val="24"/>
          <w:szCs w:val="24"/>
        </w:rPr>
        <w:t>Cadw</w:t>
      </w:r>
      <w:proofErr w:type="spellEnd"/>
      <w:r w:rsidR="00167C47" w:rsidRPr="00F81834">
        <w:rPr>
          <w:rFonts w:ascii="Aptos" w:hAnsi="Aptos" w:cs="Times New Roman"/>
          <w:kern w:val="0"/>
          <w:sz w:val="24"/>
          <w:szCs w:val="24"/>
        </w:rPr>
        <w:t>)</w:t>
      </w:r>
      <w:r w:rsidR="00167C47" w:rsidRPr="00F81834">
        <w:rPr>
          <w:sz w:val="24"/>
          <w:szCs w:val="24"/>
        </w:rPr>
        <w:fldChar w:fldCharType="end"/>
      </w:r>
      <w:r w:rsidR="00096D91" w:rsidRPr="00F81834">
        <w:rPr>
          <w:sz w:val="24"/>
          <w:szCs w:val="24"/>
        </w:rPr>
        <w:t>.</w:t>
      </w:r>
    </w:p>
    <w:p w14:paraId="0A7EFB53" w14:textId="77777777" w:rsidR="00810B5E" w:rsidRDefault="00810B5E" w:rsidP="00810B5E">
      <w:pPr>
        <w:keepNext/>
      </w:pPr>
      <w:r>
        <w:rPr>
          <w:noProof/>
          <w:sz w:val="24"/>
          <w:szCs w:val="24"/>
        </w:rPr>
        <w:drawing>
          <wp:inline distT="0" distB="0" distL="0" distR="0" wp14:anchorId="38847A3C" wp14:editId="61E0BD3C">
            <wp:extent cx="4762500" cy="4762500"/>
            <wp:effectExtent l="0" t="0" r="0" b="0"/>
            <wp:docPr id="1523207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07077" name="Picture 1523207077"/>
                    <pic:cNvPicPr/>
                  </pic:nvPicPr>
                  <pic:blipFill>
                    <a:blip r:embed="rId5">
                      <a:extLst>
                        <a:ext uri="{28A0092B-C50C-407E-A947-70E740481C1C}">
                          <a14:useLocalDpi xmlns:a14="http://schemas.microsoft.com/office/drawing/2010/main" val="0"/>
                        </a:ext>
                      </a:extLst>
                    </a:blip>
                    <a:stretch>
                      <a:fillRect/>
                    </a:stretch>
                  </pic:blipFill>
                  <pic:spPr>
                    <a:xfrm>
                      <a:off x="0" y="0"/>
                      <a:ext cx="4762500" cy="4762500"/>
                    </a:xfrm>
                    <a:prstGeom prst="rect">
                      <a:avLst/>
                    </a:prstGeom>
                  </pic:spPr>
                </pic:pic>
              </a:graphicData>
            </a:graphic>
          </wp:inline>
        </w:drawing>
      </w:r>
    </w:p>
    <w:p w14:paraId="68993B74" w14:textId="2C6250A4" w:rsidR="003F3668" w:rsidRPr="00F81834" w:rsidRDefault="00810B5E" w:rsidP="00810B5E">
      <w:pPr>
        <w:pStyle w:val="Caption"/>
        <w:rPr>
          <w:sz w:val="24"/>
          <w:szCs w:val="24"/>
        </w:rPr>
      </w:pPr>
      <w:r>
        <w:t xml:space="preserve">figure </w:t>
      </w:r>
      <w:r>
        <w:fldChar w:fldCharType="begin"/>
      </w:r>
      <w:r>
        <w:instrText xml:space="preserve"> SEQ figure \* ARABIC </w:instrText>
      </w:r>
      <w:r>
        <w:fldChar w:fldCharType="separate"/>
      </w:r>
      <w:r w:rsidR="00607070">
        <w:rPr>
          <w:noProof/>
        </w:rPr>
        <w:t>1</w:t>
      </w:r>
      <w:r>
        <w:fldChar w:fldCharType="end"/>
      </w:r>
      <w:r>
        <w:t>/6456665/Toby G Driver/2007</w:t>
      </w:r>
      <w:r w:rsidR="00607070">
        <w:t>/</w:t>
      </w:r>
      <w:proofErr w:type="spellStart"/>
      <w:proofErr w:type="gramStart"/>
      <w:r w:rsidR="00607070">
        <w:t>coflien</w:t>
      </w:r>
      <w:proofErr w:type="spellEnd"/>
      <w:proofErr w:type="gramEnd"/>
    </w:p>
    <w:p w14:paraId="5FDA2127" w14:textId="77777777" w:rsidR="003366CF" w:rsidRPr="00F81834" w:rsidRDefault="003366CF">
      <w:pPr>
        <w:rPr>
          <w:sz w:val="24"/>
          <w:szCs w:val="24"/>
        </w:rPr>
      </w:pPr>
    </w:p>
    <w:p w14:paraId="2399C941" w14:textId="072530D0" w:rsidR="003366CF" w:rsidRPr="00F81834" w:rsidRDefault="000C6323">
      <w:pPr>
        <w:rPr>
          <w:sz w:val="24"/>
          <w:szCs w:val="24"/>
        </w:rPr>
      </w:pPr>
      <w:r w:rsidRPr="00F81834">
        <w:rPr>
          <w:sz w:val="24"/>
          <w:szCs w:val="24"/>
        </w:rPr>
        <w:t xml:space="preserve">In 2015 there was an </w:t>
      </w:r>
      <w:r w:rsidR="00E46614" w:rsidRPr="00F81834">
        <w:rPr>
          <w:sz w:val="24"/>
          <w:szCs w:val="24"/>
        </w:rPr>
        <w:t>archaeological</w:t>
      </w:r>
      <w:r w:rsidRPr="00F81834">
        <w:rPr>
          <w:sz w:val="24"/>
          <w:szCs w:val="24"/>
        </w:rPr>
        <w:t xml:space="preserve"> dig in </w:t>
      </w:r>
      <w:proofErr w:type="spellStart"/>
      <w:r w:rsidR="00994C43" w:rsidRPr="00F81834">
        <w:rPr>
          <w:sz w:val="24"/>
          <w:szCs w:val="24"/>
        </w:rPr>
        <w:t>L</w:t>
      </w:r>
      <w:r w:rsidRPr="00F81834">
        <w:rPr>
          <w:sz w:val="24"/>
          <w:szCs w:val="24"/>
        </w:rPr>
        <w:t>lanlyr</w:t>
      </w:r>
      <w:proofErr w:type="spellEnd"/>
      <w:r w:rsidRPr="00F81834">
        <w:rPr>
          <w:sz w:val="24"/>
          <w:szCs w:val="24"/>
        </w:rPr>
        <w:t xml:space="preserve"> that was primarily about the Cistercian settlement</w:t>
      </w:r>
      <w:r w:rsidR="0017369C" w:rsidRPr="00F81834">
        <w:rPr>
          <w:sz w:val="24"/>
          <w:szCs w:val="24"/>
        </w:rPr>
        <w:fldChar w:fldCharType="begin"/>
      </w:r>
      <w:r w:rsidR="00586CFE" w:rsidRPr="00F81834">
        <w:rPr>
          <w:sz w:val="24"/>
          <w:szCs w:val="24"/>
        </w:rPr>
        <w:instrText xml:space="preserve"> ADDIN ZOTERO_ITEM CSL_CITATION {"citationID":"HFLkbily","properties":{"formattedCitation":"(Murphy, no date)","plainCitation":"(Murphy, no date)","dontUpdate":true,"noteIndex":0},"citationItems":[{"id":120,"uris":["http://zotero.org/users/local/gg1ZQu5V/items/K7T52PS5"],"itemData":{"id":120,"type":"article-journal","abstract":"Rhys ap Gruffydd founded Llanllyr nunnery in the 1180s. At its dissolution in 1537 it is presumed that some of the former nunnery buildings were converted into a house. This house continued in use until c.1830 when it was demolished and building material reused in a new house constructed a few hundred metres away. No surface evidence survives for the nunnery and post-dissolution house.","language":"en","source":"Zotero","title":"SURVEY AND EXCAVATION AT LLANLLYR MEDIEVAL NUNNERY AND POST-MEDIEVAL MANSION, CEREDIGION, 2014-2015","author":[{"family":"Murphy","given":"Frances"}]}}],"schema":"https://github.com/citation-style-language/schema/raw/master/csl-citation.json"} </w:instrText>
      </w:r>
      <w:r w:rsidR="0017369C" w:rsidRPr="00F81834">
        <w:rPr>
          <w:sz w:val="24"/>
          <w:szCs w:val="24"/>
        </w:rPr>
        <w:fldChar w:fldCharType="separate"/>
      </w:r>
      <w:r w:rsidR="0017369C" w:rsidRPr="00F81834">
        <w:rPr>
          <w:rFonts w:ascii="Aptos" w:hAnsi="Aptos"/>
          <w:sz w:val="24"/>
          <w:szCs w:val="24"/>
        </w:rPr>
        <w:t xml:space="preserve">(Murphy, </w:t>
      </w:r>
      <w:r w:rsidR="00D54346" w:rsidRPr="00F81834">
        <w:rPr>
          <w:rFonts w:ascii="Aptos" w:hAnsi="Aptos"/>
          <w:sz w:val="24"/>
          <w:szCs w:val="24"/>
        </w:rPr>
        <w:t>2015</w:t>
      </w:r>
      <w:r w:rsidR="0017369C" w:rsidRPr="00F81834">
        <w:rPr>
          <w:rFonts w:ascii="Aptos" w:hAnsi="Aptos"/>
          <w:sz w:val="24"/>
          <w:szCs w:val="24"/>
        </w:rPr>
        <w:t>)</w:t>
      </w:r>
      <w:r w:rsidR="0017369C" w:rsidRPr="00F81834">
        <w:rPr>
          <w:sz w:val="24"/>
          <w:szCs w:val="24"/>
        </w:rPr>
        <w:fldChar w:fldCharType="end"/>
      </w:r>
      <w:r w:rsidRPr="00F81834">
        <w:rPr>
          <w:sz w:val="24"/>
          <w:szCs w:val="24"/>
        </w:rPr>
        <w:t xml:space="preserve"> which, unfortunately is not the focus of this landscape characteristic but it tells us a large deal about what significant </w:t>
      </w:r>
      <w:r w:rsidR="00783057" w:rsidRPr="00F81834">
        <w:rPr>
          <w:sz w:val="24"/>
          <w:szCs w:val="24"/>
        </w:rPr>
        <w:t xml:space="preserve">changes that happened in the </w:t>
      </w:r>
      <w:r w:rsidR="00E46614" w:rsidRPr="00F81834">
        <w:rPr>
          <w:sz w:val="24"/>
          <w:szCs w:val="24"/>
        </w:rPr>
        <w:t>intervening</w:t>
      </w:r>
      <w:r w:rsidR="00783057" w:rsidRPr="00F81834">
        <w:rPr>
          <w:sz w:val="24"/>
          <w:szCs w:val="24"/>
        </w:rPr>
        <w:t xml:space="preserve"> years</w:t>
      </w:r>
      <w:r w:rsidR="002B1A3A" w:rsidRPr="00F81834">
        <w:rPr>
          <w:sz w:val="24"/>
          <w:szCs w:val="24"/>
        </w:rPr>
        <w:t>. Changes in the environment such as the water being diverted in order to make living in that area significantly easier</w:t>
      </w:r>
      <w:r w:rsidR="00586CFE" w:rsidRPr="00F81834">
        <w:rPr>
          <w:sz w:val="24"/>
          <w:szCs w:val="24"/>
        </w:rPr>
        <w:fldChar w:fldCharType="begin"/>
      </w:r>
      <w:r w:rsidR="00586CFE" w:rsidRPr="00F81834">
        <w:rPr>
          <w:sz w:val="24"/>
          <w:szCs w:val="24"/>
        </w:rPr>
        <w:instrText xml:space="preserve"> ADDIN ZOTERO_ITEM CSL_CITATION {"citationID":"3fut0QhK","properties":{"formattedCitation":"(Murphy, no date)","plainCitation":"(Murphy, no date)","noteIndex":0},"citationItems":[{"id":120,"uris":["http://zotero.org/users/local/gg1ZQu5V/items/K7T52PS5"],"itemData":{"id":120,"type":"article-journal","abstract":"Rhys ap Gruffydd founded Llanllyr nunnery in the 1180s. At its dissolution in 1537 it is presumed that some of the former nunnery buildings were converted into a house. This house continued in use until c.1830 when it was demolished and building material reused in a new house constructed a few hundred metres away. No surface evidence survives for the nunnery and post-dissolution house.","language":"en","source":"Zotero","title":"SURVEY AND EXCAVATION AT LLANLLYR MEDIEVAL NUNNERY AND POST-MEDIEVAL MANSION, CEREDIGION, 2014-2015","author":[{"family":"Murphy","given":"Frances"}]}}],"schema":"https://github.com/citation-style-language/schema/raw/master/csl-citation.json"} </w:instrText>
      </w:r>
      <w:r w:rsidR="00586CFE" w:rsidRPr="00F81834">
        <w:rPr>
          <w:sz w:val="24"/>
          <w:szCs w:val="24"/>
        </w:rPr>
        <w:fldChar w:fldCharType="separate"/>
      </w:r>
      <w:r w:rsidR="00586CFE" w:rsidRPr="00F81834">
        <w:rPr>
          <w:rFonts w:ascii="Aptos" w:hAnsi="Aptos"/>
          <w:sz w:val="24"/>
          <w:szCs w:val="24"/>
        </w:rPr>
        <w:t>(Murphy,</w:t>
      </w:r>
      <w:r w:rsidR="00451962" w:rsidRPr="00F81834">
        <w:rPr>
          <w:rFonts w:ascii="Aptos" w:hAnsi="Aptos"/>
          <w:sz w:val="24"/>
          <w:szCs w:val="24"/>
        </w:rPr>
        <w:t>1025 p.</w:t>
      </w:r>
      <w:r w:rsidR="003B6E8A" w:rsidRPr="00F81834">
        <w:rPr>
          <w:rFonts w:ascii="Aptos" w:hAnsi="Aptos"/>
          <w:sz w:val="24"/>
          <w:szCs w:val="24"/>
        </w:rPr>
        <w:t>6</w:t>
      </w:r>
      <w:r w:rsidR="00586CFE" w:rsidRPr="00F81834">
        <w:rPr>
          <w:rFonts w:ascii="Aptos" w:hAnsi="Aptos"/>
          <w:sz w:val="24"/>
          <w:szCs w:val="24"/>
        </w:rPr>
        <w:t>)</w:t>
      </w:r>
      <w:r w:rsidR="00586CFE" w:rsidRPr="00F81834">
        <w:rPr>
          <w:sz w:val="24"/>
          <w:szCs w:val="24"/>
        </w:rPr>
        <w:fldChar w:fldCharType="end"/>
      </w:r>
      <w:r w:rsidR="00A93F76" w:rsidRPr="00F81834">
        <w:rPr>
          <w:sz w:val="24"/>
          <w:szCs w:val="24"/>
        </w:rPr>
        <w:t>.</w:t>
      </w:r>
      <w:r w:rsidR="00613387" w:rsidRPr="00F81834">
        <w:rPr>
          <w:sz w:val="24"/>
          <w:szCs w:val="24"/>
        </w:rPr>
        <w:t xml:space="preserve"> </w:t>
      </w:r>
      <w:r w:rsidR="006936C3" w:rsidRPr="00F81834">
        <w:rPr>
          <w:sz w:val="24"/>
          <w:szCs w:val="24"/>
        </w:rPr>
        <w:t>the neolithic period was known primarily for</w:t>
      </w:r>
      <w:r w:rsidR="00933635" w:rsidRPr="00F81834">
        <w:rPr>
          <w:sz w:val="24"/>
          <w:szCs w:val="24"/>
        </w:rPr>
        <w:t xml:space="preserve"> the introduction of agriculture into human society </w:t>
      </w:r>
      <w:r w:rsidR="006B2F08" w:rsidRPr="00F81834">
        <w:rPr>
          <w:sz w:val="24"/>
          <w:szCs w:val="24"/>
        </w:rPr>
        <w:t>and living</w:t>
      </w:r>
      <w:r w:rsidR="006B2F08" w:rsidRPr="00F81834">
        <w:rPr>
          <w:sz w:val="24"/>
          <w:szCs w:val="24"/>
        </w:rPr>
        <w:fldChar w:fldCharType="begin"/>
      </w:r>
      <w:r w:rsidR="006B2F08" w:rsidRPr="00F81834">
        <w:rPr>
          <w:sz w:val="24"/>
          <w:szCs w:val="24"/>
        </w:rPr>
        <w:instrText xml:space="preserve"> ADDIN ZOTERO_ITEM CSL_CITATION {"citationID":"IUom2vxE","properties":{"formattedCitation":"({\\i{}Prehistoric Wales | Cadw}, no date)","plainCitation":"(Prehistoric Wales | Cadw, no date)","noteIndex":0},"citationItems":[{"id":143,"uris":["http://zotero.org/users/local/gg1ZQu5V/items/NRKHSND8"],"itemData":{"id":143,"type":"webpage","language":"en","title":"Prehistoric Wales | Cadw","URL":"https://cadw.gov.wales/learn/sites-through-centuries/prehistoric-wales","accessed":{"date-parts":[["2024",5,16]]}}}],"schema":"https://github.com/citation-style-language/schema/raw/master/csl-citation.json"} </w:instrText>
      </w:r>
      <w:r w:rsidR="006B2F08" w:rsidRPr="00F81834">
        <w:rPr>
          <w:sz w:val="24"/>
          <w:szCs w:val="24"/>
        </w:rPr>
        <w:fldChar w:fldCharType="separate"/>
      </w:r>
      <w:r w:rsidR="006B2F08" w:rsidRPr="00F81834">
        <w:rPr>
          <w:rFonts w:ascii="Aptos" w:hAnsi="Aptos" w:cs="Times New Roman"/>
          <w:kern w:val="0"/>
          <w:sz w:val="24"/>
          <w:szCs w:val="24"/>
        </w:rPr>
        <w:t>(</w:t>
      </w:r>
      <w:r w:rsidR="006B2F08" w:rsidRPr="00F81834">
        <w:rPr>
          <w:rFonts w:ascii="Aptos" w:hAnsi="Aptos" w:cs="Times New Roman"/>
          <w:i/>
          <w:iCs/>
          <w:kern w:val="0"/>
          <w:sz w:val="24"/>
          <w:szCs w:val="24"/>
        </w:rPr>
        <w:t xml:space="preserve">Prehistoric Wales | </w:t>
      </w:r>
      <w:proofErr w:type="spellStart"/>
      <w:r w:rsidR="006B2F08" w:rsidRPr="00F81834">
        <w:rPr>
          <w:rFonts w:ascii="Aptos" w:hAnsi="Aptos" w:cs="Times New Roman"/>
          <w:i/>
          <w:iCs/>
          <w:kern w:val="0"/>
          <w:sz w:val="24"/>
          <w:szCs w:val="24"/>
        </w:rPr>
        <w:t>Cadw</w:t>
      </w:r>
      <w:proofErr w:type="spellEnd"/>
      <w:r w:rsidR="006B2F08" w:rsidRPr="00F81834">
        <w:rPr>
          <w:rFonts w:ascii="Aptos" w:hAnsi="Aptos" w:cs="Times New Roman"/>
          <w:kern w:val="0"/>
          <w:sz w:val="24"/>
          <w:szCs w:val="24"/>
        </w:rPr>
        <w:t>,)</w:t>
      </w:r>
      <w:r w:rsidR="006B2F08" w:rsidRPr="00F81834">
        <w:rPr>
          <w:sz w:val="24"/>
          <w:szCs w:val="24"/>
        </w:rPr>
        <w:fldChar w:fldCharType="end"/>
      </w:r>
      <w:r w:rsidR="00994C43" w:rsidRPr="00F81834">
        <w:rPr>
          <w:sz w:val="24"/>
          <w:szCs w:val="24"/>
        </w:rPr>
        <w:t xml:space="preserve">. This led to the rapid introduction of cereals in Britain and Ireland, cereals including wild fruits and berries, cereal grain, cereal chaff and </w:t>
      </w:r>
      <w:r w:rsidR="00050163" w:rsidRPr="00F81834">
        <w:rPr>
          <w:sz w:val="24"/>
          <w:szCs w:val="24"/>
        </w:rPr>
        <w:t>Celtic</w:t>
      </w:r>
      <w:r w:rsidR="00994C43" w:rsidRPr="00F81834">
        <w:rPr>
          <w:sz w:val="24"/>
          <w:szCs w:val="24"/>
        </w:rPr>
        <w:t xml:space="preserve"> beans, among more</w:t>
      </w:r>
      <w:r w:rsidR="00994C43" w:rsidRPr="00F81834">
        <w:rPr>
          <w:sz w:val="24"/>
          <w:szCs w:val="24"/>
        </w:rPr>
        <w:fldChar w:fldCharType="begin"/>
      </w:r>
      <w:r w:rsidR="00994C43" w:rsidRPr="00F81834">
        <w:rPr>
          <w:sz w:val="24"/>
          <w:szCs w:val="24"/>
        </w:rPr>
        <w:instrText xml:space="preserve"> ADDIN ZOTERO_ITEM CSL_CITATION {"citationID":"oW7Ciqpw","properties":{"formattedCitation":"(Bradley and Edmonds, 2005)","plainCitation":"(Bradley and Edmonds, 2005)","noteIndex":0},"citationItems":[{"id":30,"uris":["http://zotero.org/users/local/gg1ZQu5V/items/FUFT432V"],"itemData":{"id":30,"type":"book","abstract":"Interpreting the Axe Trade documents the changing character and context of stone axe production and exchange in the British Neolithic. Drawing on a variety of studies, the authors explore some of the problems and potentials that attend archaeological discussions of exchange at both a theoretical and a methodological level. Out of this critique arises an argument for an integrated approach to the production, circulation and consumption of past material - an approach which acknowledges the subtle and complex roles that 'things' may play in the reproduction of social life. These arguments provide the basis for a case study which explores the links between the social contexts within which Neolithic stone axes circulated in Britain, and the social and material conditions under which those objects were originally produced. Field survey, excavation and detailed technological studies at the largest stone axe source in Britain are set alongside analyses of the changing character and social context of axe circulation and deposition across the country as a whole. These different analytical threads are then woven together in the final section of the book, where the authors suggest that the patterns explored in the course of their work reflect major changes in the nature of social life during the Neolithic.","ISBN":"978-0-521-61937-0","language":"en","note":"Google-Books-ID: _qrHFi44na8C","number-of-pages":"256","publisher":"Cambridge University Press","source":"Google Books","title":"Interpreting the Axe Trade: Production and Exchange in Neolithic Britain","title-short":"Interpreting the Axe Trade","author":[{"family":"Bradley","given":"Richard"},{"family":"Edmonds","given":"Mark"}],"issued":{"date-parts":[["2005",2,17]]}}}],"schema":"https://github.com/citation-style-language/schema/raw/master/csl-citation.json"} </w:instrText>
      </w:r>
      <w:r w:rsidR="00994C43" w:rsidRPr="00F81834">
        <w:rPr>
          <w:sz w:val="24"/>
          <w:szCs w:val="24"/>
        </w:rPr>
        <w:fldChar w:fldCharType="separate"/>
      </w:r>
      <w:r w:rsidR="00994C43" w:rsidRPr="00F81834">
        <w:rPr>
          <w:rFonts w:ascii="Aptos" w:hAnsi="Aptos"/>
          <w:sz w:val="24"/>
          <w:szCs w:val="24"/>
        </w:rPr>
        <w:t>(Bradley and Edmonds, 2005 p.200)</w:t>
      </w:r>
      <w:r w:rsidR="00994C43" w:rsidRPr="00F81834">
        <w:rPr>
          <w:sz w:val="24"/>
          <w:szCs w:val="24"/>
        </w:rPr>
        <w:fldChar w:fldCharType="end"/>
      </w:r>
      <w:r w:rsidR="00994C43" w:rsidRPr="00F81834">
        <w:rPr>
          <w:sz w:val="24"/>
          <w:szCs w:val="24"/>
        </w:rPr>
        <w:t xml:space="preserve">. this means that in the general area the flora in </w:t>
      </w:r>
      <w:proofErr w:type="spellStart"/>
      <w:r w:rsidR="00994C43" w:rsidRPr="00F81834">
        <w:rPr>
          <w:sz w:val="24"/>
          <w:szCs w:val="24"/>
        </w:rPr>
        <w:t>Llanlyr</w:t>
      </w:r>
      <w:proofErr w:type="spellEnd"/>
      <w:r w:rsidR="00994C43" w:rsidRPr="00F81834">
        <w:rPr>
          <w:sz w:val="24"/>
          <w:szCs w:val="24"/>
        </w:rPr>
        <w:t xml:space="preserve"> shows evidence of at least an attempt in neolithic styles of </w:t>
      </w:r>
      <w:proofErr w:type="gramStart"/>
      <w:r w:rsidR="00994C43" w:rsidRPr="00F81834">
        <w:rPr>
          <w:sz w:val="24"/>
          <w:szCs w:val="24"/>
        </w:rPr>
        <w:t>farming</w:t>
      </w:r>
      <w:r w:rsidR="00F81834">
        <w:rPr>
          <w:sz w:val="24"/>
          <w:szCs w:val="24"/>
        </w:rPr>
        <w:t xml:space="preserve"> </w:t>
      </w:r>
      <w:r w:rsidR="00585AF7" w:rsidRPr="00F81834">
        <w:rPr>
          <w:sz w:val="24"/>
          <w:szCs w:val="24"/>
        </w:rPr>
        <w:t>.</w:t>
      </w:r>
      <w:proofErr w:type="gramEnd"/>
    </w:p>
    <w:p w14:paraId="4EC9513C" w14:textId="77777777" w:rsidR="00BF2A73" w:rsidRDefault="00BF2A73"/>
    <w:p w14:paraId="6B9517FE" w14:textId="77777777" w:rsidR="00F678AF" w:rsidRDefault="00F678AF" w:rsidP="00F678AF">
      <w:pPr>
        <w:keepNext/>
      </w:pPr>
      <w:r>
        <w:rPr>
          <w:noProof/>
          <w:sz w:val="28"/>
          <w:szCs w:val="28"/>
        </w:rPr>
        <w:drawing>
          <wp:inline distT="0" distB="0" distL="0" distR="0" wp14:anchorId="541B4268" wp14:editId="28C42581">
            <wp:extent cx="3938954" cy="2954434"/>
            <wp:effectExtent l="0" t="0" r="0" b="0"/>
            <wp:docPr id="1535722941" name="Picture 7" descr="A grassy field with trees and bu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22941" name="Picture 7" descr="A grassy field with trees and bushe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943618" cy="2957932"/>
                    </a:xfrm>
                    <a:prstGeom prst="rect">
                      <a:avLst/>
                    </a:prstGeom>
                  </pic:spPr>
                </pic:pic>
              </a:graphicData>
            </a:graphic>
          </wp:inline>
        </w:drawing>
      </w:r>
    </w:p>
    <w:p w14:paraId="1B3DDA01" w14:textId="3DCF9C69" w:rsidR="00BF2A73" w:rsidRDefault="00F678AF" w:rsidP="00F678AF">
      <w:pPr>
        <w:pStyle w:val="Caption"/>
        <w:rPr>
          <w:sz w:val="28"/>
          <w:szCs w:val="28"/>
        </w:rPr>
      </w:pPr>
      <w:r>
        <w:t xml:space="preserve">figure </w:t>
      </w:r>
      <w:r>
        <w:fldChar w:fldCharType="begin"/>
      </w:r>
      <w:r>
        <w:instrText xml:space="preserve"> SEQ figure \* ARABIC </w:instrText>
      </w:r>
      <w:r>
        <w:fldChar w:fldCharType="separate"/>
      </w:r>
      <w:r w:rsidR="00607070">
        <w:rPr>
          <w:noProof/>
        </w:rPr>
        <w:t>2</w:t>
      </w:r>
      <w:r>
        <w:fldChar w:fldCharType="end"/>
      </w:r>
      <w:r>
        <w:t>/</w:t>
      </w:r>
      <w:proofErr w:type="spellStart"/>
      <w:r>
        <w:t>Llyanllyr</w:t>
      </w:r>
      <w:proofErr w:type="spellEnd"/>
      <w:r>
        <w:t xml:space="preserve"> field/</w:t>
      </w:r>
      <w:proofErr w:type="spellStart"/>
      <w:r>
        <w:t>caleb</w:t>
      </w:r>
      <w:proofErr w:type="spellEnd"/>
      <w:r>
        <w:t xml:space="preserve"> </w:t>
      </w:r>
      <w:proofErr w:type="spellStart"/>
      <w:r>
        <w:t>rees</w:t>
      </w:r>
      <w:proofErr w:type="spellEnd"/>
      <w:r>
        <w:t>/2024/</w:t>
      </w:r>
      <w:proofErr w:type="spellStart"/>
      <w:proofErr w:type="gramStart"/>
      <w:r>
        <w:t>Llyanllyr</w:t>
      </w:r>
      <w:proofErr w:type="spellEnd"/>
      <w:proofErr w:type="gramEnd"/>
    </w:p>
    <w:p w14:paraId="4BE84CCC" w14:textId="7E758250" w:rsidR="00F81834" w:rsidRDefault="00F81834">
      <w:pPr>
        <w:rPr>
          <w:sz w:val="24"/>
          <w:szCs w:val="24"/>
        </w:rPr>
      </w:pPr>
      <w:r>
        <w:rPr>
          <w:sz w:val="24"/>
          <w:szCs w:val="24"/>
        </w:rPr>
        <w:t xml:space="preserve">the area of </w:t>
      </w:r>
      <w:proofErr w:type="spellStart"/>
      <w:r>
        <w:rPr>
          <w:sz w:val="24"/>
          <w:szCs w:val="24"/>
        </w:rPr>
        <w:t>Llanllyr</w:t>
      </w:r>
      <w:proofErr w:type="spellEnd"/>
      <w:r>
        <w:rPr>
          <w:sz w:val="24"/>
          <w:szCs w:val="24"/>
        </w:rPr>
        <w:t xml:space="preserve"> has a storied history as there is evidence of people settling there for thousands of years, so the area </w:t>
      </w:r>
      <w:proofErr w:type="gramStart"/>
      <w:r>
        <w:rPr>
          <w:sz w:val="24"/>
          <w:szCs w:val="24"/>
        </w:rPr>
        <w:t>actually has</w:t>
      </w:r>
      <w:proofErr w:type="gramEnd"/>
      <w:r>
        <w:rPr>
          <w:sz w:val="24"/>
          <w:szCs w:val="24"/>
        </w:rPr>
        <w:t xml:space="preserve"> physical evidence of people crafting tools in the area of </w:t>
      </w:r>
      <w:proofErr w:type="spellStart"/>
      <w:r>
        <w:rPr>
          <w:sz w:val="24"/>
          <w:szCs w:val="24"/>
        </w:rPr>
        <w:t>Llanllyr</w:t>
      </w:r>
      <w:proofErr w:type="spellEnd"/>
      <w:r>
        <w:rPr>
          <w:sz w:val="24"/>
          <w:szCs w:val="24"/>
        </w:rPr>
        <w:t xml:space="preserve"> as mentioned by Martin Bates in the archaeological dig that took place in </w:t>
      </w:r>
      <w:proofErr w:type="spellStart"/>
      <w:r>
        <w:rPr>
          <w:sz w:val="24"/>
          <w:szCs w:val="24"/>
        </w:rPr>
        <w:t>Llanllyr</w:t>
      </w:r>
      <w:proofErr w:type="spellEnd"/>
      <w:r>
        <w:rPr>
          <w:sz w:val="24"/>
          <w:szCs w:val="24"/>
        </w:rPr>
        <w:t xml:space="preserve"> in 2024. These tools show evidence that there was human activity </w:t>
      </w:r>
      <w:r w:rsidR="00C108F3">
        <w:rPr>
          <w:sz w:val="24"/>
          <w:szCs w:val="24"/>
        </w:rPr>
        <w:t xml:space="preserve">in the area of Ceredigion (see </w:t>
      </w:r>
      <w:r w:rsidR="00C24E99">
        <w:rPr>
          <w:sz w:val="24"/>
          <w:szCs w:val="24"/>
        </w:rPr>
        <w:t>table 1</w:t>
      </w:r>
      <w:r w:rsidR="00C108F3">
        <w:rPr>
          <w:sz w:val="24"/>
          <w:szCs w:val="24"/>
        </w:rPr>
        <w:t>)</w:t>
      </w:r>
      <w:r w:rsidR="00AA00B7">
        <w:rPr>
          <w:sz w:val="24"/>
          <w:szCs w:val="24"/>
        </w:rPr>
        <w:t xml:space="preserve"> </w:t>
      </w:r>
      <w:r w:rsidR="00DD21D5">
        <w:rPr>
          <w:sz w:val="24"/>
          <w:szCs w:val="24"/>
        </w:rPr>
        <w:fldChar w:fldCharType="begin"/>
      </w:r>
      <w:r w:rsidR="00DD21D5">
        <w:rPr>
          <w:sz w:val="24"/>
          <w:szCs w:val="24"/>
        </w:rPr>
        <w:instrText xml:space="preserve"> ADDIN ZOTERO_ITEM CSL_CITATION {"citationID":"G7sLvZOO","properties":{"formattedCitation":"(Treasure {\\i{}et al.}, 2019)","plainCitation":"(Treasure et al., 2019)","noteIndex":0},"citationItems":[{"id":108,"uris":["http://zotero.org/users/local/gg1ZQu5V/items/IJ8UZSIU"],"itemData":{"id":108,"type":"article-journal","abstract":"The introduction of agriculture is a key defining element of the Neolithic, yet considerable debate persists concerning the nature and significance of early farming practices in north-west Europe. This paper reviews archaeobotanical evidence from 95 Neolithic sites (c. 4000–2200 cal bc) in Wales, focusing on wild plant exploitation, the range of crops present, and the significance of cereals in subsistence practices. Cereal cultivation practices in Early Neolithic Wales are also examined using cereal grain stable carbon (δ13C) and nitrogen (δ15N) isotope analysis. The Early Neolithic period witnessed the widespread uptake of cereals alongside considerable evidence for continued wild plant exploitation, notably hazelnuts and wild fruits. The possibility that wild plants and woodlands were deliberately managed or altered to promote the growth of certain plants is outlined. Small cereal grain assemblages, with little evidence for chaff and weed seeds, are common in the Early Neolithic, whereas cereal-rich sites are rare. Emmer wheat was the dominant crop in the Early Neolithic, while other cereal types were recorded in small quantities. Cereal nitrogen isotope (δ15N) values from Early Neolithic sites provided little evidence for intensive manuring. We suggest that cultivation conditions may have been less intensive when compared to other areas of Britain and Europe. In the later Neolithic period, there is evidence for a decline in the importance of cereals. Finally, the archaeobotanical and crop isotope data from this study are considered within a wider European context., RÉSUMÉAgriculture Néolithique et exploitation des plantes sauvages dans l’ouest de la Grande-Bretagne : témoignages archéobotaniqques et d’isotopes stables de récoltes du Pays de Galles (env. 4000–2200 cal av. J.-C.), de Edward R. Treasure, Darren R. Gröcke, Astrid E. Caseldine et Mike J. ChurchL’introduction de l’agriculture est un élément clef déterminant du néolithique, toutefois, un considérable débat persiste en ce qui concerne la nature et l’importance des premières pratiques agricoles dans le nord-ouest de l’Europe. Cette étude révise les témoignages archéobotaniques de 95 sites néolithiques (env. 4000–2200 cal av. J.-C.), au Pays de Galles se concentrant sur l’exploitation des plantes sauvages , la gamme de cultures sprésentes et l’importance des céréales dans les pratiques de subsistance. Les pratiques de culture des céréales du début du néolithique au Pays de Galles sont aussi examinées au moyen d’une analyse des isotopes stables de graines de céréales carbone (δ13C) et nitrogène (δ15N). La période du début du néolithique a vu une large diffusion de la culture de céréales parallèlement à de considérables témoignages de la continuation de l’exploitation des plantes sauvages, en particulier les noisettes et les fruits sauvages. La possibilité que des plantes sauvages et des bois étaient délibérément controlés ou modifiés pour promouvoir la croissance de certaines plantes est soulignée. De petits assemblages de graines de céréales, avec peu d’évidence de menue paille ou de graines de mauvaises herbes sont courants au début du néolithique tandis que les sites riches en céréales sont rares. L’épeautre était la culture dominante au début du néolithique alors que d’autres types de céréales étaient enregistrés en petites quantités. Les valeurs de l’isotope de nitrogène (δ15N) de céréales des sites du début du néolithique ne rapportèrent que peu de témoignages de fumure intensive. Nous suggérons qu’il se pourrait que les conditions de culture aient été moins intensives si, on les compare à celles d’autres régions de Grande-Bretagne ou d’Europe. A la période du néolithique plus tardif, il existe des témoignages d’un décllin de l’importance des céréales. Finalement les données archéobotaniques et d’isotopes de cultures de cette étude sont éenvisagées dans le contexte plus étendu de l’Europe., ZUSSAMENFASSUNGNeolithische Landwirtschaft und die Nutzung von Wildpflanzen im Westen Großbritanniens: Archäobotanische Daten und stabile Isotopen von Kulturpflanzen aus Wales (ca. 4000–2200 calbc), von Edward R. Treasure, Darren R. Gröcke, Astrid E. Caseldine und Mike J. ChurchDie Einführung des Ackerbaus ist ein entscheidendes Bestimmungselement des Neolithikums, doch über den Charakter und die Bedeutung früher landwirtschaftlicher Aktivitäten in Nordwesteuropa besteht weiterhin eine große Uneinigkeit. Dieser Beitrag evaluiert die archäobotanischen Daten von 95 neolithischen Fundplätzen (ca. 4000–2200 cal bc) in Wales und konzentriert sich dabei auf die Nutzung von Wildpflanzen, die Arten überlieferter Kulturpflanzen und die Bedeutung von Getreide bei den Subsistenzpraktiken. Die Methoden des Anbaus von Getreide im frühneolithischen Wales werden anhand von Analysen stabiler Kohlenstoff- (δ13C) und Stickstoffisotopen (δ15N) ebenfalls untersucht. Im frühen Neolithikum wurden Getreide weithin übernommen, während zugleich zahlreiche Daten auf die fortbestehende Nutzung von Wildpflanzen hinweisen, vor allem Haselnüssen und wilden Früchten. Die Möglichkeit wird erörtert, dass wilde Pflanzen und Wälder bewusst gepflegt oder umgeformt wurden, um das Wachstum bestimmter Pflanzen zu fördern. Im frühen Neolithikum treten kleine Mengen an Getreidekörnern weitgehend ohne Spreu oder Unkrautsaaten recht häufig auf, während Fundplätze mit reichen Getreidefunden selten sind. Emmer war im Frühneolithikum die wichtigste Nutzpflanze, weitere Getreidearten wurden in kleinen Mengen festgestellt. Stickstoffisotopenwerte (δ15N) von Getreiden von frühneolithischen Plätzen liefern kaum Hinweise auf intensive Düngung. Wir schließen daraus, dass die Art des Anbaus weniger intensiv war als in anderen Regionen Großbritanniens und Europas. Für das spätere Neolithikum weisen die Daten auf einen Rückgang der Bedeutung von Getreide hin. Abschließend werden die archäobotanischen Daten und die Daten der Isotopenanalysen von Nutzpflanzen dieser Studie in ihrem weiteren europäischen Kontexts erörtert., Agricultura neolítica y explotación de plantas silvestres en el oeste de Gran Bretaña: evidencia arqueobotánica e isótopos estables de cultivos de Gales (c. 4000–2200 calbc), por Edward R. Treasure, Darren R. Gröcke, Astrid E. Caseldine y Mike J. ChurchLa introducción de la agricultura es un elemento definitorio del Neolítico, aunque persiste un considerable debate en relación a la naturaleza y el significado de las primeras prácticas agrícolas en el noroeste de Europa. Este artículo revisa la evidencia arqueobotánica de 95 yacimientos neolíticos (c. 4000–2200 cal bc) en Gales, centrándose en la explotación de plantas silvestres, el rango de cereales presentes y su significación en las prácticas de subsistencia. Se revisan las prácticas de cultivo de los cereales en el Neolítico inicial de Gales a través del análisis de isótopos estables de carbono (δ13C) y el nitrógeno (δ15N). El Neolítico inicial fue testigo de la introducción generalizada de cereales al mismo tiempo que se documenta una explotación continua de plantas silvestres, especialmente avellanas y frutos silvestres. Se resalta la posibilidad de que las plantas silvestres y los bosques fueran deliberadamente gestionados o alterados para favorecer el crecimiento de ciertas plantas. Los pequeños conjuntos de grano de cereal, con poca evidencia de cascarillas y semillas de malas hierbas, son comunes en el Neolítico inicial, mientras que los sitios ricos en cereales son escasos. El trigo vestido o farro fue el cultivo dominante durante el Neolítico inicial, mientras que otros tipos de cereales son registrados en pequeñas cantidades. Los valores de nitrógeno (δ15N) de los cereales de los yacimientos del Neolítico inicial aportan poca evidencia sobre una fertilización intensiva. Se propone que las condiciones de cultivo podrían haber sido menos intensivas que las producidas en otras áreas de Gran Bretaña y Europa. En el Neolítico final, la evidencia arqueológica refleja un declive de la importancia de los cereales. Finalmente, los datos arqueobotánicos y la evidencia isotópica presentada en este estudio se compara con un contexto europeo más amplio.","container-title":"Proceedings of the Prehistoric Society","DOI":"10.1017/ppr.2019.12","ISSN":"0079-497X, 2050-2729","language":"en","page":"193-222","source":"Cambridge University Press","title":"Neolithic Farming and Wild Plant Exploitation in Western Britain: Archaeobotanical and Crop Stable Isotope Evidence from Wales (c. 4000–2200 cal bc)","title-short":"Neolithic Farming and Wild Plant Exploitation in Western Britain","volume":"85","author":[{"family":"Treasure","given":"Edward R."},{"family":"Gröcke","given":"Darren R."},{"family":"Caseldine","given":"Astrid E."},{"family":"Church","given":"Mike J."}],"issued":{"date-parts":[["2019",12]]}}}],"schema":"https://github.com/citation-style-language/schema/raw/master/csl-citation.json"} </w:instrText>
      </w:r>
      <w:r w:rsidR="00DD21D5">
        <w:rPr>
          <w:sz w:val="24"/>
          <w:szCs w:val="24"/>
        </w:rPr>
        <w:fldChar w:fldCharType="separate"/>
      </w:r>
      <w:r w:rsidR="00DD21D5" w:rsidRPr="00DD21D5">
        <w:rPr>
          <w:rFonts w:ascii="Aptos" w:hAnsi="Aptos" w:cs="Times New Roman"/>
          <w:kern w:val="0"/>
          <w:sz w:val="24"/>
        </w:rPr>
        <w:t xml:space="preserve">(Treasure </w:t>
      </w:r>
      <w:r w:rsidR="00DD21D5" w:rsidRPr="00DD21D5">
        <w:rPr>
          <w:rFonts w:ascii="Aptos" w:hAnsi="Aptos" w:cs="Times New Roman"/>
          <w:i/>
          <w:iCs/>
          <w:kern w:val="0"/>
          <w:sz w:val="24"/>
        </w:rPr>
        <w:t>et al.</w:t>
      </w:r>
      <w:r w:rsidR="00DD21D5" w:rsidRPr="00DD21D5">
        <w:rPr>
          <w:rFonts w:ascii="Aptos" w:hAnsi="Aptos" w:cs="Times New Roman"/>
          <w:kern w:val="0"/>
          <w:sz w:val="24"/>
        </w:rPr>
        <w:t>, 2019</w:t>
      </w:r>
      <w:r w:rsidR="00634933">
        <w:rPr>
          <w:rFonts w:ascii="Aptos" w:hAnsi="Aptos" w:cs="Times New Roman"/>
          <w:kern w:val="0"/>
          <w:sz w:val="24"/>
        </w:rPr>
        <w:t xml:space="preserve"> p.196</w:t>
      </w:r>
      <w:r w:rsidR="00DD21D5" w:rsidRPr="00DD21D5">
        <w:rPr>
          <w:rFonts w:ascii="Aptos" w:hAnsi="Aptos" w:cs="Times New Roman"/>
          <w:kern w:val="0"/>
          <w:sz w:val="24"/>
        </w:rPr>
        <w:t>)</w:t>
      </w:r>
      <w:r w:rsidR="00DD21D5">
        <w:rPr>
          <w:sz w:val="24"/>
          <w:szCs w:val="24"/>
        </w:rPr>
        <w:fldChar w:fldCharType="end"/>
      </w:r>
      <w:r w:rsidR="00565B7D">
        <w:rPr>
          <w:sz w:val="24"/>
          <w:szCs w:val="24"/>
        </w:rPr>
        <w:t xml:space="preserve"> </w:t>
      </w:r>
      <w:r w:rsidR="006F4655">
        <w:rPr>
          <w:sz w:val="24"/>
          <w:szCs w:val="24"/>
        </w:rPr>
        <w:t xml:space="preserve"> the table below shows that there is</w:t>
      </w:r>
      <w:r w:rsidR="00A84A68">
        <w:rPr>
          <w:sz w:val="24"/>
          <w:szCs w:val="24"/>
        </w:rPr>
        <w:t xml:space="preserve"> settlements of farming in Ceredigion  but few and far between ,but it actually </w:t>
      </w:r>
      <w:r w:rsidR="00DA7273">
        <w:rPr>
          <w:sz w:val="24"/>
          <w:szCs w:val="24"/>
        </w:rPr>
        <w:t xml:space="preserve">shows that there is a concentration of settlements </w:t>
      </w:r>
      <w:r w:rsidR="009902D7">
        <w:rPr>
          <w:sz w:val="24"/>
          <w:szCs w:val="24"/>
        </w:rPr>
        <w:t xml:space="preserve">in the </w:t>
      </w:r>
      <w:r w:rsidR="00B81EF0">
        <w:rPr>
          <w:sz w:val="24"/>
          <w:szCs w:val="24"/>
        </w:rPr>
        <w:t>no</w:t>
      </w:r>
      <w:r w:rsidR="00992D79">
        <w:rPr>
          <w:sz w:val="24"/>
          <w:szCs w:val="24"/>
        </w:rPr>
        <w:t>r</w:t>
      </w:r>
      <w:r w:rsidR="00B81EF0">
        <w:rPr>
          <w:sz w:val="24"/>
          <w:szCs w:val="24"/>
        </w:rPr>
        <w:t xml:space="preserve">th-eastern part of </w:t>
      </w:r>
      <w:r w:rsidR="00992D79">
        <w:rPr>
          <w:sz w:val="24"/>
          <w:szCs w:val="24"/>
        </w:rPr>
        <w:t>Wales</w:t>
      </w:r>
      <w:r w:rsidR="00B81EF0">
        <w:rPr>
          <w:sz w:val="24"/>
          <w:szCs w:val="24"/>
        </w:rPr>
        <w:t xml:space="preserve"> </w:t>
      </w:r>
      <w:r w:rsidR="006A2D5F">
        <w:rPr>
          <w:sz w:val="24"/>
          <w:szCs w:val="24"/>
        </w:rPr>
        <w:t>as well</w:t>
      </w:r>
      <w:r w:rsidR="00B81EF0">
        <w:rPr>
          <w:sz w:val="24"/>
          <w:szCs w:val="24"/>
        </w:rPr>
        <w:t xml:space="preserve"> as the </w:t>
      </w:r>
      <w:r w:rsidR="008B70A9">
        <w:rPr>
          <w:sz w:val="24"/>
          <w:szCs w:val="24"/>
        </w:rPr>
        <w:t xml:space="preserve">eastern and </w:t>
      </w:r>
      <w:r w:rsidR="00293F19">
        <w:rPr>
          <w:sz w:val="24"/>
          <w:szCs w:val="24"/>
        </w:rPr>
        <w:t xml:space="preserve">the south-western parts of </w:t>
      </w:r>
      <w:r w:rsidR="00992D79">
        <w:rPr>
          <w:sz w:val="24"/>
          <w:szCs w:val="24"/>
        </w:rPr>
        <w:t>Wales</w:t>
      </w:r>
      <w:r w:rsidR="00293F19">
        <w:rPr>
          <w:sz w:val="24"/>
          <w:szCs w:val="24"/>
        </w:rPr>
        <w:t xml:space="preserve"> so it </w:t>
      </w:r>
      <w:r w:rsidR="006B141A">
        <w:rPr>
          <w:sz w:val="24"/>
          <w:szCs w:val="24"/>
        </w:rPr>
        <w:t xml:space="preserve">is possible that the areas in </w:t>
      </w:r>
      <w:r w:rsidR="00102386">
        <w:rPr>
          <w:sz w:val="24"/>
          <w:szCs w:val="24"/>
        </w:rPr>
        <w:t>Ceredigion</w:t>
      </w:r>
      <w:r w:rsidR="00CD6B28">
        <w:rPr>
          <w:sz w:val="24"/>
          <w:szCs w:val="24"/>
        </w:rPr>
        <w:t xml:space="preserve"> (25) </w:t>
      </w:r>
      <w:r w:rsidR="00396AF7">
        <w:rPr>
          <w:sz w:val="24"/>
          <w:szCs w:val="24"/>
        </w:rPr>
        <w:t xml:space="preserve"> are stopping points that peopl</w:t>
      </w:r>
      <w:r w:rsidR="00FA6FC4">
        <w:rPr>
          <w:sz w:val="24"/>
          <w:szCs w:val="24"/>
        </w:rPr>
        <w:t>e</w:t>
      </w:r>
      <w:r w:rsidR="00405CE5">
        <w:rPr>
          <w:sz w:val="24"/>
          <w:szCs w:val="24"/>
        </w:rPr>
        <w:t xml:space="preserve"> </w:t>
      </w:r>
      <w:r w:rsidR="00FA6FC4">
        <w:rPr>
          <w:sz w:val="24"/>
          <w:szCs w:val="24"/>
        </w:rPr>
        <w:t xml:space="preserve">would stop at and remake tools </w:t>
      </w:r>
      <w:r w:rsidR="005F7086">
        <w:rPr>
          <w:sz w:val="24"/>
          <w:szCs w:val="24"/>
        </w:rPr>
        <w:t>as well</w:t>
      </w:r>
      <w:r w:rsidR="00FA6FC4">
        <w:rPr>
          <w:sz w:val="24"/>
          <w:szCs w:val="24"/>
        </w:rPr>
        <w:t xml:space="preserve"> as restock on food</w:t>
      </w:r>
      <w:r w:rsidR="006810ED">
        <w:rPr>
          <w:sz w:val="24"/>
          <w:szCs w:val="24"/>
        </w:rPr>
        <w:t xml:space="preserve">, as there has been no </w:t>
      </w:r>
      <w:r w:rsidR="005F7086">
        <w:rPr>
          <w:sz w:val="24"/>
          <w:szCs w:val="24"/>
        </w:rPr>
        <w:t>settlements</w:t>
      </w:r>
      <w:r w:rsidR="00405CE5">
        <w:rPr>
          <w:sz w:val="24"/>
          <w:szCs w:val="24"/>
        </w:rPr>
        <w:t xml:space="preserve"> found in the recent 2024 dig </w:t>
      </w:r>
      <w:r w:rsidR="005F7086">
        <w:rPr>
          <w:sz w:val="24"/>
          <w:szCs w:val="24"/>
        </w:rPr>
        <w:t>as well</w:t>
      </w:r>
      <w:r w:rsidR="00405CE5">
        <w:rPr>
          <w:sz w:val="24"/>
          <w:szCs w:val="24"/>
        </w:rPr>
        <w:t xml:space="preserve"> as </w:t>
      </w:r>
      <w:r w:rsidR="00691B5E">
        <w:rPr>
          <w:sz w:val="24"/>
          <w:szCs w:val="24"/>
        </w:rPr>
        <w:t>having</w:t>
      </w:r>
      <w:r w:rsidR="00D230F1">
        <w:rPr>
          <w:sz w:val="24"/>
          <w:szCs w:val="24"/>
        </w:rPr>
        <w:t xml:space="preserve"> found a nunnery in Cistercian buildings found in the area </w:t>
      </w:r>
      <w:r w:rsidR="00387CB0">
        <w:rPr>
          <w:sz w:val="24"/>
          <w:szCs w:val="24"/>
        </w:rPr>
        <w:fldChar w:fldCharType="begin"/>
      </w:r>
      <w:r w:rsidR="00387CB0">
        <w:rPr>
          <w:sz w:val="24"/>
          <w:szCs w:val="24"/>
        </w:rPr>
        <w:instrText xml:space="preserve"> ADDIN ZOTERO_ITEM CSL_CITATION {"citationID":"6lusSCpM","properties":{"formattedCitation":"(Murphy, no date)","plainCitation":"(Murphy, no date)","noteIndex":0},"citationItems":[{"id":120,"uris":["http://zotero.org/users/local/gg1ZQu5V/items/K7T52PS5"],"itemData":{"id":120,"type":"article-journal","abstract":"Rhys ap Gruffydd founded Llanllyr nunnery in the 1180s. At its dissolution in 1537 it is presumed that some of the former nunnery buildings were converted into a house. This house continued in use until c.1830 when it was demolished and building material reused in a new house constructed a few hundred metres away. No surface evidence survives for the nunnery and post-dissolution house.","language":"en","source":"Zotero","title":"SURVEY AND EXCAVATION AT LLANLLYR MEDIEVAL NUNNERY AND POST-MEDIEVAL MANSION, CEREDIGION, 2014-2015","author":[{"family":"Murphy","given":"Frances"}]}}],"schema":"https://github.com/citation-style-language/schema/raw/master/csl-citation.json"} </w:instrText>
      </w:r>
      <w:r w:rsidR="00387CB0">
        <w:rPr>
          <w:sz w:val="24"/>
          <w:szCs w:val="24"/>
        </w:rPr>
        <w:fldChar w:fldCharType="separate"/>
      </w:r>
      <w:r w:rsidR="00387CB0" w:rsidRPr="00387CB0">
        <w:rPr>
          <w:rFonts w:ascii="Aptos" w:hAnsi="Aptos"/>
          <w:sz w:val="24"/>
        </w:rPr>
        <w:t>(Murphy,</w:t>
      </w:r>
      <w:r w:rsidR="00D658BE">
        <w:rPr>
          <w:rFonts w:ascii="Aptos" w:hAnsi="Aptos"/>
          <w:sz w:val="24"/>
        </w:rPr>
        <w:t>2015 p.3</w:t>
      </w:r>
      <w:r w:rsidR="00387CB0" w:rsidRPr="00387CB0">
        <w:rPr>
          <w:rFonts w:ascii="Aptos" w:hAnsi="Aptos"/>
          <w:sz w:val="24"/>
        </w:rPr>
        <w:t>)</w:t>
      </w:r>
      <w:r w:rsidR="00387CB0">
        <w:rPr>
          <w:sz w:val="24"/>
          <w:szCs w:val="24"/>
        </w:rPr>
        <w:fldChar w:fldCharType="end"/>
      </w:r>
      <w:r w:rsidR="00691B5E">
        <w:rPr>
          <w:sz w:val="24"/>
          <w:szCs w:val="24"/>
        </w:rPr>
        <w:t>as well</w:t>
      </w:r>
      <w:r w:rsidR="00D230F1">
        <w:rPr>
          <w:sz w:val="24"/>
          <w:szCs w:val="24"/>
        </w:rPr>
        <w:t xml:space="preserve"> shows that the</w:t>
      </w:r>
      <w:r w:rsidR="00DE7E84">
        <w:rPr>
          <w:sz w:val="24"/>
          <w:szCs w:val="24"/>
        </w:rPr>
        <w:t xml:space="preserve">re is no long term settlements in the </w:t>
      </w:r>
      <w:proofErr w:type="spellStart"/>
      <w:r w:rsidR="00DE7E84">
        <w:rPr>
          <w:sz w:val="24"/>
          <w:szCs w:val="24"/>
        </w:rPr>
        <w:t>Llanllyr</w:t>
      </w:r>
      <w:proofErr w:type="spellEnd"/>
      <w:r w:rsidR="00702FFC">
        <w:rPr>
          <w:sz w:val="24"/>
          <w:szCs w:val="24"/>
        </w:rPr>
        <w:t>.</w:t>
      </w:r>
      <w:r w:rsidR="00F82027">
        <w:rPr>
          <w:sz w:val="24"/>
          <w:szCs w:val="24"/>
        </w:rPr>
        <w:t xml:space="preserve"> </w:t>
      </w:r>
      <w:proofErr w:type="gramStart"/>
      <w:r w:rsidR="00F82027">
        <w:rPr>
          <w:sz w:val="24"/>
          <w:szCs w:val="24"/>
        </w:rPr>
        <w:t>In order to</w:t>
      </w:r>
      <w:proofErr w:type="gramEnd"/>
      <w:r w:rsidR="00F82027">
        <w:rPr>
          <w:sz w:val="24"/>
          <w:szCs w:val="24"/>
        </w:rPr>
        <w:t xml:space="preserve"> date the area in a specific time methods such as carbon and radio dating is </w:t>
      </w:r>
      <w:r w:rsidR="00F82027">
        <w:rPr>
          <w:sz w:val="24"/>
          <w:szCs w:val="24"/>
        </w:rPr>
        <w:lastRenderedPageBreak/>
        <w:t xml:space="preserve">used </w:t>
      </w:r>
      <w:r w:rsidR="00EC5D3E">
        <w:rPr>
          <w:sz w:val="24"/>
          <w:szCs w:val="24"/>
        </w:rPr>
        <w:t xml:space="preserve">but more specifically in </w:t>
      </w:r>
      <w:proofErr w:type="spellStart"/>
      <w:r w:rsidR="00EC5D3E">
        <w:rPr>
          <w:sz w:val="24"/>
          <w:szCs w:val="24"/>
        </w:rPr>
        <w:t>Llanllyr</w:t>
      </w:r>
      <w:proofErr w:type="spellEnd"/>
      <w:r w:rsidR="00EC5D3E">
        <w:rPr>
          <w:sz w:val="24"/>
          <w:szCs w:val="24"/>
        </w:rPr>
        <w:t xml:space="preserve"> is </w:t>
      </w:r>
      <w:r w:rsidR="00EE614A">
        <w:rPr>
          <w:sz w:val="24"/>
          <w:szCs w:val="24"/>
        </w:rPr>
        <w:t xml:space="preserve">dendrochronology is </w:t>
      </w:r>
      <w:r w:rsidR="00793C1C">
        <w:rPr>
          <w:sz w:val="24"/>
          <w:szCs w:val="24"/>
        </w:rPr>
        <w:t xml:space="preserve">primarily used for gathering an </w:t>
      </w:r>
      <w:r w:rsidR="00E53594">
        <w:rPr>
          <w:sz w:val="24"/>
          <w:szCs w:val="24"/>
        </w:rPr>
        <w:t>eco-fact</w:t>
      </w:r>
      <w:r w:rsidR="00793C1C">
        <w:rPr>
          <w:sz w:val="24"/>
          <w:szCs w:val="24"/>
        </w:rPr>
        <w:t xml:space="preserve"> file, such as the </w:t>
      </w:r>
      <w:r w:rsidR="00672CDE">
        <w:rPr>
          <w:sz w:val="24"/>
          <w:szCs w:val="24"/>
        </w:rPr>
        <w:t>dig site</w:t>
      </w:r>
      <w:r w:rsidR="00DC3423">
        <w:rPr>
          <w:sz w:val="24"/>
          <w:szCs w:val="24"/>
        </w:rPr>
        <w:t xml:space="preserve"> in </w:t>
      </w:r>
      <w:proofErr w:type="spellStart"/>
      <w:r w:rsidR="00DC3423">
        <w:rPr>
          <w:sz w:val="24"/>
          <w:szCs w:val="24"/>
        </w:rPr>
        <w:t>Llanl</w:t>
      </w:r>
      <w:r w:rsidR="00597600">
        <w:rPr>
          <w:sz w:val="24"/>
          <w:szCs w:val="24"/>
        </w:rPr>
        <w:t>l</w:t>
      </w:r>
      <w:r w:rsidR="00DC3423">
        <w:rPr>
          <w:sz w:val="24"/>
          <w:szCs w:val="24"/>
        </w:rPr>
        <w:t>yr</w:t>
      </w:r>
      <w:proofErr w:type="spellEnd"/>
      <w:r w:rsidR="00144EAA">
        <w:rPr>
          <w:sz w:val="24"/>
          <w:szCs w:val="24"/>
        </w:rPr>
        <w:t xml:space="preserve"> that took place in 20</w:t>
      </w:r>
      <w:r w:rsidR="006E7FE4">
        <w:rPr>
          <w:sz w:val="24"/>
          <w:szCs w:val="24"/>
        </w:rPr>
        <w:t xml:space="preserve">15 </w:t>
      </w:r>
      <w:r w:rsidR="00634B12">
        <w:rPr>
          <w:sz w:val="24"/>
          <w:szCs w:val="24"/>
        </w:rPr>
        <w:t>as well</w:t>
      </w:r>
      <w:r w:rsidR="006E7FE4">
        <w:rPr>
          <w:sz w:val="24"/>
          <w:szCs w:val="24"/>
        </w:rPr>
        <w:t xml:space="preserve"> as the most recent dig that happened in 2024</w:t>
      </w:r>
      <w:r w:rsidR="007C794E">
        <w:rPr>
          <w:sz w:val="24"/>
          <w:szCs w:val="24"/>
        </w:rPr>
        <w:t>.</w:t>
      </w:r>
    </w:p>
    <w:p w14:paraId="78A0C1F0" w14:textId="77777777" w:rsidR="00C108F3" w:rsidRDefault="00C108F3">
      <w:pPr>
        <w:rPr>
          <w:sz w:val="24"/>
          <w:szCs w:val="24"/>
        </w:rPr>
      </w:pPr>
    </w:p>
    <w:p w14:paraId="19FB3A68" w14:textId="1BFD27AE" w:rsidR="00C24E99" w:rsidRDefault="00C24E99" w:rsidP="00C24E99">
      <w:pPr>
        <w:pStyle w:val="Caption"/>
        <w:keepNext/>
      </w:pPr>
      <w:r>
        <w:t xml:space="preserve">Table </w:t>
      </w:r>
      <w:r>
        <w:fldChar w:fldCharType="begin"/>
      </w:r>
      <w:r>
        <w:instrText xml:space="preserve"> SEQ Table \* ARABIC </w:instrText>
      </w:r>
      <w:r>
        <w:fldChar w:fldCharType="separate"/>
      </w:r>
      <w:r>
        <w:rPr>
          <w:noProof/>
        </w:rPr>
        <w:t>1</w:t>
      </w:r>
      <w:r>
        <w:fldChar w:fldCharType="end"/>
      </w:r>
    </w:p>
    <w:p w14:paraId="68328F64" w14:textId="77777777" w:rsidR="00667F6D" w:rsidRDefault="00667F6D">
      <w:pPr>
        <w:rPr>
          <w:noProof/>
          <w:sz w:val="24"/>
          <w:szCs w:val="24"/>
        </w:rPr>
      </w:pPr>
    </w:p>
    <w:p w14:paraId="752EABBD" w14:textId="77777777" w:rsidR="00607070" w:rsidRDefault="00C108F3" w:rsidP="00607070">
      <w:pPr>
        <w:keepNext/>
      </w:pPr>
      <w:r>
        <w:rPr>
          <w:noProof/>
          <w:sz w:val="24"/>
          <w:szCs w:val="24"/>
        </w:rPr>
        <w:drawing>
          <wp:inline distT="0" distB="0" distL="0" distR="0" wp14:anchorId="37403CCD" wp14:editId="626B22FF">
            <wp:extent cx="4453163" cy="5036820"/>
            <wp:effectExtent l="0" t="0" r="0" b="0"/>
            <wp:docPr id="166480700"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0700" name="Picture 1" descr="A map of the united kingdo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458005" cy="5042296"/>
                    </a:xfrm>
                    <a:prstGeom prst="rect">
                      <a:avLst/>
                    </a:prstGeom>
                  </pic:spPr>
                </pic:pic>
              </a:graphicData>
            </a:graphic>
          </wp:inline>
        </w:drawing>
      </w:r>
    </w:p>
    <w:p w14:paraId="250A6914" w14:textId="60203A84" w:rsidR="00C108F3" w:rsidRPr="00F81834" w:rsidRDefault="00607070" w:rsidP="00607070">
      <w:pPr>
        <w:pStyle w:val="Caption"/>
        <w:rPr>
          <w:sz w:val="24"/>
          <w:szCs w:val="24"/>
        </w:rPr>
      </w:pPr>
      <w:r>
        <w:t xml:space="preserve">figure </w:t>
      </w:r>
      <w:r>
        <w:fldChar w:fldCharType="begin"/>
      </w:r>
      <w:r>
        <w:instrText xml:space="preserve"> SEQ figure \* ARABIC </w:instrText>
      </w:r>
      <w:r>
        <w:fldChar w:fldCharType="separate"/>
      </w:r>
      <w:r>
        <w:rPr>
          <w:noProof/>
        </w:rPr>
        <w:t>3</w:t>
      </w:r>
      <w:r>
        <w:fldChar w:fldCharType="end"/>
      </w:r>
      <w:r>
        <w:t>/distribution of sites/Treasure et al/</w:t>
      </w:r>
      <w:proofErr w:type="gramStart"/>
      <w:r>
        <w:t>2017</w:t>
      </w:r>
      <w:proofErr w:type="gramEnd"/>
    </w:p>
    <w:p w14:paraId="6F4F6DB5" w14:textId="07B25E8D" w:rsidR="00667F6D" w:rsidRDefault="00A72C92">
      <w:r>
        <w:t xml:space="preserve">The lack of evidence can </w:t>
      </w:r>
      <w:proofErr w:type="gramStart"/>
      <w:r>
        <w:t>actually tell</w:t>
      </w:r>
      <w:proofErr w:type="gramEnd"/>
      <w:r>
        <w:t xml:space="preserve"> us a good deal of information</w:t>
      </w:r>
      <w:r w:rsidR="00652583">
        <w:t xml:space="preserve">, </w:t>
      </w:r>
      <w:r w:rsidR="00760657">
        <w:t>specifically</w:t>
      </w:r>
      <w:r w:rsidR="00B4303D">
        <w:t xml:space="preserve"> the</w:t>
      </w:r>
      <w:r w:rsidR="00622E1D">
        <w:t xml:space="preserve"> distinct lack of structures and megaliths in the surrounding </w:t>
      </w:r>
      <w:r w:rsidR="00760657">
        <w:t>the greater Ceredigion area</w:t>
      </w:r>
      <w:r w:rsidR="0077563C">
        <w:t xml:space="preserve"> and by </w:t>
      </w:r>
      <w:r w:rsidR="003057F0">
        <w:t xml:space="preserve">extension, </w:t>
      </w:r>
      <w:proofErr w:type="spellStart"/>
      <w:r w:rsidR="003057F0">
        <w:t>Llanllyr</w:t>
      </w:r>
      <w:proofErr w:type="spellEnd"/>
      <w:r w:rsidR="002D4362">
        <w:t xml:space="preserve">. this lack of buildings and megaliths shows that there was no reason for the </w:t>
      </w:r>
      <w:r w:rsidR="005F1FF2">
        <w:t xml:space="preserve">creation of them or that there was no importance </w:t>
      </w:r>
      <w:proofErr w:type="spellStart"/>
      <w:r w:rsidR="00DD7E63">
        <w:t>Llan</w:t>
      </w:r>
      <w:r w:rsidR="00446A7D">
        <w:t>l</w:t>
      </w:r>
      <w:r w:rsidR="00DD7E63">
        <w:t>lyr</w:t>
      </w:r>
      <w:proofErr w:type="spellEnd"/>
      <w:r w:rsidR="00DD7E63">
        <w:t xml:space="preserve"> that was worth creating something significantly large, or inversely there was no available materials in the surrounding area to build these sorts of megaliths</w:t>
      </w:r>
      <w:r w:rsidR="00DD7E63">
        <w:fldChar w:fldCharType="begin"/>
      </w:r>
      <w:r w:rsidR="00DD7E63">
        <w:instrText xml:space="preserve"> ADDIN ZOTERO_ITEM CSL_CITATION {"citationID":"lUJSEcqc","properties":{"formattedCitation":"(Whittle, 2017)","plainCitation":"(Whittle, 2017)","noteIndex":0},"citationItems":[{"id":121,"uris":["http://zotero.org/users/local/gg1ZQu5V/items/MPPLNTXY"],"itemData":{"id":121,"type":"article-journal","abstract":"Compra online il PDF di Places of Special Virtue, Whittle, Alasdair - Oxbow Books - E-book","language":"it","note":"publisher: Oxbow Books","page":"1-224","source":"www.torrossa.com","title":"Places of Special Virtue : Megaliths in the Neolithic landscapes of Wales","title-short":"Places of Special Virtue","author":[{"family":"Whittle","given":"Alasdair"}],"issued":{"date-parts":[["2017"]]}}}],"schema":"https://github.com/citation-style-language/schema/raw/master/csl-citation.json"} </w:instrText>
      </w:r>
      <w:r w:rsidR="00DD7E63">
        <w:fldChar w:fldCharType="separate"/>
      </w:r>
      <w:r w:rsidR="00DD7E63" w:rsidRPr="00DD7E63">
        <w:rPr>
          <w:rFonts w:ascii="Aptos" w:hAnsi="Aptos"/>
        </w:rPr>
        <w:t>(Whittle, 2017)</w:t>
      </w:r>
      <w:r w:rsidR="00DD7E63">
        <w:fldChar w:fldCharType="end"/>
      </w:r>
      <w:r w:rsidR="009A003E">
        <w:t>.</w:t>
      </w:r>
      <w:r w:rsidR="000B251C">
        <w:t xml:space="preserve"> But as</w:t>
      </w:r>
      <w:r w:rsidR="00162328">
        <w:t xml:space="preserve"> treasure said “the neolithic period is defined by a dramatic change in the archaeological </w:t>
      </w:r>
      <w:r w:rsidR="009F05C1">
        <w:t>record”,</w:t>
      </w:r>
      <w:r w:rsidR="00434EE4">
        <w:t xml:space="preserve"> </w:t>
      </w:r>
      <w:r w:rsidR="00AA11A7">
        <w:t xml:space="preserve">this </w:t>
      </w:r>
      <w:r w:rsidR="00C53361">
        <w:t>is essentially saying that the neolithic period is so different to all th</w:t>
      </w:r>
      <w:r w:rsidR="00CD2561">
        <w:t>at came before so there is a thought that there was such a dramatic shift in the times that it caused peop</w:t>
      </w:r>
      <w:r w:rsidR="00444FD9">
        <w:t xml:space="preserve">le </w:t>
      </w:r>
      <w:r w:rsidR="00446A7D">
        <w:t xml:space="preserve">to adopt new ways and new societal norms. This leads on to the previous idea that the area of </w:t>
      </w:r>
      <w:proofErr w:type="spellStart"/>
      <w:r w:rsidR="00446A7D">
        <w:t>Llanllyr</w:t>
      </w:r>
      <w:proofErr w:type="spellEnd"/>
      <w:r w:rsidR="00446A7D">
        <w:t xml:space="preserve"> was </w:t>
      </w:r>
      <w:r w:rsidR="004C06C4">
        <w:t>transit point in the context of the nomadic neolithic period that people eventually became the societies we know now</w:t>
      </w:r>
      <w:r w:rsidR="00335F09">
        <w:t xml:space="preserve">. Since the climate </w:t>
      </w:r>
      <w:r w:rsidR="00335F09">
        <w:lastRenderedPageBreak/>
        <w:t xml:space="preserve">dramatically shifted </w:t>
      </w:r>
      <w:r w:rsidR="002C14EE">
        <w:t xml:space="preserve">in the neolithic period it allowed for the European part of the world start </w:t>
      </w:r>
      <w:r w:rsidR="009F05C1">
        <w:t>being</w:t>
      </w:r>
      <w:r w:rsidR="00B34C88">
        <w:t xml:space="preserve"> able to farm</w:t>
      </w:r>
      <w:r w:rsidR="0012205B">
        <w:t xml:space="preserve">ing and agricultural practices such as farming or just planting </w:t>
      </w:r>
      <w:r w:rsidR="000A5CB5">
        <w:t>c</w:t>
      </w:r>
      <w:r w:rsidR="0012205B">
        <w:t>ertain plants in the area such as breakfast grain</w:t>
      </w:r>
      <w:r w:rsidR="00052401">
        <w:fldChar w:fldCharType="begin"/>
      </w:r>
      <w:r w:rsidR="008A684C">
        <w:instrText xml:space="preserve"> ADDIN ZOTERO_ITEM CSL_CITATION {"citationID":"WjXXGJn0","properties":{"formattedCitation":"(Treasure {\\i{}et al.}, 2019)","plainCitation":"(Treasure et al., 2019)","dontUpdate":true,"noteIndex":0},"citationItems":[{"id":108,"uris":["http://zotero.org/users/local/gg1ZQu5V/items/IJ8UZSIU"],"itemData":{"id":108,"type":"article-journal","abstract":"The introduction of agriculture is a key defining element of the Neolithic, yet considerable debate persists concerning the nature and significance of early farming practices in north-west Europe. This paper reviews archaeobotanical evidence from 95 Neolithic sites (c. 4000–2200 cal bc) in Wales, focusing on wild plant exploitation, the range of crops present, and the significance of cereals in subsistence practices. Cereal cultivation practices in Early Neolithic Wales are also examined using cereal grain stable carbon (δ13C) and nitrogen (δ15N) isotope analysis. The Early Neolithic period witnessed the widespread uptake of cereals alongside considerable evidence for continued wild plant exploitation, notably hazelnuts and wild fruits. The possibility that wild plants and woodlands were deliberately managed or altered to promote the growth of certain plants is outlined. Small cereal grain assemblages, with little evidence for chaff and weed seeds, are common in the Early Neolithic, whereas cereal-rich sites are rare. Emmer wheat was the dominant crop in the Early Neolithic, while other cereal types were recorded in small quantities. Cereal nitrogen isotope (δ15N) values from Early Neolithic sites provided little evidence for intensive manuring. We suggest that cultivation conditions may have been less intensive when compared to other areas of Britain and Europe. In the later Neolithic period, there is evidence for a decline in the importance of cereals. Finally, the archaeobotanical and crop isotope data from this study are considered within a wider European context., RÉSUMÉAgriculture Néolithique et exploitation des plantes sauvages dans l’ouest de la Grande-Bretagne : témoignages archéobotaniqques et d’isotopes stables de récoltes du Pays de Galles (env. 4000–2200 cal av. J.-C.), de Edward R. Treasure, Darren R. Gröcke, Astrid E. Caseldine et Mike J. ChurchL’introduction de l’agriculture est un élément clef déterminant du néolithique, toutefois, un considérable débat persiste en ce qui concerne la nature et l’importance des premières pratiques agricoles dans le nord-ouest de l’Europe. Cette étude révise les témoignages archéobotaniques de 95 sites néolithiques (env. 4000–2200 cal av. J.-C.), au Pays de Galles se concentrant sur l’exploitation des plantes sauvages , la gamme de cultures sprésentes et l’importance des céréales dans les pratiques de subsistance. Les pratiques de culture des céréales du début du néolithique au Pays de Galles sont aussi examinées au moyen d’une analyse des isotopes stables de graines de céréales carbone (δ13C) et nitrogène (δ15N). La période du début du néolithique a vu une large diffusion de la culture de céréales parallèlement à de considérables témoignages de la continuation de l’exploitation des plantes sauvages, en particulier les noisettes et les fruits sauvages. La possibilité que des plantes sauvages et des bois étaient délibérément controlés ou modifiés pour promouvoir la croissance de certaines plantes est soulignée. De petits assemblages de graines de céréales, avec peu d’évidence de menue paille ou de graines de mauvaises herbes sont courants au début du néolithique tandis que les sites riches en céréales sont rares. L’épeautre était la culture dominante au début du néolithique alors que d’autres types de céréales étaient enregistrés en petites quantités. Les valeurs de l’isotope de nitrogène (δ15N) de céréales des sites du début du néolithique ne rapportèrent que peu de témoignages de fumure intensive. Nous suggérons qu’il se pourrait que les conditions de culture aient été moins intensives si, on les compare à celles d’autres régions de Grande-Bretagne ou d’Europe. A la période du néolithique plus tardif, il existe des témoignages d’un décllin de l’importance des céréales. Finalement les données archéobotaniques et d’isotopes de cultures de cette étude sont éenvisagées dans le contexte plus étendu de l’Europe., ZUSSAMENFASSUNGNeolithische Landwirtschaft und die Nutzung von Wildpflanzen im Westen Großbritanniens: Archäobotanische Daten und stabile Isotopen von Kulturpflanzen aus Wales (ca. 4000–2200 calbc), von Edward R. Treasure, Darren R. Gröcke, Astrid E. Caseldine und Mike J. ChurchDie Einführung des Ackerbaus ist ein entscheidendes Bestimmungselement des Neolithikums, doch über den Charakter und die Bedeutung früher landwirtschaftlicher Aktivitäten in Nordwesteuropa besteht weiterhin eine große Uneinigkeit. Dieser Beitrag evaluiert die archäobotanischen Daten von 95 neolithischen Fundplätzen (ca. 4000–2200 cal bc) in Wales und konzentriert sich dabei auf die Nutzung von Wildpflanzen, die Arten überlieferter Kulturpflanzen und die Bedeutung von Getreide bei den Subsistenzpraktiken. Die Methoden des Anbaus von Getreide im frühneolithischen Wales werden anhand von Analysen stabiler Kohlenstoff- (δ13C) und Stickstoffisotopen (δ15N) ebenfalls untersucht. Im frühen Neolithikum wurden Getreide weithin übernommen, während zugleich zahlreiche Daten auf die fortbestehende Nutzung von Wildpflanzen hinweisen, vor allem Haselnüssen und wilden Früchten. Die Möglichkeit wird erörtert, dass wilde Pflanzen und Wälder bewusst gepflegt oder umgeformt wurden, um das Wachstum bestimmter Pflanzen zu fördern. Im frühen Neolithikum treten kleine Mengen an Getreidekörnern weitgehend ohne Spreu oder Unkrautsaaten recht häufig auf, während Fundplätze mit reichen Getreidefunden selten sind. Emmer war im Frühneolithikum die wichtigste Nutzpflanze, weitere Getreidearten wurden in kleinen Mengen festgestellt. Stickstoffisotopenwerte (δ15N) von Getreiden von frühneolithischen Plätzen liefern kaum Hinweise auf intensive Düngung. Wir schließen daraus, dass die Art des Anbaus weniger intensiv war als in anderen Regionen Großbritanniens und Europas. Für das spätere Neolithikum weisen die Daten auf einen Rückgang der Bedeutung von Getreide hin. Abschließend werden die archäobotanischen Daten und die Daten der Isotopenanalysen von Nutzpflanzen dieser Studie in ihrem weiteren europäischen Kontexts erörtert., Agricultura neolítica y explotación de plantas silvestres en el oeste de Gran Bretaña: evidencia arqueobotánica e isótopos estables de cultivos de Gales (c. 4000–2200 calbc), por Edward R. Treasure, Darren R. Gröcke, Astrid E. Caseldine y Mike J. ChurchLa introducción de la agricultura es un elemento definitorio del Neolítico, aunque persiste un considerable debate en relación a la naturaleza y el significado de las primeras prácticas agrícolas en el noroeste de Europa. Este artículo revisa la evidencia arqueobotánica de 95 yacimientos neolíticos (c. 4000–2200 cal bc) en Gales, centrándose en la explotación de plantas silvestres, el rango de cereales presentes y su significación en las prácticas de subsistencia. Se revisan las prácticas de cultivo de los cereales en el Neolítico inicial de Gales a través del análisis de isótopos estables de carbono (δ13C) y el nitrógeno (δ15N). El Neolítico inicial fue testigo de la introducción generalizada de cereales al mismo tiempo que se documenta una explotación continua de plantas silvestres, especialmente avellanas y frutos silvestres. Se resalta la posibilidad de que las plantas silvestres y los bosques fueran deliberadamente gestionados o alterados para favorecer el crecimiento de ciertas plantas. Los pequeños conjuntos de grano de cereal, con poca evidencia de cascarillas y semillas de malas hierbas, son comunes en el Neolítico inicial, mientras que los sitios ricos en cereales son escasos. El trigo vestido o farro fue el cultivo dominante durante el Neolítico inicial, mientras que otros tipos de cereales son registrados en pequeñas cantidades. Los valores de nitrógeno (δ15N) de los cereales de los yacimientos del Neolítico inicial aportan poca evidencia sobre una fertilización intensiva. Se propone que las condiciones de cultivo podrían haber sido menos intensivas que las producidas en otras áreas de Gran Bretaña y Europa. En el Neolítico final, la evidencia arqueológica refleja un declive de la importancia de los cereales. Finalmente, los datos arqueobotánicos y la evidencia isotópica presentada en este estudio se compara con un contexto europeo más amplio.","container-title":"Proceedings of the Prehistoric Society","DOI":"10.1017/ppr.2019.12","ISSN":"0079-497X, 2050-2729","language":"en","page":"193-222","source":"Cambridge University Press","title":"Neolithic Farming and Wild Plant Exploitation in Western Britain: Archaeobotanical and Crop Stable Isotope Evidence from Wales (c. 4000–2200 cal bc)","title-short":"Neolithic Farming and Wild Plant Exploitation in Western Britain","volume":"85","author":[{"family":"Treasure","given":"Edward R."},{"family":"Gröcke","given":"Darren R."},{"family":"Caseldine","given":"Astrid E."},{"family":"Church","given":"Mike J."}],"issued":{"date-parts":[["2019",12]]}}}],"schema":"https://github.com/citation-style-language/schema/raw/master/csl-citation.json"} </w:instrText>
      </w:r>
      <w:r w:rsidR="00052401">
        <w:fldChar w:fldCharType="separate"/>
      </w:r>
      <w:r w:rsidR="00052401" w:rsidRPr="00052401">
        <w:rPr>
          <w:rFonts w:ascii="Aptos" w:hAnsi="Aptos" w:cs="Times New Roman"/>
          <w:kern w:val="0"/>
        </w:rPr>
        <w:t xml:space="preserve">(Treasure </w:t>
      </w:r>
      <w:r w:rsidR="00052401" w:rsidRPr="00052401">
        <w:rPr>
          <w:rFonts w:ascii="Aptos" w:hAnsi="Aptos" w:cs="Times New Roman"/>
          <w:i/>
          <w:iCs/>
          <w:kern w:val="0"/>
        </w:rPr>
        <w:t>et al.</w:t>
      </w:r>
      <w:r w:rsidR="00052401" w:rsidRPr="00052401">
        <w:rPr>
          <w:rFonts w:ascii="Aptos" w:hAnsi="Aptos" w:cs="Times New Roman"/>
          <w:kern w:val="0"/>
        </w:rPr>
        <w:t>, 2019</w:t>
      </w:r>
      <w:r w:rsidR="00592E11">
        <w:rPr>
          <w:rFonts w:ascii="Aptos" w:hAnsi="Aptos" w:cs="Times New Roman"/>
          <w:kern w:val="0"/>
        </w:rPr>
        <w:t xml:space="preserve"> p.</w:t>
      </w:r>
      <w:r w:rsidR="009F49E4">
        <w:rPr>
          <w:rFonts w:ascii="Aptos" w:hAnsi="Aptos" w:cs="Times New Roman"/>
          <w:kern w:val="0"/>
        </w:rPr>
        <w:t>194</w:t>
      </w:r>
      <w:r w:rsidR="00052401" w:rsidRPr="00052401">
        <w:rPr>
          <w:rFonts w:ascii="Aptos" w:hAnsi="Aptos" w:cs="Times New Roman"/>
          <w:kern w:val="0"/>
        </w:rPr>
        <w:t>)</w:t>
      </w:r>
      <w:r w:rsidR="00052401">
        <w:fldChar w:fldCharType="end"/>
      </w:r>
      <w:r w:rsidR="00F92D5D">
        <w:t>, all of these factors caused a shift in life stye that would necessitate a re work of everything that happened in the world</w:t>
      </w:r>
      <w:r w:rsidR="000A5CB5">
        <w:t>.</w:t>
      </w:r>
    </w:p>
    <w:p w14:paraId="72E9C2D9" w14:textId="77777777" w:rsidR="0041055D" w:rsidRDefault="0041055D" w:rsidP="0041055D">
      <w:pPr>
        <w:keepNext/>
      </w:pPr>
      <w:r>
        <w:rPr>
          <w:noProof/>
        </w:rPr>
        <w:drawing>
          <wp:inline distT="0" distB="0" distL="0" distR="0" wp14:anchorId="48EB301F" wp14:editId="0D56DBF5">
            <wp:extent cx="3178331" cy="4237892"/>
            <wp:effectExtent l="0" t="0" r="0" b="0"/>
            <wp:docPr id="1275032721" name="Picture 6" descr="A long shot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032721" name="Picture 6" descr="A long shot of a fiel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5037" cy="4246834"/>
                    </a:xfrm>
                    <a:prstGeom prst="rect">
                      <a:avLst/>
                    </a:prstGeom>
                  </pic:spPr>
                </pic:pic>
              </a:graphicData>
            </a:graphic>
          </wp:inline>
        </w:drawing>
      </w:r>
    </w:p>
    <w:p w14:paraId="1D536B43" w14:textId="33F0CA75" w:rsidR="00A45A5E" w:rsidRDefault="0041055D" w:rsidP="0041055D">
      <w:pPr>
        <w:pStyle w:val="Caption"/>
      </w:pPr>
      <w:r>
        <w:t xml:space="preserve">figure </w:t>
      </w:r>
      <w:r>
        <w:fldChar w:fldCharType="begin"/>
      </w:r>
      <w:r>
        <w:instrText xml:space="preserve"> SEQ figure \* ARABIC </w:instrText>
      </w:r>
      <w:r>
        <w:fldChar w:fldCharType="separate"/>
      </w:r>
      <w:r w:rsidR="00607070">
        <w:rPr>
          <w:noProof/>
        </w:rPr>
        <w:t>4</w:t>
      </w:r>
      <w:r>
        <w:fldChar w:fldCharType="end"/>
      </w:r>
      <w:r>
        <w:t>/trench 14/</w:t>
      </w:r>
      <w:proofErr w:type="spellStart"/>
      <w:r>
        <w:t>caradoc</w:t>
      </w:r>
      <w:proofErr w:type="spellEnd"/>
      <w:r>
        <w:t xml:space="preserve"> </w:t>
      </w:r>
      <w:proofErr w:type="spellStart"/>
      <w:r>
        <w:t>ewing</w:t>
      </w:r>
      <w:proofErr w:type="spellEnd"/>
      <w:r>
        <w:t>/2024/</w:t>
      </w:r>
      <w:proofErr w:type="spellStart"/>
      <w:proofErr w:type="gramStart"/>
      <w:r>
        <w:t>Llyanlllyr</w:t>
      </w:r>
      <w:proofErr w:type="spellEnd"/>
      <w:proofErr w:type="gramEnd"/>
    </w:p>
    <w:p w14:paraId="3D476198" w14:textId="77777777" w:rsidR="0054750B" w:rsidRDefault="0054750B"/>
    <w:p w14:paraId="6D8C2E45" w14:textId="77777777" w:rsidR="0054750B" w:rsidRDefault="0054750B"/>
    <w:p w14:paraId="43CFC88A" w14:textId="5063F6BA" w:rsidR="00A45A5E" w:rsidRDefault="00A45A5E">
      <w:r>
        <w:t>During the neolithic period there was a significant</w:t>
      </w:r>
      <w:r w:rsidR="008746F6">
        <w:t xml:space="preserve"> social factor that took place </w:t>
      </w:r>
      <w:r w:rsidR="00C74C35">
        <w:t>in Europe and th</w:t>
      </w:r>
      <w:r w:rsidR="0095154E">
        <w:t xml:space="preserve">e rest of the mid neolithic period </w:t>
      </w:r>
      <w:r w:rsidR="00FF36C6">
        <w:fldChar w:fldCharType="begin"/>
      </w:r>
      <w:r w:rsidR="00FF36C6">
        <w:instrText xml:space="preserve"> ADDIN ZOTERO_ITEM CSL_CITATION {"citationID":"NfThVMqI","properties":{"formattedCitation":"(Castleden, 2014)","plainCitation":"(Castleden, 2014)","noteIndex":0},"citationItems":[{"id":28,"uris":["http://zotero.org/users/local/gg1ZQu5V/items/67XJ2E4D"],"itemData":{"id":28,"type":"book","abstract":"The climax of the Stone Age in Britain, the Neolithic period (4700-2000BC), was a period of startling achievement. The British Isles are rich in Neolithic sites, which give us evidence of a complex and surprisingly developed archaic society. The author surveys 1100 secular and ceremonial sites in Britain, selecting some for detailed explanation; from these a sense of the diversity and dynamism of the living Neolithic communities emerges. He presents a comprehensive, profusely illustrated and up-to-date view of the Neolithic, organised by county. Archaeologists and prehistorians will find this book of interest and it should prove indispensable to students of archaeology as a source of information about the British Neolithic.","ISBN":"978-1-317-60666-6","language":"en","note":"Google-Books-ID: zhUcBQAAQBAJ","number-of-pages":"465","publisher":"Routledge","source":"Google Books","title":"Neolithic Britain: New Stone Age sites of England, Scotland and Wales","title-short":"Neolithic Britain","author":[{"family":"Castleden","given":"Rodney"}],"issued":{"date-parts":[["2014",10,24]]}}}],"schema":"https://github.com/citation-style-language/schema/raw/master/csl-citation.json"} </w:instrText>
      </w:r>
      <w:r w:rsidR="00FF36C6">
        <w:fldChar w:fldCharType="separate"/>
      </w:r>
      <w:r w:rsidR="00FF36C6" w:rsidRPr="00FF36C6">
        <w:rPr>
          <w:rFonts w:ascii="Aptos" w:hAnsi="Aptos"/>
        </w:rPr>
        <w:t>(</w:t>
      </w:r>
      <w:proofErr w:type="spellStart"/>
      <w:r w:rsidR="00FF36C6" w:rsidRPr="00FF36C6">
        <w:rPr>
          <w:rFonts w:ascii="Aptos" w:hAnsi="Aptos"/>
        </w:rPr>
        <w:t>Castleden</w:t>
      </w:r>
      <w:proofErr w:type="spellEnd"/>
      <w:r w:rsidR="00FF36C6" w:rsidRPr="00FF36C6">
        <w:rPr>
          <w:rFonts w:ascii="Aptos" w:hAnsi="Aptos"/>
        </w:rPr>
        <w:t>, 2014</w:t>
      </w:r>
      <w:r w:rsidR="00FF36C6">
        <w:rPr>
          <w:rFonts w:ascii="Aptos" w:hAnsi="Aptos"/>
        </w:rPr>
        <w:t xml:space="preserve"> p.</w:t>
      </w:r>
      <w:r w:rsidR="00680F58">
        <w:rPr>
          <w:rFonts w:ascii="Aptos" w:hAnsi="Aptos"/>
        </w:rPr>
        <w:t>3</w:t>
      </w:r>
      <w:r w:rsidR="00FF36C6" w:rsidRPr="00FF36C6">
        <w:rPr>
          <w:rFonts w:ascii="Aptos" w:hAnsi="Aptos"/>
        </w:rPr>
        <w:t>)</w:t>
      </w:r>
      <w:r w:rsidR="00FF36C6">
        <w:fldChar w:fldCharType="end"/>
      </w:r>
      <w:r w:rsidR="00680F58">
        <w:t xml:space="preserve"> this means that there is a social factor that </w:t>
      </w:r>
      <w:proofErr w:type="spellStart"/>
      <w:r w:rsidR="00680F58">
        <w:t>eisted</w:t>
      </w:r>
      <w:proofErr w:type="spellEnd"/>
      <w:r w:rsidR="00680F58">
        <w:t xml:space="preserve"> in </w:t>
      </w:r>
      <w:proofErr w:type="spellStart"/>
      <w:r w:rsidR="00680F58">
        <w:t>Llanllyr</w:t>
      </w:r>
      <w:proofErr w:type="spellEnd"/>
      <w:r w:rsidR="00680F58">
        <w:t xml:space="preserve"> and that possibility</w:t>
      </w:r>
      <w:r w:rsidR="00285D4E">
        <w:t xml:space="preserve"> of it being a trade hub or meeting point</w:t>
      </w:r>
      <w:r w:rsidR="00B732DA">
        <w:t xml:space="preserve"> in th</w:t>
      </w:r>
      <w:r w:rsidR="003B1227">
        <w:t xml:space="preserve">e neolithic period in the </w:t>
      </w:r>
      <w:r w:rsidR="00E52FDB">
        <w:t>Wales</w:t>
      </w:r>
      <w:r w:rsidR="003B1227">
        <w:t>. This is also further linked to the neolithic axe trade that took place</w:t>
      </w:r>
      <w:r w:rsidR="003E0522">
        <w:t xml:space="preserve"> in the </w:t>
      </w:r>
      <w:r w:rsidR="00E52FDB">
        <w:t xml:space="preserve">eastern part of Britain that eventually made its way towards </w:t>
      </w:r>
      <w:r w:rsidR="00F570C0">
        <w:t>Wales</w:t>
      </w:r>
      <w:r w:rsidR="00E52FDB">
        <w:t xml:space="preserve"> and resulted in a few stone axes being found in Wales of considerable size</w:t>
      </w:r>
      <w:r w:rsidR="00F570C0">
        <w:fldChar w:fldCharType="begin"/>
      </w:r>
      <w:r w:rsidR="00F570C0">
        <w:instrText xml:space="preserve"> ADDIN ZOTERO_ITEM CSL_CITATION {"citationID":"5eOsUYHr","properties":{"formattedCitation":"(Bradley and Edmonds, 2005)","plainCitation":"(Bradley and Edmonds, 2005)","noteIndex":0},"citationItems":[{"id":30,"uris":["http://zotero.org/users/local/gg1ZQu5V/items/FUFT432V"],"itemData":{"id":30,"type":"book","abstract":"Interpreting the Axe Trade documents the changing character and context of stone axe production and exchange in the British Neolithic. Drawing on a variety of studies, the authors explore some of the problems and potentials that attend archaeological discussions of exchange at both a theoretical and a methodological level. Out of this critique arises an argument for an integrated approach to the production, circulation and consumption of past material - an approach which acknowledges the subtle and complex roles that 'things' may play in the reproduction of social life. These arguments provide the basis for a case study which explores the links between the social contexts within which Neolithic stone axes circulated in Britain, and the social and material conditions under which those objects were originally produced. Field survey, excavation and detailed technological studies at the largest stone axe source in Britain are set alongside analyses of the changing character and social context of axe circulation and deposition across the country as a whole. These different analytical threads are then woven together in the final section of the book, where the authors suggest that the patterns explored in the course of their work reflect major changes in the nature of social life during the Neolithic.","ISBN":"978-0-521-61937-0","language":"en","note":"Google-Books-ID: _qrHFi44na8C","number-of-pages":"256","publisher":"Cambridge University Press","source":"Google Books","title":"Interpreting the Axe Trade: Production and Exchange in Neolithic Britain","title-short":"Interpreting the Axe Trade","author":[{"family":"Bradley","given":"Richard"},{"family":"Edmonds","given":"Mark"}],"issued":{"date-parts":[["2005",2,17]]}}}],"schema":"https://github.com/citation-style-language/schema/raw/master/csl-citation.json"} </w:instrText>
      </w:r>
      <w:r w:rsidR="00F570C0">
        <w:fldChar w:fldCharType="separate"/>
      </w:r>
      <w:r w:rsidR="00F570C0" w:rsidRPr="00F570C0">
        <w:rPr>
          <w:rFonts w:ascii="Aptos" w:hAnsi="Aptos"/>
        </w:rPr>
        <w:t>(Bradley and Edmonds, 2005)</w:t>
      </w:r>
      <w:r w:rsidR="00F570C0">
        <w:fldChar w:fldCharType="end"/>
      </w:r>
      <w:r w:rsidR="00F570C0">
        <w:t xml:space="preserve">. </w:t>
      </w:r>
      <w:r w:rsidR="0096512A">
        <w:t xml:space="preserve">Since there is evidence of </w:t>
      </w:r>
      <w:r w:rsidR="00652AEA">
        <w:t>bladelets</w:t>
      </w:r>
      <w:r w:rsidR="0096512A">
        <w:t xml:space="preserve"> in</w:t>
      </w:r>
      <w:r w:rsidR="00652AEA">
        <w:t xml:space="preserve"> </w:t>
      </w:r>
      <w:proofErr w:type="spellStart"/>
      <w:r w:rsidR="00652AEA">
        <w:t>Llanllyr</w:t>
      </w:r>
      <w:proofErr w:type="spellEnd"/>
      <w:r w:rsidR="00652AEA">
        <w:t xml:space="preserve"> a</w:t>
      </w:r>
      <w:r w:rsidR="00F10886">
        <w:t xml:space="preserve">nd Ceredigion it is possible that </w:t>
      </w:r>
      <w:proofErr w:type="spellStart"/>
      <w:r w:rsidR="00F10886">
        <w:t>Llan</w:t>
      </w:r>
      <w:r w:rsidR="00E26381">
        <w:t>l</w:t>
      </w:r>
      <w:r w:rsidR="00F10886">
        <w:t>lyr</w:t>
      </w:r>
      <w:proofErr w:type="spellEnd"/>
      <w:r w:rsidR="00F10886">
        <w:t xml:space="preserve"> was </w:t>
      </w:r>
      <w:r w:rsidR="00C3749D">
        <w:t xml:space="preserve">a place where </w:t>
      </w:r>
      <w:r w:rsidR="009F1BE2">
        <w:t xml:space="preserve">people would knap flint tools </w:t>
      </w:r>
      <w:proofErr w:type="gramStart"/>
      <w:r w:rsidR="009F1BE2">
        <w:t>in order to</w:t>
      </w:r>
      <w:proofErr w:type="gramEnd"/>
      <w:r w:rsidR="009F1BE2">
        <w:t xml:space="preserve"> survive on thei</w:t>
      </w:r>
      <w:r w:rsidR="00841C73">
        <w:t xml:space="preserve">r </w:t>
      </w:r>
      <w:r w:rsidR="00A32087">
        <w:t xml:space="preserve">journeys across prehistoric </w:t>
      </w:r>
      <w:r w:rsidR="00E26381">
        <w:t>Wales</w:t>
      </w:r>
      <w:r w:rsidR="00A32087">
        <w:t>.</w:t>
      </w:r>
      <w:r w:rsidR="00C46448">
        <w:t xml:space="preserve"> </w:t>
      </w:r>
      <w:r w:rsidR="00971CBC">
        <w:t xml:space="preserve">The </w:t>
      </w:r>
      <w:r w:rsidR="00ED5317">
        <w:t>water sources that exist in</w:t>
      </w:r>
      <w:r w:rsidR="00FF375A">
        <w:t xml:space="preserve"> </w:t>
      </w:r>
      <w:proofErr w:type="spellStart"/>
      <w:r w:rsidR="00FF375A">
        <w:t>Llanlly</w:t>
      </w:r>
      <w:r w:rsidR="001B2669">
        <w:t>r</w:t>
      </w:r>
      <w:proofErr w:type="spellEnd"/>
      <w:r w:rsidR="001B2669">
        <w:t xml:space="preserve">. Water, is used when knapping and by looking at the </w:t>
      </w:r>
      <w:r w:rsidR="00AC26A9">
        <w:t xml:space="preserve">evidence of lakes and streams existing in different point, provides evidence that </w:t>
      </w:r>
      <w:r w:rsidR="0061170D">
        <w:t xml:space="preserve">there </w:t>
      </w:r>
      <w:r w:rsidR="0041055D">
        <w:t>were</w:t>
      </w:r>
      <w:r w:rsidR="0061170D">
        <w:t xml:space="preserve"> good conditions for knapping stone and flint into tools</w:t>
      </w:r>
      <w:r w:rsidR="0041055D">
        <w:t xml:space="preserve">, </w:t>
      </w:r>
      <w:proofErr w:type="spellStart"/>
      <w:r w:rsidR="0041055D">
        <w:t>aswell</w:t>
      </w:r>
      <w:proofErr w:type="spellEnd"/>
      <w:r w:rsidR="0041055D">
        <w:t xml:space="preserve"> as there </w:t>
      </w:r>
      <w:proofErr w:type="spellStart"/>
      <w:r w:rsidR="0041055D">
        <w:t>bing</w:t>
      </w:r>
      <w:proofErr w:type="spellEnd"/>
      <w:r w:rsidR="0041055D">
        <w:t xml:space="preserve"> solid conditions for berries and other cereal foods to grow within the area</w:t>
      </w:r>
      <w:r w:rsidR="004D72A8">
        <w:t xml:space="preserve">. Evidence of this can be seen currently as there is lush forestry and rolling hills in the </w:t>
      </w:r>
      <w:proofErr w:type="spellStart"/>
      <w:r w:rsidR="004D72A8">
        <w:t>Talsarn</w:t>
      </w:r>
      <w:proofErr w:type="spellEnd"/>
      <w:r w:rsidR="004D72A8">
        <w:t xml:space="preserve"> area making it</w:t>
      </w:r>
      <w:r w:rsidR="008B195A">
        <w:t xml:space="preserve"> a prime location to grow small </w:t>
      </w:r>
      <w:proofErr w:type="gramStart"/>
      <w:r w:rsidR="008B195A">
        <w:t>bush based</w:t>
      </w:r>
      <w:proofErr w:type="gramEnd"/>
      <w:r w:rsidR="008B195A">
        <w:t xml:space="preserve"> foods </w:t>
      </w:r>
      <w:proofErr w:type="spellStart"/>
      <w:r w:rsidR="008B195A">
        <w:t>aswell</w:t>
      </w:r>
      <w:proofErr w:type="spellEnd"/>
      <w:r w:rsidR="008B195A">
        <w:t xml:space="preserve"> as to </w:t>
      </w:r>
      <w:r w:rsidR="00361F89">
        <w:t>raise herd animals</w:t>
      </w:r>
      <w:r w:rsidR="004B3E5A">
        <w:t xml:space="preserve"> on a farm, which is exactly what is being done in modern times now.</w:t>
      </w:r>
    </w:p>
    <w:p w14:paraId="1A7CEF8F" w14:textId="77777777" w:rsidR="00134D2B" w:rsidRDefault="00134D2B"/>
    <w:p w14:paraId="617DC50F" w14:textId="4FC3F736" w:rsidR="00134D2B" w:rsidRDefault="006B0A34">
      <w:r>
        <w:t>“</w:t>
      </w:r>
      <w:r w:rsidR="00134D2B">
        <w:t>Trails, paths and roads are essential</w:t>
      </w:r>
      <w:r>
        <w:t xml:space="preserve"> structures of the human landscape”</w:t>
      </w:r>
      <w:r w:rsidR="0016681A">
        <w:fldChar w:fldCharType="begin"/>
      </w:r>
      <w:r w:rsidR="0016681A">
        <w:instrText xml:space="preserve"> ADDIN ZOTERO_ITEM CSL_CITATION {"citationID":"JEAUxDtY","properties":{"formattedCitation":"(Snead, Erickson and Darling, 2011)","plainCitation":"(Snead, Erickson and Darling, 2011)","noteIndex":0},"citationItems":[{"id":140,"uris":["http://zotero.org/users/local/gg1ZQu5V/items/DNCP6CID"],"itemData":{"id":140,"type":"book","abstract":"Landscapes of Movement originates from the premise that trails, paths, and roads are the physical manifestation of human movement through the landscape and are central to an understanding of that movement. The study of these features connects with many intellectual domains, engaging history, geography, environmental studies, and, in particular, anthropology and archaeology. These diverse fields together provide not only a better understanding of infrastructure but also of social, political, and economic organization, cultural expressions of patterned movement, and the ways in which trails, paths, and roads reflect a culture&amp;#39;s traditional knowledge, worldview, memory, and identity.The contributors to Landscapes of Movement document these routes across different times and cultures, from those made by hunter-gatherers in the Great Basin of North America to causeways in the Bolivian Amazon to Bronze Age towns in the Near East, examined through aerial and satellite photography, surface survey, historic records, and archaeological excavation. The essays consider many factors in the development and use of trails, paths, and roads, including labor, technology, terrain characteristics, landscape features, access, and ownership. Diverse scales of movement are also addressed, ranging from paths between home and fields to roads used for long-distance journeying. Overall, the book makes the case for the centrality of paths, trails, and roads as an organizing element of human lives throughout history.","ISBN":"978-1-934536-53-7","language":"en","note":"Google-Books-ID: heRBNMoaDAMC","number-of-pages":"383","publisher":"University of Pennsylvania Press","source":"Google Books","title":"Landscapes of Movement: Trails, Paths, and Roads in Anthropological Perspective","title-short":"Landscapes of Movement","author":[{"family":"Snead","given":"James E."},{"family":"Erickson","given":"Clark L."},{"family":"Darling","given":"J. Andrew"}],"issued":{"date-parts":[["2011",9,1]]}}}],"schema":"https://github.com/citation-style-language/schema/raw/master/csl-citation.json"} </w:instrText>
      </w:r>
      <w:r w:rsidR="0016681A">
        <w:fldChar w:fldCharType="separate"/>
      </w:r>
      <w:r w:rsidR="0016681A" w:rsidRPr="0016681A">
        <w:rPr>
          <w:rFonts w:ascii="Aptos" w:hAnsi="Aptos"/>
        </w:rPr>
        <w:t>(Snead, Erickson and Darling, 2011</w:t>
      </w:r>
      <w:r w:rsidR="0016681A">
        <w:rPr>
          <w:rFonts w:ascii="Aptos" w:hAnsi="Aptos"/>
        </w:rPr>
        <w:t xml:space="preserve"> p.1</w:t>
      </w:r>
      <w:r w:rsidR="0016681A" w:rsidRPr="0016681A">
        <w:rPr>
          <w:rFonts w:ascii="Aptos" w:hAnsi="Aptos"/>
        </w:rPr>
        <w:t>)</w:t>
      </w:r>
      <w:r w:rsidR="0016681A">
        <w:fldChar w:fldCharType="end"/>
      </w:r>
      <w:r w:rsidR="0030256A">
        <w:t xml:space="preserve"> the paths that animals and humans walk is </w:t>
      </w:r>
      <w:proofErr w:type="spellStart"/>
      <w:r w:rsidR="0030256A">
        <w:t>aimportant</w:t>
      </w:r>
      <w:proofErr w:type="spellEnd"/>
      <w:r w:rsidR="0030256A">
        <w:t xml:space="preserve"> as even birds are known to have strict migration patterns, these patterns manifest in humans much the same as humanity will create desired paths in nature and in modern society and although there is little evidence of a desired roads being made all the way from the neolithic era</w:t>
      </w:r>
      <w:r w:rsidR="00BE0D58">
        <w:t xml:space="preserve">. There is evidence of travel and of movement of humans as there was no structures or evidence of </w:t>
      </w:r>
      <w:r w:rsidR="00AC6BDF">
        <w:t>permanent</w:t>
      </w:r>
      <w:r w:rsidR="00BE0D58">
        <w:t xml:space="preserve"> structures in </w:t>
      </w:r>
      <w:proofErr w:type="spellStart"/>
      <w:r w:rsidR="00BE0D58">
        <w:t>Llanllyr</w:t>
      </w:r>
      <w:proofErr w:type="spellEnd"/>
      <w:r w:rsidR="00F64A25">
        <w:t>.</w:t>
      </w:r>
      <w:r w:rsidR="00A56A5B">
        <w:t xml:space="preserve"> </w:t>
      </w:r>
      <w:r w:rsidR="00B7542B">
        <w:t xml:space="preserve">Roads in the neolithic era is not a stretch but there is documented evidence of there being a trade route that the </w:t>
      </w:r>
      <w:r w:rsidR="00583C62">
        <w:t>Welsh</w:t>
      </w:r>
      <w:r w:rsidR="00B7542B">
        <w:t xml:space="preserve"> would take in order to export goods across the </w:t>
      </w:r>
      <w:r w:rsidR="00583C62">
        <w:t xml:space="preserve">mountains of North Wales which as table one recalls North Wales is a cluster of berry farms and settlements within </w:t>
      </w:r>
      <w:proofErr w:type="spellStart"/>
      <w:r w:rsidR="00583C62">
        <w:t>Wales.</w:t>
      </w:r>
      <w:r w:rsidR="00A35FB8">
        <w:t>whether</w:t>
      </w:r>
      <w:proofErr w:type="spellEnd"/>
      <w:r w:rsidR="00A35FB8">
        <w:t xml:space="preserve"> or not these trade routes existed later is </w:t>
      </w:r>
      <w:proofErr w:type="spellStart"/>
      <w:r w:rsidR="00A35FB8">
        <w:t>irellevant</w:t>
      </w:r>
      <w:proofErr w:type="spellEnd"/>
      <w:r w:rsidR="00A35FB8">
        <w:t xml:space="preserve"> but it is clear evidence that there was a form of trade within </w:t>
      </w:r>
      <w:proofErr w:type="spellStart"/>
      <w:r w:rsidR="00A35FB8">
        <w:t>wales</w:t>
      </w:r>
      <w:proofErr w:type="spellEnd"/>
      <w:r w:rsidR="00A35FB8">
        <w:t xml:space="preserve"> and routes across the country </w:t>
      </w:r>
      <w:r w:rsidR="00F65C85">
        <w:t>did exit in the neolithic time period.</w:t>
      </w:r>
    </w:p>
    <w:p w14:paraId="264A4412" w14:textId="77777777" w:rsidR="00F65C85" w:rsidRDefault="00F65C85"/>
    <w:p w14:paraId="5EC1DE45" w14:textId="61C5AA73" w:rsidR="00F65C85" w:rsidRDefault="00E33BC3">
      <w:proofErr w:type="spellStart"/>
      <w:r>
        <w:t>Llyanllyr</w:t>
      </w:r>
      <w:proofErr w:type="spellEnd"/>
      <w:r>
        <w:t xml:space="preserve"> is an area that has had a lot of history such as the </w:t>
      </w:r>
      <w:proofErr w:type="spellStart"/>
      <w:r>
        <w:t>cistertion</w:t>
      </w:r>
      <w:proofErr w:type="spellEnd"/>
      <w:r>
        <w:t xml:space="preserve"> nunnery. And potentially even further back</w:t>
      </w:r>
      <w:r w:rsidR="005022BB">
        <w:t xml:space="preserve">. The entire area is blanketed in the rich cultural history of </w:t>
      </w:r>
      <w:proofErr w:type="spellStart"/>
      <w:r w:rsidR="005022BB">
        <w:t>wales</w:t>
      </w:r>
      <w:proofErr w:type="spellEnd"/>
      <w:r w:rsidR="005022BB">
        <w:t xml:space="preserve">, which only compliments the cant </w:t>
      </w:r>
      <w:proofErr w:type="spellStart"/>
      <w:r w:rsidR="005022BB">
        <w:t>emeral</w:t>
      </w:r>
      <w:proofErr w:type="spellEnd"/>
      <w:r w:rsidR="005022BB">
        <w:t xml:space="preserve"> hills that cover the area</w:t>
      </w:r>
      <w:r w:rsidR="00FB4E80">
        <w:t xml:space="preserve">. The neolithic period </w:t>
      </w:r>
      <w:proofErr w:type="spellStart"/>
      <w:r w:rsidR="00FB4E80">
        <w:t>mustve</w:t>
      </w:r>
      <w:proofErr w:type="spellEnd"/>
      <w:r w:rsidR="00FB4E80">
        <w:t xml:space="preserve"> been that such time as it is evident </w:t>
      </w:r>
      <w:proofErr w:type="spellStart"/>
      <w:r w:rsidR="00FB4E80">
        <w:t>thay</w:t>
      </w:r>
      <w:proofErr w:type="spellEnd"/>
      <w:r w:rsidR="00FB4E80">
        <w:t xml:space="preserve"> people did come to this location </w:t>
      </w:r>
      <w:proofErr w:type="spellStart"/>
      <w:r w:rsidR="00FB4E80">
        <w:t>regulary</w:t>
      </w:r>
      <w:proofErr w:type="spellEnd"/>
      <w:r w:rsidR="00FB4E80">
        <w:t xml:space="preserve"> for thousands of years </w:t>
      </w:r>
      <w:proofErr w:type="gramStart"/>
      <w:r w:rsidR="00FB4E80">
        <w:t>in order to</w:t>
      </w:r>
      <w:proofErr w:type="gramEnd"/>
      <w:r w:rsidR="00FB4E80">
        <w:t xml:space="preserve"> collect food or even craft tool out of flint and stone, while now it is a farm used for raising sheep and lamb </w:t>
      </w:r>
      <w:proofErr w:type="spellStart"/>
      <w:r w:rsidR="009D1E27">
        <w:t>aswell</w:t>
      </w:r>
      <w:proofErr w:type="spellEnd"/>
      <w:r w:rsidR="009D1E27">
        <w:t xml:space="preserve"> and calf and cow. There is a significant amount of evidence to </w:t>
      </w:r>
      <w:proofErr w:type="spellStart"/>
      <w:r w:rsidR="009D1E27">
        <w:t>sacn</w:t>
      </w:r>
      <w:proofErr w:type="spellEnd"/>
      <w:r w:rsidR="009D1E27">
        <w:t xml:space="preserve"> through that this </w:t>
      </w:r>
      <w:proofErr w:type="gramStart"/>
      <w:r w:rsidR="009D1E27">
        <w:t>are has</w:t>
      </w:r>
      <w:proofErr w:type="gramEnd"/>
      <w:r w:rsidR="009D1E27">
        <w:t xml:space="preserve"> been marked by human activity and it seems it will continue too for decades to come.</w:t>
      </w:r>
    </w:p>
    <w:p w14:paraId="11570561" w14:textId="77777777" w:rsidR="00AD62A3" w:rsidRDefault="00AD62A3"/>
    <w:p w14:paraId="7790F6F2" w14:textId="77777777" w:rsidR="0054750B" w:rsidRDefault="0054750B"/>
    <w:p w14:paraId="393B4C4D" w14:textId="77777777" w:rsidR="00AD7FE3" w:rsidRDefault="00AD7FE3"/>
    <w:p w14:paraId="7887CCB8" w14:textId="42392049" w:rsidR="00AD7FE3" w:rsidRPr="00D359F2" w:rsidRDefault="00AD7FE3"/>
    <w:p w14:paraId="4F058FB7" w14:textId="77777777" w:rsidR="00AD3BED" w:rsidRPr="00AD3BED" w:rsidRDefault="00AD3BED" w:rsidP="00AD3BED">
      <w:pPr>
        <w:pStyle w:val="Bibliography"/>
        <w:rPr>
          <w:rFonts w:ascii="Aptos" w:hAnsi="Aptos"/>
        </w:rPr>
      </w:pPr>
      <w:r>
        <w:fldChar w:fldCharType="begin"/>
      </w:r>
      <w:r>
        <w:instrText xml:space="preserve"> ADDIN ZOTERO_BIBL {"uncited":[],"omitted":[],"custom":[]} CSL_BIBLIOGRAPHY </w:instrText>
      </w:r>
      <w:r>
        <w:fldChar w:fldCharType="separate"/>
      </w:r>
      <w:r w:rsidRPr="00AD3BED">
        <w:rPr>
          <w:rFonts w:ascii="Aptos" w:hAnsi="Aptos"/>
        </w:rPr>
        <w:t xml:space="preserve">Bradley, R. and Edmonds, M. (2005) </w:t>
      </w:r>
      <w:r w:rsidRPr="00AD3BED">
        <w:rPr>
          <w:rFonts w:ascii="Aptos" w:hAnsi="Aptos"/>
          <w:i/>
          <w:iCs/>
        </w:rPr>
        <w:t>Interpreting the Axe Trade: Production and Exchange in Neolithic Britain</w:t>
      </w:r>
      <w:r w:rsidRPr="00AD3BED">
        <w:rPr>
          <w:rFonts w:ascii="Aptos" w:hAnsi="Aptos"/>
        </w:rPr>
        <w:t>. Cambridge University Press.</w:t>
      </w:r>
    </w:p>
    <w:p w14:paraId="23674DB4" w14:textId="77777777" w:rsidR="00AD3BED" w:rsidRPr="00AD3BED" w:rsidRDefault="00AD3BED" w:rsidP="00AD3BED">
      <w:pPr>
        <w:pStyle w:val="Bibliography"/>
        <w:rPr>
          <w:rFonts w:ascii="Aptos" w:hAnsi="Aptos"/>
        </w:rPr>
      </w:pPr>
      <w:proofErr w:type="spellStart"/>
      <w:r w:rsidRPr="00AD3BED">
        <w:rPr>
          <w:rFonts w:ascii="Aptos" w:hAnsi="Aptos"/>
        </w:rPr>
        <w:t>Castleden</w:t>
      </w:r>
      <w:proofErr w:type="spellEnd"/>
      <w:r w:rsidRPr="00AD3BED">
        <w:rPr>
          <w:rFonts w:ascii="Aptos" w:hAnsi="Aptos"/>
        </w:rPr>
        <w:t xml:space="preserve">, R. (2014) </w:t>
      </w:r>
      <w:r w:rsidRPr="00AD3BED">
        <w:rPr>
          <w:rFonts w:ascii="Aptos" w:hAnsi="Aptos"/>
          <w:i/>
          <w:iCs/>
        </w:rPr>
        <w:t>Neolithic Britain: New Stone Age sites of England, Scotland and Wales</w:t>
      </w:r>
      <w:r w:rsidRPr="00AD3BED">
        <w:rPr>
          <w:rFonts w:ascii="Aptos" w:hAnsi="Aptos"/>
        </w:rPr>
        <w:t>. Routledge.</w:t>
      </w:r>
    </w:p>
    <w:p w14:paraId="4D1CAD49" w14:textId="77777777" w:rsidR="00AD3BED" w:rsidRPr="00AD3BED" w:rsidRDefault="00AD3BED" w:rsidP="00AD3BED">
      <w:pPr>
        <w:pStyle w:val="Bibliography"/>
        <w:rPr>
          <w:rFonts w:ascii="Aptos" w:hAnsi="Aptos"/>
        </w:rPr>
      </w:pPr>
      <w:r w:rsidRPr="00AD3BED">
        <w:rPr>
          <w:rFonts w:ascii="Aptos" w:hAnsi="Aptos"/>
        </w:rPr>
        <w:t>Murphy, F. (no date) ‘SURVEY AND EXCAVATION AT LLANLLYR MEDIEVAL NUNNERY AND POST-MEDIEVAL MANSION, CEREDIGION, 2014-2015’.</w:t>
      </w:r>
    </w:p>
    <w:p w14:paraId="60309A84" w14:textId="77777777" w:rsidR="00AD3BED" w:rsidRPr="00AD3BED" w:rsidRDefault="00AD3BED" w:rsidP="00AD3BED">
      <w:pPr>
        <w:pStyle w:val="Bibliography"/>
        <w:rPr>
          <w:rFonts w:ascii="Aptos" w:hAnsi="Aptos"/>
        </w:rPr>
      </w:pPr>
      <w:r w:rsidRPr="00AD3BED">
        <w:rPr>
          <w:rFonts w:ascii="Aptos" w:hAnsi="Aptos"/>
          <w:i/>
          <w:iCs/>
        </w:rPr>
        <w:t xml:space="preserve">Prehistoric Wales | </w:t>
      </w:r>
      <w:proofErr w:type="spellStart"/>
      <w:r w:rsidRPr="00AD3BED">
        <w:rPr>
          <w:rFonts w:ascii="Aptos" w:hAnsi="Aptos"/>
          <w:i/>
          <w:iCs/>
        </w:rPr>
        <w:t>Cadw</w:t>
      </w:r>
      <w:proofErr w:type="spellEnd"/>
      <w:r w:rsidRPr="00AD3BED">
        <w:rPr>
          <w:rFonts w:ascii="Aptos" w:hAnsi="Aptos"/>
        </w:rPr>
        <w:t xml:space="preserve"> (no date). Available at: https://cadw.gov.wales/learn/sites-through-centuries/prehistoric-wales (Accessed: 16 May 2024).</w:t>
      </w:r>
    </w:p>
    <w:p w14:paraId="43A4A15B" w14:textId="77777777" w:rsidR="00AD3BED" w:rsidRPr="00AD3BED" w:rsidRDefault="00AD3BED" w:rsidP="00AD3BED">
      <w:pPr>
        <w:pStyle w:val="Bibliography"/>
        <w:rPr>
          <w:rFonts w:ascii="Aptos" w:hAnsi="Aptos"/>
        </w:rPr>
      </w:pPr>
      <w:r w:rsidRPr="00AD3BED">
        <w:rPr>
          <w:rFonts w:ascii="Aptos" w:hAnsi="Aptos"/>
        </w:rPr>
        <w:t xml:space="preserve">Snead, J.E., Erickson, C.L. and Darling, J.A. (2011) </w:t>
      </w:r>
      <w:r w:rsidRPr="00AD3BED">
        <w:rPr>
          <w:rFonts w:ascii="Aptos" w:hAnsi="Aptos"/>
          <w:i/>
          <w:iCs/>
        </w:rPr>
        <w:t>Landscapes of Movement: Trails, Paths, and Roads in Anthropological Perspective</w:t>
      </w:r>
      <w:r w:rsidRPr="00AD3BED">
        <w:rPr>
          <w:rFonts w:ascii="Aptos" w:hAnsi="Aptos"/>
        </w:rPr>
        <w:t>. University of Pennsylvania Press.</w:t>
      </w:r>
    </w:p>
    <w:p w14:paraId="1DCEED03" w14:textId="77777777" w:rsidR="00AD3BED" w:rsidRPr="00AD3BED" w:rsidRDefault="00AD3BED" w:rsidP="00AD3BED">
      <w:pPr>
        <w:pStyle w:val="Bibliography"/>
        <w:rPr>
          <w:rFonts w:ascii="Aptos" w:hAnsi="Aptos"/>
        </w:rPr>
      </w:pPr>
      <w:r w:rsidRPr="00AD3BED">
        <w:rPr>
          <w:rFonts w:ascii="Aptos" w:hAnsi="Aptos"/>
        </w:rPr>
        <w:t xml:space="preserve">Treasure, E.R. </w:t>
      </w:r>
      <w:r w:rsidRPr="00AD3BED">
        <w:rPr>
          <w:rFonts w:ascii="Aptos" w:hAnsi="Aptos"/>
          <w:i/>
          <w:iCs/>
        </w:rPr>
        <w:t>et al.</w:t>
      </w:r>
      <w:r w:rsidRPr="00AD3BED">
        <w:rPr>
          <w:rFonts w:ascii="Aptos" w:hAnsi="Aptos"/>
        </w:rPr>
        <w:t xml:space="preserve"> (2019) ‘Neolithic Farming and Wild Plant Exploitation in Western Britain: Archaeobotanical and Crop Stable Isotope Evidence from Wales (c. 4000–2200 </w:t>
      </w:r>
      <w:proofErr w:type="spellStart"/>
      <w:r w:rsidRPr="00AD3BED">
        <w:rPr>
          <w:rFonts w:ascii="Aptos" w:hAnsi="Aptos"/>
        </w:rPr>
        <w:t>cal</w:t>
      </w:r>
      <w:proofErr w:type="spellEnd"/>
      <w:r w:rsidRPr="00AD3BED">
        <w:rPr>
          <w:rFonts w:ascii="Aptos" w:hAnsi="Aptos"/>
        </w:rPr>
        <w:t xml:space="preserve"> </w:t>
      </w:r>
      <w:proofErr w:type="spellStart"/>
      <w:r w:rsidRPr="00AD3BED">
        <w:rPr>
          <w:rFonts w:ascii="Aptos" w:hAnsi="Aptos"/>
        </w:rPr>
        <w:t>bc</w:t>
      </w:r>
      <w:proofErr w:type="spellEnd"/>
      <w:r w:rsidRPr="00AD3BED">
        <w:rPr>
          <w:rFonts w:ascii="Aptos" w:hAnsi="Aptos"/>
        </w:rPr>
        <w:t xml:space="preserve">)’, </w:t>
      </w:r>
      <w:r w:rsidRPr="00AD3BED">
        <w:rPr>
          <w:rFonts w:ascii="Aptos" w:hAnsi="Aptos"/>
          <w:i/>
          <w:iCs/>
        </w:rPr>
        <w:t>Proceedings of the Prehistoric Society</w:t>
      </w:r>
      <w:r w:rsidRPr="00AD3BED">
        <w:rPr>
          <w:rFonts w:ascii="Aptos" w:hAnsi="Aptos"/>
        </w:rPr>
        <w:t>, 85, pp. 193–222. Available at: https://doi.org/10.1017/ppr.2019.12.</w:t>
      </w:r>
    </w:p>
    <w:p w14:paraId="26675479" w14:textId="77777777" w:rsidR="00AD3BED" w:rsidRPr="00AD3BED" w:rsidRDefault="00AD3BED" w:rsidP="00AD3BED">
      <w:pPr>
        <w:pStyle w:val="Bibliography"/>
        <w:rPr>
          <w:rFonts w:ascii="Aptos" w:hAnsi="Aptos"/>
        </w:rPr>
      </w:pPr>
      <w:r w:rsidRPr="00AD3BED">
        <w:rPr>
          <w:rFonts w:ascii="Aptos" w:hAnsi="Aptos"/>
        </w:rPr>
        <w:lastRenderedPageBreak/>
        <w:t xml:space="preserve">Whittle, A. (2017) ‘Places of Special </w:t>
      </w:r>
      <w:proofErr w:type="gramStart"/>
      <w:r w:rsidRPr="00AD3BED">
        <w:rPr>
          <w:rFonts w:ascii="Aptos" w:hAnsi="Aptos"/>
        </w:rPr>
        <w:t>Virtue</w:t>
      </w:r>
      <w:r w:rsidRPr="00AD3BED">
        <w:rPr>
          <w:rFonts w:ascii="Arial" w:hAnsi="Arial" w:cs="Arial"/>
        </w:rPr>
        <w:t> </w:t>
      </w:r>
      <w:r w:rsidRPr="00AD3BED">
        <w:rPr>
          <w:rFonts w:ascii="Aptos" w:hAnsi="Aptos"/>
        </w:rPr>
        <w:t>:</w:t>
      </w:r>
      <w:proofErr w:type="gramEnd"/>
      <w:r w:rsidRPr="00AD3BED">
        <w:rPr>
          <w:rFonts w:ascii="Aptos" w:hAnsi="Aptos"/>
        </w:rPr>
        <w:t xml:space="preserve"> Megaliths in the Neolithic landscapes of Wales</w:t>
      </w:r>
      <w:r w:rsidRPr="00AD3BED">
        <w:rPr>
          <w:rFonts w:ascii="Aptos" w:hAnsi="Aptos" w:cs="Aptos"/>
        </w:rPr>
        <w:t>’</w:t>
      </w:r>
      <w:r w:rsidRPr="00AD3BED">
        <w:rPr>
          <w:rFonts w:ascii="Aptos" w:hAnsi="Aptos"/>
        </w:rPr>
        <w:t>, pp. 1</w:t>
      </w:r>
      <w:r w:rsidRPr="00AD3BED">
        <w:rPr>
          <w:rFonts w:ascii="Aptos" w:hAnsi="Aptos" w:cs="Aptos"/>
        </w:rPr>
        <w:t>–</w:t>
      </w:r>
      <w:r w:rsidRPr="00AD3BED">
        <w:rPr>
          <w:rFonts w:ascii="Aptos" w:hAnsi="Aptos"/>
        </w:rPr>
        <w:t>224.</w:t>
      </w:r>
    </w:p>
    <w:p w14:paraId="4EEB9A59" w14:textId="01871DE3" w:rsidR="0016483F" w:rsidRDefault="00AD3BED">
      <w:r>
        <w:fldChar w:fldCharType="end"/>
      </w:r>
      <w:r w:rsidR="00607070" w:rsidRPr="00607070">
        <w:t xml:space="preserve"> </w:t>
      </w:r>
      <w:r w:rsidR="00607070">
        <w:t xml:space="preserve">figure </w:t>
      </w:r>
      <w:r w:rsidR="00607070">
        <w:fldChar w:fldCharType="begin"/>
      </w:r>
      <w:r w:rsidR="00607070">
        <w:instrText xml:space="preserve"> SEQ figure \* ARABIC </w:instrText>
      </w:r>
      <w:r w:rsidR="00607070">
        <w:fldChar w:fldCharType="separate"/>
      </w:r>
      <w:r w:rsidR="00607070">
        <w:rPr>
          <w:noProof/>
        </w:rPr>
        <w:t>5</w:t>
      </w:r>
      <w:r w:rsidR="00607070">
        <w:fldChar w:fldCharType="end"/>
      </w:r>
      <w:r w:rsidR="00607070">
        <w:t>/trench 14/</w:t>
      </w:r>
      <w:proofErr w:type="spellStart"/>
      <w:r w:rsidR="00607070">
        <w:t>caradoc</w:t>
      </w:r>
      <w:proofErr w:type="spellEnd"/>
      <w:r w:rsidR="00607070">
        <w:t xml:space="preserve"> </w:t>
      </w:r>
      <w:proofErr w:type="spellStart"/>
      <w:r w:rsidR="00607070">
        <w:t>ewing</w:t>
      </w:r>
      <w:proofErr w:type="spellEnd"/>
      <w:r w:rsidR="00607070">
        <w:t>/2024/</w:t>
      </w:r>
      <w:proofErr w:type="spellStart"/>
      <w:proofErr w:type="gramStart"/>
      <w:r w:rsidR="00607070">
        <w:t>Llyanlllyr</w:t>
      </w:r>
      <w:proofErr w:type="spellEnd"/>
      <w:proofErr w:type="gramEnd"/>
    </w:p>
    <w:p w14:paraId="6BD425DB" w14:textId="77777777" w:rsidR="00607070" w:rsidRPr="00F81834" w:rsidRDefault="00607070" w:rsidP="00607070">
      <w:pPr>
        <w:pStyle w:val="Caption"/>
        <w:rPr>
          <w:sz w:val="24"/>
          <w:szCs w:val="24"/>
        </w:rPr>
      </w:pPr>
      <w:r>
        <w:t xml:space="preserve">figure </w:t>
      </w:r>
      <w:r>
        <w:fldChar w:fldCharType="begin"/>
      </w:r>
      <w:r>
        <w:instrText xml:space="preserve"> SEQ figure \* ARABIC </w:instrText>
      </w:r>
      <w:r>
        <w:fldChar w:fldCharType="separate"/>
      </w:r>
      <w:r>
        <w:rPr>
          <w:noProof/>
        </w:rPr>
        <w:t>3</w:t>
      </w:r>
      <w:r>
        <w:fldChar w:fldCharType="end"/>
      </w:r>
      <w:r>
        <w:t>/distribution of sites/Treasure et al/</w:t>
      </w:r>
      <w:proofErr w:type="gramStart"/>
      <w:r>
        <w:t>2017</w:t>
      </w:r>
      <w:proofErr w:type="gramEnd"/>
    </w:p>
    <w:p w14:paraId="05F6E5A2" w14:textId="19337F5B" w:rsidR="00607070" w:rsidRDefault="00607070">
      <w:r>
        <w:t xml:space="preserve">figure </w:t>
      </w:r>
      <w:r>
        <w:fldChar w:fldCharType="begin"/>
      </w:r>
      <w:r>
        <w:instrText xml:space="preserve"> SEQ figure \* ARABIC </w:instrText>
      </w:r>
      <w:r>
        <w:fldChar w:fldCharType="separate"/>
      </w:r>
      <w:r>
        <w:rPr>
          <w:noProof/>
        </w:rPr>
        <w:t>2</w:t>
      </w:r>
      <w:r>
        <w:fldChar w:fldCharType="end"/>
      </w:r>
      <w:r>
        <w:t>/</w:t>
      </w:r>
      <w:proofErr w:type="spellStart"/>
      <w:r>
        <w:t>Llyanllyr</w:t>
      </w:r>
      <w:proofErr w:type="spellEnd"/>
      <w:r>
        <w:t xml:space="preserve"> field/</w:t>
      </w:r>
      <w:proofErr w:type="spellStart"/>
      <w:r>
        <w:t>caleb</w:t>
      </w:r>
      <w:proofErr w:type="spellEnd"/>
      <w:r>
        <w:t xml:space="preserve"> </w:t>
      </w:r>
      <w:proofErr w:type="spellStart"/>
      <w:r>
        <w:t>rees</w:t>
      </w:r>
      <w:proofErr w:type="spellEnd"/>
      <w:r>
        <w:t>/2024/</w:t>
      </w:r>
      <w:proofErr w:type="spellStart"/>
      <w:proofErr w:type="gramStart"/>
      <w:r>
        <w:t>Llyanllyr</w:t>
      </w:r>
      <w:proofErr w:type="spellEnd"/>
      <w:proofErr w:type="gramEnd"/>
    </w:p>
    <w:p w14:paraId="0CFF99BC" w14:textId="77777777" w:rsidR="00607070" w:rsidRPr="00F81834" w:rsidRDefault="00607070" w:rsidP="00607070">
      <w:pPr>
        <w:pStyle w:val="Caption"/>
        <w:rPr>
          <w:sz w:val="24"/>
          <w:szCs w:val="24"/>
        </w:rPr>
      </w:pPr>
      <w:r>
        <w:t xml:space="preserve">figure </w:t>
      </w:r>
      <w:r>
        <w:fldChar w:fldCharType="begin"/>
      </w:r>
      <w:r>
        <w:instrText xml:space="preserve"> SEQ figure \* ARABIC </w:instrText>
      </w:r>
      <w:r>
        <w:fldChar w:fldCharType="separate"/>
      </w:r>
      <w:r>
        <w:rPr>
          <w:noProof/>
        </w:rPr>
        <w:t>1</w:t>
      </w:r>
      <w:r>
        <w:fldChar w:fldCharType="end"/>
      </w:r>
      <w:r>
        <w:t>/6456665/Toby G Driver/2007/</w:t>
      </w:r>
      <w:proofErr w:type="spellStart"/>
      <w:proofErr w:type="gramStart"/>
      <w:r>
        <w:t>coflien</w:t>
      </w:r>
      <w:proofErr w:type="spellEnd"/>
      <w:proofErr w:type="gramEnd"/>
    </w:p>
    <w:p w14:paraId="6E31F136" w14:textId="77777777" w:rsidR="00607070" w:rsidRPr="003366CF" w:rsidRDefault="00607070"/>
    <w:sectPr w:rsidR="00607070" w:rsidRPr="003366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366CF"/>
    <w:rsid w:val="00050163"/>
    <w:rsid w:val="00052401"/>
    <w:rsid w:val="00091BF1"/>
    <w:rsid w:val="0009420D"/>
    <w:rsid w:val="00096D91"/>
    <w:rsid w:val="000A5CB5"/>
    <w:rsid w:val="000B251C"/>
    <w:rsid w:val="000C6323"/>
    <w:rsid w:val="000E30FC"/>
    <w:rsid w:val="000F52CD"/>
    <w:rsid w:val="00102386"/>
    <w:rsid w:val="0012205B"/>
    <w:rsid w:val="00125CC8"/>
    <w:rsid w:val="00134D2B"/>
    <w:rsid w:val="00144EAA"/>
    <w:rsid w:val="00152402"/>
    <w:rsid w:val="00162328"/>
    <w:rsid w:val="0016483F"/>
    <w:rsid w:val="0016681A"/>
    <w:rsid w:val="00167C47"/>
    <w:rsid w:val="0017369C"/>
    <w:rsid w:val="001741A0"/>
    <w:rsid w:val="001B2669"/>
    <w:rsid w:val="001E5971"/>
    <w:rsid w:val="001F4224"/>
    <w:rsid w:val="00204A24"/>
    <w:rsid w:val="002121CA"/>
    <w:rsid w:val="002264DB"/>
    <w:rsid w:val="002403F6"/>
    <w:rsid w:val="00262F25"/>
    <w:rsid w:val="00267DE6"/>
    <w:rsid w:val="0028139C"/>
    <w:rsid w:val="00285D4E"/>
    <w:rsid w:val="00293F19"/>
    <w:rsid w:val="002A3FD7"/>
    <w:rsid w:val="002B1A3A"/>
    <w:rsid w:val="002C14EE"/>
    <w:rsid w:val="002C3048"/>
    <w:rsid w:val="002C7015"/>
    <w:rsid w:val="002D4362"/>
    <w:rsid w:val="0030256A"/>
    <w:rsid w:val="003057F0"/>
    <w:rsid w:val="00316229"/>
    <w:rsid w:val="00335F09"/>
    <w:rsid w:val="003366CF"/>
    <w:rsid w:val="00361F89"/>
    <w:rsid w:val="00374FAB"/>
    <w:rsid w:val="00387CB0"/>
    <w:rsid w:val="00396AF7"/>
    <w:rsid w:val="003B1227"/>
    <w:rsid w:val="003B6E8A"/>
    <w:rsid w:val="003E0522"/>
    <w:rsid w:val="003E4196"/>
    <w:rsid w:val="003F3668"/>
    <w:rsid w:val="003F5E3A"/>
    <w:rsid w:val="00405CE5"/>
    <w:rsid w:val="0041055D"/>
    <w:rsid w:val="004166BC"/>
    <w:rsid w:val="00434EE4"/>
    <w:rsid w:val="00437D68"/>
    <w:rsid w:val="00443E51"/>
    <w:rsid w:val="00444FD9"/>
    <w:rsid w:val="00446A7D"/>
    <w:rsid w:val="00451962"/>
    <w:rsid w:val="0048047F"/>
    <w:rsid w:val="004B3E5A"/>
    <w:rsid w:val="004C06C4"/>
    <w:rsid w:val="004C60A4"/>
    <w:rsid w:val="004D72A8"/>
    <w:rsid w:val="004F59CE"/>
    <w:rsid w:val="005022BB"/>
    <w:rsid w:val="00506561"/>
    <w:rsid w:val="0051725D"/>
    <w:rsid w:val="00521386"/>
    <w:rsid w:val="00544C9B"/>
    <w:rsid w:val="0054750B"/>
    <w:rsid w:val="00554158"/>
    <w:rsid w:val="00565B7D"/>
    <w:rsid w:val="00566995"/>
    <w:rsid w:val="00574A13"/>
    <w:rsid w:val="00583C62"/>
    <w:rsid w:val="00585AF7"/>
    <w:rsid w:val="00586CFE"/>
    <w:rsid w:val="00592E11"/>
    <w:rsid w:val="00597600"/>
    <w:rsid w:val="005A0240"/>
    <w:rsid w:val="005A0D10"/>
    <w:rsid w:val="005C2D0F"/>
    <w:rsid w:val="005E39FE"/>
    <w:rsid w:val="005F1FF2"/>
    <w:rsid w:val="005F7086"/>
    <w:rsid w:val="00606667"/>
    <w:rsid w:val="00607070"/>
    <w:rsid w:val="0061170D"/>
    <w:rsid w:val="00613387"/>
    <w:rsid w:val="00622E1D"/>
    <w:rsid w:val="00634933"/>
    <w:rsid w:val="00634B12"/>
    <w:rsid w:val="006373E9"/>
    <w:rsid w:val="00652583"/>
    <w:rsid w:val="00652AEA"/>
    <w:rsid w:val="00667F6D"/>
    <w:rsid w:val="00672CDE"/>
    <w:rsid w:val="00680F58"/>
    <w:rsid w:val="006810ED"/>
    <w:rsid w:val="00681F71"/>
    <w:rsid w:val="0069166C"/>
    <w:rsid w:val="00691B5E"/>
    <w:rsid w:val="006936C3"/>
    <w:rsid w:val="006A2D5F"/>
    <w:rsid w:val="006B0A34"/>
    <w:rsid w:val="006B141A"/>
    <w:rsid w:val="006B2F08"/>
    <w:rsid w:val="006B7412"/>
    <w:rsid w:val="006C6B8D"/>
    <w:rsid w:val="006E4326"/>
    <w:rsid w:val="006E7FE4"/>
    <w:rsid w:val="006F16EF"/>
    <w:rsid w:val="006F4655"/>
    <w:rsid w:val="00702FFC"/>
    <w:rsid w:val="007224A8"/>
    <w:rsid w:val="0072408E"/>
    <w:rsid w:val="00726397"/>
    <w:rsid w:val="00735D0F"/>
    <w:rsid w:val="00760657"/>
    <w:rsid w:val="007658A9"/>
    <w:rsid w:val="0077563C"/>
    <w:rsid w:val="00783057"/>
    <w:rsid w:val="00793C1C"/>
    <w:rsid w:val="0079558B"/>
    <w:rsid w:val="007B4325"/>
    <w:rsid w:val="007C658A"/>
    <w:rsid w:val="007C794E"/>
    <w:rsid w:val="007E097E"/>
    <w:rsid w:val="00800DD7"/>
    <w:rsid w:val="00810B5E"/>
    <w:rsid w:val="00841C73"/>
    <w:rsid w:val="00844FE8"/>
    <w:rsid w:val="0087250C"/>
    <w:rsid w:val="008746F6"/>
    <w:rsid w:val="00884194"/>
    <w:rsid w:val="008A02D2"/>
    <w:rsid w:val="008A5D23"/>
    <w:rsid w:val="008A684C"/>
    <w:rsid w:val="008B195A"/>
    <w:rsid w:val="008B70A9"/>
    <w:rsid w:val="008C280F"/>
    <w:rsid w:val="009030FC"/>
    <w:rsid w:val="00904937"/>
    <w:rsid w:val="00933635"/>
    <w:rsid w:val="00946EC3"/>
    <w:rsid w:val="0095154E"/>
    <w:rsid w:val="0096512A"/>
    <w:rsid w:val="00971CBC"/>
    <w:rsid w:val="009902D7"/>
    <w:rsid w:val="00992D79"/>
    <w:rsid w:val="00994C43"/>
    <w:rsid w:val="009A003E"/>
    <w:rsid w:val="009C1F41"/>
    <w:rsid w:val="009D1E27"/>
    <w:rsid w:val="009F05C1"/>
    <w:rsid w:val="009F1BE2"/>
    <w:rsid w:val="009F49E4"/>
    <w:rsid w:val="00A02D8B"/>
    <w:rsid w:val="00A32087"/>
    <w:rsid w:val="00A35FB8"/>
    <w:rsid w:val="00A45A5E"/>
    <w:rsid w:val="00A56A5B"/>
    <w:rsid w:val="00A625B2"/>
    <w:rsid w:val="00A72C92"/>
    <w:rsid w:val="00A776A0"/>
    <w:rsid w:val="00A82830"/>
    <w:rsid w:val="00A84A68"/>
    <w:rsid w:val="00A86CBC"/>
    <w:rsid w:val="00A9365C"/>
    <w:rsid w:val="00A93F76"/>
    <w:rsid w:val="00AA00B7"/>
    <w:rsid w:val="00AA11A7"/>
    <w:rsid w:val="00AA419D"/>
    <w:rsid w:val="00AB68B3"/>
    <w:rsid w:val="00AC26A9"/>
    <w:rsid w:val="00AC6BDF"/>
    <w:rsid w:val="00AD3077"/>
    <w:rsid w:val="00AD3BED"/>
    <w:rsid w:val="00AD62A3"/>
    <w:rsid w:val="00AD7FE3"/>
    <w:rsid w:val="00AE243A"/>
    <w:rsid w:val="00AE5969"/>
    <w:rsid w:val="00B01E3F"/>
    <w:rsid w:val="00B34C88"/>
    <w:rsid w:val="00B4303D"/>
    <w:rsid w:val="00B520E8"/>
    <w:rsid w:val="00B56B87"/>
    <w:rsid w:val="00B60FAB"/>
    <w:rsid w:val="00B732DA"/>
    <w:rsid w:val="00B7542B"/>
    <w:rsid w:val="00B81EF0"/>
    <w:rsid w:val="00B85609"/>
    <w:rsid w:val="00BE0D58"/>
    <w:rsid w:val="00BF2A73"/>
    <w:rsid w:val="00C05508"/>
    <w:rsid w:val="00C108F3"/>
    <w:rsid w:val="00C24E99"/>
    <w:rsid w:val="00C3749D"/>
    <w:rsid w:val="00C46448"/>
    <w:rsid w:val="00C53361"/>
    <w:rsid w:val="00C54668"/>
    <w:rsid w:val="00C74C35"/>
    <w:rsid w:val="00CA4624"/>
    <w:rsid w:val="00CC13B9"/>
    <w:rsid w:val="00CD2561"/>
    <w:rsid w:val="00CD6B28"/>
    <w:rsid w:val="00D14C0F"/>
    <w:rsid w:val="00D230F1"/>
    <w:rsid w:val="00D359F2"/>
    <w:rsid w:val="00D50E32"/>
    <w:rsid w:val="00D5125C"/>
    <w:rsid w:val="00D54346"/>
    <w:rsid w:val="00D658BE"/>
    <w:rsid w:val="00D752CF"/>
    <w:rsid w:val="00D87A6E"/>
    <w:rsid w:val="00DA2389"/>
    <w:rsid w:val="00DA7273"/>
    <w:rsid w:val="00DC3423"/>
    <w:rsid w:val="00DD21D5"/>
    <w:rsid w:val="00DD401E"/>
    <w:rsid w:val="00DD425E"/>
    <w:rsid w:val="00DD7E63"/>
    <w:rsid w:val="00DE7E84"/>
    <w:rsid w:val="00DF0B79"/>
    <w:rsid w:val="00E01339"/>
    <w:rsid w:val="00E26381"/>
    <w:rsid w:val="00E33BC3"/>
    <w:rsid w:val="00E46614"/>
    <w:rsid w:val="00E52FDB"/>
    <w:rsid w:val="00E53594"/>
    <w:rsid w:val="00E83F05"/>
    <w:rsid w:val="00E9274F"/>
    <w:rsid w:val="00E93059"/>
    <w:rsid w:val="00E96B2F"/>
    <w:rsid w:val="00EC5D3E"/>
    <w:rsid w:val="00ED5317"/>
    <w:rsid w:val="00EE614A"/>
    <w:rsid w:val="00F06762"/>
    <w:rsid w:val="00F10886"/>
    <w:rsid w:val="00F570C0"/>
    <w:rsid w:val="00F64A25"/>
    <w:rsid w:val="00F65C85"/>
    <w:rsid w:val="00F678AF"/>
    <w:rsid w:val="00F70CA9"/>
    <w:rsid w:val="00F751F5"/>
    <w:rsid w:val="00F81834"/>
    <w:rsid w:val="00F82027"/>
    <w:rsid w:val="00F92D5D"/>
    <w:rsid w:val="00FA47A5"/>
    <w:rsid w:val="00FA6FC4"/>
    <w:rsid w:val="00FB4E80"/>
    <w:rsid w:val="00FC5F54"/>
    <w:rsid w:val="00FD4C99"/>
    <w:rsid w:val="00FF36C6"/>
    <w:rsid w:val="00FF375A"/>
    <w:rsid w:val="00FF7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4C361"/>
  <w15:docId w15:val="{211872E3-EEB6-49C9-9C16-80925C78A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6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66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66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66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66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66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6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6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6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6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66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66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66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66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66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6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6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6CF"/>
    <w:rPr>
      <w:rFonts w:eastAsiaTheme="majorEastAsia" w:cstheme="majorBidi"/>
      <w:color w:val="272727" w:themeColor="text1" w:themeTint="D8"/>
    </w:rPr>
  </w:style>
  <w:style w:type="paragraph" w:styleId="Title">
    <w:name w:val="Title"/>
    <w:basedOn w:val="Normal"/>
    <w:next w:val="Normal"/>
    <w:link w:val="TitleChar"/>
    <w:uiPriority w:val="10"/>
    <w:qFormat/>
    <w:rsid w:val="003366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6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66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6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6CF"/>
    <w:pPr>
      <w:spacing w:before="160"/>
      <w:jc w:val="center"/>
    </w:pPr>
    <w:rPr>
      <w:i/>
      <w:iCs/>
      <w:color w:val="404040" w:themeColor="text1" w:themeTint="BF"/>
    </w:rPr>
  </w:style>
  <w:style w:type="character" w:customStyle="1" w:styleId="QuoteChar">
    <w:name w:val="Quote Char"/>
    <w:basedOn w:val="DefaultParagraphFont"/>
    <w:link w:val="Quote"/>
    <w:uiPriority w:val="29"/>
    <w:rsid w:val="003366CF"/>
    <w:rPr>
      <w:i/>
      <w:iCs/>
      <w:color w:val="404040" w:themeColor="text1" w:themeTint="BF"/>
    </w:rPr>
  </w:style>
  <w:style w:type="paragraph" w:styleId="ListParagraph">
    <w:name w:val="List Paragraph"/>
    <w:basedOn w:val="Normal"/>
    <w:uiPriority w:val="34"/>
    <w:qFormat/>
    <w:rsid w:val="003366CF"/>
    <w:pPr>
      <w:ind w:left="720"/>
      <w:contextualSpacing/>
    </w:pPr>
  </w:style>
  <w:style w:type="character" w:styleId="IntenseEmphasis">
    <w:name w:val="Intense Emphasis"/>
    <w:basedOn w:val="DefaultParagraphFont"/>
    <w:uiPriority w:val="21"/>
    <w:qFormat/>
    <w:rsid w:val="003366CF"/>
    <w:rPr>
      <w:i/>
      <w:iCs/>
      <w:color w:val="0F4761" w:themeColor="accent1" w:themeShade="BF"/>
    </w:rPr>
  </w:style>
  <w:style w:type="paragraph" w:styleId="IntenseQuote">
    <w:name w:val="Intense Quote"/>
    <w:basedOn w:val="Normal"/>
    <w:next w:val="Normal"/>
    <w:link w:val="IntenseQuoteChar"/>
    <w:uiPriority w:val="30"/>
    <w:qFormat/>
    <w:rsid w:val="003366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66CF"/>
    <w:rPr>
      <w:i/>
      <w:iCs/>
      <w:color w:val="0F4761" w:themeColor="accent1" w:themeShade="BF"/>
    </w:rPr>
  </w:style>
  <w:style w:type="character" w:styleId="IntenseReference">
    <w:name w:val="Intense Reference"/>
    <w:basedOn w:val="DefaultParagraphFont"/>
    <w:uiPriority w:val="32"/>
    <w:qFormat/>
    <w:rsid w:val="003366CF"/>
    <w:rPr>
      <w:b/>
      <w:bCs/>
      <w:smallCaps/>
      <w:color w:val="0F4761" w:themeColor="accent1" w:themeShade="BF"/>
      <w:spacing w:val="5"/>
    </w:rPr>
  </w:style>
  <w:style w:type="paragraph" w:styleId="Caption">
    <w:name w:val="caption"/>
    <w:basedOn w:val="Normal"/>
    <w:next w:val="Normal"/>
    <w:uiPriority w:val="35"/>
    <w:unhideWhenUsed/>
    <w:qFormat/>
    <w:rsid w:val="00C24E9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AD3BED"/>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00521-9CA3-4CDA-BBEB-CC7ECF786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6303</Words>
  <Characters>35929</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 Core</dc:creator>
  <cp:keywords/>
  <dc:description/>
  <cp:lastModifiedBy>Gaz Core</cp:lastModifiedBy>
  <cp:revision>2</cp:revision>
  <dcterms:created xsi:type="dcterms:W3CDTF">2024-05-19T21:19:00Z</dcterms:created>
  <dcterms:modified xsi:type="dcterms:W3CDTF">2024-05-19T21:19:00Z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id="SdRU5dNV"/&gt;&lt;style id="http://www.zotero.org/styles/harvard-cite-them-right" hasBibliography="1" bibliographyStyleHasBeenSet="1"/&gt;&lt;prefs&gt;&lt;pref name="fieldType" value="Field"/&gt;&lt;/prefs&gt;&lt;/data&gt;</vt:lpwstr>
  </property>
</Properties>
</file>