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D85D7E" w14:textId="77777777" w:rsidR="00871772" w:rsidRDefault="00871772" w:rsidP="00871772">
      <w:pPr>
        <w:jc w:val="center"/>
        <w:rPr>
          <w:sz w:val="34"/>
          <w:szCs w:val="34"/>
        </w:rPr>
      </w:pPr>
      <w:bookmarkStart w:id="0" w:name="__RefHeading___Toc2081_836813259"/>
      <w:bookmarkStart w:id="1" w:name="__RefHeading___Toc2083_836813259"/>
      <w:bookmarkEnd w:id="0"/>
      <w:bookmarkEnd w:id="1"/>
      <w:r>
        <w:rPr>
          <w:noProof/>
        </w:rPr>
        <w:drawing>
          <wp:inline distT="0" distB="0" distL="0" distR="0" wp14:anchorId="4E788890" wp14:editId="011BEE35">
            <wp:extent cx="2816225" cy="673100"/>
            <wp:effectExtent l="0" t="0" r="0" b="0"/>
            <wp:docPr id="5552347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6225" cy="67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8769CB" w14:textId="77777777" w:rsidR="00871772" w:rsidRPr="009C063A" w:rsidRDefault="00871772" w:rsidP="00871772">
      <w:pPr>
        <w:spacing w:line="240" w:lineRule="auto"/>
        <w:jc w:val="center"/>
        <w:rPr>
          <w:sz w:val="38"/>
          <w:szCs w:val="38"/>
        </w:rPr>
      </w:pPr>
      <w:r w:rsidRPr="009C063A">
        <w:rPr>
          <w:sz w:val="38"/>
          <w:szCs w:val="38"/>
        </w:rPr>
        <w:t>Master of Business Administration</w:t>
      </w:r>
    </w:p>
    <w:p w14:paraId="36F23B02" w14:textId="77777777" w:rsidR="00871772" w:rsidRDefault="00871772" w:rsidP="00871772">
      <w:pPr>
        <w:jc w:val="center"/>
        <w:rPr>
          <w:sz w:val="28"/>
          <w:szCs w:val="28"/>
        </w:rPr>
      </w:pPr>
      <w:r>
        <w:rPr>
          <w:sz w:val="32"/>
          <w:szCs w:val="32"/>
        </w:rPr>
        <w:t>In International Business</w:t>
      </w:r>
    </w:p>
    <w:p w14:paraId="05CE804A" w14:textId="77777777" w:rsidR="00871772" w:rsidRDefault="00871772" w:rsidP="00871772">
      <w:pPr>
        <w:rPr>
          <w:sz w:val="28"/>
          <w:szCs w:val="28"/>
        </w:rPr>
      </w:pPr>
    </w:p>
    <w:p w14:paraId="5E1C5213" w14:textId="53787DDF" w:rsidR="00871772" w:rsidRPr="004E381C" w:rsidRDefault="00871772" w:rsidP="00871772">
      <w:pPr>
        <w:rPr>
          <w:sz w:val="28"/>
          <w:szCs w:val="28"/>
          <w:lang w:val="en-IN"/>
        </w:rPr>
      </w:pPr>
      <w:r w:rsidRPr="00043B72">
        <w:rPr>
          <w:b/>
          <w:bCs/>
          <w:sz w:val="28"/>
          <w:szCs w:val="28"/>
        </w:rPr>
        <w:t>Module name:</w:t>
      </w:r>
      <w:r>
        <w:rPr>
          <w:b/>
          <w:bCs/>
          <w:sz w:val="28"/>
          <w:szCs w:val="28"/>
        </w:rPr>
        <w:t xml:space="preserve"> </w:t>
      </w:r>
      <w:r w:rsidR="0057257B" w:rsidRPr="0057257B">
        <w:rPr>
          <w:sz w:val="28"/>
          <w:szCs w:val="28"/>
          <w:lang w:val="en-IN"/>
        </w:rPr>
        <w:t xml:space="preserve">Human Capital Management </w:t>
      </w:r>
    </w:p>
    <w:p w14:paraId="7F858FC5" w14:textId="1E834F84" w:rsidR="00871772" w:rsidRDefault="00871772" w:rsidP="00871772">
      <w:pPr>
        <w:rPr>
          <w:sz w:val="28"/>
          <w:szCs w:val="28"/>
          <w:lang w:val="en-IN"/>
        </w:rPr>
      </w:pPr>
      <w:r w:rsidRPr="00043B72">
        <w:rPr>
          <w:b/>
          <w:bCs/>
          <w:sz w:val="28"/>
          <w:szCs w:val="28"/>
        </w:rPr>
        <w:t>Module code</w:t>
      </w:r>
      <w:r w:rsidRPr="00043B72">
        <w:rPr>
          <w:sz w:val="28"/>
          <w:szCs w:val="28"/>
        </w:rPr>
        <w:t>:</w:t>
      </w:r>
      <w:r w:rsidRPr="004E381C">
        <w:rPr>
          <w:rFonts w:ascii="Segoe UI" w:eastAsia="Times New Roman" w:hAnsi="Segoe UI" w:cs="Segoe UI"/>
          <w:b/>
          <w:bCs/>
          <w:color w:val="FFFFFF"/>
          <w:kern w:val="36"/>
          <w:sz w:val="48"/>
          <w:szCs w:val="48"/>
          <w:lang w:val="en-IN" w:eastAsia="en-IN"/>
        </w:rPr>
        <w:t xml:space="preserve"> </w:t>
      </w:r>
      <w:r w:rsidRPr="004E381C">
        <w:rPr>
          <w:sz w:val="28"/>
          <w:szCs w:val="28"/>
          <w:lang w:val="en-IN"/>
        </w:rPr>
        <w:t>(</w:t>
      </w:r>
      <w:r w:rsidR="0057257B" w:rsidRPr="0057257B">
        <w:rPr>
          <w:sz w:val="28"/>
          <w:szCs w:val="28"/>
          <w:lang w:val="en-IN"/>
        </w:rPr>
        <w:t>LCMB7023</w:t>
      </w:r>
      <w:r w:rsidRPr="004E381C">
        <w:rPr>
          <w:sz w:val="28"/>
          <w:szCs w:val="28"/>
          <w:lang w:val="en-IN"/>
        </w:rPr>
        <w:t>)</w:t>
      </w:r>
    </w:p>
    <w:p w14:paraId="7CCBE675" w14:textId="1006DF27" w:rsidR="00644A61" w:rsidRPr="00644A61" w:rsidRDefault="00644A61" w:rsidP="00871772">
      <w:pPr>
        <w:rPr>
          <w:b/>
          <w:bCs/>
          <w:sz w:val="28"/>
          <w:szCs w:val="28"/>
        </w:rPr>
      </w:pPr>
      <w:r w:rsidRPr="0057257B">
        <w:rPr>
          <w:b/>
          <w:bCs/>
          <w:sz w:val="28"/>
          <w:szCs w:val="28"/>
        </w:rPr>
        <w:t xml:space="preserve">Title: </w:t>
      </w:r>
      <w:r w:rsidRPr="0057257B">
        <w:rPr>
          <w:sz w:val="28"/>
          <w:szCs w:val="28"/>
        </w:rPr>
        <w:t>Designing a Human Capital Architecture for Strategic Renewal: A Tata Steel Case Study</w:t>
      </w:r>
    </w:p>
    <w:p w14:paraId="345AD448" w14:textId="489037D4" w:rsidR="00871772" w:rsidRPr="00043B72" w:rsidRDefault="00871772" w:rsidP="00871772">
      <w:pPr>
        <w:rPr>
          <w:sz w:val="28"/>
          <w:szCs w:val="28"/>
        </w:rPr>
      </w:pPr>
      <w:r w:rsidRPr="00043B72">
        <w:rPr>
          <w:b/>
          <w:bCs/>
          <w:sz w:val="28"/>
          <w:szCs w:val="28"/>
        </w:rPr>
        <w:t>Lecturer name</w:t>
      </w:r>
      <w:r w:rsidRPr="00043B72">
        <w:rPr>
          <w:sz w:val="28"/>
          <w:szCs w:val="28"/>
        </w:rPr>
        <w:t xml:space="preserve">: </w:t>
      </w:r>
      <w:r w:rsidR="0057257B" w:rsidRPr="0057257B">
        <w:rPr>
          <w:sz w:val="28"/>
          <w:szCs w:val="28"/>
        </w:rPr>
        <w:t xml:space="preserve">Gladius </w:t>
      </w:r>
      <w:proofErr w:type="gramStart"/>
      <w:r w:rsidR="0057257B" w:rsidRPr="0057257B">
        <w:rPr>
          <w:sz w:val="28"/>
          <w:szCs w:val="28"/>
        </w:rPr>
        <w:t>Kulothungan</w:t>
      </w:r>
      <w:r w:rsidR="0057257B">
        <w:rPr>
          <w:sz w:val="28"/>
          <w:szCs w:val="28"/>
        </w:rPr>
        <w:t xml:space="preserve"> ,</w:t>
      </w:r>
      <w:r w:rsidR="0057257B" w:rsidRPr="0057257B">
        <w:rPr>
          <w:sz w:val="28"/>
          <w:szCs w:val="28"/>
        </w:rPr>
        <w:t>Eno</w:t>
      </w:r>
      <w:proofErr w:type="gramEnd"/>
      <w:r w:rsidR="0057257B" w:rsidRPr="0057257B">
        <w:rPr>
          <w:sz w:val="28"/>
          <w:szCs w:val="28"/>
        </w:rPr>
        <w:t xml:space="preserve"> Maycock</w:t>
      </w:r>
    </w:p>
    <w:p w14:paraId="1B8EAED1" w14:textId="77777777" w:rsidR="00871772" w:rsidRPr="00043B72" w:rsidRDefault="00871772" w:rsidP="00871772">
      <w:pPr>
        <w:rPr>
          <w:sz w:val="28"/>
          <w:szCs w:val="28"/>
        </w:rPr>
      </w:pPr>
      <w:r w:rsidRPr="00043B72">
        <w:rPr>
          <w:b/>
          <w:bCs/>
          <w:sz w:val="28"/>
          <w:szCs w:val="28"/>
        </w:rPr>
        <w:t>Student name</w:t>
      </w:r>
      <w:r w:rsidRPr="00043B72">
        <w:rPr>
          <w:sz w:val="28"/>
          <w:szCs w:val="28"/>
        </w:rPr>
        <w:t>:</w:t>
      </w:r>
      <w:r>
        <w:rPr>
          <w:sz w:val="28"/>
          <w:szCs w:val="28"/>
        </w:rPr>
        <w:t xml:space="preserve"> Priyanshi Manoj Parikh</w:t>
      </w:r>
    </w:p>
    <w:p w14:paraId="4BD5478A" w14:textId="77777777" w:rsidR="00871772" w:rsidRPr="00043B72" w:rsidRDefault="00871772" w:rsidP="00871772">
      <w:pPr>
        <w:rPr>
          <w:sz w:val="28"/>
          <w:szCs w:val="28"/>
        </w:rPr>
      </w:pPr>
      <w:r w:rsidRPr="00043B72">
        <w:rPr>
          <w:b/>
          <w:bCs/>
          <w:sz w:val="28"/>
          <w:szCs w:val="28"/>
        </w:rPr>
        <w:t>Student ID</w:t>
      </w:r>
      <w:r w:rsidRPr="00043B72">
        <w:rPr>
          <w:sz w:val="28"/>
          <w:szCs w:val="28"/>
        </w:rPr>
        <w:t>:</w:t>
      </w:r>
      <w:r>
        <w:rPr>
          <w:sz w:val="28"/>
          <w:szCs w:val="28"/>
        </w:rPr>
        <w:t xml:space="preserve"> 2543469</w:t>
      </w:r>
    </w:p>
    <w:p w14:paraId="231E9B07" w14:textId="534373AF" w:rsidR="0057257B" w:rsidRPr="00644A61" w:rsidRDefault="0057257B" w:rsidP="00871772">
      <w:p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Word Count: </w:t>
      </w:r>
      <w:r w:rsidR="00644A61">
        <w:rPr>
          <w:sz w:val="28"/>
          <w:szCs w:val="28"/>
        </w:rPr>
        <w:t>2401</w:t>
      </w:r>
    </w:p>
    <w:p w14:paraId="47EF9D76" w14:textId="01740A46" w:rsidR="00871772" w:rsidRPr="00043B72" w:rsidRDefault="00871772" w:rsidP="00871772">
      <w:pPr>
        <w:rPr>
          <w:sz w:val="28"/>
          <w:szCs w:val="28"/>
        </w:rPr>
      </w:pPr>
      <w:r w:rsidRPr="00043B72">
        <w:rPr>
          <w:b/>
          <w:bCs/>
          <w:sz w:val="28"/>
          <w:szCs w:val="28"/>
        </w:rPr>
        <w:t>Submission date</w:t>
      </w:r>
      <w:r w:rsidRPr="00043B72">
        <w:rPr>
          <w:sz w:val="28"/>
          <w:szCs w:val="28"/>
        </w:rPr>
        <w:t>:</w:t>
      </w:r>
      <w:r>
        <w:rPr>
          <w:sz w:val="28"/>
          <w:szCs w:val="28"/>
        </w:rPr>
        <w:t xml:space="preserve"> </w:t>
      </w:r>
      <w:r w:rsidR="00644A61">
        <w:rPr>
          <w:sz w:val="28"/>
          <w:szCs w:val="28"/>
        </w:rPr>
        <w:t>17</w:t>
      </w:r>
      <w:r w:rsidR="00644A61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July 2026</w:t>
      </w:r>
    </w:p>
    <w:p w14:paraId="0B05B221" w14:textId="77777777" w:rsidR="00871772" w:rsidRDefault="00871772">
      <w:pPr>
        <w:pStyle w:val="Heading1"/>
      </w:pPr>
    </w:p>
    <w:p w14:paraId="3B9A3ADD" w14:textId="77777777" w:rsidR="00871772" w:rsidRDefault="00871772">
      <w:pPr>
        <w:pStyle w:val="Heading1"/>
      </w:pPr>
    </w:p>
    <w:p w14:paraId="65D2D5B9" w14:textId="77777777" w:rsidR="00871772" w:rsidRDefault="00871772">
      <w:pPr>
        <w:pStyle w:val="Heading1"/>
      </w:pPr>
    </w:p>
    <w:p w14:paraId="01E1A754" w14:textId="77777777" w:rsidR="00871772" w:rsidRDefault="00871772" w:rsidP="00871772"/>
    <w:p w14:paraId="5CA768DD" w14:textId="77777777" w:rsidR="00871772" w:rsidRDefault="00871772" w:rsidP="00871772"/>
    <w:p w14:paraId="4034561D" w14:textId="77777777" w:rsidR="00871772" w:rsidRDefault="00871772" w:rsidP="00871772"/>
    <w:p w14:paraId="3122E9AA" w14:textId="77777777" w:rsidR="00871772" w:rsidRDefault="00871772" w:rsidP="00871772"/>
    <w:p w14:paraId="175F1932" w14:textId="77777777" w:rsidR="0057257B" w:rsidRDefault="0057257B" w:rsidP="00871772"/>
    <w:p w14:paraId="42EADFC2" w14:textId="77777777" w:rsidR="00B94893" w:rsidRPr="00871772" w:rsidRDefault="00B94893" w:rsidP="00871772"/>
    <w:p w14:paraId="1D703140" w14:textId="7DD8160C" w:rsidR="000420F3" w:rsidRDefault="00000000">
      <w:pPr>
        <w:pStyle w:val="Heading1"/>
      </w:pPr>
      <w:bookmarkStart w:id="2" w:name="_Toc235130238"/>
      <w:r>
        <w:lastRenderedPageBreak/>
        <w:t>Contents</w:t>
      </w:r>
      <w:bookmarkEnd w:id="2"/>
    </w:p>
    <w:sdt>
      <w:sdtPr>
        <w:id w:val="1987739940"/>
        <w:docPartObj>
          <w:docPartGallery w:val="Table of Contents"/>
          <w:docPartUnique/>
        </w:docPartObj>
      </w:sdtPr>
      <w:sdtContent>
        <w:p w14:paraId="3EF2EF5F" w14:textId="0969F2F5" w:rsidR="000B5328" w:rsidRDefault="000420F3">
          <w:pPr>
            <w:pStyle w:val="TOC1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r>
            <w:fldChar w:fldCharType="begin"/>
          </w:r>
          <w:r w:rsidR="00000000">
            <w:rPr>
              <w:rStyle w:val="IndexLink"/>
              <w:webHidden/>
            </w:rPr>
            <w:instrText xml:space="preserve"> TOC \z \o "1-3" \u \h</w:instrText>
          </w:r>
          <w:r>
            <w:rPr>
              <w:rStyle w:val="IndexLink"/>
            </w:rPr>
            <w:fldChar w:fldCharType="separate"/>
          </w:r>
          <w:hyperlink w:anchor="_Toc235130239" w:history="1">
            <w:r w:rsidR="000B5328" w:rsidRPr="008365DA">
              <w:rPr>
                <w:rStyle w:val="Hyperlink"/>
                <w:noProof/>
              </w:rPr>
              <w:t>1. Tata Steel context for strategic renewal</w:t>
            </w:r>
            <w:r w:rsidR="000B5328">
              <w:rPr>
                <w:noProof/>
                <w:webHidden/>
              </w:rPr>
              <w:tab/>
            </w:r>
            <w:r w:rsidR="000B5328">
              <w:rPr>
                <w:noProof/>
                <w:webHidden/>
              </w:rPr>
              <w:fldChar w:fldCharType="begin"/>
            </w:r>
            <w:r w:rsidR="000B5328">
              <w:rPr>
                <w:noProof/>
                <w:webHidden/>
              </w:rPr>
              <w:instrText xml:space="preserve"> PAGEREF _Toc235130239 \h </w:instrText>
            </w:r>
            <w:r w:rsidR="000B5328">
              <w:rPr>
                <w:noProof/>
                <w:webHidden/>
              </w:rPr>
            </w:r>
            <w:r w:rsidR="000B5328">
              <w:rPr>
                <w:noProof/>
                <w:webHidden/>
              </w:rPr>
              <w:fldChar w:fldCharType="separate"/>
            </w:r>
            <w:r w:rsidR="000B5328">
              <w:rPr>
                <w:noProof/>
                <w:webHidden/>
              </w:rPr>
              <w:t>1</w:t>
            </w:r>
            <w:r w:rsidR="000B5328">
              <w:rPr>
                <w:noProof/>
                <w:webHidden/>
              </w:rPr>
              <w:fldChar w:fldCharType="end"/>
            </w:r>
          </w:hyperlink>
        </w:p>
        <w:p w14:paraId="08D5DA85" w14:textId="1600C5C3" w:rsidR="000B5328" w:rsidRDefault="000B5328">
          <w:pPr>
            <w:pStyle w:val="TOC1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40" w:history="1">
            <w:r w:rsidRPr="008365DA">
              <w:rPr>
                <w:rStyle w:val="Hyperlink"/>
                <w:noProof/>
              </w:rPr>
              <w:t>2. Task 1 research and planning notes: Socialisation, identity and business activism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CCCFA" w14:textId="04F18367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41" w:history="1">
            <w:r w:rsidRPr="008365DA">
              <w:rPr>
                <w:rStyle w:val="Hyperlink"/>
                <w:noProof/>
              </w:rPr>
              <w:t>2.1 Purpose of the section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C05030" w14:textId="100C1DDF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42" w:history="1">
            <w:r w:rsidRPr="008365DA">
              <w:rPr>
                <w:rStyle w:val="Hyperlink"/>
                <w:noProof/>
              </w:rPr>
              <w:t>2.2 Traditional onboarding versus strategic organisational socialisation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D11236" w14:textId="0387BDD5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43" w:history="1">
            <w:r w:rsidRPr="008365DA">
              <w:rPr>
                <w:rStyle w:val="Hyperlink"/>
                <w:noProof/>
              </w:rPr>
              <w:t>2.3 Theory notes to apply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4741E" w14:textId="19FEC235" w:rsidR="000B5328" w:rsidRDefault="000B5328">
          <w:pPr>
            <w:pStyle w:val="TOC3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44" w:history="1">
            <w:r w:rsidRPr="008365DA">
              <w:rPr>
                <w:rStyle w:val="Hyperlink"/>
                <w:noProof/>
              </w:rPr>
              <w:t>Van Maanen and Schein’s socialisation tactics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D755DA" w14:textId="3E3DDDBC" w:rsidR="000B5328" w:rsidRDefault="000B5328">
          <w:pPr>
            <w:pStyle w:val="TOC3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45" w:history="1">
            <w:r w:rsidRPr="008365DA">
              <w:rPr>
                <w:rStyle w:val="Hyperlink"/>
                <w:noProof/>
              </w:rPr>
              <w:t>Psychological contract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055374" w14:textId="7E259D0C" w:rsidR="000B5328" w:rsidRDefault="000B5328">
          <w:pPr>
            <w:pStyle w:val="TOC3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46" w:history="1">
            <w:r w:rsidRPr="008365DA">
              <w:rPr>
                <w:rStyle w:val="Hyperlink"/>
                <w:noProof/>
              </w:rPr>
              <w:t>Identity construction and organisational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F5904" w14:textId="13A6795F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47" w:history="1">
            <w:r w:rsidRPr="008365DA">
              <w:rPr>
                <w:rStyle w:val="Hyperlink"/>
                <w:noProof/>
              </w:rPr>
              <w:t>2.4 Proposed structured socialisation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E6BA0F" w14:textId="125C8E9B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48" w:history="1">
            <w:r w:rsidRPr="008365DA">
              <w:rPr>
                <w:rStyle w:val="Hyperlink"/>
                <w:noProof/>
              </w:rPr>
              <w:t>2.5 Mechanisms for identification, ethical professionalism and business activism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C8F7D" w14:textId="0157201F" w:rsidR="000B5328" w:rsidRDefault="000B5328">
          <w:pPr>
            <w:pStyle w:val="TOC3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49" w:history="1">
            <w:r w:rsidRPr="008365DA">
              <w:rPr>
                <w:rStyle w:val="Hyperlink"/>
                <w:noProof/>
              </w:rPr>
              <w:t>Organisational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99978A" w14:textId="443AB493" w:rsidR="000B5328" w:rsidRDefault="000B5328">
          <w:pPr>
            <w:pStyle w:val="TOC3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50" w:history="1">
            <w:r w:rsidRPr="008365DA">
              <w:rPr>
                <w:rStyle w:val="Hyperlink"/>
                <w:noProof/>
              </w:rPr>
              <w:t>Ethical professionalism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57368B" w14:textId="583B99A3" w:rsidR="000B5328" w:rsidRDefault="000B5328">
          <w:pPr>
            <w:pStyle w:val="TOC3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51" w:history="1">
            <w:r w:rsidRPr="008365DA">
              <w:rPr>
                <w:rStyle w:val="Hyperlink"/>
                <w:noProof/>
              </w:rPr>
              <w:t>Business activist mindset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D428D1" w14:textId="6F090990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52" w:history="1">
            <w:r w:rsidRPr="008365DA">
              <w:rPr>
                <w:rStyle w:val="Hyperlink"/>
                <w:noProof/>
              </w:rPr>
              <w:t>2.6 Risks and controls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2ECE37" w14:textId="2993782C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53" w:history="1">
            <w:r w:rsidRPr="008365DA">
              <w:rPr>
                <w:rStyle w:val="Hyperlink"/>
                <w:noProof/>
              </w:rPr>
              <w:t>2.7 Measures of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9EA3A" w14:textId="5D13BB79" w:rsidR="000B5328" w:rsidRDefault="000B5328">
          <w:pPr>
            <w:pStyle w:val="TOC1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54" w:history="1">
            <w:r w:rsidRPr="008365DA">
              <w:rPr>
                <w:rStyle w:val="Hyperlink"/>
                <w:noProof/>
              </w:rPr>
              <w:t>3. Task 2 research and planning notes: Innovative job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8B692B" w14:textId="3D20D8E8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55" w:history="1">
            <w:r w:rsidRPr="008365DA">
              <w:rPr>
                <w:rStyle w:val="Hyperlink"/>
                <w:noProof/>
              </w:rPr>
              <w:t>3.1 Proposed overall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4E7601" w14:textId="716CE7F1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56" w:history="1">
            <w:r w:rsidRPr="008365DA">
              <w:rPr>
                <w:rStyle w:val="Hyperlink"/>
                <w:noProof/>
              </w:rPr>
              <w:t>3.2 Applying the Job Characteristics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11E6F9" w14:textId="1316D48D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57" w:history="1">
            <w:r w:rsidRPr="008365DA">
              <w:rPr>
                <w:rStyle w:val="Hyperlink"/>
                <w:noProof/>
              </w:rPr>
              <w:t>3.3 Controlled job crafting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D6936F" w14:textId="022E7C1D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58" w:history="1">
            <w:r w:rsidRPr="008365DA">
              <w:rPr>
                <w:rStyle w:val="Hyperlink"/>
                <w:noProof/>
              </w:rPr>
              <w:t>3.4 Skills-based architecture and internal talent marketplace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E2CCE9" w14:textId="039F01F1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59" w:history="1">
            <w:r w:rsidRPr="008365DA">
              <w:rPr>
                <w:rStyle w:val="Hyperlink"/>
                <w:noProof/>
              </w:rPr>
              <w:t>3.5 Suggested internal marketplace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DBDA56" w14:textId="34BAFBD9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60" w:history="1">
            <w:r w:rsidRPr="008365DA">
              <w:rPr>
                <w:rStyle w:val="Hyperlink"/>
                <w:noProof/>
              </w:rPr>
              <w:t>3.6 How the design supports motivation and 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41152" w14:textId="69D41DC5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61" w:history="1">
            <w:r w:rsidRPr="008365DA">
              <w:rPr>
                <w:rStyle w:val="Hyperlink"/>
                <w:noProof/>
              </w:rPr>
              <w:t>3.7 Implementation roadmap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296F32" w14:textId="1D964A02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62" w:history="1">
            <w:r w:rsidRPr="008365DA">
              <w:rPr>
                <w:rStyle w:val="Hyperlink"/>
                <w:noProof/>
              </w:rPr>
              <w:t>3.8 Risks and controls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9BCD65" w14:textId="442D4284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63" w:history="1">
            <w:r w:rsidRPr="008365DA">
              <w:rPr>
                <w:rStyle w:val="Hyperlink"/>
                <w:noProof/>
              </w:rPr>
              <w:t>3.9 Measures of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37BD3" w14:textId="7F1FD60B" w:rsidR="000B5328" w:rsidRDefault="000B5328">
          <w:pPr>
            <w:pStyle w:val="TOC1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64" w:history="1">
            <w:r w:rsidRPr="008365DA">
              <w:rPr>
                <w:rStyle w:val="Hyperlink"/>
                <w:noProof/>
              </w:rPr>
              <w:t>4. Task 3 research and reflection guide: AI and employability capabilities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522938" w14:textId="139B11CC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65" w:history="1">
            <w:r w:rsidRPr="008365DA">
              <w:rPr>
                <w:rStyle w:val="Hyperlink"/>
                <w:noProof/>
              </w:rPr>
              <w:t>4.1 Using AI as decision support without eroding judgement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03FB79" w14:textId="76104E88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66" w:history="1">
            <w:r w:rsidRPr="008365DA">
              <w:rPr>
                <w:rStyle w:val="Hyperlink"/>
                <w:noProof/>
              </w:rPr>
              <w:t>4.2 Human-judgement safeguards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D3184B" w14:textId="570B247E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67" w:history="1">
            <w:r w:rsidRPr="008365DA">
              <w:rPr>
                <w:rStyle w:val="Hyperlink"/>
                <w:noProof/>
              </w:rPr>
              <w:t>4.3 Suggested personal capability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57A5BA" w14:textId="19FF9D5B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68" w:history="1">
            <w:r w:rsidRPr="008365DA">
              <w:rPr>
                <w:rStyle w:val="Hyperlink"/>
                <w:noProof/>
              </w:rPr>
              <w:t>4.4 Reflection prompts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7D980E" w14:textId="2070B82D" w:rsidR="000B5328" w:rsidRDefault="000B5328">
          <w:pPr>
            <w:pStyle w:val="TOC2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69" w:history="1">
            <w:r w:rsidRPr="008365DA">
              <w:rPr>
                <w:rStyle w:val="Hyperlink"/>
                <w:noProof/>
              </w:rPr>
              <w:t>4.5 Sentence starters to adapt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F0F80" w14:textId="4EEA57D6" w:rsidR="000B5328" w:rsidRDefault="000B5328">
          <w:pPr>
            <w:pStyle w:val="TOC1"/>
            <w:rPr>
              <w:rFonts w:asciiTheme="minorHAnsi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35130270" w:history="1">
            <w:r w:rsidRPr="008365D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_Toc235130270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01D97" w14:textId="7C428719" w:rsidR="000420F3" w:rsidRDefault="000420F3" w:rsidP="00D11B0B">
          <w:pPr>
            <w:pStyle w:val="TOC1"/>
          </w:pPr>
          <w:r>
            <w:rPr>
              <w:rStyle w:val="IndexLink"/>
            </w:rPr>
            <w:fldChar w:fldCharType="end"/>
          </w:r>
        </w:p>
      </w:sdtContent>
    </w:sdt>
    <w:p w14:paraId="6A7C8F01" w14:textId="77777777" w:rsidR="00871772" w:rsidRDefault="00871772">
      <w:pPr>
        <w:pStyle w:val="Heading1"/>
      </w:pPr>
    </w:p>
    <w:p w14:paraId="1FF05AC5" w14:textId="77777777" w:rsidR="00871772" w:rsidRDefault="00871772">
      <w:pPr>
        <w:pStyle w:val="Heading1"/>
      </w:pPr>
    </w:p>
    <w:p w14:paraId="64B12EDE" w14:textId="77777777" w:rsidR="00871772" w:rsidRDefault="00871772">
      <w:pPr>
        <w:pStyle w:val="Heading1"/>
      </w:pPr>
    </w:p>
    <w:p w14:paraId="57DBC6BC" w14:textId="77777777" w:rsidR="00871772" w:rsidRDefault="00871772" w:rsidP="00871772"/>
    <w:p w14:paraId="06EA30C5" w14:textId="77777777" w:rsidR="00871772" w:rsidRDefault="00871772" w:rsidP="00871772"/>
    <w:p w14:paraId="610E1DF6" w14:textId="77777777" w:rsidR="00871772" w:rsidRDefault="00871772" w:rsidP="00871772"/>
    <w:p w14:paraId="0F5D9494" w14:textId="77777777" w:rsidR="006D6598" w:rsidRDefault="006D6598" w:rsidP="00871772"/>
    <w:p w14:paraId="353020DB" w14:textId="77777777" w:rsidR="006D6598" w:rsidRDefault="006D6598" w:rsidP="00871772"/>
    <w:p w14:paraId="689046FD" w14:textId="77777777" w:rsidR="006D6598" w:rsidRDefault="006D6598" w:rsidP="00871772"/>
    <w:p w14:paraId="7943BC9E" w14:textId="77777777" w:rsidR="00D11B0B" w:rsidRDefault="00D11B0B" w:rsidP="00871772"/>
    <w:p w14:paraId="63730E09" w14:textId="77777777" w:rsidR="00D11B0B" w:rsidRDefault="00D11B0B" w:rsidP="00871772"/>
    <w:p w14:paraId="0585912E" w14:textId="77777777" w:rsidR="00D11B0B" w:rsidRDefault="00D11B0B" w:rsidP="00871772"/>
    <w:p w14:paraId="7C93DE40" w14:textId="77777777" w:rsidR="00D11B0B" w:rsidRDefault="00D11B0B" w:rsidP="00871772"/>
    <w:p w14:paraId="68CAE7C0" w14:textId="77777777" w:rsidR="00D11B0B" w:rsidRPr="00871772" w:rsidRDefault="00D11B0B" w:rsidP="00871772"/>
    <w:p w14:paraId="7879FB5E" w14:textId="77777777" w:rsidR="000B5328" w:rsidRDefault="000B5328">
      <w:pPr>
        <w:pStyle w:val="Heading1"/>
        <w:sectPr w:rsidR="000B5328" w:rsidSect="000B5328">
          <w:footerReference w:type="default" r:id="rId9"/>
          <w:footerReference w:type="first" r:id="rId10"/>
          <w:pgSz w:w="12240" w:h="15840"/>
          <w:pgMar w:top="1080" w:right="1224" w:bottom="1008" w:left="1224" w:header="0" w:footer="720" w:gutter="0"/>
          <w:pgNumType w:start="1"/>
          <w:cols w:space="720"/>
          <w:formProt w:val="0"/>
          <w:docGrid w:linePitch="360"/>
        </w:sectPr>
      </w:pPr>
    </w:p>
    <w:p w14:paraId="31357112" w14:textId="7C5FF8F9" w:rsidR="000420F3" w:rsidRDefault="00000000">
      <w:pPr>
        <w:pStyle w:val="Heading1"/>
      </w:pPr>
      <w:bookmarkStart w:id="3" w:name="_Toc235130239"/>
      <w:r>
        <w:lastRenderedPageBreak/>
        <w:t>1. Tata Steel context for strategic renewal</w:t>
      </w:r>
      <w:bookmarkEnd w:id="3"/>
    </w:p>
    <w:p w14:paraId="2577E3AA" w14:textId="77777777" w:rsidR="004C5C65" w:rsidRDefault="004C5C65">
      <w:r w:rsidRPr="004C5C65">
        <w:t>Tata Steel's relocating to electric arc furnace steelmaking at its Port Talbot site is a rejuvenation strategy that provides an example of around 90% reduction in on-site emissions by 2027-28 (Tata Steel UK, 2025; Tata Steel UK, 2026).</w:t>
      </w:r>
    </w:p>
    <w:p w14:paraId="768AB719" w14:textId="77777777" w:rsidR="004C5C65" w:rsidRDefault="004C5C65">
      <w:r w:rsidRPr="004C5C65">
        <w:t>This transformative reconfiguration of required capabilities, roles and identities heightens the need for human capital who are digital, automated and capable of circular materials, and also generates a range of questions pertaining to human capital, involving trust, mobility, fairness and trust's psychological contract.</w:t>
      </w:r>
    </w:p>
    <w:p w14:paraId="45FBB432" w14:textId="6B7EDA23" w:rsidR="000420F3" w:rsidRDefault="004C5C65">
      <w:r w:rsidRPr="004C5C65">
        <w:t xml:space="preserve">The focus on development and safety, and Tata Steel's stated values (integrity, responsibility, excellence, pioneering, unity), offer a framework for understanding and examining </w:t>
      </w:r>
      <w:proofErr w:type="spellStart"/>
      <w:r w:rsidRPr="004C5C65">
        <w:t>socialisation</w:t>
      </w:r>
      <w:proofErr w:type="spellEnd"/>
      <w:r w:rsidRPr="004C5C65">
        <w:t xml:space="preserve"> and job design.</w:t>
      </w:r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3264"/>
        <w:gridCol w:w="3264"/>
        <w:gridCol w:w="3264"/>
      </w:tblGrid>
      <w:tr w:rsidR="000420F3" w14:paraId="2DF2E6B3" w14:textId="77777777">
        <w:trPr>
          <w:cantSplit/>
          <w:tblHeader/>
          <w:jc w:val="center"/>
        </w:trPr>
        <w:tc>
          <w:tcPr>
            <w:tcW w:w="3264" w:type="dxa"/>
            <w:shd w:val="clear" w:color="auto" w:fill="D9EAF7"/>
            <w:vAlign w:val="center"/>
          </w:tcPr>
          <w:p w14:paraId="643CB8B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Strategic change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0886C9B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Human-capital implication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35F5B37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Relevant assignment theory</w:t>
            </w:r>
          </w:p>
        </w:tc>
      </w:tr>
      <w:tr w:rsidR="000420F3" w14:paraId="13BE2FE0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5A892E4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Electric arc furnace transition</w:t>
            </w:r>
          </w:p>
        </w:tc>
        <w:tc>
          <w:tcPr>
            <w:tcW w:w="3264" w:type="dxa"/>
            <w:vAlign w:val="center"/>
          </w:tcPr>
          <w:p w14:paraId="5BC13E0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Reskilling and changing professional identities</w:t>
            </w:r>
          </w:p>
        </w:tc>
        <w:tc>
          <w:tcPr>
            <w:tcW w:w="3264" w:type="dxa"/>
            <w:vAlign w:val="center"/>
          </w:tcPr>
          <w:p w14:paraId="1F762D8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proofErr w:type="spellStart"/>
            <w:r>
              <w:rPr>
                <w:rFonts w:eastAsia="MS Mincho"/>
                <w:sz w:val="18"/>
              </w:rPr>
              <w:t>Socialisation</w:t>
            </w:r>
            <w:proofErr w:type="spellEnd"/>
            <w:r>
              <w:rPr>
                <w:rFonts w:eastAsia="MS Mincho"/>
                <w:sz w:val="18"/>
              </w:rPr>
              <w:t>, psychological contract, identity construction</w:t>
            </w:r>
          </w:p>
        </w:tc>
      </w:tr>
      <w:tr w:rsidR="000420F3" w14:paraId="5B131F89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23F59F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Digital and automated operations</w:t>
            </w:r>
          </w:p>
        </w:tc>
        <w:tc>
          <w:tcPr>
            <w:tcW w:w="3264" w:type="dxa"/>
            <w:vAlign w:val="center"/>
          </w:tcPr>
          <w:p w14:paraId="536A943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New technical and data capability</w:t>
            </w:r>
          </w:p>
        </w:tc>
        <w:tc>
          <w:tcPr>
            <w:tcW w:w="3264" w:type="dxa"/>
            <w:vAlign w:val="center"/>
          </w:tcPr>
          <w:p w14:paraId="3AC60DF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Job Characteristics Model, job crafting, skills architecture</w:t>
            </w:r>
          </w:p>
        </w:tc>
      </w:tr>
      <w:tr w:rsidR="000420F3" w14:paraId="14D7D86C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7ADC44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proofErr w:type="spellStart"/>
            <w:r>
              <w:rPr>
                <w:rFonts w:eastAsia="MS Mincho"/>
                <w:sz w:val="18"/>
              </w:rPr>
              <w:t>Decarbonisation</w:t>
            </w:r>
            <w:proofErr w:type="spellEnd"/>
            <w:r>
              <w:rPr>
                <w:rFonts w:eastAsia="MS Mincho"/>
                <w:sz w:val="18"/>
              </w:rPr>
              <w:t xml:space="preserve"> and stakeholder scrutiny</w:t>
            </w:r>
          </w:p>
        </w:tc>
        <w:tc>
          <w:tcPr>
            <w:tcW w:w="3264" w:type="dxa"/>
            <w:vAlign w:val="center"/>
          </w:tcPr>
          <w:p w14:paraId="3050AFA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Stronger ethical and stakeholder awareness</w:t>
            </w:r>
          </w:p>
        </w:tc>
        <w:tc>
          <w:tcPr>
            <w:tcW w:w="3264" w:type="dxa"/>
            <w:vAlign w:val="center"/>
          </w:tcPr>
          <w:p w14:paraId="226EEF1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Business activist mindset, stakeholder capitalism</w:t>
            </w:r>
          </w:p>
        </w:tc>
      </w:tr>
      <w:tr w:rsidR="000420F3" w14:paraId="61E18CAC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3796532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Workforce restructuring and uncertainty</w:t>
            </w:r>
          </w:p>
        </w:tc>
        <w:tc>
          <w:tcPr>
            <w:tcW w:w="3264" w:type="dxa"/>
            <w:vAlign w:val="center"/>
          </w:tcPr>
          <w:p w14:paraId="1D0076D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Risk of mistrust and perceived broken promises</w:t>
            </w:r>
          </w:p>
        </w:tc>
        <w:tc>
          <w:tcPr>
            <w:tcW w:w="3264" w:type="dxa"/>
            <w:vAlign w:val="center"/>
          </w:tcPr>
          <w:p w14:paraId="35DC5CD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Psychological contract theory, employee voice</w:t>
            </w:r>
          </w:p>
        </w:tc>
      </w:tr>
    </w:tbl>
    <w:p w14:paraId="24DE9F04" w14:textId="77777777" w:rsidR="000420F3" w:rsidRDefault="00000000">
      <w:pPr>
        <w:pStyle w:val="Heading1"/>
      </w:pPr>
      <w:bookmarkStart w:id="4" w:name="_Toc235130240"/>
      <w:r>
        <w:t xml:space="preserve">2. Task 1 research and planning notes: </w:t>
      </w:r>
      <w:proofErr w:type="spellStart"/>
      <w:r>
        <w:t>Socialisation</w:t>
      </w:r>
      <w:proofErr w:type="spellEnd"/>
      <w:r>
        <w:t>, identity and business activism</w:t>
      </w:r>
      <w:bookmarkEnd w:id="4"/>
    </w:p>
    <w:p w14:paraId="0B8731F3" w14:textId="77777777" w:rsidR="000420F3" w:rsidRDefault="00000000">
      <w:pPr>
        <w:pStyle w:val="Heading2"/>
      </w:pPr>
      <w:bookmarkStart w:id="5" w:name="_Toc235130241"/>
      <w:r>
        <w:t>2.1 Purpose of the section</w:t>
      </w:r>
      <w:bookmarkEnd w:id="5"/>
    </w:p>
    <w:p w14:paraId="40B184EA" w14:textId="6FE881F8" w:rsidR="004C5C65" w:rsidRDefault="004C5C65" w:rsidP="004C5C65">
      <w:pPr>
        <w:pStyle w:val="ListBullet"/>
        <w:numPr>
          <w:ilvl w:val="0"/>
          <w:numId w:val="0"/>
        </w:numPr>
        <w:ind w:left="360" w:hanging="360"/>
      </w:pPr>
      <w:r>
        <w:t xml:space="preserve">     </w:t>
      </w:r>
      <w:r w:rsidRPr="004C5C65">
        <w:t>This section should demonstrate that it is not enough to do a good brief induction when the</w:t>
      </w:r>
      <w:r>
        <w:t xml:space="preserve"> </w:t>
      </w:r>
      <w:r w:rsidRPr="004C5C65">
        <w:t xml:space="preserve">change is significant, but that there needs to be a blueprint, systematic </w:t>
      </w:r>
      <w:proofErr w:type="spellStart"/>
      <w:r w:rsidRPr="004C5C65">
        <w:t>socialisation</w:t>
      </w:r>
      <w:proofErr w:type="spellEnd"/>
      <w:r w:rsidRPr="004C5C65">
        <w:t xml:space="preserve"> process for the year of school and career change, including safety, competence, identity, ethics and stakeholder awareness. </w:t>
      </w:r>
    </w:p>
    <w:p w14:paraId="3948FC59" w14:textId="77777777" w:rsidR="004C5C65" w:rsidRDefault="004C5C65">
      <w:pPr>
        <w:pStyle w:val="ListBullet"/>
        <w:ind w:hanging="230"/>
      </w:pPr>
      <w:r w:rsidRPr="004C5C65">
        <w:t>Use transformation as a means of expression rather than description.</w:t>
      </w:r>
    </w:p>
    <w:p w14:paraId="371AA1A1" w14:textId="77777777" w:rsidR="004C5C65" w:rsidRDefault="004C5C65" w:rsidP="004C5C65">
      <w:pPr>
        <w:pStyle w:val="ListBullet"/>
        <w:ind w:hanging="230"/>
      </w:pPr>
      <w:r w:rsidRPr="004C5C65">
        <w:t>Understand benefits, limitations, responsibilities and evidence of evaluation.</w:t>
      </w:r>
    </w:p>
    <w:p w14:paraId="0FF07752" w14:textId="0C29B53D" w:rsidR="004C5C65" w:rsidRPr="004C5C65" w:rsidRDefault="004C5C65" w:rsidP="004C5C65">
      <w:pPr>
        <w:pStyle w:val="ListBullet"/>
        <w:ind w:hanging="230"/>
      </w:pPr>
      <w:proofErr w:type="spellStart"/>
      <w:r w:rsidRPr="004C5C65">
        <w:t>Socialisation</w:t>
      </w:r>
      <w:proofErr w:type="spellEnd"/>
      <w:r w:rsidRPr="004C5C65">
        <w:t xml:space="preserve"> is not enough to correct engagement or retention practices; other factors such as leadership, reward and job security are essential.</w:t>
      </w:r>
    </w:p>
    <w:p w14:paraId="603723DD" w14:textId="6670C989" w:rsidR="000420F3" w:rsidRDefault="00000000">
      <w:pPr>
        <w:pStyle w:val="Heading2"/>
      </w:pPr>
      <w:bookmarkStart w:id="6" w:name="_Toc235130242"/>
      <w:r>
        <w:lastRenderedPageBreak/>
        <w:t xml:space="preserve">2.2 Traditional onboarding versus strategic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socialisation</w:t>
      </w:r>
      <w:bookmarkEnd w:id="6"/>
      <w:proofErr w:type="spellEnd"/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3264"/>
        <w:gridCol w:w="3264"/>
        <w:gridCol w:w="3264"/>
      </w:tblGrid>
      <w:tr w:rsidR="000420F3" w14:paraId="380D0BB9" w14:textId="77777777">
        <w:trPr>
          <w:cantSplit/>
          <w:tblHeader/>
          <w:jc w:val="center"/>
        </w:trPr>
        <w:tc>
          <w:tcPr>
            <w:tcW w:w="3264" w:type="dxa"/>
            <w:shd w:val="clear" w:color="auto" w:fill="D9EAF7"/>
            <w:vAlign w:val="center"/>
          </w:tcPr>
          <w:p w14:paraId="3E67BC9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>Dimension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2CBB990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>Traditional onboarding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33EA215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 xml:space="preserve">Strategic </w:t>
            </w:r>
            <w:proofErr w:type="spellStart"/>
            <w:r>
              <w:rPr>
                <w:rFonts w:eastAsia="MS Mincho"/>
                <w:b/>
                <w:sz w:val="17"/>
              </w:rPr>
              <w:t>socialisation</w:t>
            </w:r>
            <w:proofErr w:type="spellEnd"/>
          </w:p>
        </w:tc>
      </w:tr>
      <w:tr w:rsidR="000420F3" w14:paraId="6E820130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6787963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Time horizon</w:t>
            </w:r>
          </w:p>
        </w:tc>
        <w:tc>
          <w:tcPr>
            <w:tcW w:w="3264" w:type="dxa"/>
            <w:vAlign w:val="center"/>
          </w:tcPr>
          <w:p w14:paraId="579BA0C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Often concentrated in the first day or weeks</w:t>
            </w:r>
          </w:p>
        </w:tc>
        <w:tc>
          <w:tcPr>
            <w:tcW w:w="3264" w:type="dxa"/>
            <w:vAlign w:val="center"/>
          </w:tcPr>
          <w:p w14:paraId="08743E2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Begins before joining and continues through the first year</w:t>
            </w:r>
          </w:p>
        </w:tc>
      </w:tr>
      <w:tr w:rsidR="000420F3" w14:paraId="79D51A1F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C747B2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Primary focus</w:t>
            </w:r>
          </w:p>
        </w:tc>
        <w:tc>
          <w:tcPr>
            <w:tcW w:w="3264" w:type="dxa"/>
            <w:vAlign w:val="center"/>
          </w:tcPr>
          <w:p w14:paraId="6BA59CF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Forms, policies, systems, health and safety, immediate job information</w:t>
            </w:r>
          </w:p>
        </w:tc>
        <w:tc>
          <w:tcPr>
            <w:tcW w:w="3264" w:type="dxa"/>
            <w:vAlign w:val="center"/>
          </w:tcPr>
          <w:p w14:paraId="4B82F3F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Role clarity, competence, relationships, identity, values, voice and strategic contribution</w:t>
            </w:r>
          </w:p>
        </w:tc>
      </w:tr>
      <w:tr w:rsidR="000420F3" w14:paraId="167EFF79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7F58129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Learning method</w:t>
            </w:r>
          </w:p>
        </w:tc>
        <w:tc>
          <w:tcPr>
            <w:tcW w:w="3264" w:type="dxa"/>
            <w:vAlign w:val="center"/>
          </w:tcPr>
          <w:p w14:paraId="70CE2A7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Presentations and mandatory modules</w:t>
            </w:r>
          </w:p>
        </w:tc>
        <w:tc>
          <w:tcPr>
            <w:tcW w:w="3264" w:type="dxa"/>
            <w:vAlign w:val="center"/>
          </w:tcPr>
          <w:p w14:paraId="303FB13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Formal learning plus mentoring, practice, cross-functional exposure and reflection</w:t>
            </w:r>
          </w:p>
        </w:tc>
      </w:tr>
      <w:tr w:rsidR="000420F3" w14:paraId="7C1D85BF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211B930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Employee position</w:t>
            </w:r>
          </w:p>
        </w:tc>
        <w:tc>
          <w:tcPr>
            <w:tcW w:w="3264" w:type="dxa"/>
            <w:vAlign w:val="center"/>
          </w:tcPr>
          <w:p w14:paraId="39E47E1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Recipient of information</w:t>
            </w:r>
          </w:p>
        </w:tc>
        <w:tc>
          <w:tcPr>
            <w:tcW w:w="3264" w:type="dxa"/>
            <w:vAlign w:val="center"/>
          </w:tcPr>
          <w:p w14:paraId="0DC5E63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 xml:space="preserve">Active participant whose prior skills and identity are </w:t>
            </w:r>
            <w:proofErr w:type="spellStart"/>
            <w:r>
              <w:rPr>
                <w:rFonts w:eastAsia="MS Mincho"/>
                <w:sz w:val="17"/>
              </w:rPr>
              <w:t>recognised</w:t>
            </w:r>
            <w:proofErr w:type="spellEnd"/>
          </w:p>
        </w:tc>
      </w:tr>
      <w:tr w:rsidR="000420F3" w14:paraId="7D24EEFE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13A0F25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Main strength</w:t>
            </w:r>
          </w:p>
        </w:tc>
        <w:tc>
          <w:tcPr>
            <w:tcW w:w="3264" w:type="dxa"/>
            <w:vAlign w:val="center"/>
          </w:tcPr>
          <w:p w14:paraId="207CBFB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Efficient and consistent for compliance and basic orientation</w:t>
            </w:r>
          </w:p>
        </w:tc>
        <w:tc>
          <w:tcPr>
            <w:tcW w:w="3264" w:type="dxa"/>
            <w:vAlign w:val="center"/>
          </w:tcPr>
          <w:p w14:paraId="6CD331A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Supports deeper adjustment, belonging, commitment and sustained capability</w:t>
            </w:r>
          </w:p>
        </w:tc>
      </w:tr>
      <w:tr w:rsidR="000420F3" w14:paraId="4107466D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CF174F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Main limitation</w:t>
            </w:r>
          </w:p>
        </w:tc>
        <w:tc>
          <w:tcPr>
            <w:tcW w:w="3264" w:type="dxa"/>
            <w:vAlign w:val="center"/>
          </w:tcPr>
          <w:p w14:paraId="2620265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May become an administrative checklist</w:t>
            </w:r>
          </w:p>
        </w:tc>
        <w:tc>
          <w:tcPr>
            <w:tcW w:w="3264" w:type="dxa"/>
            <w:vAlign w:val="center"/>
          </w:tcPr>
          <w:p w14:paraId="3A6B4A1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Can become over-engineered, costly or overly conformist if individuality is suppressed</w:t>
            </w:r>
          </w:p>
        </w:tc>
      </w:tr>
    </w:tbl>
    <w:p w14:paraId="4F25A228" w14:textId="77777777" w:rsidR="000420F3" w:rsidRDefault="00000000">
      <w:r>
        <w:t xml:space="preserve">Critical judgement: formal onboarding remains necessary for safety and regulatory reasons, but should be embedded within a broader </w:t>
      </w:r>
      <w:proofErr w:type="spellStart"/>
      <w:r>
        <w:t>socialisation</w:t>
      </w:r>
      <w:proofErr w:type="spellEnd"/>
      <w:r>
        <w:t xml:space="preserve"> process continuing after the employee becomes operational.</w:t>
      </w:r>
    </w:p>
    <w:p w14:paraId="71CABB36" w14:textId="77777777" w:rsidR="000420F3" w:rsidRDefault="00000000">
      <w:pPr>
        <w:pStyle w:val="Heading2"/>
      </w:pPr>
      <w:bookmarkStart w:id="7" w:name="_Toc235130243"/>
      <w:r>
        <w:t>2.3 Theory notes to apply</w:t>
      </w:r>
      <w:bookmarkEnd w:id="7"/>
    </w:p>
    <w:p w14:paraId="097CE8ED" w14:textId="77777777" w:rsidR="000420F3" w:rsidRDefault="00000000">
      <w:pPr>
        <w:pStyle w:val="Heading3"/>
      </w:pPr>
      <w:bookmarkStart w:id="8" w:name="_Toc235130244"/>
      <w:r>
        <w:t xml:space="preserve">Van Maanen and Schein’s </w:t>
      </w:r>
      <w:proofErr w:type="spellStart"/>
      <w:r>
        <w:t>socialisation</w:t>
      </w:r>
      <w:proofErr w:type="spellEnd"/>
      <w:r>
        <w:t xml:space="preserve"> tactics</w:t>
      </w:r>
      <w:bookmarkEnd w:id="8"/>
    </w:p>
    <w:p w14:paraId="18008B91" w14:textId="77777777" w:rsidR="000420F3" w:rsidRDefault="00000000">
      <w:r>
        <w:t xml:space="preserve">Van Maanen and Schein (1979) describe six tactic pairs shaping newcomer adjustment; the following combination suits a safety-critical </w:t>
      </w:r>
      <w:proofErr w:type="spellStart"/>
      <w:r>
        <w:t>organisation</w:t>
      </w:r>
      <w:proofErr w:type="spellEnd"/>
      <w:r>
        <w:t xml:space="preserve"> undergoing technological renewal:</w:t>
      </w:r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3264"/>
        <w:gridCol w:w="3264"/>
        <w:gridCol w:w="3264"/>
      </w:tblGrid>
      <w:tr w:rsidR="000420F3" w14:paraId="147735C0" w14:textId="77777777">
        <w:trPr>
          <w:cantSplit/>
          <w:tblHeader/>
          <w:jc w:val="center"/>
        </w:trPr>
        <w:tc>
          <w:tcPr>
            <w:tcW w:w="3264" w:type="dxa"/>
            <w:shd w:val="clear" w:color="auto" w:fill="D9EAF7"/>
            <w:vAlign w:val="center"/>
          </w:tcPr>
          <w:p w14:paraId="67F6E76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>Tactic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06176CC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>Suggested Tata Steel application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4BB5B1E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>Critical qualification</w:t>
            </w:r>
          </w:p>
        </w:tc>
      </w:tr>
      <w:tr w:rsidR="000420F3" w14:paraId="5329A786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3C55D52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Collective + individual</w:t>
            </w:r>
          </w:p>
        </w:tc>
        <w:tc>
          <w:tcPr>
            <w:tcW w:w="3264" w:type="dxa"/>
            <w:vAlign w:val="center"/>
          </w:tcPr>
          <w:p w14:paraId="43DE065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Cohort learning for common safety and values, followed by role-specific coaching</w:t>
            </w:r>
          </w:p>
        </w:tc>
        <w:tc>
          <w:tcPr>
            <w:tcW w:w="3264" w:type="dxa"/>
            <w:vAlign w:val="center"/>
          </w:tcPr>
          <w:p w14:paraId="37A5152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Cohort consistency should not replace individual skill diagnosis</w:t>
            </w:r>
          </w:p>
        </w:tc>
      </w:tr>
      <w:tr w:rsidR="000420F3" w14:paraId="6B6BE736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00CB38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Formal + informal</w:t>
            </w:r>
          </w:p>
        </w:tc>
        <w:tc>
          <w:tcPr>
            <w:tcW w:w="3264" w:type="dxa"/>
            <w:vAlign w:val="center"/>
          </w:tcPr>
          <w:p w14:paraId="024FC81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Protected training away from production plus guided learning in the workplace</w:t>
            </w:r>
          </w:p>
        </w:tc>
        <w:tc>
          <w:tcPr>
            <w:tcW w:w="3264" w:type="dxa"/>
            <w:vAlign w:val="center"/>
          </w:tcPr>
          <w:p w14:paraId="49BCCF5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Informal learning must not transmit unsafe shortcuts</w:t>
            </w:r>
          </w:p>
        </w:tc>
      </w:tr>
      <w:tr w:rsidR="000420F3" w14:paraId="518CDD9F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2591F4B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Sequential</w:t>
            </w:r>
          </w:p>
        </w:tc>
        <w:tc>
          <w:tcPr>
            <w:tcW w:w="3264" w:type="dxa"/>
            <w:vAlign w:val="center"/>
          </w:tcPr>
          <w:p w14:paraId="6B669C5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Clear competence pathway from orientation to supervised practice and independent work</w:t>
            </w:r>
          </w:p>
        </w:tc>
        <w:tc>
          <w:tcPr>
            <w:tcW w:w="3264" w:type="dxa"/>
            <w:vAlign w:val="center"/>
          </w:tcPr>
          <w:p w14:paraId="5A88EA2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Milestones should be evidence-based rather than bureaucratic</w:t>
            </w:r>
          </w:p>
        </w:tc>
      </w:tr>
      <w:tr w:rsidR="000420F3" w14:paraId="719CA7FB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241F00B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Fixed with flexibility</w:t>
            </w:r>
          </w:p>
        </w:tc>
        <w:tc>
          <w:tcPr>
            <w:tcW w:w="3264" w:type="dxa"/>
            <w:vAlign w:val="center"/>
          </w:tcPr>
          <w:p w14:paraId="546B522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30-, 60-, 90-day, six-month and twelve-month reviews</w:t>
            </w:r>
          </w:p>
        </w:tc>
        <w:tc>
          <w:tcPr>
            <w:tcW w:w="3264" w:type="dxa"/>
            <w:vAlign w:val="center"/>
          </w:tcPr>
          <w:p w14:paraId="343BB50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Different technical roles may require different learning speeds</w:t>
            </w:r>
          </w:p>
        </w:tc>
      </w:tr>
      <w:tr w:rsidR="000420F3" w14:paraId="4764F297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21E52B3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Serial</w:t>
            </w:r>
          </w:p>
        </w:tc>
        <w:tc>
          <w:tcPr>
            <w:tcW w:w="3264" w:type="dxa"/>
            <w:vAlign w:val="center"/>
          </w:tcPr>
          <w:p w14:paraId="6FB8A21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Experienced employees act as trained mentors or buddies</w:t>
            </w:r>
          </w:p>
        </w:tc>
        <w:tc>
          <w:tcPr>
            <w:tcW w:w="3264" w:type="dxa"/>
            <w:vAlign w:val="center"/>
          </w:tcPr>
          <w:p w14:paraId="192F51E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Mentors need time, selection criteria and accountability</w:t>
            </w:r>
          </w:p>
        </w:tc>
      </w:tr>
      <w:tr w:rsidR="000420F3" w14:paraId="642F167C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6BB5A2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Investiture</w:t>
            </w:r>
          </w:p>
        </w:tc>
        <w:tc>
          <w:tcPr>
            <w:tcW w:w="3264" w:type="dxa"/>
            <w:vAlign w:val="center"/>
          </w:tcPr>
          <w:p w14:paraId="5C7D849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proofErr w:type="spellStart"/>
            <w:r>
              <w:rPr>
                <w:rFonts w:eastAsia="MS Mincho"/>
                <w:sz w:val="17"/>
              </w:rPr>
              <w:t>Recognise</w:t>
            </w:r>
            <w:proofErr w:type="spellEnd"/>
            <w:r>
              <w:rPr>
                <w:rFonts w:eastAsia="MS Mincho"/>
                <w:sz w:val="17"/>
              </w:rPr>
              <w:t xml:space="preserve"> employees’ prior expertise and invite improvement ideas</w:t>
            </w:r>
          </w:p>
        </w:tc>
        <w:tc>
          <w:tcPr>
            <w:tcW w:w="3264" w:type="dxa"/>
            <w:vAlign w:val="center"/>
          </w:tcPr>
          <w:p w14:paraId="5653B40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Existing assumptions must still be challenged where technology or safety has changed</w:t>
            </w:r>
          </w:p>
        </w:tc>
      </w:tr>
    </w:tbl>
    <w:p w14:paraId="7D7E82FC" w14:textId="77777777" w:rsidR="000420F3" w:rsidRDefault="00000000">
      <w:r>
        <w:lastRenderedPageBreak/>
        <w:t xml:space="preserve">Meta-analytic evidence links </w:t>
      </w:r>
      <w:proofErr w:type="spellStart"/>
      <w:r>
        <w:t>institutionalised</w:t>
      </w:r>
      <w:proofErr w:type="spellEnd"/>
      <w:r>
        <w:t xml:space="preserve"> </w:t>
      </w:r>
      <w:proofErr w:type="spellStart"/>
      <w:r>
        <w:t>socialisation</w:t>
      </w:r>
      <w:proofErr w:type="spellEnd"/>
      <w:r>
        <w:t xml:space="preserve"> tactics to stronger role clarity, self-efficacy and commitment, though effects vary by context (Saks, Uggerslev and </w:t>
      </w:r>
      <w:proofErr w:type="spellStart"/>
      <w:r>
        <w:t>Fassina</w:t>
      </w:r>
      <w:proofErr w:type="spellEnd"/>
      <w:r>
        <w:t>, 2007).</w:t>
      </w:r>
    </w:p>
    <w:p w14:paraId="79740BFB" w14:textId="77777777" w:rsidR="000420F3" w:rsidRDefault="00000000">
      <w:pPr>
        <w:pStyle w:val="Heading3"/>
      </w:pPr>
      <w:bookmarkStart w:id="9" w:name="_Toc235130245"/>
      <w:r>
        <w:t>Psychological contract theory</w:t>
      </w:r>
      <w:bookmarkEnd w:id="9"/>
    </w:p>
    <w:p w14:paraId="73FCA7EC" w14:textId="77777777" w:rsidR="000420F3" w:rsidRDefault="00000000">
      <w:r>
        <w:t>Rousseau (1989, 1995) defines the psychological contract as employees’ beliefs about reciprocal obligations; realistic communication is essential during restructuring.</w:t>
      </w:r>
    </w:p>
    <w:p w14:paraId="3EC2FFCC" w14:textId="77777777" w:rsidR="000420F3" w:rsidRDefault="00000000">
      <w:pPr>
        <w:pStyle w:val="ListBullet"/>
        <w:ind w:hanging="230"/>
      </w:pPr>
      <w:r>
        <w:t>Be explicit about what can and cannot be promised on role continuity, training and future capability needs.</w:t>
      </w:r>
    </w:p>
    <w:p w14:paraId="59DC00B6" w14:textId="77777777" w:rsidR="000420F3" w:rsidRDefault="00000000">
      <w:pPr>
        <w:pStyle w:val="ListBullet"/>
        <w:ind w:hanging="230"/>
      </w:pPr>
      <w:r>
        <w:t>Use realistic job previews rather than only positive messages.</w:t>
      </w:r>
    </w:p>
    <w:p w14:paraId="68142A85" w14:textId="77777777" w:rsidR="000420F3" w:rsidRDefault="00000000">
      <w:pPr>
        <w:pStyle w:val="ListBullet"/>
        <w:ind w:hanging="230"/>
      </w:pPr>
      <w:r>
        <w:t>Record development commitments and review progress regularly.</w:t>
      </w:r>
    </w:p>
    <w:p w14:paraId="68B01970" w14:textId="77777777" w:rsidR="000420F3" w:rsidRDefault="00000000">
      <w:pPr>
        <w:pStyle w:val="ListBullet"/>
        <w:ind w:hanging="230"/>
      </w:pPr>
      <w:r>
        <w:t>Provide fair processes and employee voice when requirements change.</w:t>
      </w:r>
    </w:p>
    <w:p w14:paraId="46CCD7D2" w14:textId="77777777" w:rsidR="000420F3" w:rsidRDefault="00000000">
      <w:pPr>
        <w:pStyle w:val="Heading3"/>
      </w:pPr>
      <w:bookmarkStart w:id="10" w:name="_Toc235130246"/>
      <w:r>
        <w:t xml:space="preserve">Identity construction and </w:t>
      </w:r>
      <w:proofErr w:type="spellStart"/>
      <w:r>
        <w:t>organisational</w:t>
      </w:r>
      <w:proofErr w:type="spellEnd"/>
      <w:r>
        <w:t xml:space="preserve"> identification</w:t>
      </w:r>
      <w:bookmarkEnd w:id="10"/>
    </w:p>
    <w:p w14:paraId="3B806FFA" w14:textId="77777777" w:rsidR="000420F3" w:rsidRDefault="00000000">
      <w:proofErr w:type="spellStart"/>
      <w:r>
        <w:t>Organisational</w:t>
      </w:r>
      <w:proofErr w:type="spellEnd"/>
      <w:r>
        <w:t xml:space="preserve"> identification is a sense of oneness with the </w:t>
      </w:r>
      <w:proofErr w:type="spellStart"/>
      <w:r>
        <w:t>organisation</w:t>
      </w:r>
      <w:proofErr w:type="spellEnd"/>
      <w:r>
        <w:t xml:space="preserve"> (Ashforth and Mael, 1989); </w:t>
      </w:r>
      <w:proofErr w:type="spellStart"/>
      <w:r>
        <w:t>socialisation</w:t>
      </w:r>
      <w:proofErr w:type="spellEnd"/>
      <w:r>
        <w:t xml:space="preserve"> should connect work to purpose without creating unquestioning loyalty.</w:t>
      </w:r>
    </w:p>
    <w:p w14:paraId="495497BF" w14:textId="77777777" w:rsidR="000420F3" w:rsidRDefault="00000000">
      <w:pPr>
        <w:pStyle w:val="ListBullet"/>
        <w:ind w:hanging="230"/>
      </w:pPr>
      <w:r>
        <w:t>Connect roles to lower-carbon steel, customer reliability and regional economic contribution.</w:t>
      </w:r>
    </w:p>
    <w:p w14:paraId="4D4E50A1" w14:textId="77777777" w:rsidR="000420F3" w:rsidRDefault="00000000">
      <w:pPr>
        <w:pStyle w:val="ListBullet"/>
        <w:ind w:hanging="230"/>
      </w:pPr>
      <w:r>
        <w:t>Use credible stories from employees, customers and communities rather than slogans.</w:t>
      </w:r>
    </w:p>
    <w:p w14:paraId="50780CF3" w14:textId="77777777" w:rsidR="000420F3" w:rsidRDefault="00000000">
      <w:pPr>
        <w:pStyle w:val="ListBullet"/>
        <w:ind w:hanging="230"/>
      </w:pPr>
      <w:r>
        <w:t>Encourage employees to challenge unsafe or unethical practice, alongside psychological safety.</w:t>
      </w:r>
    </w:p>
    <w:p w14:paraId="2895A5AA" w14:textId="77777777" w:rsidR="000420F3" w:rsidRDefault="00000000">
      <w:pPr>
        <w:pStyle w:val="Heading2"/>
      </w:pPr>
      <w:bookmarkStart w:id="11" w:name="_Toc235130247"/>
      <w:r>
        <w:t xml:space="preserve">2.4 Proposed structured </w:t>
      </w:r>
      <w:proofErr w:type="spellStart"/>
      <w:r>
        <w:t>socialisation</w:t>
      </w:r>
      <w:proofErr w:type="spellEnd"/>
      <w:r>
        <w:t xml:space="preserve"> framework</w:t>
      </w:r>
      <w:bookmarkEnd w:id="11"/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2448"/>
        <w:gridCol w:w="2448"/>
        <w:gridCol w:w="2448"/>
        <w:gridCol w:w="2448"/>
      </w:tblGrid>
      <w:tr w:rsidR="000420F3" w14:paraId="316A8FDB" w14:textId="77777777">
        <w:trPr>
          <w:cantSplit/>
          <w:tblHeader/>
          <w:jc w:val="center"/>
        </w:trPr>
        <w:tc>
          <w:tcPr>
            <w:tcW w:w="2448" w:type="dxa"/>
            <w:shd w:val="clear" w:color="auto" w:fill="D9EAF7"/>
            <w:vAlign w:val="center"/>
          </w:tcPr>
          <w:p w14:paraId="1001270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Stage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1742065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Key activities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5AF9FB3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Responsibility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43265A7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Evidence of progress</w:t>
            </w:r>
          </w:p>
        </w:tc>
      </w:tr>
      <w:tr w:rsidR="000420F3" w14:paraId="61A62B98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601D969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Pre-boarding</w:t>
            </w:r>
          </w:p>
        </w:tc>
        <w:tc>
          <w:tcPr>
            <w:tcW w:w="2448" w:type="dxa"/>
            <w:vAlign w:val="center"/>
          </w:tcPr>
          <w:p w14:paraId="6A278E2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Realistic job and transformation briefing; digital welcome portal; values introduction; initial skills profile; buddy allocation.</w:t>
            </w:r>
          </w:p>
        </w:tc>
        <w:tc>
          <w:tcPr>
            <w:tcW w:w="2448" w:type="dxa"/>
            <w:vAlign w:val="center"/>
          </w:tcPr>
          <w:p w14:paraId="0A86345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Recruitment, HR, line manager</w:t>
            </w:r>
          </w:p>
        </w:tc>
        <w:tc>
          <w:tcPr>
            <w:tcW w:w="2448" w:type="dxa"/>
            <w:vAlign w:val="center"/>
          </w:tcPr>
          <w:p w14:paraId="59926E8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Portal completion, questions logged, initial skills baseline, pre-joining pulse check</w:t>
            </w:r>
          </w:p>
        </w:tc>
      </w:tr>
      <w:tr w:rsidR="000420F3" w14:paraId="72382B1C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3EE3532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Days 1-30</w:t>
            </w:r>
          </w:p>
        </w:tc>
        <w:tc>
          <w:tcPr>
            <w:tcW w:w="2448" w:type="dxa"/>
            <w:vAlign w:val="center"/>
          </w:tcPr>
          <w:p w14:paraId="31FA502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Safety and ethics learning; site orientation; supervised technical practice; weekly manager check-ins; buddy support.</w:t>
            </w:r>
          </w:p>
        </w:tc>
        <w:tc>
          <w:tcPr>
            <w:tcW w:w="2448" w:type="dxa"/>
            <w:vAlign w:val="center"/>
          </w:tcPr>
          <w:p w14:paraId="6AE165C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Line manager, safety specialists, HR, buddy</w:t>
            </w:r>
          </w:p>
        </w:tc>
        <w:tc>
          <w:tcPr>
            <w:tcW w:w="2448" w:type="dxa"/>
            <w:vAlign w:val="center"/>
          </w:tcPr>
          <w:p w14:paraId="640A179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Mandatory competence records, role-clarity check, manager observation, employee feedback</w:t>
            </w:r>
          </w:p>
        </w:tc>
      </w:tr>
      <w:tr w:rsidR="000420F3" w14:paraId="69387E6E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6FDACBE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Days 31-90</w:t>
            </w:r>
          </w:p>
        </w:tc>
        <w:tc>
          <w:tcPr>
            <w:tcW w:w="2448" w:type="dxa"/>
            <w:vAlign w:val="center"/>
          </w:tcPr>
          <w:p w14:paraId="37CD4B2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Cross-functional exposure; small improvement project; sustainability learning; 60- and 90-day reviews; career discussion.</w:t>
            </w:r>
          </w:p>
        </w:tc>
        <w:tc>
          <w:tcPr>
            <w:tcW w:w="2448" w:type="dxa"/>
            <w:vAlign w:val="center"/>
          </w:tcPr>
          <w:p w14:paraId="59C85F0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Manager, project sponsor, learning team</w:t>
            </w:r>
          </w:p>
        </w:tc>
        <w:tc>
          <w:tcPr>
            <w:tcW w:w="2448" w:type="dxa"/>
            <w:vAlign w:val="center"/>
          </w:tcPr>
          <w:p w14:paraId="76F3275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Project outcome, competence sign-off, network map, 90-day adjustment review</w:t>
            </w:r>
          </w:p>
        </w:tc>
      </w:tr>
      <w:tr w:rsidR="000420F3" w14:paraId="682491BB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375735B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lastRenderedPageBreak/>
              <w:t>Months 4-12</w:t>
            </w:r>
          </w:p>
        </w:tc>
        <w:tc>
          <w:tcPr>
            <w:tcW w:w="2448" w:type="dxa"/>
            <w:vAlign w:val="center"/>
          </w:tcPr>
          <w:p w14:paraId="27B4EC6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Advanced reskilling; mentoring; internal mobility opportunity; ethics workshops; six- and twelve-month reviews; development plan.</w:t>
            </w:r>
          </w:p>
        </w:tc>
        <w:tc>
          <w:tcPr>
            <w:tcW w:w="2448" w:type="dxa"/>
            <w:vAlign w:val="center"/>
          </w:tcPr>
          <w:p w14:paraId="62DDD80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Business leader, HR, mentor, employee</w:t>
            </w:r>
          </w:p>
        </w:tc>
        <w:tc>
          <w:tcPr>
            <w:tcW w:w="2448" w:type="dxa"/>
            <w:vAlign w:val="center"/>
          </w:tcPr>
          <w:p w14:paraId="73B454C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Retention, internal applications, development progress, engagement, innovation contribution</w:t>
            </w:r>
          </w:p>
        </w:tc>
      </w:tr>
    </w:tbl>
    <w:p w14:paraId="5DF7AB7E" w14:textId="77777777" w:rsidR="000420F3" w:rsidRDefault="00000000">
      <w:pPr>
        <w:pStyle w:val="Heading2"/>
      </w:pPr>
      <w:bookmarkStart w:id="12" w:name="_Toc235130248"/>
      <w:r>
        <w:t>2.5 Mechanisms for identification, ethical professionalism and business activism</w:t>
      </w:r>
      <w:bookmarkEnd w:id="12"/>
    </w:p>
    <w:p w14:paraId="017AE495" w14:textId="77777777" w:rsidR="000420F3" w:rsidRDefault="00000000">
      <w:pPr>
        <w:pStyle w:val="Heading3"/>
      </w:pPr>
      <w:bookmarkStart w:id="13" w:name="_Toc235130249"/>
      <w:proofErr w:type="spellStart"/>
      <w:r>
        <w:t>Organisational</w:t>
      </w:r>
      <w:proofErr w:type="spellEnd"/>
      <w:r>
        <w:t xml:space="preserve"> identification</w:t>
      </w:r>
      <w:bookmarkEnd w:id="13"/>
    </w:p>
    <w:p w14:paraId="629FD981" w14:textId="77777777" w:rsidR="000420F3" w:rsidRDefault="00000000">
      <w:pPr>
        <w:pStyle w:val="ListBullet"/>
        <w:ind w:hanging="230"/>
      </w:pPr>
      <w:r>
        <w:t>A purpose narrative linking individual work to safe, lower-carbon steel.</w:t>
      </w:r>
    </w:p>
    <w:p w14:paraId="29681E9B" w14:textId="77777777" w:rsidR="000420F3" w:rsidRDefault="00000000">
      <w:pPr>
        <w:pStyle w:val="ListBullet"/>
        <w:ind w:hanging="230"/>
      </w:pPr>
      <w:r>
        <w:t>Cross-functional networks that prevent narrow departmental identification.</w:t>
      </w:r>
    </w:p>
    <w:p w14:paraId="1A6ADF1A" w14:textId="77777777" w:rsidR="000420F3" w:rsidRDefault="00000000">
      <w:pPr>
        <w:pStyle w:val="ListBullet"/>
        <w:ind w:hanging="230"/>
      </w:pPr>
      <w:r>
        <w:t>Recognition for learning, safety improvement and responsible innovation, not only output.</w:t>
      </w:r>
    </w:p>
    <w:p w14:paraId="10FDA42B" w14:textId="77777777" w:rsidR="000420F3" w:rsidRDefault="00000000">
      <w:pPr>
        <w:pStyle w:val="ListBullet"/>
        <w:ind w:hanging="230"/>
      </w:pPr>
      <w:r>
        <w:t>Community and customer exposure to operational consequences.</w:t>
      </w:r>
    </w:p>
    <w:p w14:paraId="6D8FB02E" w14:textId="77777777" w:rsidR="000420F3" w:rsidRDefault="00000000">
      <w:pPr>
        <w:pStyle w:val="Heading3"/>
      </w:pPr>
      <w:bookmarkStart w:id="14" w:name="_Toc235130250"/>
      <w:r>
        <w:t>Ethical professionalism</w:t>
      </w:r>
      <w:bookmarkEnd w:id="14"/>
    </w:p>
    <w:p w14:paraId="3C66B525" w14:textId="77777777" w:rsidR="000420F3" w:rsidRDefault="00000000">
      <w:pPr>
        <w:pStyle w:val="ListBullet"/>
        <w:ind w:hanging="230"/>
      </w:pPr>
      <w:r>
        <w:t>Practical scenarios on safety, data use, procurement and speaking up.</w:t>
      </w:r>
    </w:p>
    <w:p w14:paraId="4B401D97" w14:textId="77777777" w:rsidR="000420F3" w:rsidRDefault="00000000">
      <w:pPr>
        <w:pStyle w:val="ListBullet"/>
        <w:ind w:hanging="230"/>
      </w:pPr>
      <w:r>
        <w:t>A clear line between meeting targets and overriding non-negotiable safety or ethical standards.</w:t>
      </w:r>
    </w:p>
    <w:p w14:paraId="75BBF8D4" w14:textId="77777777" w:rsidR="000420F3" w:rsidRDefault="00000000">
      <w:pPr>
        <w:pStyle w:val="ListBullet"/>
        <w:ind w:hanging="230"/>
      </w:pPr>
      <w:r>
        <w:t>Protected reporting routes and visible senior-leader responses.</w:t>
      </w:r>
    </w:p>
    <w:p w14:paraId="4745C817" w14:textId="77777777" w:rsidR="000420F3" w:rsidRDefault="00000000">
      <w:pPr>
        <w:pStyle w:val="ListBullet"/>
        <w:ind w:hanging="230"/>
      </w:pPr>
      <w:r>
        <w:t xml:space="preserve">Ethics measures assessing understanding and </w:t>
      </w:r>
      <w:proofErr w:type="spellStart"/>
      <w:r>
        <w:t>behaviour</w:t>
      </w:r>
      <w:proofErr w:type="spellEnd"/>
      <w:r>
        <w:t>, not just training completion.</w:t>
      </w:r>
    </w:p>
    <w:p w14:paraId="5B19E38F" w14:textId="77777777" w:rsidR="000420F3" w:rsidRDefault="00000000">
      <w:pPr>
        <w:pStyle w:val="Heading3"/>
      </w:pPr>
      <w:bookmarkStart w:id="15" w:name="_Toc235130251"/>
      <w:r>
        <w:t>Business activist mindset</w:t>
      </w:r>
      <w:bookmarkEnd w:id="15"/>
    </w:p>
    <w:p w14:paraId="0B3BD08D" w14:textId="77777777" w:rsidR="000420F3" w:rsidRDefault="00000000">
      <w:r>
        <w:t xml:space="preserve">Ulrich’s outside-in view of HR </w:t>
      </w:r>
      <w:proofErr w:type="spellStart"/>
      <w:r>
        <w:t>emphasises</w:t>
      </w:r>
      <w:proofErr w:type="spellEnd"/>
      <w:r>
        <w:t xml:space="preserve"> value for multiple </w:t>
      </w:r>
      <w:proofErr w:type="gramStart"/>
      <w:r>
        <w:t>stakeholders</w:t>
      </w:r>
      <w:proofErr w:type="gramEnd"/>
      <w:r>
        <w:t xml:space="preserve"> over internal process; at Tata Steel this mindset can extend beyond HR so employees weigh commercial realities alongside customers, communities and the environment.</w:t>
      </w:r>
    </w:p>
    <w:p w14:paraId="10BC5E68" w14:textId="77777777" w:rsidR="000420F3" w:rsidRDefault="00000000">
      <w:pPr>
        <w:pStyle w:val="ListBullet"/>
        <w:ind w:hanging="230"/>
      </w:pPr>
      <w:r>
        <w:t>Stakeholder workshops using real trade-offs.</w:t>
      </w:r>
    </w:p>
    <w:p w14:paraId="257E8391" w14:textId="77777777" w:rsidR="000420F3" w:rsidRDefault="00000000">
      <w:pPr>
        <w:pStyle w:val="ListBullet"/>
        <w:ind w:hanging="230"/>
      </w:pPr>
      <w:r>
        <w:t>Cross-functional challenges with commercial, safety and sustainability criteria.</w:t>
      </w:r>
    </w:p>
    <w:p w14:paraId="018A059B" w14:textId="77777777" w:rsidR="000420F3" w:rsidRDefault="00000000">
      <w:pPr>
        <w:pStyle w:val="ListBullet"/>
        <w:ind w:hanging="230"/>
      </w:pPr>
      <w:r>
        <w:t>Senior-leader dialogues on how customers and policy shape strategic choices.</w:t>
      </w:r>
    </w:p>
    <w:p w14:paraId="2705BA11" w14:textId="77777777" w:rsidR="000420F3" w:rsidRDefault="00000000">
      <w:pPr>
        <w:pStyle w:val="ListBullet"/>
        <w:ind w:hanging="230"/>
      </w:pPr>
      <w:r>
        <w:t>Training in evidence-based challenge and influencing skills.</w:t>
      </w:r>
    </w:p>
    <w:p w14:paraId="21BFDED8" w14:textId="77777777" w:rsidR="000420F3" w:rsidRDefault="00000000">
      <w:pPr>
        <w:pStyle w:val="Heading2"/>
      </w:pPr>
      <w:bookmarkStart w:id="16" w:name="_Toc235130252"/>
      <w:r>
        <w:t>2.6 Risks and controls</w:t>
      </w:r>
      <w:bookmarkEnd w:id="16"/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4896"/>
        <w:gridCol w:w="4896"/>
      </w:tblGrid>
      <w:tr w:rsidR="000420F3" w14:paraId="5F0B6DCD" w14:textId="77777777">
        <w:trPr>
          <w:cantSplit/>
          <w:tblHeader/>
          <w:jc w:val="center"/>
        </w:trPr>
        <w:tc>
          <w:tcPr>
            <w:tcW w:w="4896" w:type="dxa"/>
            <w:shd w:val="clear" w:color="auto" w:fill="D9EAF7"/>
            <w:vAlign w:val="center"/>
          </w:tcPr>
          <w:p w14:paraId="58D4BA1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Risk</w:t>
            </w:r>
          </w:p>
        </w:tc>
        <w:tc>
          <w:tcPr>
            <w:tcW w:w="4896" w:type="dxa"/>
            <w:shd w:val="clear" w:color="auto" w:fill="D9EAF7"/>
            <w:vAlign w:val="center"/>
          </w:tcPr>
          <w:p w14:paraId="73F37CE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Control</w:t>
            </w:r>
          </w:p>
        </w:tc>
      </w:tr>
      <w:tr w:rsidR="000420F3" w14:paraId="777166C2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5480413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proofErr w:type="spellStart"/>
            <w:r>
              <w:rPr>
                <w:rFonts w:eastAsia="MS Mincho"/>
                <w:sz w:val="18"/>
              </w:rPr>
              <w:t>Socialisation</w:t>
            </w:r>
            <w:proofErr w:type="spellEnd"/>
            <w:r>
              <w:rPr>
                <w:rFonts w:eastAsia="MS Mincho"/>
                <w:sz w:val="18"/>
              </w:rPr>
              <w:t xml:space="preserve"> becomes corporate indoctrination</w:t>
            </w:r>
          </w:p>
        </w:tc>
        <w:tc>
          <w:tcPr>
            <w:tcW w:w="4896" w:type="dxa"/>
            <w:vAlign w:val="center"/>
          </w:tcPr>
          <w:p w14:paraId="5751C7F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Protect employee voice and speaking-up mechanisms</w:t>
            </w:r>
          </w:p>
        </w:tc>
      </w:tr>
      <w:tr w:rsidR="000420F3" w14:paraId="0CD71EC0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54800F5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Mentors reproduce outdated practice</w:t>
            </w:r>
          </w:p>
        </w:tc>
        <w:tc>
          <w:tcPr>
            <w:tcW w:w="4896" w:type="dxa"/>
            <w:vAlign w:val="center"/>
          </w:tcPr>
          <w:p w14:paraId="4FDA82C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Train and rotate mentors; monitor learning quality</w:t>
            </w:r>
          </w:p>
        </w:tc>
      </w:tr>
      <w:tr w:rsidR="000420F3" w14:paraId="3FF79EB4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33C3702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lastRenderedPageBreak/>
              <w:t>Information overload during the first month</w:t>
            </w:r>
          </w:p>
        </w:tc>
        <w:tc>
          <w:tcPr>
            <w:tcW w:w="4896" w:type="dxa"/>
            <w:vAlign w:val="center"/>
          </w:tcPr>
          <w:p w14:paraId="6BB2A88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Sequence learning and provide searchable job aids</w:t>
            </w:r>
          </w:p>
        </w:tc>
      </w:tr>
      <w:tr w:rsidR="000420F3" w14:paraId="0F233073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199035A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 xml:space="preserve">Generic </w:t>
            </w:r>
            <w:proofErr w:type="spellStart"/>
            <w:r>
              <w:rPr>
                <w:rFonts w:eastAsia="MS Mincho"/>
                <w:sz w:val="18"/>
              </w:rPr>
              <w:t>programme</w:t>
            </w:r>
            <w:proofErr w:type="spellEnd"/>
            <w:r>
              <w:rPr>
                <w:rFonts w:eastAsia="MS Mincho"/>
                <w:sz w:val="18"/>
              </w:rPr>
              <w:t xml:space="preserve"> ignores role differences</w:t>
            </w:r>
          </w:p>
        </w:tc>
        <w:tc>
          <w:tcPr>
            <w:tcW w:w="4896" w:type="dxa"/>
            <w:vAlign w:val="center"/>
          </w:tcPr>
          <w:p w14:paraId="4C66645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Use a common core plus role-specific competence pathways</w:t>
            </w:r>
          </w:p>
        </w:tc>
      </w:tr>
      <w:tr w:rsidR="000420F3" w14:paraId="3FD5B91E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5406680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Manager inconsistency</w:t>
            </w:r>
          </w:p>
        </w:tc>
        <w:tc>
          <w:tcPr>
            <w:tcW w:w="4896" w:type="dxa"/>
            <w:vAlign w:val="center"/>
          </w:tcPr>
          <w:p w14:paraId="14D1632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Set minimum standards and audit completion quality</w:t>
            </w:r>
          </w:p>
        </w:tc>
      </w:tr>
      <w:tr w:rsidR="000420F3" w14:paraId="2B20743C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052B879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Promises about careers are not delivered</w:t>
            </w:r>
          </w:p>
        </w:tc>
        <w:tc>
          <w:tcPr>
            <w:tcW w:w="4896" w:type="dxa"/>
            <w:vAlign w:val="center"/>
          </w:tcPr>
          <w:p w14:paraId="71FDA7E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Use realistic language and publish opportunity criteria</w:t>
            </w:r>
          </w:p>
        </w:tc>
      </w:tr>
    </w:tbl>
    <w:p w14:paraId="1717F7BE" w14:textId="77777777" w:rsidR="000420F3" w:rsidRDefault="00000000">
      <w:pPr>
        <w:pStyle w:val="Heading2"/>
      </w:pPr>
      <w:bookmarkStart w:id="17" w:name="_Toc235130253"/>
      <w:r>
        <w:t>2.7 Measures of success</w:t>
      </w:r>
      <w:bookmarkEnd w:id="17"/>
    </w:p>
    <w:p w14:paraId="0D87F49D" w14:textId="77777777" w:rsidR="000420F3" w:rsidRDefault="00000000">
      <w:pPr>
        <w:pStyle w:val="ListBullet"/>
        <w:ind w:hanging="230"/>
      </w:pPr>
      <w:r>
        <w:t>Time to independent competence and role clarity.</w:t>
      </w:r>
    </w:p>
    <w:p w14:paraId="33BFF48A" w14:textId="77777777" w:rsidR="000420F3" w:rsidRDefault="00000000">
      <w:pPr>
        <w:pStyle w:val="ListBullet"/>
        <w:ind w:hanging="230"/>
      </w:pPr>
      <w:r>
        <w:t xml:space="preserve">New-starter engagement and </w:t>
      </w:r>
      <w:proofErr w:type="spellStart"/>
      <w:r>
        <w:t>organisational</w:t>
      </w:r>
      <w:proofErr w:type="spellEnd"/>
      <w:r>
        <w:t xml:space="preserve"> identification.</w:t>
      </w:r>
    </w:p>
    <w:p w14:paraId="6615333D" w14:textId="77777777" w:rsidR="000420F3" w:rsidRDefault="00000000">
      <w:pPr>
        <w:pStyle w:val="ListBullet"/>
        <w:ind w:hanging="230"/>
      </w:pPr>
      <w:r>
        <w:t>Retention at 6, 12 and 24 months.</w:t>
      </w:r>
    </w:p>
    <w:p w14:paraId="565B9495" w14:textId="77777777" w:rsidR="000420F3" w:rsidRDefault="00000000">
      <w:pPr>
        <w:pStyle w:val="ListBullet"/>
        <w:ind w:hanging="230"/>
      </w:pPr>
      <w:r>
        <w:t>Safety competence and confidence to speak up.</w:t>
      </w:r>
    </w:p>
    <w:p w14:paraId="126007C6" w14:textId="77777777" w:rsidR="000420F3" w:rsidRDefault="00000000">
      <w:pPr>
        <w:pStyle w:val="ListBullet"/>
        <w:ind w:hanging="230"/>
      </w:pPr>
      <w:r>
        <w:t>Number and quality of improvement ideas implemented.</w:t>
      </w:r>
    </w:p>
    <w:p w14:paraId="2A3F5628" w14:textId="77777777" w:rsidR="000420F3" w:rsidRDefault="000420F3">
      <w:pPr>
        <w:spacing w:after="40"/>
      </w:pPr>
    </w:p>
    <w:p w14:paraId="5AD8F327" w14:textId="77777777" w:rsidR="000420F3" w:rsidRDefault="00000000">
      <w:pPr>
        <w:pStyle w:val="Heading1"/>
      </w:pPr>
      <w:bookmarkStart w:id="18" w:name="_Toc235130254"/>
      <w:r>
        <w:t>3. Task 2 research and planning notes: Innovative job design</w:t>
      </w:r>
      <w:bookmarkEnd w:id="18"/>
    </w:p>
    <w:p w14:paraId="4FF508F7" w14:textId="77777777" w:rsidR="000420F3" w:rsidRDefault="00000000">
      <w:pPr>
        <w:pStyle w:val="Heading2"/>
      </w:pPr>
      <w:bookmarkStart w:id="19" w:name="_Toc235130255"/>
      <w:r>
        <w:t>3.1 Proposed overall strategy</w:t>
      </w:r>
      <w:bookmarkEnd w:id="19"/>
    </w:p>
    <w:p w14:paraId="0665D7DB" w14:textId="77777777" w:rsidR="000420F3" w:rsidRDefault="00000000">
      <w:r>
        <w:t>A coherent proposal is a controlled skills-based work architecture combining:</w:t>
      </w:r>
    </w:p>
    <w:p w14:paraId="0C16A429" w14:textId="77777777" w:rsidR="000420F3" w:rsidRDefault="00000000">
      <w:pPr>
        <w:pStyle w:val="ListBullet"/>
        <w:ind w:hanging="230"/>
      </w:pPr>
      <w:r>
        <w:t>Job Characteristics Model, to improve meaningfulness and responsibility.</w:t>
      </w:r>
    </w:p>
    <w:p w14:paraId="5BA463D4" w14:textId="77777777" w:rsidR="000420F3" w:rsidRDefault="00000000">
      <w:pPr>
        <w:pStyle w:val="ListBullet"/>
        <w:ind w:hanging="230"/>
      </w:pPr>
      <w:r>
        <w:t>Job crafting, for bounded employee influence over tasks and meaning.</w:t>
      </w:r>
    </w:p>
    <w:p w14:paraId="4C9698ED" w14:textId="77777777" w:rsidR="000420F3" w:rsidRDefault="00000000">
      <w:pPr>
        <w:pStyle w:val="ListBullet"/>
        <w:ind w:hanging="230"/>
      </w:pPr>
      <w:r>
        <w:t>An internal talent marketplace matching verified skills to projects and vacancies.</w:t>
      </w:r>
    </w:p>
    <w:p w14:paraId="48759EEE" w14:textId="77777777" w:rsidR="000420F3" w:rsidRDefault="00000000">
      <w:r>
        <w:t>This is not unrestricted flexibility: manufacturing requires clear accountabilities, engineering standards and non-negotiable safety boundaries.</w:t>
      </w:r>
    </w:p>
    <w:p w14:paraId="635EDA57" w14:textId="77777777" w:rsidR="000420F3" w:rsidRDefault="00000000">
      <w:pPr>
        <w:pStyle w:val="Heading2"/>
      </w:pPr>
      <w:bookmarkStart w:id="20" w:name="_Toc235130256"/>
      <w:r>
        <w:t>3.2 Applying the Job Characteristics Model</w:t>
      </w:r>
      <w:bookmarkEnd w:id="20"/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2448"/>
        <w:gridCol w:w="2448"/>
        <w:gridCol w:w="2448"/>
        <w:gridCol w:w="2448"/>
      </w:tblGrid>
      <w:tr w:rsidR="000420F3" w14:paraId="208E9F17" w14:textId="77777777">
        <w:trPr>
          <w:cantSplit/>
          <w:tblHeader/>
          <w:jc w:val="center"/>
        </w:trPr>
        <w:tc>
          <w:tcPr>
            <w:tcW w:w="2448" w:type="dxa"/>
            <w:shd w:val="clear" w:color="auto" w:fill="D9EAF7"/>
            <w:vAlign w:val="center"/>
          </w:tcPr>
          <w:p w14:paraId="48EB193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Core characteristic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7E32419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Tata Steel design idea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690C3BE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Motivational pathway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1563610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Critical limitation</w:t>
            </w:r>
          </w:p>
        </w:tc>
      </w:tr>
      <w:tr w:rsidR="000420F3" w14:paraId="3D0C2D44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1A7A02C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Skill variety</w:t>
            </w:r>
          </w:p>
        </w:tc>
        <w:tc>
          <w:tcPr>
            <w:tcW w:w="2448" w:type="dxa"/>
            <w:vAlign w:val="center"/>
          </w:tcPr>
          <w:p w14:paraId="55C8984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Broader skill clusters in digital monitoring, maintenance, quality, energy and safe operations; planned rotations after competence checks</w:t>
            </w:r>
          </w:p>
        </w:tc>
        <w:tc>
          <w:tcPr>
            <w:tcW w:w="2448" w:type="dxa"/>
            <w:vAlign w:val="center"/>
          </w:tcPr>
          <w:p w14:paraId="0B87BB4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Challenge, learning and fuller use of capability</w:t>
            </w:r>
          </w:p>
        </w:tc>
        <w:tc>
          <w:tcPr>
            <w:tcW w:w="2448" w:type="dxa"/>
            <w:vAlign w:val="center"/>
          </w:tcPr>
          <w:p w14:paraId="712895E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Too much variety can cause overload or weaken specialist depth</w:t>
            </w:r>
          </w:p>
        </w:tc>
      </w:tr>
      <w:tr w:rsidR="000420F3" w14:paraId="097DB08B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17315BE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Task identity</w:t>
            </w:r>
          </w:p>
        </w:tc>
        <w:tc>
          <w:tcPr>
            <w:tcW w:w="2448" w:type="dxa"/>
            <w:vAlign w:val="center"/>
          </w:tcPr>
          <w:p w14:paraId="5B9F6A5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Multidisciplinary teams own an improvement problem from diagnosis to evaluation</w:t>
            </w:r>
          </w:p>
        </w:tc>
        <w:tc>
          <w:tcPr>
            <w:tcW w:w="2448" w:type="dxa"/>
            <w:vAlign w:val="center"/>
          </w:tcPr>
          <w:p w14:paraId="0DC0232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Visible ownership of a complete outcome</w:t>
            </w:r>
          </w:p>
        </w:tc>
        <w:tc>
          <w:tcPr>
            <w:tcW w:w="2448" w:type="dxa"/>
            <w:vAlign w:val="center"/>
          </w:tcPr>
          <w:p w14:paraId="1F11D0A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Projects need clear authority, time and handover</w:t>
            </w:r>
          </w:p>
        </w:tc>
      </w:tr>
      <w:tr w:rsidR="000420F3" w14:paraId="6CFC0A8E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35EA883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lastRenderedPageBreak/>
              <w:t>Task significance</w:t>
            </w:r>
          </w:p>
        </w:tc>
        <w:tc>
          <w:tcPr>
            <w:tcW w:w="2448" w:type="dxa"/>
            <w:vAlign w:val="center"/>
          </w:tcPr>
          <w:p w14:paraId="0179211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 xml:space="preserve">Show how roles affect safe production, customers, </w:t>
            </w:r>
            <w:proofErr w:type="spellStart"/>
            <w:r>
              <w:rPr>
                <w:rFonts w:eastAsia="MS Mincho"/>
                <w:sz w:val="15"/>
              </w:rPr>
              <w:t>decarbonisation</w:t>
            </w:r>
            <w:proofErr w:type="spellEnd"/>
            <w:r>
              <w:rPr>
                <w:rFonts w:eastAsia="MS Mincho"/>
                <w:sz w:val="15"/>
              </w:rPr>
              <w:t xml:space="preserve"> and regional employment</w:t>
            </w:r>
          </w:p>
        </w:tc>
        <w:tc>
          <w:tcPr>
            <w:tcW w:w="2448" w:type="dxa"/>
            <w:vAlign w:val="center"/>
          </w:tcPr>
          <w:p w14:paraId="1EF656A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Greater experienced meaningfulness</w:t>
            </w:r>
          </w:p>
        </w:tc>
        <w:tc>
          <w:tcPr>
            <w:tcW w:w="2448" w:type="dxa"/>
            <w:vAlign w:val="center"/>
          </w:tcPr>
          <w:p w14:paraId="6B67177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Purpose messaging must not conceal difficult workforce consequences</w:t>
            </w:r>
          </w:p>
        </w:tc>
      </w:tr>
      <w:tr w:rsidR="000420F3" w14:paraId="2187EE73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1C2DD56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Autonomy</w:t>
            </w:r>
          </w:p>
        </w:tc>
        <w:tc>
          <w:tcPr>
            <w:tcW w:w="2448" w:type="dxa"/>
            <w:vAlign w:val="center"/>
          </w:tcPr>
          <w:p w14:paraId="2560DF4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 xml:space="preserve">Qualified teams choose approved methods, </w:t>
            </w:r>
            <w:proofErr w:type="spellStart"/>
            <w:r>
              <w:rPr>
                <w:rFonts w:eastAsia="MS Mincho"/>
                <w:sz w:val="15"/>
              </w:rPr>
              <w:t>organise</w:t>
            </w:r>
            <w:proofErr w:type="spellEnd"/>
            <w:r>
              <w:rPr>
                <w:rFonts w:eastAsia="MS Mincho"/>
                <w:sz w:val="15"/>
              </w:rPr>
              <w:t xml:space="preserve"> work and propose improvements</w:t>
            </w:r>
          </w:p>
        </w:tc>
        <w:tc>
          <w:tcPr>
            <w:tcW w:w="2448" w:type="dxa"/>
            <w:vAlign w:val="center"/>
          </w:tcPr>
          <w:p w14:paraId="10639C1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Greater experienced responsibility</w:t>
            </w:r>
          </w:p>
        </w:tc>
        <w:tc>
          <w:tcPr>
            <w:tcW w:w="2448" w:type="dxa"/>
            <w:vAlign w:val="center"/>
          </w:tcPr>
          <w:p w14:paraId="5867CF4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Autonomy must remain within engineering, safety and regulatory limits</w:t>
            </w:r>
          </w:p>
        </w:tc>
      </w:tr>
      <w:tr w:rsidR="000420F3" w14:paraId="6BE7E493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76D37DD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Feedback</w:t>
            </w:r>
          </w:p>
        </w:tc>
        <w:tc>
          <w:tcPr>
            <w:tcW w:w="2448" w:type="dxa"/>
            <w:vAlign w:val="center"/>
          </w:tcPr>
          <w:p w14:paraId="2A8F15D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Operational dashboards plus coaching, peer review, customer feedback and after-action learning</w:t>
            </w:r>
          </w:p>
        </w:tc>
        <w:tc>
          <w:tcPr>
            <w:tcW w:w="2448" w:type="dxa"/>
            <w:vAlign w:val="center"/>
          </w:tcPr>
          <w:p w14:paraId="4E46B63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Knowledge of results and rapid adjustment</w:t>
            </w:r>
          </w:p>
        </w:tc>
        <w:tc>
          <w:tcPr>
            <w:tcW w:w="2448" w:type="dxa"/>
            <w:vAlign w:val="center"/>
          </w:tcPr>
          <w:p w14:paraId="09C8801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 xml:space="preserve">Metrics can distort </w:t>
            </w:r>
            <w:proofErr w:type="spellStart"/>
            <w:r>
              <w:rPr>
                <w:rFonts w:eastAsia="MS Mincho"/>
                <w:sz w:val="15"/>
              </w:rPr>
              <w:t>behaviour</w:t>
            </w:r>
            <w:proofErr w:type="spellEnd"/>
            <w:r>
              <w:rPr>
                <w:rFonts w:eastAsia="MS Mincho"/>
                <w:sz w:val="15"/>
              </w:rPr>
              <w:t xml:space="preserve"> if targets are narrow or punitive</w:t>
            </w:r>
          </w:p>
        </w:tc>
      </w:tr>
    </w:tbl>
    <w:p w14:paraId="3A38C7E6" w14:textId="77777777" w:rsidR="000420F3" w:rsidRDefault="00000000">
      <w:r>
        <w:t>Hackman and Oldham (1976) link these characteristics to intrinsic motivation via meaningfulness, responsibility and knowledge of results, though employee preferences and team interdependence affect how each operates.</w:t>
      </w:r>
    </w:p>
    <w:p w14:paraId="2F599CFF" w14:textId="77777777" w:rsidR="000420F3" w:rsidRDefault="00000000">
      <w:pPr>
        <w:pStyle w:val="Heading2"/>
      </w:pPr>
      <w:bookmarkStart w:id="21" w:name="_Toc235130257"/>
      <w:r>
        <w:t>3.3 Controlled job crafting</w:t>
      </w:r>
      <w:bookmarkEnd w:id="21"/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3264"/>
        <w:gridCol w:w="3264"/>
        <w:gridCol w:w="3264"/>
      </w:tblGrid>
      <w:tr w:rsidR="000420F3" w14:paraId="42905B1B" w14:textId="77777777">
        <w:trPr>
          <w:cantSplit/>
          <w:tblHeader/>
          <w:jc w:val="center"/>
        </w:trPr>
        <w:tc>
          <w:tcPr>
            <w:tcW w:w="3264" w:type="dxa"/>
            <w:shd w:val="clear" w:color="auto" w:fill="D9EAF7"/>
            <w:vAlign w:val="center"/>
          </w:tcPr>
          <w:p w14:paraId="1BE89F5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Form of job crafting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4635384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Possible application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02BDB33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Boundary or safeguard</w:t>
            </w:r>
          </w:p>
        </w:tc>
      </w:tr>
      <w:tr w:rsidR="000420F3" w14:paraId="6CD082C2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370401C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Task crafting</w:t>
            </w:r>
          </w:p>
        </w:tc>
        <w:tc>
          <w:tcPr>
            <w:tcW w:w="3264" w:type="dxa"/>
            <w:vAlign w:val="center"/>
          </w:tcPr>
          <w:p w14:paraId="2FC4765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Volunteer for approved digital, quality, environmental or improvement activities</w:t>
            </w:r>
          </w:p>
        </w:tc>
        <w:tc>
          <w:tcPr>
            <w:tcW w:w="3264" w:type="dxa"/>
            <w:vAlign w:val="center"/>
          </w:tcPr>
          <w:p w14:paraId="1EFD0C6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Manager approval, competence requirements and workload capacity</w:t>
            </w:r>
          </w:p>
        </w:tc>
      </w:tr>
      <w:tr w:rsidR="000420F3" w14:paraId="56A287E0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16353C0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Relational crafting</w:t>
            </w:r>
          </w:p>
        </w:tc>
        <w:tc>
          <w:tcPr>
            <w:tcW w:w="3264" w:type="dxa"/>
            <w:vAlign w:val="center"/>
          </w:tcPr>
          <w:p w14:paraId="134D5DA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Build working relationships across operations, maintenance, IT, HR, sustainability and supply chain</w:t>
            </w:r>
          </w:p>
        </w:tc>
        <w:tc>
          <w:tcPr>
            <w:tcW w:w="3264" w:type="dxa"/>
            <w:vAlign w:val="center"/>
          </w:tcPr>
          <w:p w14:paraId="1A0F43A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Clear decision rights and respect for role accountability</w:t>
            </w:r>
          </w:p>
        </w:tc>
      </w:tr>
      <w:tr w:rsidR="000420F3" w14:paraId="3775F4E8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3443770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Cognitive crafting</w:t>
            </w:r>
          </w:p>
        </w:tc>
        <w:tc>
          <w:tcPr>
            <w:tcW w:w="3264" w:type="dxa"/>
            <w:vAlign w:val="center"/>
          </w:tcPr>
          <w:p w14:paraId="1B3A8C3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Reframe work as contributing to safe, reliable and lower-carbon steel rather than isolated tasks</w:t>
            </w:r>
          </w:p>
        </w:tc>
        <w:tc>
          <w:tcPr>
            <w:tcW w:w="3264" w:type="dxa"/>
            <w:vAlign w:val="center"/>
          </w:tcPr>
          <w:p w14:paraId="302285D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 xml:space="preserve">Meaning must be credible and supported by actual </w:t>
            </w:r>
            <w:proofErr w:type="spellStart"/>
            <w:r>
              <w:rPr>
                <w:rFonts w:eastAsia="MS Mincho"/>
                <w:sz w:val="18"/>
              </w:rPr>
              <w:t>organisational</w:t>
            </w:r>
            <w:proofErr w:type="spellEnd"/>
            <w:r>
              <w:rPr>
                <w:rFonts w:eastAsia="MS Mincho"/>
                <w:sz w:val="18"/>
              </w:rPr>
              <w:t xml:space="preserve"> practice</w:t>
            </w:r>
          </w:p>
        </w:tc>
      </w:tr>
    </w:tbl>
    <w:p w14:paraId="434133A9" w14:textId="77777777" w:rsidR="000420F3" w:rsidRDefault="00000000">
      <w:proofErr w:type="spellStart"/>
      <w:r>
        <w:t>Wrzesniewski</w:t>
      </w:r>
      <w:proofErr w:type="spellEnd"/>
      <w:r>
        <w:t xml:space="preserve"> and Dutton (2001) frame employees as active crafters of task, relational and cognitive boundaries (see also Tims, Bakker and Derks, 2012). Tata Steel should encourage approach-oriented crafting that builds capability while preventing unsafe role expansion.</w:t>
      </w:r>
    </w:p>
    <w:p w14:paraId="3767A9E5" w14:textId="77777777" w:rsidR="000420F3" w:rsidRDefault="00000000">
      <w:pPr>
        <w:pStyle w:val="Heading2"/>
      </w:pPr>
      <w:bookmarkStart w:id="22" w:name="_Toc235130258"/>
      <w:r>
        <w:t>3.4 Skills-based architecture and internal talent marketplace</w:t>
      </w:r>
      <w:bookmarkEnd w:id="22"/>
    </w:p>
    <w:p w14:paraId="1EED8551" w14:textId="77777777" w:rsidR="000420F3" w:rsidRDefault="00000000">
      <w:r>
        <w:t>A skills-based architecture supplements fixed job titles with verified capability data. Tata Group’s existing internal careers portal offers a practical foundation for broader mobility (Tata Group, 2026b).</w:t>
      </w:r>
    </w:p>
    <w:p w14:paraId="19204713" w14:textId="77777777" w:rsidR="000420F3" w:rsidRDefault="00000000">
      <w:r>
        <w:t>Suggested employee skills profile:</w:t>
      </w:r>
    </w:p>
    <w:p w14:paraId="065364CB" w14:textId="77777777" w:rsidR="000420F3" w:rsidRDefault="00000000">
      <w:pPr>
        <w:pStyle w:val="ListBullet"/>
        <w:ind w:hanging="230"/>
      </w:pPr>
      <w:r>
        <w:t xml:space="preserve">Technical qualifications and safe-operating </w:t>
      </w:r>
      <w:proofErr w:type="spellStart"/>
      <w:r>
        <w:t>authorisations</w:t>
      </w:r>
      <w:proofErr w:type="spellEnd"/>
      <w:r>
        <w:t>.</w:t>
      </w:r>
    </w:p>
    <w:p w14:paraId="484E7EC3" w14:textId="77777777" w:rsidR="000420F3" w:rsidRDefault="00000000">
      <w:pPr>
        <w:pStyle w:val="ListBullet"/>
        <w:ind w:hanging="230"/>
      </w:pPr>
      <w:r>
        <w:t>Digital, automation, analytical and maintenance skills.</w:t>
      </w:r>
    </w:p>
    <w:p w14:paraId="0661CF77" w14:textId="77777777" w:rsidR="000420F3" w:rsidRDefault="00000000">
      <w:pPr>
        <w:pStyle w:val="ListBullet"/>
        <w:ind w:hanging="230"/>
      </w:pPr>
      <w:r>
        <w:t>Project, improvement and problem-solving experience.</w:t>
      </w:r>
    </w:p>
    <w:p w14:paraId="7160CCCA" w14:textId="77777777" w:rsidR="000420F3" w:rsidRDefault="00000000">
      <w:pPr>
        <w:pStyle w:val="ListBullet"/>
        <w:ind w:hanging="230"/>
      </w:pPr>
      <w:r>
        <w:t>Sustainability and circular-economy knowledge.</w:t>
      </w:r>
    </w:p>
    <w:p w14:paraId="299D42F1" w14:textId="77777777" w:rsidR="000420F3" w:rsidRDefault="00000000">
      <w:pPr>
        <w:pStyle w:val="ListBullet"/>
        <w:ind w:hanging="230"/>
      </w:pPr>
      <w:r>
        <w:lastRenderedPageBreak/>
        <w:t>Leadership, mentoring and stakeholder capabilities.</w:t>
      </w:r>
    </w:p>
    <w:p w14:paraId="111DDE36" w14:textId="77777777" w:rsidR="000420F3" w:rsidRDefault="00000000">
      <w:pPr>
        <w:pStyle w:val="Heading2"/>
      </w:pPr>
      <w:bookmarkStart w:id="23" w:name="_Toc235130259"/>
      <w:r>
        <w:t>3.5 Suggested internal marketplace process</w:t>
      </w:r>
      <w:bookmarkEnd w:id="23"/>
    </w:p>
    <w:p w14:paraId="41E27C1C" w14:textId="77777777" w:rsidR="000420F3" w:rsidRDefault="00000000">
      <w:pPr>
        <w:spacing w:after="60"/>
        <w:ind w:left="403" w:hanging="403"/>
      </w:pPr>
      <w:r>
        <w:t>1. Identify critical future capabilities linked to EAF operations, digital control, maintenance and safety.</w:t>
      </w:r>
    </w:p>
    <w:p w14:paraId="28C00462" w14:textId="77777777" w:rsidR="000420F3" w:rsidRDefault="00000000">
      <w:pPr>
        <w:spacing w:after="60"/>
        <w:ind w:left="403" w:hanging="403"/>
      </w:pPr>
      <w:r>
        <w:t>2. Create a common skills taxonomy with clear proficiency levels.</w:t>
      </w:r>
    </w:p>
    <w:p w14:paraId="6974DEA5" w14:textId="77777777" w:rsidR="000420F3" w:rsidRDefault="00000000">
      <w:pPr>
        <w:spacing w:after="60"/>
        <w:ind w:left="403" w:hanging="403"/>
      </w:pPr>
      <w:r>
        <w:t>3. Assess existing capabilities via qualifications, manager validation or practical assessment.</w:t>
      </w:r>
    </w:p>
    <w:p w14:paraId="438E3EE0" w14:textId="77777777" w:rsidR="000420F3" w:rsidRDefault="00000000">
      <w:pPr>
        <w:spacing w:after="60"/>
        <w:ind w:left="403" w:hanging="403"/>
      </w:pPr>
      <w:r>
        <w:t>4. Publish permanent roles, short-term projects, mentoring and cross-site assignments.</w:t>
      </w:r>
    </w:p>
    <w:p w14:paraId="430EF689" w14:textId="77777777" w:rsidR="000420F3" w:rsidRDefault="00000000">
      <w:pPr>
        <w:spacing w:after="60"/>
        <w:ind w:left="403" w:hanging="403"/>
      </w:pPr>
      <w:r>
        <w:t>5. Match people using transparent criteria: skills, interests, development value and fairness.</w:t>
      </w:r>
    </w:p>
    <w:p w14:paraId="3014B379" w14:textId="77777777" w:rsidR="000420F3" w:rsidRDefault="00000000">
      <w:pPr>
        <w:spacing w:after="60"/>
        <w:ind w:left="403" w:hanging="403"/>
      </w:pPr>
      <w:r>
        <w:t>6. Keep a human review stage; algorithms should not make final decisions, and outcomes should be recorded.</w:t>
      </w:r>
    </w:p>
    <w:p w14:paraId="2535EA4C" w14:textId="77777777" w:rsidR="000420F3" w:rsidRDefault="00000000">
      <w:pPr>
        <w:spacing w:after="60"/>
        <w:ind w:left="403" w:hanging="403"/>
      </w:pPr>
      <w:r>
        <w:t>7. Audit access, selection and progression by site, grade and equality indicators.</w:t>
      </w:r>
    </w:p>
    <w:p w14:paraId="206A2813" w14:textId="77777777" w:rsidR="000420F3" w:rsidRDefault="00000000">
      <w:pPr>
        <w:pStyle w:val="Heading2"/>
      </w:pPr>
      <w:bookmarkStart w:id="24" w:name="_Toc235130260"/>
      <w:r>
        <w:t>3.6 How the design supports motivation and innovation</w:t>
      </w:r>
      <w:bookmarkEnd w:id="24"/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4896"/>
        <w:gridCol w:w="4896"/>
      </w:tblGrid>
      <w:tr w:rsidR="000420F3" w14:paraId="24999196" w14:textId="77777777">
        <w:trPr>
          <w:cantSplit/>
          <w:tblHeader/>
          <w:jc w:val="center"/>
        </w:trPr>
        <w:tc>
          <w:tcPr>
            <w:tcW w:w="4896" w:type="dxa"/>
            <w:shd w:val="clear" w:color="auto" w:fill="D9EAF7"/>
            <w:vAlign w:val="center"/>
          </w:tcPr>
          <w:p w14:paraId="239018C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Design mechanism</w:t>
            </w:r>
          </w:p>
        </w:tc>
        <w:tc>
          <w:tcPr>
            <w:tcW w:w="4896" w:type="dxa"/>
            <w:shd w:val="clear" w:color="auto" w:fill="D9EAF7"/>
            <w:vAlign w:val="center"/>
          </w:tcPr>
          <w:p w14:paraId="6A14374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Expected contribution</w:t>
            </w:r>
          </w:p>
        </w:tc>
      </w:tr>
      <w:tr w:rsidR="000420F3" w14:paraId="43357A49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3272E57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Skill variety and learning pathways</w:t>
            </w:r>
          </w:p>
        </w:tc>
        <w:tc>
          <w:tcPr>
            <w:tcW w:w="4896" w:type="dxa"/>
            <w:vAlign w:val="center"/>
          </w:tcPr>
          <w:p w14:paraId="7CD99BA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Reduce stagnation and build capability for new technology</w:t>
            </w:r>
          </w:p>
        </w:tc>
      </w:tr>
      <w:tr w:rsidR="000420F3" w14:paraId="3D41CD64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75A11EE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End-to-end improvement projects</w:t>
            </w:r>
          </w:p>
        </w:tc>
        <w:tc>
          <w:tcPr>
            <w:tcW w:w="4896" w:type="dxa"/>
            <w:vAlign w:val="center"/>
          </w:tcPr>
          <w:p w14:paraId="412B82B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Create ownership and make innovation visible</w:t>
            </w:r>
          </w:p>
        </w:tc>
      </w:tr>
      <w:tr w:rsidR="000420F3" w14:paraId="5473A8FF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2071504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Purpose and task significance</w:t>
            </w:r>
          </w:p>
        </w:tc>
        <w:tc>
          <w:tcPr>
            <w:tcW w:w="4896" w:type="dxa"/>
            <w:vAlign w:val="center"/>
          </w:tcPr>
          <w:p w14:paraId="3622145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 xml:space="preserve">Connect work with customers, safety and </w:t>
            </w:r>
            <w:proofErr w:type="spellStart"/>
            <w:r>
              <w:rPr>
                <w:rFonts w:eastAsia="MS Mincho"/>
                <w:sz w:val="18"/>
              </w:rPr>
              <w:t>decarbonisation</w:t>
            </w:r>
            <w:proofErr w:type="spellEnd"/>
          </w:p>
        </w:tc>
      </w:tr>
      <w:tr w:rsidR="000420F3" w14:paraId="149DBF90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7427127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Bounded autonomy</w:t>
            </w:r>
          </w:p>
        </w:tc>
        <w:tc>
          <w:tcPr>
            <w:tcW w:w="4896" w:type="dxa"/>
            <w:vAlign w:val="center"/>
          </w:tcPr>
          <w:p w14:paraId="19FCDC5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Encourage initiative while preserving operational discipline</w:t>
            </w:r>
          </w:p>
        </w:tc>
      </w:tr>
      <w:tr w:rsidR="000420F3" w14:paraId="1F16EDD8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02CAB58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Rapid feedback</w:t>
            </w:r>
          </w:p>
        </w:tc>
        <w:tc>
          <w:tcPr>
            <w:tcW w:w="4896" w:type="dxa"/>
            <w:vAlign w:val="center"/>
          </w:tcPr>
          <w:p w14:paraId="35A1E69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Enable experimentation, learning and correction</w:t>
            </w:r>
          </w:p>
        </w:tc>
      </w:tr>
      <w:tr w:rsidR="000420F3" w14:paraId="5744C611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4DAF458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Job crafting</w:t>
            </w:r>
          </w:p>
        </w:tc>
        <w:tc>
          <w:tcPr>
            <w:tcW w:w="4896" w:type="dxa"/>
            <w:vAlign w:val="center"/>
          </w:tcPr>
          <w:p w14:paraId="580BC9A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Improve person-job fit and allow employees to use strengths</w:t>
            </w:r>
          </w:p>
        </w:tc>
      </w:tr>
      <w:tr w:rsidR="000420F3" w14:paraId="745B36D4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046F5A5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Internal mobility</w:t>
            </w:r>
          </w:p>
        </w:tc>
        <w:tc>
          <w:tcPr>
            <w:tcW w:w="4896" w:type="dxa"/>
            <w:vAlign w:val="center"/>
          </w:tcPr>
          <w:p w14:paraId="3EE8644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 xml:space="preserve">Offer career growth without requiring employees to leave the </w:t>
            </w:r>
            <w:proofErr w:type="spellStart"/>
            <w:r>
              <w:rPr>
                <w:rFonts w:eastAsia="MS Mincho"/>
                <w:sz w:val="18"/>
              </w:rPr>
              <w:t>organisation</w:t>
            </w:r>
            <w:proofErr w:type="spellEnd"/>
          </w:p>
        </w:tc>
      </w:tr>
      <w:tr w:rsidR="000420F3" w14:paraId="1A65A0DA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6A5350B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Cross-functional teams</w:t>
            </w:r>
          </w:p>
        </w:tc>
        <w:tc>
          <w:tcPr>
            <w:tcW w:w="4896" w:type="dxa"/>
            <w:vAlign w:val="center"/>
          </w:tcPr>
          <w:p w14:paraId="194C2CF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Combine knowledge that would otherwise remain in separate departments</w:t>
            </w:r>
          </w:p>
        </w:tc>
      </w:tr>
    </w:tbl>
    <w:p w14:paraId="47D8899C" w14:textId="77777777" w:rsidR="000420F3" w:rsidRDefault="00000000">
      <w:r>
        <w:t>Job design cannot compensate for inadequate staffing, unfair pay or poor management, which can override enrichment’s motivational benefits.</w:t>
      </w:r>
    </w:p>
    <w:p w14:paraId="59240B46" w14:textId="77777777" w:rsidR="000420F3" w:rsidRDefault="00000000">
      <w:pPr>
        <w:pStyle w:val="Heading2"/>
      </w:pPr>
      <w:bookmarkStart w:id="25" w:name="_Toc235130261"/>
      <w:r>
        <w:t>3.7 Implementation roadmap</w:t>
      </w:r>
      <w:bookmarkEnd w:id="25"/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2448"/>
        <w:gridCol w:w="2448"/>
        <w:gridCol w:w="2448"/>
        <w:gridCol w:w="2448"/>
      </w:tblGrid>
      <w:tr w:rsidR="000420F3" w14:paraId="2814BD98" w14:textId="77777777">
        <w:trPr>
          <w:cantSplit/>
          <w:tblHeader/>
          <w:jc w:val="center"/>
        </w:trPr>
        <w:tc>
          <w:tcPr>
            <w:tcW w:w="2448" w:type="dxa"/>
            <w:shd w:val="clear" w:color="auto" w:fill="D9EAF7"/>
            <w:vAlign w:val="center"/>
          </w:tcPr>
          <w:p w14:paraId="56D161F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Phase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39A7D29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Main activity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7645C0F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Indicative output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6D09B29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Decision gate</w:t>
            </w:r>
          </w:p>
        </w:tc>
      </w:tr>
      <w:tr w:rsidR="000420F3" w14:paraId="03D6DDE7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3EBA445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1. Diagnose</w:t>
            </w:r>
          </w:p>
        </w:tc>
        <w:tc>
          <w:tcPr>
            <w:tcW w:w="2448" w:type="dxa"/>
            <w:vAlign w:val="center"/>
          </w:tcPr>
          <w:p w14:paraId="0ADD7CF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Employee interviews, workflow analysis, skills inventory and equality review</w:t>
            </w:r>
          </w:p>
        </w:tc>
        <w:tc>
          <w:tcPr>
            <w:tcW w:w="2448" w:type="dxa"/>
            <w:vAlign w:val="center"/>
          </w:tcPr>
          <w:p w14:paraId="6E0F55F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Baseline of job quality, capability and barriers</w:t>
            </w:r>
          </w:p>
        </w:tc>
        <w:tc>
          <w:tcPr>
            <w:tcW w:w="2448" w:type="dxa"/>
            <w:vAlign w:val="center"/>
          </w:tcPr>
          <w:p w14:paraId="5D61967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Is the problem and pilot area well defined?</w:t>
            </w:r>
          </w:p>
        </w:tc>
      </w:tr>
      <w:tr w:rsidR="000420F3" w14:paraId="56B1B1DE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650BAC0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lastRenderedPageBreak/>
              <w:t>2. Co-design</w:t>
            </w:r>
          </w:p>
        </w:tc>
        <w:tc>
          <w:tcPr>
            <w:tcW w:w="2448" w:type="dxa"/>
            <w:vAlign w:val="center"/>
          </w:tcPr>
          <w:p w14:paraId="0BD267F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Workshops with employees, managers, technical experts and employee representatives</w:t>
            </w:r>
          </w:p>
        </w:tc>
        <w:tc>
          <w:tcPr>
            <w:tcW w:w="2448" w:type="dxa"/>
            <w:vAlign w:val="center"/>
          </w:tcPr>
          <w:p w14:paraId="21EB8B7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Role clusters, safeguards and marketplace rules</w:t>
            </w:r>
          </w:p>
        </w:tc>
        <w:tc>
          <w:tcPr>
            <w:tcW w:w="2448" w:type="dxa"/>
            <w:vAlign w:val="center"/>
          </w:tcPr>
          <w:p w14:paraId="6452C73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Are safety and fairness controls credible?</w:t>
            </w:r>
          </w:p>
        </w:tc>
      </w:tr>
      <w:tr w:rsidR="000420F3" w14:paraId="3E5063DD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7A017B8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3. Pilot</w:t>
            </w:r>
          </w:p>
        </w:tc>
        <w:tc>
          <w:tcPr>
            <w:tcW w:w="2448" w:type="dxa"/>
            <w:vAlign w:val="center"/>
          </w:tcPr>
          <w:p w14:paraId="25EC906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Run in one production or engineering area</w:t>
            </w:r>
          </w:p>
        </w:tc>
        <w:tc>
          <w:tcPr>
            <w:tcW w:w="2448" w:type="dxa"/>
            <w:vAlign w:val="center"/>
          </w:tcPr>
          <w:p w14:paraId="7F6CBF9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Projects, rotations and skill matches</w:t>
            </w:r>
          </w:p>
        </w:tc>
        <w:tc>
          <w:tcPr>
            <w:tcW w:w="2448" w:type="dxa"/>
            <w:vAlign w:val="center"/>
          </w:tcPr>
          <w:p w14:paraId="0A00087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Do outcomes improve?</w:t>
            </w:r>
          </w:p>
        </w:tc>
      </w:tr>
      <w:tr w:rsidR="000420F3" w14:paraId="344A7C43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2D13F17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4. Evaluate</w:t>
            </w:r>
          </w:p>
        </w:tc>
        <w:tc>
          <w:tcPr>
            <w:tcW w:w="2448" w:type="dxa"/>
            <w:vAlign w:val="center"/>
          </w:tcPr>
          <w:p w14:paraId="71228C4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Compare before/after data and qualitative feedback</w:t>
            </w:r>
          </w:p>
        </w:tc>
        <w:tc>
          <w:tcPr>
            <w:tcW w:w="2448" w:type="dxa"/>
            <w:vAlign w:val="center"/>
          </w:tcPr>
          <w:p w14:paraId="556CBF9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Benefits, unintended effects and required changes</w:t>
            </w:r>
          </w:p>
        </w:tc>
        <w:tc>
          <w:tcPr>
            <w:tcW w:w="2448" w:type="dxa"/>
            <w:vAlign w:val="center"/>
          </w:tcPr>
          <w:p w14:paraId="47FF9D8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Adapt, expand or stop?</w:t>
            </w:r>
          </w:p>
        </w:tc>
      </w:tr>
      <w:tr w:rsidR="000420F3" w14:paraId="1CD2DA31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288DEFB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5. Scale</w:t>
            </w:r>
          </w:p>
        </w:tc>
        <w:tc>
          <w:tcPr>
            <w:tcW w:w="2448" w:type="dxa"/>
            <w:vAlign w:val="center"/>
          </w:tcPr>
          <w:p w14:paraId="6832A72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Extend gradually with governance and manager training</w:t>
            </w:r>
          </w:p>
        </w:tc>
        <w:tc>
          <w:tcPr>
            <w:tcW w:w="2448" w:type="dxa"/>
            <w:vAlign w:val="center"/>
          </w:tcPr>
          <w:p w14:paraId="7A439BA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Enterprise skills architecture</w:t>
            </w:r>
          </w:p>
        </w:tc>
        <w:tc>
          <w:tcPr>
            <w:tcW w:w="2448" w:type="dxa"/>
            <w:vAlign w:val="center"/>
          </w:tcPr>
          <w:p w14:paraId="0EB6FB4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Are outcomes consistent across sites?</w:t>
            </w:r>
          </w:p>
        </w:tc>
      </w:tr>
    </w:tbl>
    <w:p w14:paraId="600945E4" w14:textId="77777777" w:rsidR="000420F3" w:rsidRDefault="00000000">
      <w:pPr>
        <w:pStyle w:val="Heading2"/>
      </w:pPr>
      <w:bookmarkStart w:id="26" w:name="_Toc235130262"/>
      <w:r>
        <w:t>3.8 Risks and controls</w:t>
      </w:r>
      <w:bookmarkEnd w:id="26"/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4896"/>
        <w:gridCol w:w="4896"/>
      </w:tblGrid>
      <w:tr w:rsidR="000420F3" w14:paraId="3F07ED4E" w14:textId="77777777">
        <w:trPr>
          <w:cantSplit/>
          <w:tblHeader/>
          <w:jc w:val="center"/>
        </w:trPr>
        <w:tc>
          <w:tcPr>
            <w:tcW w:w="4896" w:type="dxa"/>
            <w:shd w:val="clear" w:color="auto" w:fill="D9EAF7"/>
            <w:vAlign w:val="center"/>
          </w:tcPr>
          <w:p w14:paraId="5ECB2F9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Risk</w:t>
            </w:r>
          </w:p>
        </w:tc>
        <w:tc>
          <w:tcPr>
            <w:tcW w:w="4896" w:type="dxa"/>
            <w:shd w:val="clear" w:color="auto" w:fill="D9EAF7"/>
            <w:vAlign w:val="center"/>
          </w:tcPr>
          <w:p w14:paraId="33EDA60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Suggested control</w:t>
            </w:r>
          </w:p>
        </w:tc>
      </w:tr>
      <w:tr w:rsidR="000420F3" w14:paraId="42B905F1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2E27A61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Safety risk from excessive autonomy</w:t>
            </w:r>
          </w:p>
        </w:tc>
        <w:tc>
          <w:tcPr>
            <w:tcW w:w="4896" w:type="dxa"/>
            <w:vAlign w:val="center"/>
          </w:tcPr>
          <w:p w14:paraId="421BE1F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Define non-negotiable controls, competence gates and escalation rules</w:t>
            </w:r>
          </w:p>
        </w:tc>
      </w:tr>
      <w:tr w:rsidR="000420F3" w14:paraId="110D4305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4F25CB6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Project overload</w:t>
            </w:r>
          </w:p>
        </w:tc>
        <w:tc>
          <w:tcPr>
            <w:tcW w:w="4896" w:type="dxa"/>
            <w:vAlign w:val="center"/>
          </w:tcPr>
          <w:p w14:paraId="77F870D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Set capacity limits and include project work in workload planning</w:t>
            </w:r>
          </w:p>
        </w:tc>
      </w:tr>
      <w:tr w:rsidR="000420F3" w14:paraId="38B8C7BB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44D0CDB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Managers hoard skilled employees</w:t>
            </w:r>
          </w:p>
        </w:tc>
        <w:tc>
          <w:tcPr>
            <w:tcW w:w="4896" w:type="dxa"/>
            <w:vAlign w:val="center"/>
          </w:tcPr>
          <w:p w14:paraId="1971AAF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Measure talent development and release as a leadership responsibility</w:t>
            </w:r>
          </w:p>
        </w:tc>
      </w:tr>
      <w:tr w:rsidR="000420F3" w14:paraId="73905622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23D3306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Algorithmic bias</w:t>
            </w:r>
          </w:p>
        </w:tc>
        <w:tc>
          <w:tcPr>
            <w:tcW w:w="4896" w:type="dxa"/>
            <w:vAlign w:val="center"/>
          </w:tcPr>
          <w:p w14:paraId="77F455E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Use transparent matching logic, fairness audits, human review and appeal routes</w:t>
            </w:r>
          </w:p>
        </w:tc>
      </w:tr>
      <w:tr w:rsidR="000420F3" w14:paraId="29D0702B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034540A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Inaccurate skill profiles</w:t>
            </w:r>
          </w:p>
        </w:tc>
        <w:tc>
          <w:tcPr>
            <w:tcW w:w="4896" w:type="dxa"/>
            <w:vAlign w:val="center"/>
          </w:tcPr>
          <w:p w14:paraId="12CEFD1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Require evidence and periodic verification for critical skills</w:t>
            </w:r>
          </w:p>
        </w:tc>
      </w:tr>
      <w:tr w:rsidR="000420F3" w14:paraId="630EE196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3C6BE20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Unequal access to visible projects</w:t>
            </w:r>
          </w:p>
        </w:tc>
        <w:tc>
          <w:tcPr>
            <w:tcW w:w="4896" w:type="dxa"/>
            <w:vAlign w:val="center"/>
          </w:tcPr>
          <w:p w14:paraId="11CC3B6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Publish all opportunities and monitor participation and outcomes</w:t>
            </w:r>
          </w:p>
        </w:tc>
      </w:tr>
      <w:tr w:rsidR="000420F3" w14:paraId="1AC7CFF7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4CF1202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Loss of specialist expertise</w:t>
            </w:r>
          </w:p>
        </w:tc>
        <w:tc>
          <w:tcPr>
            <w:tcW w:w="4896" w:type="dxa"/>
            <w:vAlign w:val="center"/>
          </w:tcPr>
          <w:p w14:paraId="596BE1F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Maintain technical career paths and communities of practice</w:t>
            </w:r>
          </w:p>
        </w:tc>
      </w:tr>
      <w:tr w:rsidR="000420F3" w14:paraId="7D212C3E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7E82026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Resistance or mistrust</w:t>
            </w:r>
          </w:p>
        </w:tc>
        <w:tc>
          <w:tcPr>
            <w:tcW w:w="4896" w:type="dxa"/>
            <w:vAlign w:val="center"/>
          </w:tcPr>
          <w:p w14:paraId="5CA33B2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Co-design with employees and representatives; communicate purpose and limits</w:t>
            </w:r>
          </w:p>
        </w:tc>
      </w:tr>
    </w:tbl>
    <w:p w14:paraId="7CAB47FF" w14:textId="77777777" w:rsidR="000420F3" w:rsidRDefault="00000000">
      <w:pPr>
        <w:pStyle w:val="Heading2"/>
      </w:pPr>
      <w:bookmarkStart w:id="27" w:name="_Toc235130263"/>
      <w:r>
        <w:t>3.9 Measures of success</w:t>
      </w:r>
      <w:bookmarkEnd w:id="27"/>
    </w:p>
    <w:p w14:paraId="51F5FD0B" w14:textId="77777777" w:rsidR="000420F3" w:rsidRDefault="00000000">
      <w:pPr>
        <w:pStyle w:val="ListBullet"/>
        <w:ind w:hanging="230"/>
      </w:pPr>
      <w:r>
        <w:t>Employee engagement, meaningfulness, autonomy and perceived fairness.</w:t>
      </w:r>
    </w:p>
    <w:p w14:paraId="64F96F21" w14:textId="77777777" w:rsidR="000420F3" w:rsidRDefault="00000000">
      <w:pPr>
        <w:pStyle w:val="ListBullet"/>
        <w:ind w:hanging="230"/>
      </w:pPr>
      <w:r>
        <w:t>Internal mobility and participation in projects or learning opportunities.</w:t>
      </w:r>
    </w:p>
    <w:p w14:paraId="5029208D" w14:textId="77777777" w:rsidR="000420F3" w:rsidRDefault="00000000">
      <w:pPr>
        <w:pStyle w:val="ListBullet"/>
        <w:ind w:hanging="230"/>
      </w:pPr>
      <w:r>
        <w:t>Retention of critical and early-career talent.</w:t>
      </w:r>
    </w:p>
    <w:p w14:paraId="54D299B6" w14:textId="77777777" w:rsidR="000420F3" w:rsidRDefault="00000000">
      <w:pPr>
        <w:pStyle w:val="ListBullet"/>
        <w:ind w:hanging="230"/>
      </w:pPr>
      <w:r>
        <w:t>Time required to fill internal skill gaps.</w:t>
      </w:r>
    </w:p>
    <w:p w14:paraId="2E5FC8D0" w14:textId="77777777" w:rsidR="000420F3" w:rsidRDefault="00000000">
      <w:pPr>
        <w:pStyle w:val="ListBullet"/>
        <w:ind w:hanging="230"/>
      </w:pPr>
      <w:r>
        <w:t>Implemented improvement ideas and project benefits.</w:t>
      </w:r>
    </w:p>
    <w:p w14:paraId="2BA7AA68" w14:textId="77777777" w:rsidR="000420F3" w:rsidRDefault="00000000">
      <w:pPr>
        <w:pStyle w:val="ListBullet"/>
        <w:ind w:hanging="230"/>
      </w:pPr>
      <w:r>
        <w:t>Safety, quality, downtime, energy and environmental indicators.</w:t>
      </w:r>
    </w:p>
    <w:p w14:paraId="1B5E8100" w14:textId="77777777" w:rsidR="000420F3" w:rsidRDefault="000420F3">
      <w:pPr>
        <w:spacing w:after="40"/>
      </w:pPr>
    </w:p>
    <w:p w14:paraId="140D7687" w14:textId="71AEE0FF" w:rsidR="000420F3" w:rsidRDefault="00000000" w:rsidP="00871772">
      <w:pPr>
        <w:pStyle w:val="Heading1"/>
      </w:pPr>
      <w:bookmarkStart w:id="28" w:name="_Toc235130264"/>
      <w:r>
        <w:lastRenderedPageBreak/>
        <w:t>4. Task 3 research and reflection guide: AI and employability capabilities</w:t>
      </w:r>
      <w:bookmarkEnd w:id="28"/>
    </w:p>
    <w:p w14:paraId="6388CD1E" w14:textId="77777777" w:rsidR="000420F3" w:rsidRDefault="00000000">
      <w:pPr>
        <w:pStyle w:val="Heading2"/>
      </w:pPr>
      <w:bookmarkStart w:id="29" w:name="_Toc235130265"/>
      <w:r>
        <w:t>4.1 Using AI as decision support without eroding judgement</w:t>
      </w:r>
      <w:bookmarkEnd w:id="29"/>
    </w:p>
    <w:p w14:paraId="1231DAF5" w14:textId="77777777" w:rsidR="000420F3" w:rsidRDefault="00000000">
      <w:r>
        <w:t>Potential responsible uses in a Tata Steel or HR context:</w:t>
      </w:r>
    </w:p>
    <w:p w14:paraId="1DA9A16D" w14:textId="77777777" w:rsidR="000420F3" w:rsidRDefault="00000000">
      <w:pPr>
        <w:pStyle w:val="ListBullet"/>
        <w:ind w:hanging="230"/>
      </w:pPr>
      <w:r>
        <w:t>Identifying possible skills gaps and training needs.</w:t>
      </w:r>
    </w:p>
    <w:p w14:paraId="0FA2A3D3" w14:textId="77777777" w:rsidR="000420F3" w:rsidRDefault="00000000">
      <w:pPr>
        <w:pStyle w:val="ListBullet"/>
        <w:ind w:hanging="230"/>
      </w:pPr>
      <w:r>
        <w:t>Exploring workforce-planning scenarios.</w:t>
      </w:r>
    </w:p>
    <w:p w14:paraId="6D73853B" w14:textId="77777777" w:rsidR="000420F3" w:rsidRDefault="00000000">
      <w:pPr>
        <w:pStyle w:val="ListBullet"/>
        <w:ind w:hanging="230"/>
      </w:pPr>
      <w:proofErr w:type="spellStart"/>
      <w:r>
        <w:t>Analysing</w:t>
      </w:r>
      <w:proofErr w:type="spellEnd"/>
      <w:r>
        <w:t xml:space="preserve"> themes in engagement feedback.</w:t>
      </w:r>
    </w:p>
    <w:p w14:paraId="03CB0F64" w14:textId="77777777" w:rsidR="000420F3" w:rsidRDefault="00000000">
      <w:pPr>
        <w:pStyle w:val="ListBullet"/>
        <w:ind w:hanging="230"/>
      </w:pPr>
      <w:r>
        <w:t>Automating low-risk administrative tasks.</w:t>
      </w:r>
    </w:p>
    <w:p w14:paraId="201A129F" w14:textId="77777777" w:rsidR="000420F3" w:rsidRDefault="00000000">
      <w:r>
        <w:t>Decisions that should not be delegated entirely to AI:</w:t>
      </w:r>
    </w:p>
    <w:p w14:paraId="23492672" w14:textId="77777777" w:rsidR="000420F3" w:rsidRDefault="00000000">
      <w:pPr>
        <w:pStyle w:val="ListBullet"/>
        <w:ind w:hanging="230"/>
      </w:pPr>
      <w:r>
        <w:t>Recruitment, promotion, disciplinary and redundancy decisions.</w:t>
      </w:r>
    </w:p>
    <w:p w14:paraId="48549E3C" w14:textId="77777777" w:rsidR="000420F3" w:rsidRDefault="00000000">
      <w:pPr>
        <w:pStyle w:val="ListBullet"/>
        <w:ind w:hanging="230"/>
      </w:pPr>
      <w:r>
        <w:t>Selection for scarce development or mobility opportunities.</w:t>
      </w:r>
    </w:p>
    <w:p w14:paraId="71472DD3" w14:textId="77777777" w:rsidR="000420F3" w:rsidRDefault="00000000">
      <w:pPr>
        <w:pStyle w:val="ListBullet"/>
        <w:ind w:hanging="230"/>
      </w:pPr>
      <w:r>
        <w:t>Interpretation of employee concerns, grievances or wellbeing issues.</w:t>
      </w:r>
    </w:p>
    <w:p w14:paraId="52B5E32C" w14:textId="77777777" w:rsidR="000420F3" w:rsidRDefault="00000000">
      <w:pPr>
        <w:pStyle w:val="Heading2"/>
      </w:pPr>
      <w:bookmarkStart w:id="30" w:name="_Toc235130266"/>
      <w:r>
        <w:t>4.2 Human-judgement safeguards</w:t>
      </w:r>
      <w:bookmarkEnd w:id="30"/>
    </w:p>
    <w:p w14:paraId="26D90200" w14:textId="77777777" w:rsidR="000420F3" w:rsidRDefault="00000000">
      <w:pPr>
        <w:spacing w:after="60"/>
        <w:ind w:left="403" w:hanging="403"/>
      </w:pPr>
      <w:r>
        <w:t>1. Check the data is accurate, current and lawfully obtained.</w:t>
      </w:r>
    </w:p>
    <w:p w14:paraId="6E2E8CDE" w14:textId="77777777" w:rsidR="000420F3" w:rsidRDefault="00000000">
      <w:pPr>
        <w:spacing w:after="60"/>
        <w:ind w:left="403" w:hanging="403"/>
      </w:pPr>
      <w:r>
        <w:t>2. Understand the system’s purpose and limits rather than treating a score as fact.</w:t>
      </w:r>
    </w:p>
    <w:p w14:paraId="0ADF1CCF" w14:textId="77777777" w:rsidR="000420F3" w:rsidRDefault="00000000">
      <w:pPr>
        <w:spacing w:after="60"/>
        <w:ind w:left="403" w:hanging="403"/>
      </w:pPr>
      <w:r>
        <w:t>3. Compare recommendations with professional knowledge and evidence.</w:t>
      </w:r>
    </w:p>
    <w:p w14:paraId="2C60E3ED" w14:textId="77777777" w:rsidR="000420F3" w:rsidRDefault="00000000">
      <w:pPr>
        <w:spacing w:after="60"/>
        <w:ind w:left="403" w:hanging="403"/>
      </w:pPr>
      <w:r>
        <w:t>4. Document the reasoning and accountability behind the final decision.</w:t>
      </w:r>
    </w:p>
    <w:p w14:paraId="1C14D3D1" w14:textId="77777777" w:rsidR="000420F3" w:rsidRDefault="00000000">
      <w:pPr>
        <w:spacing w:after="60"/>
        <w:ind w:left="403" w:hanging="403"/>
      </w:pPr>
      <w:r>
        <w:t>5. Give affected employees clear information and a meaningful appeal route.</w:t>
      </w:r>
    </w:p>
    <w:p w14:paraId="660EAECC" w14:textId="77777777" w:rsidR="000420F3" w:rsidRDefault="00000000">
      <w:pPr>
        <w:spacing w:after="60"/>
        <w:ind w:left="403" w:hanging="403"/>
      </w:pPr>
      <w:r>
        <w:t>6. Watch for automation bias, where reviewers simply accept system output.</w:t>
      </w:r>
    </w:p>
    <w:p w14:paraId="5C54B8F3" w14:textId="77777777" w:rsidR="000420F3" w:rsidRDefault="00000000">
      <w:r>
        <w:t>The OECD’s trustworthy-AI guidance stresses human-</w:t>
      </w:r>
      <w:proofErr w:type="spellStart"/>
      <w:r>
        <w:t>centred</w:t>
      </w:r>
      <w:proofErr w:type="spellEnd"/>
      <w:r>
        <w:t xml:space="preserve"> values, fairness, transparency and human intervention; ILO analysis warns that biased data and opaque design can undermine AI-supported HR decisions (OECD, 2023; ILO, 2025).</w:t>
      </w:r>
    </w:p>
    <w:p w14:paraId="3948313F" w14:textId="77777777" w:rsidR="000420F3" w:rsidRDefault="00000000">
      <w:pPr>
        <w:pStyle w:val="Heading2"/>
      </w:pPr>
      <w:bookmarkStart w:id="31" w:name="_Toc235130267"/>
      <w:r>
        <w:t>4.3 Suggested personal capability development plan</w:t>
      </w:r>
      <w:bookmarkEnd w:id="31"/>
    </w:p>
    <w:tbl>
      <w:tblPr>
        <w:tblStyle w:val="TableGrid"/>
        <w:tblW w:w="9790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1958"/>
        <w:gridCol w:w="1958"/>
        <w:gridCol w:w="1958"/>
        <w:gridCol w:w="1958"/>
        <w:gridCol w:w="1958"/>
      </w:tblGrid>
      <w:tr w:rsidR="000420F3" w14:paraId="7327DE3B" w14:textId="77777777">
        <w:trPr>
          <w:cantSplit/>
          <w:tblHeader/>
          <w:jc w:val="center"/>
        </w:trPr>
        <w:tc>
          <w:tcPr>
            <w:tcW w:w="1958" w:type="dxa"/>
            <w:shd w:val="clear" w:color="auto" w:fill="D9EAF7"/>
            <w:vAlign w:val="center"/>
          </w:tcPr>
          <w:p w14:paraId="2196181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Capability</w:t>
            </w:r>
          </w:p>
        </w:tc>
        <w:tc>
          <w:tcPr>
            <w:tcW w:w="1958" w:type="dxa"/>
            <w:shd w:val="clear" w:color="auto" w:fill="D9EAF7"/>
            <w:vAlign w:val="center"/>
          </w:tcPr>
          <w:p w14:paraId="16276B9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Possible current gap</w:t>
            </w:r>
          </w:p>
        </w:tc>
        <w:tc>
          <w:tcPr>
            <w:tcW w:w="1958" w:type="dxa"/>
            <w:shd w:val="clear" w:color="auto" w:fill="D9EAF7"/>
            <w:vAlign w:val="center"/>
          </w:tcPr>
          <w:p w14:paraId="0157915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Development action</w:t>
            </w:r>
          </w:p>
        </w:tc>
        <w:tc>
          <w:tcPr>
            <w:tcW w:w="1958" w:type="dxa"/>
            <w:shd w:val="clear" w:color="auto" w:fill="D9EAF7"/>
            <w:vAlign w:val="center"/>
          </w:tcPr>
          <w:p w14:paraId="1770934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Evidence</w:t>
            </w:r>
          </w:p>
        </w:tc>
        <w:tc>
          <w:tcPr>
            <w:tcW w:w="1958" w:type="dxa"/>
            <w:shd w:val="clear" w:color="auto" w:fill="D9EAF7"/>
            <w:vAlign w:val="center"/>
          </w:tcPr>
          <w:p w14:paraId="54CDB86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Target</w:t>
            </w:r>
          </w:p>
        </w:tc>
      </w:tr>
      <w:tr w:rsidR="000420F3" w14:paraId="06814DB9" w14:textId="77777777">
        <w:trPr>
          <w:cantSplit/>
          <w:jc w:val="center"/>
        </w:trPr>
        <w:tc>
          <w:tcPr>
            <w:tcW w:w="1958" w:type="dxa"/>
            <w:vAlign w:val="center"/>
          </w:tcPr>
          <w:p w14:paraId="5B85765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Data literacy</w:t>
            </w:r>
          </w:p>
        </w:tc>
        <w:tc>
          <w:tcPr>
            <w:tcW w:w="1958" w:type="dxa"/>
            <w:vAlign w:val="center"/>
          </w:tcPr>
          <w:p w14:paraId="2A1AD49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Limited confidence interpreting workforce data or dashboards</w:t>
            </w:r>
          </w:p>
        </w:tc>
        <w:tc>
          <w:tcPr>
            <w:tcW w:w="1958" w:type="dxa"/>
            <w:vAlign w:val="center"/>
          </w:tcPr>
          <w:p w14:paraId="625A293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Complete a people-analytics course and build a small dashboard</w:t>
            </w:r>
          </w:p>
        </w:tc>
        <w:tc>
          <w:tcPr>
            <w:tcW w:w="1958" w:type="dxa"/>
            <w:vAlign w:val="center"/>
          </w:tcPr>
          <w:p w14:paraId="37EB77E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Certificate, dashboard and written interpretation</w:t>
            </w:r>
          </w:p>
        </w:tc>
        <w:tc>
          <w:tcPr>
            <w:tcW w:w="1958" w:type="dxa"/>
            <w:vAlign w:val="center"/>
          </w:tcPr>
          <w:p w14:paraId="5F637B6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Within 6 months</w:t>
            </w:r>
          </w:p>
        </w:tc>
      </w:tr>
      <w:tr w:rsidR="000420F3" w14:paraId="36078726" w14:textId="77777777">
        <w:trPr>
          <w:cantSplit/>
          <w:jc w:val="center"/>
        </w:trPr>
        <w:tc>
          <w:tcPr>
            <w:tcW w:w="1958" w:type="dxa"/>
            <w:vAlign w:val="center"/>
          </w:tcPr>
          <w:p w14:paraId="298F73F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AI augmentation in HR</w:t>
            </w:r>
          </w:p>
        </w:tc>
        <w:tc>
          <w:tcPr>
            <w:tcW w:w="1958" w:type="dxa"/>
            <w:vAlign w:val="center"/>
          </w:tcPr>
          <w:p w14:paraId="7F61C38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Limited knowledge of AI bias, privacy and governance</w:t>
            </w:r>
          </w:p>
        </w:tc>
        <w:tc>
          <w:tcPr>
            <w:tcW w:w="1958" w:type="dxa"/>
            <w:vAlign w:val="center"/>
          </w:tcPr>
          <w:p w14:paraId="6497976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Evaluate one HR AI use case using an ethical-risk checklist</w:t>
            </w:r>
          </w:p>
        </w:tc>
        <w:tc>
          <w:tcPr>
            <w:tcW w:w="1958" w:type="dxa"/>
            <w:vAlign w:val="center"/>
          </w:tcPr>
          <w:p w14:paraId="2697C6C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Written evaluation and revised checklist after feedback</w:t>
            </w:r>
          </w:p>
        </w:tc>
        <w:tc>
          <w:tcPr>
            <w:tcW w:w="1958" w:type="dxa"/>
            <w:vAlign w:val="center"/>
          </w:tcPr>
          <w:p w14:paraId="27B06B0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Within 4 months</w:t>
            </w:r>
          </w:p>
        </w:tc>
      </w:tr>
      <w:tr w:rsidR="000420F3" w14:paraId="6662FE3D" w14:textId="77777777">
        <w:trPr>
          <w:cantSplit/>
          <w:jc w:val="center"/>
        </w:trPr>
        <w:tc>
          <w:tcPr>
            <w:tcW w:w="1958" w:type="dxa"/>
            <w:vAlign w:val="center"/>
          </w:tcPr>
          <w:p w14:paraId="59D883D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lastRenderedPageBreak/>
              <w:t>Strategic influencing</w:t>
            </w:r>
          </w:p>
        </w:tc>
        <w:tc>
          <w:tcPr>
            <w:tcW w:w="1958" w:type="dxa"/>
            <w:vAlign w:val="center"/>
          </w:tcPr>
          <w:p w14:paraId="62468A1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Need confidence presenting evidence to senior stakeholders</w:t>
            </w:r>
          </w:p>
        </w:tc>
        <w:tc>
          <w:tcPr>
            <w:tcW w:w="1958" w:type="dxa"/>
            <w:vAlign w:val="center"/>
          </w:tcPr>
          <w:p w14:paraId="472BD2D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Deliver short recommendations and request structured feedback</w:t>
            </w:r>
          </w:p>
        </w:tc>
        <w:tc>
          <w:tcPr>
            <w:tcW w:w="1958" w:type="dxa"/>
            <w:vAlign w:val="center"/>
          </w:tcPr>
          <w:p w14:paraId="774571E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Presentation feedback and reflection log</w:t>
            </w:r>
          </w:p>
        </w:tc>
        <w:tc>
          <w:tcPr>
            <w:tcW w:w="1958" w:type="dxa"/>
            <w:vAlign w:val="center"/>
          </w:tcPr>
          <w:p w14:paraId="3E3084C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During the next academic term</w:t>
            </w:r>
          </w:p>
        </w:tc>
      </w:tr>
      <w:tr w:rsidR="000420F3" w14:paraId="78555DC3" w14:textId="77777777">
        <w:trPr>
          <w:cantSplit/>
          <w:jc w:val="center"/>
        </w:trPr>
        <w:tc>
          <w:tcPr>
            <w:tcW w:w="1958" w:type="dxa"/>
            <w:vAlign w:val="center"/>
          </w:tcPr>
          <w:p w14:paraId="7EC0679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Global mobility awareness</w:t>
            </w:r>
          </w:p>
        </w:tc>
        <w:tc>
          <w:tcPr>
            <w:tcW w:w="1958" w:type="dxa"/>
            <w:vAlign w:val="center"/>
          </w:tcPr>
          <w:p w14:paraId="3652E83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Limited understanding of cross-border mobility issues</w:t>
            </w:r>
          </w:p>
        </w:tc>
        <w:tc>
          <w:tcPr>
            <w:tcW w:w="1958" w:type="dxa"/>
            <w:vAlign w:val="center"/>
          </w:tcPr>
          <w:p w14:paraId="25A46B0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Compare mobility and employment considerations across the UK, Europe and Asia</w:t>
            </w:r>
          </w:p>
        </w:tc>
        <w:tc>
          <w:tcPr>
            <w:tcW w:w="1958" w:type="dxa"/>
            <w:vAlign w:val="center"/>
          </w:tcPr>
          <w:p w14:paraId="2FAA3FC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Three-country briefing and discussion with a practitioner</w:t>
            </w:r>
          </w:p>
        </w:tc>
        <w:tc>
          <w:tcPr>
            <w:tcW w:w="1958" w:type="dxa"/>
            <w:vAlign w:val="center"/>
          </w:tcPr>
          <w:p w14:paraId="315DD8D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Within 6 months</w:t>
            </w:r>
          </w:p>
        </w:tc>
      </w:tr>
    </w:tbl>
    <w:p w14:paraId="7DFB0CFA" w14:textId="77777777" w:rsidR="000420F3" w:rsidRDefault="00000000">
      <w:pPr>
        <w:pStyle w:val="Heading2"/>
      </w:pPr>
      <w:bookmarkStart w:id="32" w:name="_Toc235130268"/>
      <w:r>
        <w:t>4.4 Reflection prompts</w:t>
      </w:r>
      <w:bookmarkEnd w:id="32"/>
    </w:p>
    <w:p w14:paraId="232DDEDD" w14:textId="77777777" w:rsidR="000420F3" w:rsidRDefault="00000000">
      <w:pPr>
        <w:pStyle w:val="ListBullet"/>
        <w:ind w:hanging="230"/>
      </w:pPr>
      <w:r>
        <w:t>One situation where I relied too heavily on a tool or data output?</w:t>
      </w:r>
    </w:p>
    <w:p w14:paraId="31CB8A7F" w14:textId="77777777" w:rsidR="000420F3" w:rsidRDefault="00000000">
      <w:pPr>
        <w:pStyle w:val="ListBullet"/>
        <w:ind w:hanging="230"/>
      </w:pPr>
      <w:r>
        <w:t>Which ethical risk would I most likely overlook: bias, privacy or automation bias?</w:t>
      </w:r>
    </w:p>
    <w:p w14:paraId="688CE52E" w14:textId="77777777" w:rsidR="000420F3" w:rsidRDefault="00000000">
      <w:pPr>
        <w:pStyle w:val="ListBullet"/>
        <w:ind w:hanging="230"/>
      </w:pPr>
      <w:r>
        <w:t>How will these capabilities improve my employability in a global and technology-enabled workplace?</w:t>
      </w:r>
    </w:p>
    <w:p w14:paraId="0040F4A6" w14:textId="77777777" w:rsidR="000420F3" w:rsidRDefault="00000000">
      <w:pPr>
        <w:pStyle w:val="Heading2"/>
      </w:pPr>
      <w:bookmarkStart w:id="33" w:name="_Toc235130269"/>
      <w:r>
        <w:t>4.5 Sentence starters to adapt</w:t>
      </w:r>
      <w:bookmarkEnd w:id="33"/>
    </w:p>
    <w:p w14:paraId="56F63D19" w14:textId="77777777" w:rsidR="000420F3" w:rsidRDefault="00000000">
      <w:pPr>
        <w:spacing w:after="80"/>
        <w:ind w:left="432"/>
      </w:pPr>
      <w:r>
        <w:rPr>
          <w:i/>
          <w:color w:val="505050"/>
        </w:rPr>
        <w:t>“Before accepting an AI recommendation, I would...”</w:t>
      </w:r>
    </w:p>
    <w:p w14:paraId="3F92DC26" w14:textId="77777777" w:rsidR="000420F3" w:rsidRDefault="00000000">
      <w:pPr>
        <w:spacing w:after="80"/>
        <w:ind w:left="432"/>
      </w:pPr>
      <w:r>
        <w:rPr>
          <w:i/>
          <w:color w:val="505050"/>
        </w:rPr>
        <w:t>“My current strength is..., but I need to develop...”</w:t>
      </w:r>
    </w:p>
    <w:p w14:paraId="00146D88" w14:textId="77777777" w:rsidR="000420F3" w:rsidRDefault="00000000">
      <w:pPr>
        <w:spacing w:after="80"/>
        <w:ind w:left="432"/>
      </w:pPr>
      <w:r>
        <w:rPr>
          <w:i/>
          <w:color w:val="505050"/>
        </w:rPr>
        <w:t>“I will measure improvement by...”</w:t>
      </w:r>
    </w:p>
    <w:p w14:paraId="15FCAC8D" w14:textId="53353A0B" w:rsidR="00840134" w:rsidRDefault="00000000" w:rsidP="00840134">
      <w:pPr>
        <w:spacing w:after="80"/>
        <w:ind w:left="432"/>
        <w:rPr>
          <w:i/>
          <w:color w:val="505050"/>
        </w:rPr>
      </w:pPr>
      <w:r>
        <w:rPr>
          <w:i/>
          <w:color w:val="505050"/>
        </w:rPr>
        <w:t>“This capability matters for my employability because...”</w:t>
      </w:r>
      <w:bookmarkStart w:id="34" w:name="__RefHeading___Toc2147_836813259"/>
      <w:bookmarkEnd w:id="34"/>
    </w:p>
    <w:p w14:paraId="001DAB6E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5EC2DEC5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2ED66A86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7EF89329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2C6BDEDD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70B0BFE0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5BCD156A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5F83164E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48E5BE06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177C053D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6C1A9ADB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326701CB" w14:textId="77777777" w:rsidR="00840134" w:rsidRDefault="00840134" w:rsidP="00840134">
      <w:pPr>
        <w:spacing w:after="80"/>
        <w:ind w:left="432"/>
        <w:rPr>
          <w:i/>
          <w:color w:val="505050"/>
        </w:rPr>
      </w:pPr>
    </w:p>
    <w:p w14:paraId="41F1B76D" w14:textId="77777777" w:rsidR="00840134" w:rsidRDefault="00840134" w:rsidP="000B5328">
      <w:pPr>
        <w:spacing w:after="80"/>
      </w:pPr>
    </w:p>
    <w:p w14:paraId="50012B9B" w14:textId="17CE0A25" w:rsidR="000420F3" w:rsidRDefault="00000000">
      <w:pPr>
        <w:pStyle w:val="Heading1"/>
      </w:pPr>
      <w:bookmarkStart w:id="35" w:name="_Toc235130270"/>
      <w:r>
        <w:lastRenderedPageBreak/>
        <w:t>References</w:t>
      </w:r>
      <w:bookmarkEnd w:id="35"/>
    </w:p>
    <w:p w14:paraId="17844B50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Ashforth, B.E. and Mael, F. (1989) ‘Social identity theory and the organization’, Academy of Management Review, 14(1), pp. 20-39.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10.5465/amr.1989.4278999.</w:t>
      </w:r>
    </w:p>
    <w:p w14:paraId="4949F35C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Ashforth, B.E., Harrison, S.H. and Corley, K.G. (2008) ‘Identification in organizations: An examination of four fundamental questions’, Journal of Management, 34(3), pp. 325-374.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10.1177/0149206308316059.</w:t>
      </w:r>
    </w:p>
    <w:p w14:paraId="3509EC36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Hackman, J.R. and Oldham, G.R. (1976) ‘Motivation through the design of work: Test of a theory’, Organizational Behavior and Human Performance, 16(2), pp. 250-279.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10.1016/0030-5073(76)90016-7.</w:t>
      </w:r>
    </w:p>
    <w:p w14:paraId="58B79AA6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International </w:t>
      </w:r>
      <w:proofErr w:type="spellStart"/>
      <w:r>
        <w:rPr>
          <w:sz w:val="21"/>
        </w:rPr>
        <w:t>Labour</w:t>
      </w:r>
      <w:proofErr w:type="spellEnd"/>
      <w:r>
        <w:rPr>
          <w:sz w:val="21"/>
        </w:rPr>
        <w:t xml:space="preserve"> Organization (ILO) (2025) AI in human resource management: The limits of empiricism. Available at: </w:t>
      </w:r>
      <w:hyperlink r:id="rId11">
        <w:r w:rsidR="000420F3">
          <w:rPr>
            <w:color w:val="0563C1"/>
            <w:sz w:val="22"/>
            <w:u w:val="single"/>
          </w:rPr>
          <w:t>https://www.ilo.org/publications/ai-human-resource-management-limits-empiricism</w:t>
        </w:r>
      </w:hyperlink>
      <w:r>
        <w:rPr>
          <w:sz w:val="21"/>
        </w:rPr>
        <w:t xml:space="preserve"> (Accessed: 16 July 2026).</w:t>
      </w:r>
    </w:p>
    <w:p w14:paraId="16B4B3A4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OECD (2023) ‘Ensuring trustworthy artificial intelligence in the workplace’, OECD Employment Outlook 2023. Available at: </w:t>
      </w:r>
      <w:hyperlink r:id="rId12">
        <w:r w:rsidR="000420F3">
          <w:rPr>
            <w:color w:val="0563C1"/>
            <w:sz w:val="22"/>
            <w:u w:val="single"/>
          </w:rPr>
          <w:t>https://www.oecd.org/en/publications/oecd-employment-outlook-2023_08785bba-en/full-report/ensuring-trustworthy-artificial-intelligence-in-the-workplace-countries-policy-action_c01b9e49.html</w:t>
        </w:r>
      </w:hyperlink>
      <w:r>
        <w:rPr>
          <w:sz w:val="21"/>
        </w:rPr>
        <w:t xml:space="preserve"> (Accessed: 16 July 2026).</w:t>
      </w:r>
    </w:p>
    <w:p w14:paraId="2D5C4C2F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Rousseau, D.M. (1989) ‘Psychological and implied contracts in organizations’, Employee Responsibilities and Rights Journal, 2, pp. 121-139.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10.1007/BF01384942.</w:t>
      </w:r>
    </w:p>
    <w:p w14:paraId="48E363FE" w14:textId="77777777" w:rsidR="000420F3" w:rsidRDefault="00000000">
      <w:pPr>
        <w:spacing w:after="100"/>
        <w:ind w:left="432" w:hanging="432"/>
      </w:pPr>
      <w:r>
        <w:rPr>
          <w:sz w:val="21"/>
        </w:rPr>
        <w:t>Rousseau, D.M. (1995) Psychological Contracts in Organizations: Understanding Written and Unwritten Agreements. Thousand Oaks, CA: Sage.</w:t>
      </w:r>
    </w:p>
    <w:p w14:paraId="567FD499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Saks, A.M., Uggerslev, K.L. and </w:t>
      </w:r>
      <w:proofErr w:type="spellStart"/>
      <w:r>
        <w:rPr>
          <w:sz w:val="21"/>
        </w:rPr>
        <w:t>Fassina</w:t>
      </w:r>
      <w:proofErr w:type="spellEnd"/>
      <w:r>
        <w:rPr>
          <w:sz w:val="21"/>
        </w:rPr>
        <w:t>, N.E. (2007) ‘Socialization tactics and newcomer adjustment: A meta-analytic review and test of a model’, Journal of Vocational Behavior, 70(3), pp. 413-446.</w:t>
      </w:r>
    </w:p>
    <w:p w14:paraId="010BDCCF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Group (2026a) Values and purpose. Available at: </w:t>
      </w:r>
      <w:hyperlink r:id="rId13">
        <w:r w:rsidR="000420F3">
          <w:rPr>
            <w:color w:val="0563C1"/>
            <w:sz w:val="22"/>
            <w:u w:val="single"/>
          </w:rPr>
          <w:t>https://www.tata.com/about-us/tata-values-purpose</w:t>
        </w:r>
      </w:hyperlink>
      <w:r>
        <w:rPr>
          <w:sz w:val="21"/>
        </w:rPr>
        <w:t xml:space="preserve"> (Accessed: 16 July 2026).</w:t>
      </w:r>
    </w:p>
    <w:p w14:paraId="3F22A1E7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Group (2026b) Tata Opportunities for Tata People. Available at: </w:t>
      </w:r>
      <w:hyperlink r:id="rId14">
        <w:r w:rsidR="000420F3">
          <w:rPr>
            <w:color w:val="0563C1"/>
            <w:sz w:val="22"/>
            <w:u w:val="single"/>
          </w:rPr>
          <w:t>https://www.tata.com/careers/jobs/internal-jobs-tata-group-mobility</w:t>
        </w:r>
      </w:hyperlink>
      <w:r>
        <w:rPr>
          <w:sz w:val="21"/>
        </w:rPr>
        <w:t xml:space="preserve"> (Accessed: 16 July 2026).</w:t>
      </w:r>
    </w:p>
    <w:p w14:paraId="2EA9F74F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Steel (2025) Integrated Report and Annual Accounts 2024-25. Available at: </w:t>
      </w:r>
      <w:hyperlink r:id="rId15">
        <w:r w:rsidR="000420F3">
          <w:rPr>
            <w:color w:val="0563C1"/>
            <w:sz w:val="22"/>
            <w:u w:val="single"/>
          </w:rPr>
          <w:t>https://www.tatasteel.com/investors/integrated-report-2024-25/index.html</w:t>
        </w:r>
      </w:hyperlink>
      <w:r>
        <w:rPr>
          <w:sz w:val="21"/>
        </w:rPr>
        <w:t xml:space="preserve"> (Accessed: 16 July 2026).</w:t>
      </w:r>
    </w:p>
    <w:p w14:paraId="49814F37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Steel (2026a) Vision, mission and values. Available at: </w:t>
      </w:r>
      <w:hyperlink r:id="rId16">
        <w:r w:rsidR="000420F3">
          <w:rPr>
            <w:color w:val="0563C1"/>
            <w:sz w:val="22"/>
            <w:u w:val="single"/>
          </w:rPr>
          <w:t>https://www.tatasteel.com/corporate/our-organisation/vision-mission-values/</w:t>
        </w:r>
      </w:hyperlink>
      <w:r>
        <w:rPr>
          <w:sz w:val="21"/>
        </w:rPr>
        <w:t xml:space="preserve"> (Accessed: 16 July 2026).</w:t>
      </w:r>
    </w:p>
    <w:p w14:paraId="00C8CFB2" w14:textId="77777777" w:rsidR="000420F3" w:rsidRDefault="00000000">
      <w:pPr>
        <w:spacing w:after="100"/>
        <w:ind w:left="432" w:hanging="432"/>
      </w:pPr>
      <w:r>
        <w:rPr>
          <w:sz w:val="21"/>
        </w:rPr>
        <w:lastRenderedPageBreak/>
        <w:t xml:space="preserve">Tata Steel (2026b) Human resource practices and sustainability. Available at: </w:t>
      </w:r>
      <w:hyperlink r:id="rId17">
        <w:r w:rsidR="000420F3">
          <w:rPr>
            <w:color w:val="0563C1"/>
            <w:sz w:val="22"/>
            <w:u w:val="single"/>
          </w:rPr>
          <w:t>https://www.tatasteel.com/sustainability/social/human-resource-management/</w:t>
        </w:r>
      </w:hyperlink>
      <w:r>
        <w:rPr>
          <w:sz w:val="21"/>
        </w:rPr>
        <w:t xml:space="preserve"> (Accessed: 16 July 2026).</w:t>
      </w:r>
    </w:p>
    <w:p w14:paraId="32D4838E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Steel (2026c) Building a culture of safety. Available at: </w:t>
      </w:r>
      <w:hyperlink r:id="rId18">
        <w:r w:rsidR="000420F3">
          <w:rPr>
            <w:color w:val="0563C1"/>
            <w:sz w:val="22"/>
            <w:u w:val="single"/>
          </w:rPr>
          <w:t>https://www.tatasteel.com/corporate/our-organisation/safety/building-a-culture-of-safety/</w:t>
        </w:r>
      </w:hyperlink>
      <w:r>
        <w:rPr>
          <w:sz w:val="21"/>
        </w:rPr>
        <w:t xml:space="preserve"> (Accessed: 16 July 2026).</w:t>
      </w:r>
    </w:p>
    <w:p w14:paraId="1DC7B8A7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Steel UK (2025) Plans approved for Electric Arc Furnace. Available at: </w:t>
      </w:r>
      <w:hyperlink r:id="rId19">
        <w:r w:rsidR="000420F3">
          <w:rPr>
            <w:color w:val="0563C1"/>
            <w:sz w:val="22"/>
            <w:u w:val="single"/>
          </w:rPr>
          <w:t>https://www.tatasteeluk.com/corporate/news/plans-approved-for-electric-arc-furnace</w:t>
        </w:r>
      </w:hyperlink>
      <w:r>
        <w:rPr>
          <w:sz w:val="21"/>
        </w:rPr>
        <w:t xml:space="preserve"> (Accessed: 16 July 2026).</w:t>
      </w:r>
    </w:p>
    <w:p w14:paraId="1203AA63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Steel UK (2026) Port Talbot electric arc furnace project. Available at: </w:t>
      </w:r>
      <w:hyperlink r:id="rId20">
        <w:r w:rsidR="000420F3">
          <w:rPr>
            <w:color w:val="0563C1"/>
            <w:sz w:val="22"/>
            <w:u w:val="single"/>
          </w:rPr>
          <w:t>https://www.tatasteeluk.com/welsh-government-minister-visits-port-talbot-electric-arc-furnace-progress</w:t>
        </w:r>
      </w:hyperlink>
      <w:r>
        <w:rPr>
          <w:sz w:val="21"/>
        </w:rPr>
        <w:t xml:space="preserve"> (Accessed: 16 July 2026).</w:t>
      </w:r>
    </w:p>
    <w:p w14:paraId="31AC4D47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Tims, M., Bakker, A.B. and Derks, D. (2012) ‘Development and validation of the job crafting scale’, Journal of Vocational Behavior, 80(1), pp. 173-186.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10.1016/j.jvb.2011.05.009.</w:t>
      </w:r>
    </w:p>
    <w:p w14:paraId="3A1D6C8E" w14:textId="77777777" w:rsidR="000420F3" w:rsidRDefault="00000000">
      <w:pPr>
        <w:spacing w:after="100"/>
        <w:ind w:left="432" w:hanging="432"/>
      </w:pPr>
      <w:r>
        <w:rPr>
          <w:sz w:val="21"/>
        </w:rPr>
        <w:t>Ulrich, D., Younger, J., Brockbank, W. and Ulrich, M. (2012) ‘The new HR competencies: Business partnering from the outside-in’, Human Resource Management, 51(6), pp. 777-799.</w:t>
      </w:r>
    </w:p>
    <w:p w14:paraId="15DA57EC" w14:textId="77777777" w:rsidR="000420F3" w:rsidRDefault="00000000">
      <w:pPr>
        <w:spacing w:after="100"/>
        <w:ind w:left="432" w:hanging="432"/>
      </w:pPr>
      <w:r>
        <w:rPr>
          <w:sz w:val="21"/>
        </w:rPr>
        <w:t>Van Maanen, J. and Schein, E.H. (1979) ‘Toward a theory of organizational socialization’, Research in Organizational Behavior, 1, pp. 209-264.</w:t>
      </w:r>
    </w:p>
    <w:p w14:paraId="746BA9BC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Wrzesniewski, A. and Dutton, J.E. (2001) ‘Crafting a job: Revisioning employees as active crafters of their work’, Academy of Management Review, 26(2), pp. 179-201.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10.5465/amr.2001.4378011.</w:t>
      </w:r>
    </w:p>
    <w:p w14:paraId="0FB8FAF5" w14:textId="6AAC5E69" w:rsidR="000420F3" w:rsidRDefault="000420F3"/>
    <w:sectPr w:rsidR="000420F3" w:rsidSect="000B5328">
      <w:footerReference w:type="default" r:id="rId21"/>
      <w:type w:val="continuous"/>
      <w:pgSz w:w="12240" w:h="15840"/>
      <w:pgMar w:top="1080" w:right="1224" w:bottom="1008" w:left="1224" w:header="0" w:footer="720" w:gutter="0"/>
      <w:pgNumType w:start="1"/>
      <w:cols w:space="720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135046" w14:textId="77777777" w:rsidR="003B6657" w:rsidRDefault="003B6657">
      <w:pPr>
        <w:spacing w:after="0" w:line="240" w:lineRule="auto"/>
      </w:pPr>
      <w:r>
        <w:separator/>
      </w:r>
    </w:p>
  </w:endnote>
  <w:endnote w:type="continuationSeparator" w:id="0">
    <w:p w14:paraId="614C1212" w14:textId="77777777" w:rsidR="003B6657" w:rsidRDefault="003B66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DejaVu Sans"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500C74" w14:textId="6B9BAFE3" w:rsidR="000420F3" w:rsidRDefault="000420F3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CCE59E" w14:textId="77777777" w:rsidR="000420F3" w:rsidRDefault="00000000">
    <w:pPr>
      <w:pStyle w:val="Footer"/>
      <w:jc w:val="center"/>
    </w:pPr>
    <w:r>
      <w:rPr>
        <w:sz w:val="20"/>
      </w:rPr>
      <w:t xml:space="preserve">Page </w:t>
    </w:r>
    <w:r>
      <w:fldChar w:fldCharType="begin"/>
    </w:r>
    <w:r>
      <w:instrText xml:space="preserve"> PAGE </w:instrText>
    </w:r>
    <w:r>
      <w:fldChar w:fldCharType="separate"/>
    </w:r>
    <w:r>
      <w:t>16</w:t>
    </w:r>
    <w:r>
      <w:fldChar w:fldCharType="end"/>
    </w:r>
    <w:r>
      <w:rPr>
        <w:sz w:val="20"/>
      </w:rPr>
      <w:t xml:space="preserve"> of </w:t>
    </w:r>
    <w:fldSimple w:instr=" NUMPAGES ">
      <w:r>
        <w:t>16</w:t>
      </w:r>
    </w:fldSimple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79924613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662BA1AA" w14:textId="384C981E" w:rsidR="000B5328" w:rsidRDefault="000B532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t>12</w:t>
            </w:r>
          </w:p>
        </w:sdtContent>
      </w:sdt>
    </w:sdtContent>
  </w:sdt>
  <w:p w14:paraId="7EA35E1C" w14:textId="77777777" w:rsidR="000B5328" w:rsidRDefault="000B5328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F9F435" w14:textId="77777777" w:rsidR="003B6657" w:rsidRDefault="003B6657">
      <w:pPr>
        <w:spacing w:after="0" w:line="240" w:lineRule="auto"/>
      </w:pPr>
      <w:r>
        <w:separator/>
      </w:r>
    </w:p>
  </w:footnote>
  <w:footnote w:type="continuationSeparator" w:id="0">
    <w:p w14:paraId="0AFEB12F" w14:textId="77777777" w:rsidR="003B6657" w:rsidRDefault="003B665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DD964C6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AF36064"/>
    <w:multiLevelType w:val="multilevel"/>
    <w:tmpl w:val="4E1AA01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" w15:restartNumberingAfterBreak="0">
    <w:nsid w:val="2C224027"/>
    <w:multiLevelType w:val="multilevel"/>
    <w:tmpl w:val="CFEAF0C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cs="Symbol" w:hint="default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" w15:restartNumberingAfterBreak="0">
    <w:nsid w:val="2E703919"/>
    <w:multiLevelType w:val="multilevel"/>
    <w:tmpl w:val="44AA90A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4" w15:restartNumberingAfterBreak="0">
    <w:nsid w:val="30FE3690"/>
    <w:multiLevelType w:val="multilevel"/>
    <w:tmpl w:val="C702542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5" w15:restartNumberingAfterBreak="0">
    <w:nsid w:val="49D06E1E"/>
    <w:multiLevelType w:val="multilevel"/>
    <w:tmpl w:val="66A08F2C"/>
    <w:lvl w:ilvl="0">
      <w:start w:val="1"/>
      <w:numFmt w:val="bullet"/>
      <w:pStyle w:val="ListBullet"/>
      <w:lvlText w:val=""/>
      <w:lvlJc w:val="left"/>
      <w:pPr>
        <w:tabs>
          <w:tab w:val="num" w:pos="590"/>
        </w:tabs>
        <w:ind w:left="590" w:hanging="360"/>
      </w:pPr>
      <w:rPr>
        <w:rFonts w:ascii="Symbol" w:hAnsi="Symbol" w:cs="Symbol" w:hint="default"/>
      </w:rPr>
    </w:lvl>
    <w:lvl w:ilvl="1">
      <w:start w:val="1"/>
      <w:numFmt w:val="decimal"/>
      <w:lvlText w:val="%2."/>
      <w:lvlJc w:val="left"/>
      <w:pPr>
        <w:tabs>
          <w:tab w:val="num" w:pos="1310"/>
        </w:tabs>
        <w:ind w:left="1310" w:hanging="360"/>
      </w:pPr>
    </w:lvl>
    <w:lvl w:ilvl="2">
      <w:start w:val="1"/>
      <w:numFmt w:val="decimal"/>
      <w:lvlText w:val="%3."/>
      <w:lvlJc w:val="left"/>
      <w:pPr>
        <w:tabs>
          <w:tab w:val="num" w:pos="1670"/>
        </w:tabs>
        <w:ind w:left="1670" w:hanging="360"/>
      </w:pPr>
    </w:lvl>
    <w:lvl w:ilvl="3">
      <w:start w:val="1"/>
      <w:numFmt w:val="decimal"/>
      <w:lvlText w:val="%4."/>
      <w:lvlJc w:val="left"/>
      <w:pPr>
        <w:tabs>
          <w:tab w:val="num" w:pos="2030"/>
        </w:tabs>
        <w:ind w:left="2030" w:hanging="360"/>
      </w:pPr>
    </w:lvl>
    <w:lvl w:ilvl="4">
      <w:start w:val="1"/>
      <w:numFmt w:val="decimal"/>
      <w:lvlText w:val="%5."/>
      <w:lvlJc w:val="left"/>
      <w:pPr>
        <w:tabs>
          <w:tab w:val="num" w:pos="2390"/>
        </w:tabs>
        <w:ind w:left="2390" w:hanging="360"/>
      </w:pPr>
    </w:lvl>
    <w:lvl w:ilvl="5">
      <w:start w:val="1"/>
      <w:numFmt w:val="decimal"/>
      <w:lvlText w:val="%6."/>
      <w:lvlJc w:val="left"/>
      <w:pPr>
        <w:tabs>
          <w:tab w:val="num" w:pos="2750"/>
        </w:tabs>
        <w:ind w:left="2750" w:hanging="360"/>
      </w:pPr>
    </w:lvl>
    <w:lvl w:ilvl="6">
      <w:start w:val="1"/>
      <w:numFmt w:val="decimal"/>
      <w:lvlText w:val="%7."/>
      <w:lvlJc w:val="left"/>
      <w:pPr>
        <w:tabs>
          <w:tab w:val="num" w:pos="3110"/>
        </w:tabs>
        <w:ind w:left="3110" w:hanging="360"/>
      </w:pPr>
    </w:lvl>
    <w:lvl w:ilvl="7">
      <w:start w:val="1"/>
      <w:numFmt w:val="decimal"/>
      <w:lvlText w:val="%8."/>
      <w:lvlJc w:val="left"/>
      <w:pPr>
        <w:tabs>
          <w:tab w:val="num" w:pos="3470"/>
        </w:tabs>
        <w:ind w:left="3470" w:hanging="360"/>
      </w:pPr>
    </w:lvl>
    <w:lvl w:ilvl="8">
      <w:start w:val="1"/>
      <w:numFmt w:val="decimal"/>
      <w:lvlText w:val="%9."/>
      <w:lvlJc w:val="left"/>
      <w:pPr>
        <w:tabs>
          <w:tab w:val="num" w:pos="3830"/>
        </w:tabs>
        <w:ind w:left="3830" w:hanging="360"/>
      </w:pPr>
    </w:lvl>
  </w:abstractNum>
  <w:abstractNum w:abstractNumId="6" w15:restartNumberingAfterBreak="0">
    <w:nsid w:val="4E2D6546"/>
    <w:multiLevelType w:val="multilevel"/>
    <w:tmpl w:val="D902C9B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7" w15:restartNumberingAfterBreak="0">
    <w:nsid w:val="4F997724"/>
    <w:multiLevelType w:val="multilevel"/>
    <w:tmpl w:val="C6B0ECD0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</w:abstractNum>
  <w:num w:numId="1" w16cid:durableId="166676189">
    <w:abstractNumId w:val="5"/>
  </w:num>
  <w:num w:numId="2" w16cid:durableId="1606307343">
    <w:abstractNumId w:val="6"/>
  </w:num>
  <w:num w:numId="3" w16cid:durableId="1297832102">
    <w:abstractNumId w:val="2"/>
  </w:num>
  <w:num w:numId="4" w16cid:durableId="1261911799">
    <w:abstractNumId w:val="4"/>
  </w:num>
  <w:num w:numId="5" w16cid:durableId="768087682">
    <w:abstractNumId w:val="3"/>
  </w:num>
  <w:num w:numId="6" w16cid:durableId="1160344379">
    <w:abstractNumId w:val="1"/>
  </w:num>
  <w:num w:numId="7" w16cid:durableId="990257003">
    <w:abstractNumId w:val="7"/>
  </w:num>
  <w:num w:numId="8" w16cid:durableId="19435369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autoHyphenation/>
  <w:hyphenationZone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0F3"/>
    <w:rsid w:val="000420F3"/>
    <w:rsid w:val="000B5328"/>
    <w:rsid w:val="003B6657"/>
    <w:rsid w:val="003E4ED5"/>
    <w:rsid w:val="004C5C65"/>
    <w:rsid w:val="0057257B"/>
    <w:rsid w:val="00644A61"/>
    <w:rsid w:val="006D6598"/>
    <w:rsid w:val="007E0972"/>
    <w:rsid w:val="00840134"/>
    <w:rsid w:val="008659EA"/>
    <w:rsid w:val="00871772"/>
    <w:rsid w:val="009B2627"/>
    <w:rsid w:val="00A17243"/>
    <w:rsid w:val="00B94893"/>
    <w:rsid w:val="00C97367"/>
    <w:rsid w:val="00D11B0B"/>
    <w:rsid w:val="00D5122B"/>
    <w:rsid w:val="00E362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0C6629"/>
  <w15:docId w15:val="{E0C2660F-0603-42F9-92D3-76221CD5B9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20" w:line="36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160" w:after="100"/>
      <w:outlineLvl w:val="0"/>
    </w:pPr>
    <w:rPr>
      <w:rFonts w:asciiTheme="majorHAnsi" w:eastAsiaTheme="majorEastAsia" w:hAnsiTheme="majorHAnsi" w:cstheme="majorBidi"/>
      <w:b/>
      <w:bCs/>
      <w:color w:val="1F4E79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160" w:after="100"/>
      <w:outlineLvl w:val="1"/>
    </w:pPr>
    <w:rPr>
      <w:rFonts w:asciiTheme="majorHAnsi" w:eastAsiaTheme="majorEastAsia" w:hAnsiTheme="majorHAnsi" w:cstheme="majorBidi"/>
      <w:b/>
      <w:bCs/>
      <w:color w:val="2F5496"/>
      <w:sz w:val="27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160" w:after="100"/>
      <w:outlineLvl w:val="2"/>
    </w:pPr>
    <w:rPr>
      <w:rFonts w:asciiTheme="majorHAnsi" w:eastAsiaTheme="majorEastAsia" w:hAnsiTheme="majorHAnsi" w:cstheme="majorBidi"/>
      <w:b/>
      <w:bCs/>
      <w:color w:val="44444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link w:val="Header"/>
    <w:uiPriority w:val="99"/>
    <w:qFormat/>
    <w:rsid w:val="00E618BF"/>
  </w:style>
  <w:style w:type="character" w:customStyle="1" w:styleId="FooterChar">
    <w:name w:val="Footer Char"/>
    <w:basedOn w:val="DefaultParagraphFont"/>
    <w:link w:val="Footer"/>
    <w:uiPriority w:val="99"/>
    <w:qFormat/>
    <w:rsid w:val="00E618BF"/>
  </w:style>
  <w:style w:type="character" w:customStyle="1" w:styleId="Heading1Char">
    <w:name w:val="Heading 1 Char"/>
    <w:basedOn w:val="DefaultParagraphFont"/>
    <w:link w:val="Heading1"/>
    <w:uiPriority w:val="9"/>
    <w:qFormat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qFormat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qFormat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TitleChar">
    <w:name w:val="Title Char"/>
    <w:basedOn w:val="DefaultParagraphFont"/>
    <w:link w:val="Title"/>
    <w:uiPriority w:val="10"/>
    <w:qFormat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"/>
      <w:sz w:val="52"/>
      <w:szCs w:val="52"/>
    </w:rPr>
  </w:style>
  <w:style w:type="character" w:customStyle="1" w:styleId="SubtitleChar">
    <w:name w:val="Subtitle Char"/>
    <w:basedOn w:val="DefaultParagraphFont"/>
    <w:link w:val="Subtitle"/>
    <w:uiPriority w:val="11"/>
    <w:qFormat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99"/>
    <w:qFormat/>
    <w:rsid w:val="00AA1D8D"/>
  </w:style>
  <w:style w:type="character" w:customStyle="1" w:styleId="BodyText2Char">
    <w:name w:val="Body Text 2 Char"/>
    <w:basedOn w:val="DefaultParagraphFont"/>
    <w:link w:val="BodyText2"/>
    <w:uiPriority w:val="99"/>
    <w:qFormat/>
    <w:rsid w:val="00AA1D8D"/>
  </w:style>
  <w:style w:type="character" w:customStyle="1" w:styleId="BodyText3Char">
    <w:name w:val="Body Text 3 Char"/>
    <w:basedOn w:val="DefaultParagraphFont"/>
    <w:link w:val="BodyText3"/>
    <w:uiPriority w:val="99"/>
    <w:qFormat/>
    <w:rsid w:val="00AA1D8D"/>
    <w:rPr>
      <w:sz w:val="16"/>
      <w:szCs w:val="16"/>
    </w:rPr>
  </w:style>
  <w:style w:type="character" w:customStyle="1" w:styleId="MacroTextChar">
    <w:name w:val="Macro Text Char"/>
    <w:basedOn w:val="DefaultParagraphFont"/>
    <w:link w:val="MacroText"/>
    <w:uiPriority w:val="99"/>
    <w:qFormat/>
    <w:rsid w:val="0029639D"/>
    <w:rPr>
      <w:rFonts w:ascii="Courier" w:hAnsi="Courier"/>
      <w:sz w:val="20"/>
      <w:szCs w:val="20"/>
    </w:rPr>
  </w:style>
  <w:style w:type="character" w:customStyle="1" w:styleId="QuoteChar">
    <w:name w:val="Quote Char"/>
    <w:basedOn w:val="DefaultParagraphFont"/>
    <w:link w:val="Quote"/>
    <w:uiPriority w:val="29"/>
    <w:qFormat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qFormat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qFormat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qFormat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qFormat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qFormat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qFormat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character" w:customStyle="1" w:styleId="IntenseQuoteChar">
    <w:name w:val="Intense Quote Char"/>
    <w:basedOn w:val="DefaultParagraphFont"/>
    <w:link w:val="IntenseQuote"/>
    <w:uiPriority w:val="30"/>
    <w:qFormat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character" w:styleId="Hyperlink">
    <w:name w:val="Hyperlink"/>
    <w:uiPriority w:val="99"/>
    <w:rPr>
      <w:color w:val="000080"/>
      <w:u w:val="single"/>
    </w:rPr>
  </w:style>
  <w:style w:type="character" w:customStyle="1" w:styleId="IndexLink">
    <w:name w:val="Index Link"/>
    <w:qFormat/>
  </w:style>
  <w:style w:type="paragraph" w:customStyle="1" w:styleId="Heading">
    <w:name w:val="Heading"/>
    <w:basedOn w:val="Normal"/>
    <w:next w:val="BodyText"/>
    <w:qFormat/>
    <w:pPr>
      <w:keepNext/>
      <w:spacing w:before="240"/>
    </w:pPr>
    <w:rPr>
      <w:rFonts w:ascii="Liberation Sans" w:eastAsia="Noto Sans CJK SC" w:hAnsi="Liberation Sans" w:cs="DejaVu Sans"/>
      <w:sz w:val="28"/>
      <w:szCs w:val="28"/>
    </w:rPr>
  </w:style>
  <w:style w:type="paragraph" w:styleId="BodyText">
    <w:name w:val="Body Text"/>
    <w:basedOn w:val="Normal"/>
    <w:link w:val="BodyTextChar"/>
    <w:uiPriority w:val="99"/>
    <w:unhideWhenUsed/>
    <w:rsid w:val="00AA1D8D"/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customStyle="1" w:styleId="Index">
    <w:name w:val="Index"/>
    <w:basedOn w:val="Normal"/>
    <w:qFormat/>
    <w:pPr>
      <w:suppressLineNumbers/>
    </w:pPr>
    <w:rPr>
      <w:rFonts w:cs="DejaVu Sans"/>
    </w:rPr>
  </w:style>
  <w:style w:type="paragraph" w:customStyle="1" w:styleId="HeaderandFooter">
    <w:name w:val="Header and Footer"/>
    <w:basedOn w:val="Normal"/>
    <w:qFormat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uiPriority w:val="1"/>
    <w:qFormat/>
    <w:rsid w:val="00FC693F"/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keepNext/>
      <w:pBdr>
        <w:bottom w:val="single" w:sz="8" w:space="4" w:color="4F81BD" w:themeColor="accent1"/>
      </w:pBdr>
      <w:spacing w:after="100" w:line="240" w:lineRule="auto"/>
      <w:contextualSpacing/>
    </w:pPr>
    <w:rPr>
      <w:rFonts w:asciiTheme="majorHAnsi" w:eastAsiaTheme="majorEastAsia" w:hAnsiTheme="majorHAnsi" w:cstheme="majorBidi"/>
      <w:b/>
      <w:color w:val="1F4E79"/>
      <w:spacing w:val="5"/>
      <w:kern w:val="2"/>
      <w:sz w:val="48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keepNext/>
      <w:spacing w:before="160" w:after="100"/>
    </w:pPr>
    <w:rPr>
      <w:rFonts w:asciiTheme="majorHAnsi" w:eastAsiaTheme="majorEastAsia" w:hAnsiTheme="majorHAnsi" w:cstheme="majorBidi"/>
      <w:i/>
      <w:iCs/>
      <w:color w:val="595959"/>
      <w:spacing w:val="15"/>
      <w:sz w:val="28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2">
    <w:name w:val="Body Text 2"/>
    <w:basedOn w:val="Normal"/>
    <w:link w:val="BodyText2Char"/>
    <w:uiPriority w:val="99"/>
    <w:unhideWhenUsed/>
    <w:qFormat/>
    <w:rsid w:val="00AA1D8D"/>
    <w:pPr>
      <w:spacing w:line="480" w:lineRule="auto"/>
    </w:pPr>
  </w:style>
  <w:style w:type="paragraph" w:styleId="BodyText3">
    <w:name w:val="Body Text 3"/>
    <w:basedOn w:val="Normal"/>
    <w:link w:val="BodyText3Char"/>
    <w:uiPriority w:val="99"/>
    <w:unhideWhenUsed/>
    <w:qFormat/>
    <w:rsid w:val="00AA1D8D"/>
    <w:rPr>
      <w:sz w:val="16"/>
      <w:szCs w:val="16"/>
    </w:rPr>
  </w:style>
  <w:style w:type="paragraph" w:styleId="List2">
    <w:name w:val="List 2"/>
    <w:basedOn w:val="Normal"/>
    <w:uiPriority w:val="99"/>
    <w:unhideWhenUsed/>
    <w:qFormat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qFormat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4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5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ind w:left="1080"/>
      <w:contextualSpacing/>
    </w:pPr>
  </w:style>
  <w:style w:type="paragraph" w:styleId="MacroText">
    <w:name w:val="macro"/>
    <w:link w:val="MacroTextChar"/>
    <w:uiPriority w:val="99"/>
    <w:unhideWhenUsed/>
    <w:qFormat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  <w:spacing w:after="200" w:line="276" w:lineRule="auto"/>
    </w:pPr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paragraph" w:styleId="IndexHeading">
    <w:name w:val="index heading"/>
    <w:basedOn w:val="Heading"/>
  </w:style>
  <w:style w:type="paragraph" w:styleId="TOCHeading">
    <w:name w:val="TOC Heading"/>
    <w:basedOn w:val="Heading1"/>
    <w:next w:val="Normal"/>
    <w:uiPriority w:val="39"/>
    <w:unhideWhenUsed/>
    <w:qFormat/>
    <w:rsid w:val="00FC693F"/>
    <w:pPr>
      <w:outlineLvl w:val="9"/>
    </w:pPr>
  </w:style>
  <w:style w:type="paragraph" w:customStyle="1" w:styleId="TableText">
    <w:name w:val="Table Text"/>
    <w:qFormat/>
    <w:pPr>
      <w:spacing w:after="200" w:line="276" w:lineRule="auto"/>
    </w:pPr>
    <w:rPr>
      <w:rFonts w:ascii="Arial" w:hAnsi="Arial"/>
      <w:sz w:val="19"/>
    </w:rPr>
  </w:style>
  <w:style w:type="paragraph" w:styleId="TOC1">
    <w:name w:val="toc 1"/>
    <w:basedOn w:val="Index"/>
    <w:uiPriority w:val="39"/>
    <w:pPr>
      <w:tabs>
        <w:tab w:val="right" w:leader="dot" w:pos="9792"/>
      </w:tabs>
    </w:pPr>
  </w:style>
  <w:style w:type="paragraph" w:styleId="TOC2">
    <w:name w:val="toc 2"/>
    <w:basedOn w:val="Index"/>
    <w:uiPriority w:val="39"/>
    <w:pPr>
      <w:tabs>
        <w:tab w:val="right" w:leader="dot" w:pos="9509"/>
      </w:tabs>
      <w:ind w:left="283"/>
    </w:pPr>
  </w:style>
  <w:style w:type="paragraph" w:styleId="TOC3">
    <w:name w:val="toc 3"/>
    <w:basedOn w:val="Index"/>
    <w:uiPriority w:val="39"/>
    <w:pPr>
      <w:tabs>
        <w:tab w:val="right" w:leader="dot" w:pos="9225"/>
      </w:tabs>
      <w:ind w:left="567"/>
    </w:pPr>
  </w:style>
  <w:style w:type="table" w:styleId="TableGrid">
    <w:name w:val="Table Grid"/>
    <w:basedOn w:val="TableNormal"/>
    <w:uiPriority w:val="59"/>
    <w:rsid w:val="00FC693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81BD" w:themeColor="accent1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C0504D" w:themeColor="accent2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BBB59" w:themeColor="accent3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064A2" w:themeColor="accent4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ACC6" w:themeColor="accent5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F79646" w:themeColor="accent6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tata.com/about-us/tata-values-purpose" TargetMode="External"/><Relationship Id="rId18" Type="http://schemas.openxmlformats.org/officeDocument/2006/relationships/hyperlink" Target="https://www.tatasteel.com/corporate/our-organisation/safety/building-a-culture-of-safety/" TargetMode="Externa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hyperlink" Target="https://www.oecd.org/en/publications/oecd-employment-outlook-2023_08785bba-en/full-report/ensuring-trustworthy-artificial-intelligence-in-the-workplace-countries-policy-action_c01b9e49.html" TargetMode="External"/><Relationship Id="rId17" Type="http://schemas.openxmlformats.org/officeDocument/2006/relationships/hyperlink" Target="https://www.tatasteel.com/sustainability/social/human-resource-management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atasteel.com/corporate/our-organisation/vision-mission-values/" TargetMode="External"/><Relationship Id="rId20" Type="http://schemas.openxmlformats.org/officeDocument/2006/relationships/hyperlink" Target="https://www.tatasteeluk.com/welsh-government-minister-visits-port-talbot-electric-arc-furnace-progres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ilo.org/publications/ai-human-resource-management-limits-empiricis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tatasteel.com/investors/integrated-report-2024-25/index.html" TargetMode="External"/><Relationship Id="rId23" Type="http://schemas.openxmlformats.org/officeDocument/2006/relationships/theme" Target="theme/theme1.xml"/><Relationship Id="rId10" Type="http://schemas.openxmlformats.org/officeDocument/2006/relationships/footer" Target="footer2.xml"/><Relationship Id="rId19" Type="http://schemas.openxmlformats.org/officeDocument/2006/relationships/hyperlink" Target="https://www.tatasteeluk.com/corporate/news/plans-approved-for-electric-arc-furnace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tata.com/careers/jobs/internal-jobs-tata-group-mobility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rgbClr val="000000"/>
      </a:dk1>
      <a:lt1>
        <a:srgbClr val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</a:majorFont>
      <a:minorFont>
        <a:latin typeface="Cambria"/>
        <a:ea typeface=""/>
        <a:cs typeface=""/>
      </a:minorFont>
    </a:fontScheme>
    <a:fmtScheme>
      <a:fillStyleLst>
        <a:solidFill>
          <a:schemeClr val="phClr"/>
        </a:solidFill>
        <a:gradFill>
          <a:gsLst>
            <a:gs pos="0">
              <a:schemeClr val="phClr">
                <a:tint val="50000"/>
              </a:schemeClr>
            </a:gs>
            <a:gs pos="35000">
              <a:schemeClr val="phClr">
                <a:tint val="37000"/>
              </a:schemeClr>
            </a:gs>
            <a:gs pos="100000">
              <a:schemeClr val="phClr">
                <a:tint val="15000"/>
              </a:schemeClr>
            </a:gs>
          </a:gsLst>
          <a:lin ang="16200000" scaled="1"/>
          <a:tileRect/>
        </a:gradFill>
        <a:gradFill>
          <a:gsLst>
            <a:gs pos="0">
              <a:schemeClr val="phClr">
                <a:tint val="100000"/>
                <a:shade val="100000"/>
              </a:schemeClr>
            </a:gs>
            <a:gs pos="100000">
              <a:schemeClr val="phClr">
                <a:tint val="50000"/>
                <a:shade val="100000"/>
              </a:schemeClr>
            </a:gs>
          </a:gsLst>
          <a:lin ang="16200000" scaled="0"/>
          <a:tileRect/>
        </a:gradFill>
      </a:fillStyleLst>
      <a:lnStyleLst>
        <a:ln w="9525" cap="flat" cmpd="sng" algn="ctr">
          <a:prstDash val="solid"/>
        </a:ln>
        <a:ln w="25400" cap="flat" cmpd="sng" algn="ctr">
          <a:prstDash val="solid"/>
        </a:ln>
        <a:ln w="38100" cap="flat" cmpd="sng" algn="ctr"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>
          <a:gsLst>
            <a:gs pos="0">
              <a:schemeClr val="phClr">
                <a:tint val="40000"/>
              </a:schemeClr>
            </a:gs>
            <a:gs pos="40000">
              <a:schemeClr val="phClr">
                <a:tint val="45000"/>
                <a:shade val="99000"/>
              </a:schemeClr>
            </a:gs>
            <a:gs pos="100000">
              <a:schemeClr val="phClr">
                <a:shade val="20000"/>
              </a:schemeClr>
            </a:gs>
          </a:gsLst>
          <a:path path="circle">
            <a:fillToRect l="50000" t="-80000" r="50000" b="180000"/>
          </a:path>
          <a:tileRect/>
        </a:gradFill>
        <a:gradFill>
          <a:gsLst>
            <a:gs pos="0">
              <a:schemeClr val="phClr">
                <a:tint val="80000"/>
              </a:schemeClr>
            </a:gs>
            <a:gs pos="100000">
              <a:schemeClr val="phClr">
                <a:shade val="30000"/>
              </a:schemeClr>
            </a:gs>
          </a:gsLst>
          <a:path path="circle">
            <a:fillToRect l="50000" t="50000" r="50000" b="50000"/>
          </a:path>
          <a:tileRect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231</TotalTime>
  <Pages>15</Pages>
  <Words>4108</Words>
  <Characters>23418</Characters>
  <Application>Microsoft Office Word</Application>
  <DocSecurity>0</DocSecurity>
  <Lines>195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dc:description>generated by python-docx</dc:description>
  <cp:lastModifiedBy>Priyanshi Parikh</cp:lastModifiedBy>
  <cp:revision>22</cp:revision>
  <dcterms:created xsi:type="dcterms:W3CDTF">2026-07-16T13:28:00Z</dcterms:created>
  <dcterms:modified xsi:type="dcterms:W3CDTF">2026-07-16T20:37:00Z</dcterms:modified>
  <dc:language>en-US</dc:language>
</cp:coreProperties>
</file>