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D231C8" w14:textId="673FD1CA" w:rsidR="006A1DCA" w:rsidRDefault="006A1DCA">
      <w:pPr>
        <w:rPr>
          <w:rFonts w:asciiTheme="minorHAnsi" w:hAnsiTheme="minorHAnsi"/>
          <w:b/>
          <w:bCs/>
          <w:sz w:val="28"/>
          <w:szCs w:val="28"/>
        </w:rPr>
      </w:pPr>
    </w:p>
    <w:p w14:paraId="4196873B" w14:textId="77777777" w:rsidR="006A1DCA" w:rsidRPr="006A1DCA" w:rsidRDefault="006A1DCA" w:rsidP="006A1DCA">
      <w:pPr>
        <w:spacing w:after="120" w:line="480" w:lineRule="auto"/>
        <w:jc w:val="center"/>
        <w:rPr>
          <w:rFonts w:asciiTheme="minorHAnsi" w:hAnsiTheme="minorHAnsi"/>
          <w:sz w:val="24"/>
          <w:szCs w:val="24"/>
        </w:rPr>
      </w:pPr>
      <w:r w:rsidRPr="006A1DCA">
        <w:rPr>
          <w:rFonts w:asciiTheme="minorHAnsi" w:hAnsiTheme="minorHAns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8EBC8D4" w14:textId="77777777" w:rsidR="006A1DCA" w:rsidRDefault="006A1DCA" w:rsidP="006A1DCA">
      <w:pPr>
        <w:spacing w:after="120" w:line="480" w:lineRule="auto"/>
        <w:rPr>
          <w:rFonts w:asciiTheme="minorHAnsi" w:hAnsiTheme="minorHAnsi"/>
          <w:b/>
          <w:bCs/>
          <w:sz w:val="28"/>
          <w:szCs w:val="28"/>
        </w:rPr>
        <w:sectPr w:rsidR="006A1DCA" w:rsidSect="006A1DCA">
          <w:headerReference w:type="default" r:id="rId8"/>
          <w:headerReference w:type="first" r:id="rId9"/>
          <w:pgSz w:w="11906" w:h="16838" w:code="9"/>
          <w:pgMar w:top="1440" w:right="1440" w:bottom="1440" w:left="1440" w:header="709" w:footer="709" w:gutter="0"/>
          <w:cols w:space="720"/>
          <w:vAlign w:val="center"/>
          <w:titlePg/>
          <w:docGrid w:linePitch="360"/>
        </w:sectPr>
      </w:pPr>
    </w:p>
    <w:p w14:paraId="7AE3B87C" w14:textId="426B286E"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lastRenderedPageBreak/>
        <w:t>1. Title Slide and Opening</w:t>
      </w:r>
    </w:p>
    <w:p w14:paraId="0B258CFF" w14:textId="2B2AF31C"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Good </w:t>
      </w:r>
      <w:r w:rsidR="000239CF" w:rsidRPr="006A1DCA">
        <w:rPr>
          <w:rFonts w:asciiTheme="minorHAnsi" w:hAnsiTheme="minorHAnsi"/>
          <w:sz w:val="24"/>
          <w:szCs w:val="24"/>
        </w:rPr>
        <w:t>mornin</w:t>
      </w:r>
      <w:r w:rsidR="00AB249C" w:rsidRPr="006A1DCA">
        <w:rPr>
          <w:rFonts w:asciiTheme="minorHAnsi" w:hAnsiTheme="minorHAnsi"/>
          <w:sz w:val="24"/>
          <w:szCs w:val="24"/>
        </w:rPr>
        <w:t>g</w:t>
      </w:r>
      <w:r w:rsidRPr="006A1DCA">
        <w:rPr>
          <w:rFonts w:asciiTheme="minorHAnsi" w:hAnsiTheme="minorHAnsi"/>
          <w:sz w:val="24"/>
          <w:szCs w:val="24"/>
        </w:rPr>
        <w:t xml:space="preserve">. Today I'm going to take you through a critical review of a 2021 paper by Burgess et al., published in the International Journal of Cognitive Therapy. The paper asks a practical question: can we </w:t>
      </w:r>
      <w:r w:rsidR="000239CF" w:rsidRPr="006A1DCA">
        <w:rPr>
          <w:rFonts w:asciiTheme="minorHAnsi" w:hAnsiTheme="minorHAnsi"/>
          <w:sz w:val="24"/>
          <w:szCs w:val="24"/>
        </w:rPr>
        <w:t>reduce</w:t>
      </w:r>
      <w:r w:rsidRPr="006A1DCA">
        <w:rPr>
          <w:rFonts w:asciiTheme="minorHAnsi" w:hAnsiTheme="minorHAnsi"/>
          <w:sz w:val="24"/>
          <w:szCs w:val="24"/>
        </w:rPr>
        <w:t xml:space="preserve"> Mindfulness-Based Cognitive Therapy — or MBCT for short — down from eight weeks to five weeks and still get meaningful results — and if so, could that work as a population-level strategy for anxiety and depression?</w:t>
      </w:r>
    </w:p>
    <w:p w14:paraId="5D3F31AE" w14:textId="77777777" w:rsidR="00AB249C" w:rsidRPr="006A1DCA" w:rsidRDefault="00AB249C" w:rsidP="00AB249C">
      <w:pPr>
        <w:spacing w:after="120" w:line="480" w:lineRule="auto"/>
        <w:rPr>
          <w:rFonts w:asciiTheme="minorHAnsi" w:hAnsiTheme="minorHAnsi"/>
          <w:sz w:val="24"/>
          <w:szCs w:val="24"/>
        </w:rPr>
      </w:pPr>
    </w:p>
    <w:p w14:paraId="3A9EC00B" w14:textId="385C3B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I want to flag from the </w:t>
      </w:r>
      <w:r w:rsidR="000239CF" w:rsidRPr="006A1DCA">
        <w:rPr>
          <w:rFonts w:asciiTheme="minorHAnsi" w:hAnsiTheme="minorHAnsi"/>
          <w:sz w:val="24"/>
          <w:szCs w:val="24"/>
        </w:rPr>
        <w:t>start</w:t>
      </w:r>
      <w:r w:rsidRPr="006A1DCA">
        <w:rPr>
          <w:rFonts w:asciiTheme="minorHAnsi" w:hAnsiTheme="minorHAnsi"/>
          <w:sz w:val="24"/>
          <w:szCs w:val="24"/>
        </w:rPr>
        <w:t xml:space="preserve"> that my </w:t>
      </w:r>
      <w:r w:rsidR="000239CF" w:rsidRPr="006A1DCA">
        <w:rPr>
          <w:rFonts w:asciiTheme="minorHAnsi" w:hAnsiTheme="minorHAnsi"/>
          <w:sz w:val="24"/>
          <w:szCs w:val="24"/>
        </w:rPr>
        <w:t>presentation</w:t>
      </w:r>
      <w:r w:rsidRPr="006A1DCA">
        <w:rPr>
          <w:rFonts w:asciiTheme="minorHAnsi" w:hAnsiTheme="minorHAnsi"/>
          <w:sz w:val="24"/>
          <w:szCs w:val="24"/>
        </w:rPr>
        <w:t xml:space="preserve"> is critique-led rather than summary-led. </w:t>
      </w:r>
      <w:r w:rsidR="000239CF" w:rsidRPr="006A1DCA">
        <w:rPr>
          <w:rFonts w:asciiTheme="minorHAnsi" w:hAnsiTheme="minorHAnsi"/>
          <w:sz w:val="24"/>
          <w:szCs w:val="24"/>
        </w:rPr>
        <w:t>So,</w:t>
      </w:r>
      <w:r w:rsidRPr="006A1DCA">
        <w:rPr>
          <w:rFonts w:asciiTheme="minorHAnsi" w:hAnsiTheme="minorHAnsi"/>
          <w:sz w:val="24"/>
          <w:szCs w:val="24"/>
        </w:rPr>
        <w:t xml:space="preserve"> I'll move through the paper fairly </w:t>
      </w:r>
      <w:r w:rsidR="000239CF" w:rsidRPr="006A1DCA">
        <w:rPr>
          <w:rFonts w:asciiTheme="minorHAnsi" w:hAnsiTheme="minorHAnsi"/>
          <w:sz w:val="24"/>
          <w:szCs w:val="24"/>
        </w:rPr>
        <w:t>briskly and</w:t>
      </w:r>
      <w:r w:rsidRPr="006A1DCA">
        <w:rPr>
          <w:rFonts w:asciiTheme="minorHAnsi" w:hAnsiTheme="minorHAnsi"/>
          <w:sz w:val="24"/>
          <w:szCs w:val="24"/>
        </w:rPr>
        <w:t xml:space="preserve"> then spend most of my time </w:t>
      </w:r>
      <w:r w:rsidR="000239CF" w:rsidRPr="006A1DCA">
        <w:rPr>
          <w:rFonts w:asciiTheme="minorHAnsi" w:hAnsiTheme="minorHAnsi"/>
          <w:sz w:val="24"/>
          <w:szCs w:val="24"/>
        </w:rPr>
        <w:t>discussing</w:t>
      </w:r>
      <w:r w:rsidRPr="006A1DCA">
        <w:rPr>
          <w:rFonts w:asciiTheme="minorHAnsi" w:hAnsiTheme="minorHAnsi"/>
          <w:sz w:val="24"/>
          <w:szCs w:val="24"/>
        </w:rPr>
        <w:t xml:space="preserve"> what the study actually shows, what it doesn't show, and what it means for counselling practice.</w:t>
      </w:r>
    </w:p>
    <w:p w14:paraId="1185F207" w14:textId="77777777" w:rsidR="00AB249C" w:rsidRPr="006A1DCA" w:rsidRDefault="00AB249C" w:rsidP="00AB249C">
      <w:pPr>
        <w:spacing w:after="120" w:line="480" w:lineRule="auto"/>
        <w:rPr>
          <w:rFonts w:asciiTheme="minorHAnsi" w:hAnsiTheme="minorHAnsi"/>
          <w:sz w:val="24"/>
          <w:szCs w:val="24"/>
        </w:rPr>
      </w:pPr>
    </w:p>
    <w:p w14:paraId="58317E6E" w14:textId="0DCCB633"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2. Introduction — Background and Aims</w:t>
      </w:r>
    </w:p>
    <w:p w14:paraId="1BA3AA04" w14:textId="4CA4EA4E"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So, the back</w:t>
      </w:r>
      <w:r w:rsidR="000239CF" w:rsidRPr="006A1DCA">
        <w:rPr>
          <w:rFonts w:asciiTheme="minorHAnsi" w:hAnsiTheme="minorHAnsi"/>
          <w:sz w:val="24"/>
          <w:szCs w:val="24"/>
        </w:rPr>
        <w:t>ground</w:t>
      </w:r>
      <w:r w:rsidRPr="006A1DCA">
        <w:rPr>
          <w:rFonts w:asciiTheme="minorHAnsi" w:hAnsiTheme="minorHAnsi"/>
          <w:sz w:val="24"/>
          <w:szCs w:val="24"/>
        </w:rPr>
        <w:t>. Anxiety and depression are the two most common mental health presentations worldwide, and demand consistently outstrips what services can deliver. Standard MBCT, as developed by Segal et al. (2013), is an eight-week, two-hour-per-week group programme originally designed to prevent depressive relapse. The evidence base for the full eight-week version is reasonably solid — Goldberg et al.'s (2018) meta-analysis of 142 randomised trials concluded that mindfulness-based interventions are roughly equivalent to other evidence-based treatments at post-treatment, particularly for depression.</w:t>
      </w:r>
    </w:p>
    <w:p w14:paraId="302C1841" w14:textId="77777777" w:rsidR="00AB249C" w:rsidRPr="006A1DCA" w:rsidRDefault="00AB249C" w:rsidP="00AB249C">
      <w:pPr>
        <w:spacing w:after="120" w:line="480" w:lineRule="auto"/>
        <w:rPr>
          <w:rFonts w:asciiTheme="minorHAnsi" w:hAnsiTheme="minorHAnsi"/>
          <w:sz w:val="24"/>
          <w:szCs w:val="24"/>
        </w:rPr>
      </w:pPr>
    </w:p>
    <w:p w14:paraId="70BE1F1C" w14:textId="7B074B59"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But — and this is the gap </w:t>
      </w:r>
      <w:r w:rsidR="000239CF" w:rsidRPr="006A1DCA">
        <w:rPr>
          <w:rFonts w:asciiTheme="minorHAnsi" w:hAnsiTheme="minorHAnsi"/>
          <w:sz w:val="24"/>
          <w:szCs w:val="24"/>
        </w:rPr>
        <w:t>Burgess,</w:t>
      </w:r>
      <w:r w:rsidRPr="006A1DCA">
        <w:rPr>
          <w:rFonts w:asciiTheme="minorHAnsi" w:hAnsiTheme="minorHAnsi"/>
          <w:sz w:val="24"/>
          <w:szCs w:val="24"/>
        </w:rPr>
        <w:t xml:space="preserve"> and colleagues are trying to address — eight weeks is a lot. It's a lot of clinician time, a lot of patient time, and at the population level it creates a real bottleneck. </w:t>
      </w:r>
      <w:r w:rsidR="000239CF" w:rsidRPr="006A1DCA">
        <w:rPr>
          <w:rFonts w:asciiTheme="minorHAnsi" w:hAnsiTheme="minorHAnsi"/>
          <w:sz w:val="24"/>
          <w:szCs w:val="24"/>
        </w:rPr>
        <w:t>So,</w:t>
      </w:r>
      <w:r w:rsidRPr="006A1DCA">
        <w:rPr>
          <w:rFonts w:asciiTheme="minorHAnsi" w:hAnsiTheme="minorHAnsi"/>
          <w:sz w:val="24"/>
          <w:szCs w:val="24"/>
        </w:rPr>
        <w:t xml:space="preserve"> the research team at Sunnybrook Health Sciences Centre in Toronto designed an abbreviated five-session version, with three core practices, shorter meditations of 10 to 15 minutes rather than the traditional 40, and an explicit self-compassion strand. It also uses what they call a transdiagnostic approach — meaning it's designed to work across multiple conditions rather than targeting one specific disorder like depression alone. They developed </w:t>
      </w:r>
      <w:r w:rsidR="000239CF" w:rsidRPr="006A1DCA">
        <w:rPr>
          <w:rFonts w:asciiTheme="minorHAnsi" w:hAnsiTheme="minorHAnsi"/>
          <w:sz w:val="24"/>
          <w:szCs w:val="24"/>
        </w:rPr>
        <w:t>materials and</w:t>
      </w:r>
      <w:r w:rsidRPr="006A1DCA">
        <w:rPr>
          <w:rFonts w:asciiTheme="minorHAnsi" w:hAnsiTheme="minorHAnsi"/>
          <w:sz w:val="24"/>
          <w:szCs w:val="24"/>
        </w:rPr>
        <w:t xml:space="preserve"> framework called AWARE — which stands for Arriving in the body, Welcoming experience, Awareness throughout the day, Reading course materials, and Exploring mindfully — structured around three operating modes they call protection, provision, and attunement.</w:t>
      </w:r>
    </w:p>
    <w:p w14:paraId="12C98133" w14:textId="77777777" w:rsidR="00AB249C" w:rsidRPr="006A1DCA" w:rsidRDefault="00AB249C" w:rsidP="00AB249C">
      <w:pPr>
        <w:spacing w:after="120" w:line="480" w:lineRule="auto"/>
        <w:rPr>
          <w:rFonts w:asciiTheme="minorHAnsi" w:hAnsiTheme="minorHAnsi"/>
          <w:sz w:val="24"/>
          <w:szCs w:val="24"/>
        </w:rPr>
      </w:pPr>
    </w:p>
    <w:p w14:paraId="48BC7633"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Their aim was straightforward: to test whether this brief version produces clinically significant reductions in anxiety and depression in a real-world, physician-referred community sample, and whether change in self-compassion predicts who responds.</w:t>
      </w:r>
    </w:p>
    <w:p w14:paraId="73AD2836" w14:textId="77777777" w:rsidR="00AB249C" w:rsidRPr="006A1DCA" w:rsidRDefault="00AB249C" w:rsidP="00AB249C">
      <w:pPr>
        <w:spacing w:after="120" w:line="480" w:lineRule="auto"/>
        <w:rPr>
          <w:rFonts w:asciiTheme="minorHAnsi" w:hAnsiTheme="minorHAnsi"/>
          <w:sz w:val="24"/>
          <w:szCs w:val="24"/>
        </w:rPr>
      </w:pPr>
    </w:p>
    <w:p w14:paraId="233E8F68" w14:textId="6DBD86DB"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 xml:space="preserve">3. Method — Participants, Procedure, Measures </w:t>
      </w:r>
    </w:p>
    <w:p w14:paraId="37F512D5"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The method, briefly. Fifty-four adults were recruited. They had to be over 18, physician-referred, and score five or above on the Generalised Anxiety Disorder 7-item scale — known as the GAD-7 — which is a low threshold, equivalent to only mild anxiety. People </w:t>
      </w:r>
      <w:r w:rsidRPr="006A1DCA">
        <w:rPr>
          <w:rFonts w:asciiTheme="minorHAnsi" w:hAnsiTheme="minorHAnsi"/>
          <w:sz w:val="24"/>
          <w:szCs w:val="24"/>
        </w:rPr>
        <w:lastRenderedPageBreak/>
        <w:t>were excluded if they'd done an eight-plus week mindfulness course in the last three years, or had active substance abuse, psychosis, mania, or suicidality.</w:t>
      </w:r>
    </w:p>
    <w:p w14:paraId="39647F81" w14:textId="77777777" w:rsidR="00AB249C" w:rsidRPr="006A1DCA" w:rsidRDefault="00AB249C" w:rsidP="00AB249C">
      <w:pPr>
        <w:spacing w:after="120" w:line="480" w:lineRule="auto"/>
        <w:rPr>
          <w:rFonts w:asciiTheme="minorHAnsi" w:hAnsiTheme="minorHAnsi"/>
          <w:sz w:val="24"/>
          <w:szCs w:val="24"/>
        </w:rPr>
      </w:pPr>
    </w:p>
    <w:p w14:paraId="3BA8627B" w14:textId="45D6EB10" w:rsidR="00AB249C"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The intervention was five weekly two-hour sessions, delivered in groups of sixteen to twenty — and that's bigger than traditional MBCT, which usually caps at twelve. Importantly, there's no control group. This is a pre-post design — the authors used what's called a paired-samples t-test, which is essentially asking "did each person's score change significantly from before treatment to after?" It's a useful test, but I'll come back to what it can't tell us in the critique.</w:t>
      </w:r>
    </w:p>
    <w:p w14:paraId="6BE1624A" w14:textId="70ED0F0E"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The measures are all self-report: the GAD-7 for anxiety screening, the Beck Anxiety Inventory or BAI, the Beck Depression Inventory</w:t>
      </w:r>
      <w:r w:rsidR="000239CF" w:rsidRPr="006A1DCA">
        <w:rPr>
          <w:rFonts w:asciiTheme="minorHAnsi" w:hAnsiTheme="minorHAnsi"/>
          <w:sz w:val="24"/>
          <w:szCs w:val="24"/>
        </w:rPr>
        <w:t xml:space="preserve"> or BDI</w:t>
      </w:r>
      <w:r w:rsidRPr="006A1DCA">
        <w:rPr>
          <w:rFonts w:asciiTheme="minorHAnsi" w:hAnsiTheme="minorHAnsi"/>
          <w:sz w:val="24"/>
          <w:szCs w:val="24"/>
        </w:rPr>
        <w:t xml:space="preserve"> — and here's a small but important wrinkle, some participants completed the original BDI and others the BDI-II, which the authors then mixed. There's also the Self-Compassion Scale Short Form, the Perceived Stress Scale, the Warwick-Edinburgh Mental Wellbeing Scale, and the Sheehan Disability Scale.</w:t>
      </w:r>
    </w:p>
    <w:p w14:paraId="3203227A"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Mixing the BDI and BDI-II is a measurement issue I'll come back to.</w:t>
      </w:r>
    </w:p>
    <w:p w14:paraId="04B39CF4" w14:textId="300914D8"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4. Findings</w:t>
      </w:r>
    </w:p>
    <w:p w14:paraId="7AB0C709"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The headline results look impressive at first glance. The authors report statistically significant improvements on every single outcome from before to after the intervention.</w:t>
      </w:r>
    </w:p>
    <w:p w14:paraId="0C1E7DA0" w14:textId="77777777" w:rsidR="00AB249C" w:rsidRPr="006A1DCA" w:rsidRDefault="00AB249C" w:rsidP="00AB249C">
      <w:pPr>
        <w:spacing w:after="120" w:line="480" w:lineRule="auto"/>
        <w:rPr>
          <w:rFonts w:asciiTheme="minorHAnsi" w:hAnsiTheme="minorHAnsi"/>
          <w:sz w:val="24"/>
          <w:szCs w:val="24"/>
        </w:rPr>
      </w:pPr>
    </w:p>
    <w:p w14:paraId="6AD08BE5"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To make sense of how big those improvements are, I need to introduce one piece of jargon: </w:t>
      </w:r>
      <w:r w:rsidRPr="006A1DCA">
        <w:rPr>
          <w:rFonts w:asciiTheme="minorHAnsi" w:hAnsiTheme="minorHAnsi"/>
          <w:b/>
          <w:bCs/>
          <w:sz w:val="24"/>
          <w:szCs w:val="24"/>
        </w:rPr>
        <w:t>Cohen's d</w:t>
      </w:r>
      <w:r w:rsidRPr="006A1DCA">
        <w:rPr>
          <w:rFonts w:asciiTheme="minorHAnsi" w:hAnsiTheme="minorHAnsi"/>
          <w:sz w:val="24"/>
          <w:szCs w:val="24"/>
        </w:rPr>
        <w:t xml:space="preserve">. It's a standard way of measuring how big a difference is. By Cohen's </w:t>
      </w:r>
      <w:r w:rsidRPr="006A1DCA">
        <w:rPr>
          <w:rFonts w:asciiTheme="minorHAnsi" w:hAnsiTheme="minorHAnsi"/>
          <w:sz w:val="24"/>
          <w:szCs w:val="24"/>
        </w:rPr>
        <w:lastRenderedPageBreak/>
        <w:t>(1988) convention, 0.2 counts as a small effect, 0.5 as medium, 0.8 as large, and anything above 1 is very large. With that scale in mind, here's what Burgess and colleagues report:</w:t>
      </w:r>
    </w:p>
    <w:p w14:paraId="5D93B21F"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For general anxiety on the BAI, the effect size was 0.73 — medium-to-large.</w:t>
      </w:r>
    </w:p>
    <w:p w14:paraId="062538B1"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For worry on the GAD-7: 1.16. Very large.</w:t>
      </w:r>
    </w:p>
    <w:p w14:paraId="5CFC8137"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For depression on the BDI-II: 0.95. Large.</w:t>
      </w:r>
    </w:p>
    <w:p w14:paraId="5DF60D8B"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Self-compassion went up, with an effect size of 0.84.</w:t>
      </w:r>
    </w:p>
    <w:p w14:paraId="43728349"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Wellbeing improved by 0.99 — that's almost a full standard deviation.</w:t>
      </w:r>
    </w:p>
    <w:p w14:paraId="1B234FAE"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And perceived stress dropped by 0.95 — also large.</w:t>
      </w:r>
    </w:p>
    <w:p w14:paraId="3147102A" w14:textId="77777777" w:rsidR="00AB249C" w:rsidRPr="006A1DCA" w:rsidRDefault="00AB249C" w:rsidP="00AB249C">
      <w:pPr>
        <w:spacing w:after="80" w:line="480" w:lineRule="auto"/>
        <w:rPr>
          <w:rFonts w:asciiTheme="minorHAnsi" w:hAnsiTheme="minorHAnsi"/>
          <w:sz w:val="24"/>
          <w:szCs w:val="24"/>
        </w:rPr>
      </w:pPr>
    </w:p>
    <w:p w14:paraId="34B4769E"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In plain English: pretty much every measure shifted by close to a full standard deviation in just five weeks. The authors also report what they call "treatment response" rates — meaning the proportion of participants whose scores improved by 30% or more. Around 67% of the sample showed treatment response on worry, 61% on depression, and 46% on anxiety. And crucially, an analysis showed that increases in self-compassion significantly predicted who responded to treatment — which is a key finding we'll come back to.</w:t>
      </w:r>
    </w:p>
    <w:p w14:paraId="383B343B" w14:textId="77777777" w:rsidR="00AB249C" w:rsidRPr="006A1DCA" w:rsidRDefault="00AB249C" w:rsidP="00AB249C">
      <w:pPr>
        <w:spacing w:after="120" w:line="480" w:lineRule="auto"/>
        <w:rPr>
          <w:rFonts w:asciiTheme="minorHAnsi" w:hAnsiTheme="minorHAnsi"/>
          <w:sz w:val="24"/>
          <w:szCs w:val="24"/>
        </w:rPr>
      </w:pPr>
    </w:p>
    <w:p w14:paraId="0A374BEA"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That's a striking pattern. But — and this is where I want to plant a seed for the critique — those numbers are notably </w:t>
      </w:r>
      <w:r w:rsidRPr="006A1DCA">
        <w:rPr>
          <w:rFonts w:asciiTheme="minorHAnsi" w:hAnsiTheme="minorHAnsi"/>
          <w:i/>
          <w:iCs/>
          <w:sz w:val="24"/>
          <w:szCs w:val="24"/>
        </w:rPr>
        <w:t>larger</w:t>
      </w:r>
      <w:r w:rsidRPr="006A1DCA">
        <w:rPr>
          <w:rFonts w:asciiTheme="minorHAnsi" w:hAnsiTheme="minorHAnsi"/>
          <w:sz w:val="24"/>
          <w:szCs w:val="24"/>
        </w:rPr>
        <w:t xml:space="preserve"> than what the bigger meta-analyses of the full eight-week MBCT typically report. So already, the magnitude should make us cautious, not excited.</w:t>
      </w:r>
    </w:p>
    <w:p w14:paraId="50BA0023" w14:textId="77777777" w:rsidR="00AB249C" w:rsidRPr="006A1DCA" w:rsidRDefault="00AB249C" w:rsidP="00AB249C">
      <w:pPr>
        <w:spacing w:after="120" w:line="480" w:lineRule="auto"/>
        <w:rPr>
          <w:rFonts w:asciiTheme="minorHAnsi" w:hAnsiTheme="minorHAnsi"/>
          <w:sz w:val="24"/>
          <w:szCs w:val="24"/>
        </w:rPr>
      </w:pPr>
    </w:p>
    <w:p w14:paraId="619C43B9" w14:textId="67716501"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 xml:space="preserve">5. Discussion — What the Authors Conclude </w:t>
      </w:r>
    </w:p>
    <w:p w14:paraId="7F0D25C6"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The authors draw three main conclusions. First, that brief MBCT can produce clinically meaningful reductions in anxiety and depression. Second, that self-compassion appears to be a key mechanism of change — they ran an analysis testing whether </w:t>
      </w:r>
      <w:r w:rsidRPr="006A1DCA">
        <w:rPr>
          <w:rFonts w:asciiTheme="minorHAnsi" w:hAnsiTheme="minorHAnsi"/>
          <w:i/>
          <w:iCs/>
          <w:sz w:val="24"/>
          <w:szCs w:val="24"/>
        </w:rPr>
        <w:t>change</w:t>
      </w:r>
      <w:r w:rsidRPr="006A1DCA">
        <w:rPr>
          <w:rFonts w:asciiTheme="minorHAnsi" w:hAnsiTheme="minorHAnsi"/>
          <w:sz w:val="24"/>
          <w:szCs w:val="24"/>
        </w:rPr>
        <w:t xml:space="preserve"> in self-compassion predicted who got better, and it did. This echoes Kuyken et al.'s (2010) earlier work, which showed that self-compassion is one of the main routes through which MBCT works for depressive relapse. And third — and this is the big claim — that this kind of abbreviated intervention could serve as a "population-level strategy" to widen access.</w:t>
      </w:r>
    </w:p>
    <w:p w14:paraId="60C8C6FF" w14:textId="0DDB10B6"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For counselling practice, they argue this could free up clinician time, suit lower-symptom or sub-threshold clients, and be an accessible "first step" within stepped-care systems — which obviously maps onto the NHS Talking Therapies model in the UK.</w:t>
      </w:r>
    </w:p>
    <w:p w14:paraId="1186FE67"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Note the leap from a 54-person pilot to "population-level strategy."</w:t>
      </w:r>
    </w:p>
    <w:p w14:paraId="2CC33A9A" w14:textId="77777777" w:rsidR="00AB249C" w:rsidRPr="006A1DCA" w:rsidRDefault="00AB249C" w:rsidP="00AB249C">
      <w:pPr>
        <w:spacing w:after="80" w:line="480" w:lineRule="auto"/>
        <w:rPr>
          <w:rFonts w:asciiTheme="minorHAnsi" w:hAnsiTheme="minorHAnsi"/>
          <w:sz w:val="24"/>
          <w:szCs w:val="24"/>
        </w:rPr>
      </w:pPr>
    </w:p>
    <w:p w14:paraId="17E133C9" w14:textId="281CBD3B"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 xml:space="preserve">6. Critique — the Core of the Talk </w:t>
      </w:r>
    </w:p>
    <w:p w14:paraId="662F5957" w14:textId="4A816318" w:rsidR="0082400F" w:rsidRPr="006A1DCA" w:rsidRDefault="000239CF" w:rsidP="00AB249C">
      <w:pPr>
        <w:spacing w:after="120" w:line="480" w:lineRule="auto"/>
        <w:rPr>
          <w:rFonts w:asciiTheme="minorHAnsi" w:hAnsiTheme="minorHAnsi"/>
          <w:sz w:val="24"/>
          <w:szCs w:val="24"/>
        </w:rPr>
      </w:pPr>
      <w:r w:rsidRPr="006A1DCA">
        <w:rPr>
          <w:rFonts w:asciiTheme="minorHAnsi" w:hAnsiTheme="minorHAnsi"/>
          <w:sz w:val="24"/>
          <w:szCs w:val="24"/>
        </w:rPr>
        <w:t>This is where I want to spend the majority of my time today. I'll work through strengths and weaknesses across rationale, methodology, statistics, ethics, and clinical implications.</w:t>
      </w:r>
    </w:p>
    <w:p w14:paraId="69214528" w14:textId="77777777" w:rsidR="00AB249C" w:rsidRPr="006A1DCA" w:rsidRDefault="00AB249C" w:rsidP="00AB249C">
      <w:pPr>
        <w:spacing w:after="120" w:line="480" w:lineRule="auto"/>
        <w:rPr>
          <w:rFonts w:asciiTheme="minorHAnsi" w:hAnsiTheme="minorHAnsi"/>
          <w:sz w:val="24"/>
          <w:szCs w:val="24"/>
        </w:rPr>
      </w:pPr>
    </w:p>
    <w:p w14:paraId="41833E70" w14:textId="60C37180" w:rsidR="0082400F" w:rsidRPr="006A1DCA" w:rsidRDefault="00000000" w:rsidP="00AB249C">
      <w:pPr>
        <w:pStyle w:val="Heading2"/>
        <w:spacing w:line="480" w:lineRule="auto"/>
        <w:rPr>
          <w:rFonts w:asciiTheme="minorHAnsi" w:hAnsiTheme="minorHAnsi"/>
          <w:sz w:val="24"/>
          <w:szCs w:val="24"/>
        </w:rPr>
      </w:pPr>
      <w:r w:rsidRPr="006A1DCA">
        <w:rPr>
          <w:rFonts w:asciiTheme="minorHAnsi" w:hAnsiTheme="minorHAnsi"/>
          <w:sz w:val="24"/>
          <w:szCs w:val="24"/>
        </w:rPr>
        <w:t xml:space="preserve">6a. Strengths </w:t>
      </w:r>
    </w:p>
    <w:p w14:paraId="62FF34BD" w14:textId="4DC8CC58"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lastRenderedPageBreak/>
        <w:t xml:space="preserve">Let me be fair to the authors </w:t>
      </w:r>
      <w:r w:rsidR="000239CF" w:rsidRPr="006A1DCA">
        <w:rPr>
          <w:rFonts w:asciiTheme="minorHAnsi" w:hAnsiTheme="minorHAnsi"/>
          <w:sz w:val="24"/>
          <w:szCs w:val="24"/>
        </w:rPr>
        <w:t>first because</w:t>
      </w:r>
      <w:r w:rsidRPr="006A1DCA">
        <w:rPr>
          <w:rFonts w:asciiTheme="minorHAnsi" w:hAnsiTheme="minorHAnsi"/>
          <w:sz w:val="24"/>
          <w:szCs w:val="24"/>
        </w:rPr>
        <w:t xml:space="preserve"> there is genuinely good work here.</w:t>
      </w:r>
    </w:p>
    <w:p w14:paraId="73971FA2"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Clinical pragmatism and ecological validity. </w:t>
      </w:r>
      <w:r w:rsidRPr="006A1DCA">
        <w:rPr>
          <w:rFonts w:asciiTheme="minorHAnsi" w:hAnsiTheme="minorHAnsi"/>
          <w:sz w:val="24"/>
          <w:szCs w:val="24"/>
        </w:rPr>
        <w:t>Ecological validity simply means how well a study reflects real-world conditions. This was a real-world clinic with physician-referred patients, not a tightly controlled university lab. That matters because, as Goldberg et al. (2018) note, much of the mindfulness literature has been criticised for using student volunteers and waitlist controls, which inflates effects.</w:t>
      </w:r>
    </w:p>
    <w:p w14:paraId="558C16BB" w14:textId="77777777" w:rsidR="00AB249C" w:rsidRPr="006A1DCA" w:rsidRDefault="00AB249C" w:rsidP="00AB249C">
      <w:pPr>
        <w:spacing w:after="120" w:line="480" w:lineRule="auto"/>
        <w:rPr>
          <w:rFonts w:asciiTheme="minorHAnsi" w:hAnsiTheme="minorHAnsi"/>
          <w:sz w:val="24"/>
          <w:szCs w:val="24"/>
        </w:rPr>
      </w:pPr>
    </w:p>
    <w:p w14:paraId="07A5760D"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Transdiagnostic framing. </w:t>
      </w:r>
      <w:r w:rsidRPr="006A1DCA">
        <w:rPr>
          <w:rFonts w:asciiTheme="minorHAnsi" w:hAnsiTheme="minorHAnsi"/>
          <w:sz w:val="24"/>
          <w:szCs w:val="24"/>
        </w:rPr>
        <w:t>The AWARE framework and the protection, provision, attunement model are conceptually interesting and, as I mentioned, transdiagnostic — meaning they're not locked to one specific diagnosis. That's increasingly seen as clinically sensible because anxiety and depression overlap so heavily that pure disorder-specific protocols can feel artificially narrow.</w:t>
      </w:r>
    </w:p>
    <w:p w14:paraId="0D63EF11" w14:textId="77777777" w:rsidR="00AB249C" w:rsidRPr="006A1DCA" w:rsidRDefault="00AB249C" w:rsidP="00AB249C">
      <w:pPr>
        <w:spacing w:after="120" w:line="480" w:lineRule="auto"/>
        <w:rPr>
          <w:rFonts w:asciiTheme="minorHAnsi" w:hAnsiTheme="minorHAnsi"/>
          <w:sz w:val="24"/>
          <w:szCs w:val="24"/>
        </w:rPr>
      </w:pPr>
    </w:p>
    <w:p w14:paraId="71AE8F49"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Explicit self-compassion content. </w:t>
      </w:r>
      <w:r w:rsidRPr="006A1DCA">
        <w:rPr>
          <w:rFonts w:asciiTheme="minorHAnsi" w:hAnsiTheme="minorHAnsi"/>
          <w:sz w:val="24"/>
          <w:szCs w:val="24"/>
        </w:rPr>
        <w:t xml:space="preserve">This is, in my view, the most genuinely innovative contribution. Kuyken et al. (2010) showed that self-compassion is a mechanism of change in MBCT, and Burgess et al. push that further by </w:t>
      </w:r>
      <w:r w:rsidRPr="006A1DCA">
        <w:rPr>
          <w:rFonts w:asciiTheme="minorHAnsi" w:hAnsiTheme="minorHAnsi"/>
          <w:i/>
          <w:iCs/>
          <w:sz w:val="24"/>
          <w:szCs w:val="24"/>
        </w:rPr>
        <w:t>building it explicitly</w:t>
      </w:r>
      <w:r w:rsidRPr="006A1DCA">
        <w:rPr>
          <w:rFonts w:asciiTheme="minorHAnsi" w:hAnsiTheme="minorHAnsi"/>
          <w:sz w:val="24"/>
          <w:szCs w:val="24"/>
        </w:rPr>
        <w:t xml:space="preserve"> into the protocol and then testing whether change in self-compassion predicts response. They find it does.</w:t>
      </w:r>
    </w:p>
    <w:p w14:paraId="5177455F" w14:textId="77777777" w:rsidR="00AB249C" w:rsidRPr="006A1DCA" w:rsidRDefault="00AB249C" w:rsidP="00AB249C">
      <w:pPr>
        <w:spacing w:after="120" w:line="480" w:lineRule="auto"/>
        <w:rPr>
          <w:rFonts w:asciiTheme="minorHAnsi" w:hAnsiTheme="minorHAnsi"/>
          <w:sz w:val="24"/>
          <w:szCs w:val="24"/>
        </w:rPr>
      </w:pPr>
    </w:p>
    <w:p w14:paraId="50BBD70F"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Detail of the protocol description. </w:t>
      </w:r>
      <w:r w:rsidRPr="006A1DCA">
        <w:rPr>
          <w:rFonts w:asciiTheme="minorHAnsi" w:hAnsiTheme="minorHAnsi"/>
          <w:sz w:val="24"/>
          <w:szCs w:val="24"/>
        </w:rPr>
        <w:t xml:space="preserve">The session-by-session description in the paper is detailed enough that another clinician could attempt to replicate it. That's actually </w:t>
      </w:r>
      <w:r w:rsidRPr="006A1DCA">
        <w:rPr>
          <w:rFonts w:asciiTheme="minorHAnsi" w:hAnsiTheme="minorHAnsi"/>
          <w:sz w:val="24"/>
          <w:szCs w:val="24"/>
        </w:rPr>
        <w:lastRenderedPageBreak/>
        <w:t>unusual and welcome in mindfulness research — Van Dam et al. (2018) specifically criticised the field for vague intervention reporting.</w:t>
      </w:r>
    </w:p>
    <w:p w14:paraId="785E3E47" w14:textId="77777777" w:rsidR="00AB249C" w:rsidRPr="006A1DCA" w:rsidRDefault="00AB249C" w:rsidP="00AB249C">
      <w:pPr>
        <w:spacing w:after="120" w:line="480" w:lineRule="auto"/>
        <w:rPr>
          <w:rFonts w:asciiTheme="minorHAnsi" w:hAnsiTheme="minorHAnsi"/>
          <w:sz w:val="24"/>
          <w:szCs w:val="24"/>
        </w:rPr>
      </w:pPr>
    </w:p>
    <w:p w14:paraId="513637E2"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Honest reporting of limitations. </w:t>
      </w:r>
      <w:r w:rsidRPr="006A1DCA">
        <w:rPr>
          <w:rFonts w:asciiTheme="minorHAnsi" w:hAnsiTheme="minorHAnsi"/>
          <w:sz w:val="24"/>
          <w:szCs w:val="24"/>
        </w:rPr>
        <w:t>To their credit, the authors do acknowledge several of the issues I'm about to raise.</w:t>
      </w:r>
    </w:p>
    <w:p w14:paraId="4D2768BA" w14:textId="77777777" w:rsidR="00AB249C" w:rsidRPr="006A1DCA" w:rsidRDefault="00AB249C" w:rsidP="00AB249C">
      <w:pPr>
        <w:spacing w:after="120" w:line="480" w:lineRule="auto"/>
        <w:rPr>
          <w:rFonts w:asciiTheme="minorHAnsi" w:hAnsiTheme="minorHAnsi"/>
          <w:sz w:val="24"/>
          <w:szCs w:val="24"/>
        </w:rPr>
      </w:pPr>
    </w:p>
    <w:p w14:paraId="280AC659" w14:textId="44E616EA" w:rsidR="0082400F" w:rsidRPr="006A1DCA" w:rsidRDefault="00000000" w:rsidP="00AB249C">
      <w:pPr>
        <w:pStyle w:val="Heading2"/>
        <w:spacing w:line="480" w:lineRule="auto"/>
        <w:rPr>
          <w:rFonts w:asciiTheme="minorHAnsi" w:hAnsiTheme="minorHAnsi"/>
          <w:sz w:val="24"/>
          <w:szCs w:val="24"/>
        </w:rPr>
      </w:pPr>
      <w:r w:rsidRPr="006A1DCA">
        <w:rPr>
          <w:rFonts w:asciiTheme="minorHAnsi" w:hAnsiTheme="minorHAnsi"/>
          <w:sz w:val="24"/>
          <w:szCs w:val="24"/>
        </w:rPr>
        <w:t xml:space="preserve">6b. Limitations — Methodology and Design </w:t>
      </w:r>
    </w:p>
    <w:p w14:paraId="406817BA"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Now the harder part.</w:t>
      </w:r>
    </w:p>
    <w:p w14:paraId="49D3F6C5" w14:textId="77777777" w:rsidR="00AB249C" w:rsidRPr="006A1DCA" w:rsidRDefault="00AB249C" w:rsidP="00AB249C">
      <w:pPr>
        <w:spacing w:after="120" w:line="480" w:lineRule="auto"/>
        <w:rPr>
          <w:rFonts w:asciiTheme="minorHAnsi" w:hAnsiTheme="minorHAnsi"/>
          <w:sz w:val="24"/>
          <w:szCs w:val="24"/>
        </w:rPr>
      </w:pPr>
    </w:p>
    <w:p w14:paraId="72842ACE" w14:textId="34DD3096" w:rsidR="00AB249C"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No control group. </w:t>
      </w:r>
      <w:r w:rsidRPr="006A1DCA">
        <w:rPr>
          <w:rFonts w:asciiTheme="minorHAnsi" w:hAnsiTheme="minorHAnsi"/>
          <w:sz w:val="24"/>
          <w:szCs w:val="24"/>
        </w:rPr>
        <w:t xml:space="preserve">This is the single biggest problem. With a pre-post design and no comparator, you genuinely cannot tell whether the intervention caused the change, or whether the change would have happened anyway. </w:t>
      </w:r>
    </w:p>
    <w:p w14:paraId="548476E9" w14:textId="77777777" w:rsidR="00AB249C" w:rsidRPr="006A1DCA" w:rsidRDefault="00AB249C" w:rsidP="00AB249C">
      <w:pPr>
        <w:spacing w:after="120" w:line="480" w:lineRule="auto"/>
        <w:rPr>
          <w:rFonts w:asciiTheme="minorHAnsi" w:hAnsiTheme="minorHAnsi"/>
          <w:sz w:val="24"/>
          <w:szCs w:val="24"/>
        </w:rPr>
      </w:pPr>
    </w:p>
    <w:p w14:paraId="190726D4"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First, </w:t>
      </w:r>
      <w:r w:rsidRPr="006A1DCA">
        <w:rPr>
          <w:rFonts w:asciiTheme="minorHAnsi" w:hAnsiTheme="minorHAnsi"/>
          <w:b/>
          <w:bCs/>
          <w:sz w:val="24"/>
          <w:szCs w:val="24"/>
        </w:rPr>
        <w:t>regression to the mean</w:t>
      </w:r>
      <w:r w:rsidRPr="006A1DCA">
        <w:rPr>
          <w:rFonts w:asciiTheme="minorHAnsi" w:hAnsiTheme="minorHAnsi"/>
          <w:sz w:val="24"/>
          <w:szCs w:val="24"/>
        </w:rPr>
        <w:t>. This is a statistical phenomenon where, if you select people because they're scoring high on a measure — and remember, entry required a GAD-7 of 5 or more — those people will, on average, score lower the next time you measure them, simply because of measurement error and natural fluctuation. As Marsden and Torgerson (2012) show, this isn't speculation; it's a known property of single-group pre-post designs. That very large GAD-7 effect size of 1.16 — some of the apparent change may reflect regression to the mean rather than a genuine treatment effect.</w:t>
      </w:r>
    </w:p>
    <w:p w14:paraId="50EAA247" w14:textId="77777777" w:rsidR="00AB249C" w:rsidRPr="006A1DCA" w:rsidRDefault="00AB249C" w:rsidP="00AB249C">
      <w:pPr>
        <w:spacing w:after="120" w:line="480" w:lineRule="auto"/>
        <w:rPr>
          <w:rFonts w:asciiTheme="minorHAnsi" w:hAnsiTheme="minorHAnsi"/>
          <w:sz w:val="24"/>
          <w:szCs w:val="24"/>
        </w:rPr>
      </w:pPr>
    </w:p>
    <w:p w14:paraId="42694119"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Second, </w:t>
      </w:r>
      <w:r w:rsidRPr="006A1DCA">
        <w:rPr>
          <w:rFonts w:asciiTheme="minorHAnsi" w:hAnsiTheme="minorHAnsi"/>
          <w:b/>
          <w:bCs/>
          <w:sz w:val="24"/>
          <w:szCs w:val="24"/>
        </w:rPr>
        <w:t>natural recovery and maturation</w:t>
      </w:r>
      <w:r w:rsidRPr="006A1DCA">
        <w:rPr>
          <w:rFonts w:asciiTheme="minorHAnsi" w:hAnsiTheme="minorHAnsi"/>
          <w:sz w:val="24"/>
          <w:szCs w:val="24"/>
        </w:rPr>
        <w:t>. Anxiety and depression symptoms fluctuate. Many people referred during a peak of distress would improve over five weeks anyway.</w:t>
      </w:r>
    </w:p>
    <w:p w14:paraId="0F0BD3A8" w14:textId="77777777" w:rsidR="00AB249C" w:rsidRPr="006A1DCA" w:rsidRDefault="00AB249C" w:rsidP="00AB249C">
      <w:pPr>
        <w:spacing w:after="120" w:line="480" w:lineRule="auto"/>
        <w:rPr>
          <w:rFonts w:asciiTheme="minorHAnsi" w:hAnsiTheme="minorHAnsi"/>
          <w:sz w:val="24"/>
          <w:szCs w:val="24"/>
        </w:rPr>
      </w:pPr>
    </w:p>
    <w:p w14:paraId="5AF32AC1"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Third, </w:t>
      </w:r>
      <w:r w:rsidRPr="006A1DCA">
        <w:rPr>
          <w:rFonts w:asciiTheme="minorHAnsi" w:hAnsiTheme="minorHAnsi"/>
          <w:b/>
          <w:bCs/>
          <w:sz w:val="24"/>
          <w:szCs w:val="24"/>
        </w:rPr>
        <w:t>expectancy and demand characteristics</w:t>
      </w:r>
      <w:r w:rsidRPr="006A1DCA">
        <w:rPr>
          <w:rFonts w:asciiTheme="minorHAnsi" w:hAnsiTheme="minorHAnsi"/>
          <w:sz w:val="24"/>
          <w:szCs w:val="24"/>
        </w:rPr>
        <w:t>. Demand characteristics is the term psychologists use for when participants behave the way they think they're expected to, rather than naturally. People who voluntarily attend a five-week mindfulness course delivered by enthusiastic clinicians at a specialist clinic want it to work, and they know what they're "supposed" to feel afterwards. Without an active comparator, you cannot separate the effect of mindfulness from the effect of being looked after in a warm group setting for ten hours.</w:t>
      </w:r>
    </w:p>
    <w:p w14:paraId="0FBF3191" w14:textId="77777777" w:rsidR="00AB249C" w:rsidRPr="006A1DCA" w:rsidRDefault="00AB249C" w:rsidP="00AB249C">
      <w:pPr>
        <w:spacing w:after="120" w:line="480" w:lineRule="auto"/>
        <w:rPr>
          <w:rFonts w:asciiTheme="minorHAnsi" w:hAnsiTheme="minorHAnsi"/>
          <w:sz w:val="24"/>
          <w:szCs w:val="24"/>
        </w:rPr>
      </w:pPr>
    </w:p>
    <w:p w14:paraId="3DBC23AD"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No follow-up data. </w:t>
      </w:r>
      <w:r w:rsidRPr="006A1DCA">
        <w:rPr>
          <w:rFonts w:asciiTheme="minorHAnsi" w:hAnsiTheme="minorHAnsi"/>
          <w:sz w:val="24"/>
          <w:szCs w:val="24"/>
        </w:rPr>
        <w:t>We have no idea whether these effects persisted at three or six months. Galante et al. (2021), in their meta-analysis of 136 randomised controlled trials — or RCTs — found that mindfulness benefits often fade beyond the six-month window. A pure post-treatment snapshot isn't enough.</w:t>
      </w:r>
    </w:p>
    <w:p w14:paraId="4587AB82" w14:textId="77777777" w:rsidR="00AB249C" w:rsidRPr="006A1DCA" w:rsidRDefault="00AB249C" w:rsidP="00AB249C">
      <w:pPr>
        <w:spacing w:after="120" w:line="480" w:lineRule="auto"/>
        <w:rPr>
          <w:rFonts w:asciiTheme="minorHAnsi" w:hAnsiTheme="minorHAnsi"/>
          <w:sz w:val="24"/>
          <w:szCs w:val="24"/>
        </w:rPr>
      </w:pPr>
    </w:p>
    <w:p w14:paraId="75B17D75"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Single site, single clinician. </w:t>
      </w:r>
      <w:r w:rsidRPr="006A1DCA">
        <w:rPr>
          <w:rFonts w:asciiTheme="minorHAnsi" w:hAnsiTheme="minorHAnsi"/>
          <w:sz w:val="24"/>
          <w:szCs w:val="24"/>
        </w:rPr>
        <w:t>This raises serious questions about therapist effects. We can't tell what's the protocol versus what's this particular clinician.</w:t>
      </w:r>
    </w:p>
    <w:p w14:paraId="1A586905" w14:textId="77777777" w:rsidR="00AB249C" w:rsidRPr="006A1DCA" w:rsidRDefault="00AB249C" w:rsidP="00AB249C">
      <w:pPr>
        <w:spacing w:after="120" w:line="480" w:lineRule="auto"/>
        <w:rPr>
          <w:rFonts w:asciiTheme="minorHAnsi" w:hAnsiTheme="minorHAnsi"/>
          <w:sz w:val="24"/>
          <w:szCs w:val="24"/>
        </w:rPr>
      </w:pPr>
    </w:p>
    <w:p w14:paraId="3526FB00"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lastRenderedPageBreak/>
        <w:t xml:space="preserve">Group size. </w:t>
      </w:r>
      <w:r w:rsidRPr="006A1DCA">
        <w:rPr>
          <w:rFonts w:asciiTheme="minorHAnsi" w:hAnsiTheme="minorHAnsi"/>
          <w:sz w:val="24"/>
          <w:szCs w:val="24"/>
        </w:rPr>
        <w:t>The expansion from 12 to 16–20 was justified on efficiency grounds, but it's not empirically grounded. Larger groups may dilute the therapeutic relationship and individualised attention.</w:t>
      </w:r>
    </w:p>
    <w:p w14:paraId="3377EE77" w14:textId="0F176EE4" w:rsidR="0082400F" w:rsidRPr="006A1DCA" w:rsidRDefault="00000000" w:rsidP="00AB249C">
      <w:pPr>
        <w:pStyle w:val="Heading2"/>
        <w:spacing w:line="480" w:lineRule="auto"/>
        <w:rPr>
          <w:rFonts w:asciiTheme="minorHAnsi" w:hAnsiTheme="minorHAnsi"/>
          <w:sz w:val="24"/>
          <w:szCs w:val="24"/>
        </w:rPr>
      </w:pPr>
      <w:r w:rsidRPr="006A1DCA">
        <w:rPr>
          <w:rFonts w:asciiTheme="minorHAnsi" w:hAnsiTheme="minorHAnsi"/>
          <w:sz w:val="24"/>
          <w:szCs w:val="24"/>
        </w:rPr>
        <w:t xml:space="preserve">6c. Limitations — Measurement and Statistics </w:t>
      </w:r>
    </w:p>
    <w:p w14:paraId="1B041F4D"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All self-report. </w:t>
      </w:r>
      <w:r w:rsidRPr="006A1DCA">
        <w:rPr>
          <w:rFonts w:asciiTheme="minorHAnsi" w:hAnsiTheme="minorHAnsi"/>
          <w:sz w:val="24"/>
          <w:szCs w:val="24"/>
        </w:rPr>
        <w:t xml:space="preserve">Every single outcome is a questionnaire the participant fills in themselves. Self-report measures like the BDI-II, GAD-7 and BAI are vulnerable to social desirability bias, demand characteristics, and the simple fact that people who've just spent five weeks being taught to relate to their distress differently may </w:t>
      </w:r>
      <w:r w:rsidRPr="006A1DCA">
        <w:rPr>
          <w:rFonts w:asciiTheme="minorHAnsi" w:hAnsiTheme="minorHAnsi"/>
          <w:i/>
          <w:iCs/>
          <w:sz w:val="24"/>
          <w:szCs w:val="24"/>
        </w:rPr>
        <w:t>report</w:t>
      </w:r>
      <w:r w:rsidRPr="006A1DCA">
        <w:rPr>
          <w:rFonts w:asciiTheme="minorHAnsi" w:hAnsiTheme="minorHAnsi"/>
          <w:sz w:val="24"/>
          <w:szCs w:val="24"/>
        </w:rPr>
        <w:t xml:space="preserve"> it differently, even if their underlying state hasn't changed as much. Van Dam et al. (2018), in their now-classic </w:t>
      </w:r>
      <w:r w:rsidRPr="006A1DCA">
        <w:rPr>
          <w:rFonts w:asciiTheme="minorHAnsi" w:hAnsiTheme="minorHAnsi"/>
          <w:i/>
          <w:iCs/>
          <w:sz w:val="24"/>
          <w:szCs w:val="24"/>
        </w:rPr>
        <w:t>Mind the Hype</w:t>
      </w:r>
      <w:r w:rsidRPr="006A1DCA">
        <w:rPr>
          <w:rFonts w:asciiTheme="minorHAnsi" w:hAnsiTheme="minorHAnsi"/>
          <w:sz w:val="24"/>
          <w:szCs w:val="24"/>
        </w:rPr>
        <w:t xml:space="preserve"> paper, argue forcefully that the field's overreliance on self-report has led to systematically inflated effects.</w:t>
      </w:r>
    </w:p>
    <w:p w14:paraId="3C12FA5E" w14:textId="77777777" w:rsidR="00AB249C" w:rsidRPr="006A1DCA" w:rsidRDefault="00AB249C" w:rsidP="00AB249C">
      <w:pPr>
        <w:spacing w:after="120" w:line="480" w:lineRule="auto"/>
        <w:rPr>
          <w:rFonts w:asciiTheme="minorHAnsi" w:hAnsiTheme="minorHAnsi"/>
          <w:sz w:val="24"/>
          <w:szCs w:val="24"/>
        </w:rPr>
      </w:pPr>
    </w:p>
    <w:p w14:paraId="08319F2C"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Mixing the BDI and BDI-II. </w:t>
      </w:r>
      <w:r w:rsidRPr="006A1DCA">
        <w:rPr>
          <w:rFonts w:asciiTheme="minorHAnsi" w:hAnsiTheme="minorHAnsi"/>
          <w:sz w:val="24"/>
          <w:szCs w:val="24"/>
        </w:rPr>
        <w:t>The original BDI and the revised BDI-II are not interchangeable — they have different items, different scoring, different cut-offs. Pooling them in a single analysis is methodologically questionable and the authors don't really justify it.</w:t>
      </w:r>
    </w:p>
    <w:p w14:paraId="236A2110" w14:textId="77777777" w:rsidR="00AB249C" w:rsidRPr="006A1DCA" w:rsidRDefault="00AB249C" w:rsidP="00AB249C">
      <w:pPr>
        <w:spacing w:after="120" w:line="480" w:lineRule="auto"/>
        <w:rPr>
          <w:rFonts w:asciiTheme="minorHAnsi" w:hAnsiTheme="minorHAnsi"/>
          <w:sz w:val="24"/>
          <w:szCs w:val="24"/>
        </w:rPr>
      </w:pPr>
    </w:p>
    <w:p w14:paraId="72B4186C" w14:textId="3BE4F736"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Statistical tests. </w:t>
      </w:r>
      <w:r w:rsidRPr="006A1DCA">
        <w:rPr>
          <w:rFonts w:asciiTheme="minorHAnsi" w:hAnsiTheme="minorHAnsi"/>
          <w:sz w:val="24"/>
          <w:szCs w:val="24"/>
        </w:rPr>
        <w:t xml:space="preserve">Paired-samples t-tests are appropriate for pre-post comparisons, but they don't model individual change </w:t>
      </w:r>
      <w:r w:rsidR="000239CF" w:rsidRPr="006A1DCA">
        <w:rPr>
          <w:rFonts w:asciiTheme="minorHAnsi" w:hAnsiTheme="minorHAnsi"/>
          <w:sz w:val="24"/>
          <w:szCs w:val="24"/>
        </w:rPr>
        <w:t>trajectories,</w:t>
      </w:r>
      <w:r w:rsidRPr="006A1DCA">
        <w:rPr>
          <w:rFonts w:asciiTheme="minorHAnsi" w:hAnsiTheme="minorHAnsi"/>
          <w:sz w:val="24"/>
          <w:szCs w:val="24"/>
        </w:rPr>
        <w:t xml:space="preserve"> and they don't control for baseline severity. With six primary outcomes and no correction for multiple comparisons, the risk of false positives — finding a "significant" result by chance — is real.</w:t>
      </w:r>
    </w:p>
    <w:p w14:paraId="787E9E13" w14:textId="77777777" w:rsidR="00AB249C" w:rsidRPr="006A1DCA" w:rsidRDefault="00AB249C" w:rsidP="00AB249C">
      <w:pPr>
        <w:spacing w:after="120" w:line="480" w:lineRule="auto"/>
        <w:rPr>
          <w:rFonts w:asciiTheme="minorHAnsi" w:hAnsiTheme="minorHAnsi"/>
          <w:sz w:val="24"/>
          <w:szCs w:val="24"/>
        </w:rPr>
      </w:pPr>
    </w:p>
    <w:p w14:paraId="0219E558" w14:textId="1C96AAB8"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lastRenderedPageBreak/>
        <w:t xml:space="preserve">Reported effect sizes are larger than meta-analytic benchmarks. </w:t>
      </w:r>
      <w:r w:rsidRPr="006A1DCA">
        <w:rPr>
          <w:rFonts w:asciiTheme="minorHAnsi" w:hAnsiTheme="minorHAnsi"/>
          <w:sz w:val="24"/>
          <w:szCs w:val="24"/>
        </w:rPr>
        <w:t xml:space="preserve">Goldberg et al. (2018), in their meta-analysis of 142 randomised controlled trials in psychiatric samples, reported post-treatment effects against active comparators of around 0.23 to 0.35 — considerably smaller than the near-1.0 figures reported here. Schumer et al. (2018), in their meta-analysis of 65 brief mindfulness trials, found that </w:t>
      </w:r>
      <w:r w:rsidRPr="006A1DCA">
        <w:rPr>
          <w:rFonts w:asciiTheme="minorHAnsi" w:hAnsiTheme="minorHAnsi"/>
          <w:i/>
          <w:iCs/>
          <w:sz w:val="24"/>
          <w:szCs w:val="24"/>
        </w:rPr>
        <w:t>after correcting for publication bias</w:t>
      </w:r>
      <w:r w:rsidRPr="006A1DCA">
        <w:rPr>
          <w:rFonts w:asciiTheme="minorHAnsi" w:hAnsiTheme="minorHAnsi"/>
          <w:sz w:val="24"/>
          <w:szCs w:val="24"/>
        </w:rPr>
        <w:t xml:space="preserve"> — that's the tendency for journals to publish positive results and not negative ones — the effect on negative affectivity dropped to a Hedges' g of just 0.04. That's basically zero. </w:t>
      </w:r>
      <w:r w:rsidR="000239CF" w:rsidRPr="006A1DCA">
        <w:rPr>
          <w:rFonts w:asciiTheme="minorHAnsi" w:hAnsiTheme="minorHAnsi"/>
          <w:sz w:val="24"/>
          <w:szCs w:val="24"/>
        </w:rPr>
        <w:t>So,</w:t>
      </w:r>
      <w:r w:rsidRPr="006A1DCA">
        <w:rPr>
          <w:rFonts w:asciiTheme="minorHAnsi" w:hAnsiTheme="minorHAnsi"/>
          <w:sz w:val="24"/>
          <w:szCs w:val="24"/>
        </w:rPr>
        <w:t xml:space="preserve"> Burgess et al.'s effect sizes of 0.95 and 1.16 in an uncontrolled pilot of 54 should not be taken at face value. They should be treated as a ceiling estimate that almost any properly controlled trial would shrink.</w:t>
      </w:r>
    </w:p>
    <w:p w14:paraId="3E728AA9" w14:textId="77777777" w:rsidR="00AB249C" w:rsidRPr="006A1DCA" w:rsidRDefault="00AB249C" w:rsidP="00AB249C">
      <w:pPr>
        <w:spacing w:after="120" w:line="480" w:lineRule="auto"/>
        <w:rPr>
          <w:rFonts w:asciiTheme="minorHAnsi" w:hAnsiTheme="minorHAnsi"/>
          <w:sz w:val="24"/>
          <w:szCs w:val="24"/>
        </w:rPr>
      </w:pPr>
    </w:p>
    <w:p w14:paraId="3680090E" w14:textId="1105DDF9" w:rsidR="0082400F" w:rsidRPr="006A1DCA" w:rsidRDefault="00000000" w:rsidP="00AB249C">
      <w:pPr>
        <w:pStyle w:val="Heading2"/>
        <w:spacing w:line="480" w:lineRule="auto"/>
        <w:rPr>
          <w:rFonts w:asciiTheme="minorHAnsi" w:hAnsiTheme="minorHAnsi"/>
          <w:sz w:val="24"/>
          <w:szCs w:val="24"/>
        </w:rPr>
      </w:pPr>
      <w:r w:rsidRPr="006A1DCA">
        <w:rPr>
          <w:rFonts w:asciiTheme="minorHAnsi" w:hAnsiTheme="minorHAnsi"/>
          <w:sz w:val="24"/>
          <w:szCs w:val="24"/>
        </w:rPr>
        <w:t>6d. Limitations — Sample, Diversity and Generalisability</w:t>
      </w:r>
    </w:p>
    <w:p w14:paraId="68E83EBE" w14:textId="19E9BB24"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The sample was 77.8% Caucasian, mostly female, mean age 47, in a specialist Toronto clinic with physician referrals. Eichel et al. (2021), in their systematic review of mindfulness research, found this is essentially the modal mindfulness research sample — predominantly white, middle-aged, highly educated women — and they argue this represents a serious failure of representativeness across the field. </w:t>
      </w:r>
      <w:r w:rsidR="000239CF" w:rsidRPr="006A1DCA">
        <w:rPr>
          <w:rFonts w:asciiTheme="minorHAnsi" w:hAnsiTheme="minorHAnsi"/>
          <w:sz w:val="24"/>
          <w:szCs w:val="24"/>
        </w:rPr>
        <w:t>So,</w:t>
      </w:r>
      <w:r w:rsidRPr="006A1DCA">
        <w:rPr>
          <w:rFonts w:asciiTheme="minorHAnsi" w:hAnsiTheme="minorHAnsi"/>
          <w:sz w:val="24"/>
          <w:szCs w:val="24"/>
        </w:rPr>
        <w:t xml:space="preserve"> Burgess et al. are not unusually bad here, but they replicate an existing problem rather than addressing it. As a methodological judgement, it is difficult to see how findings from this sample can be straightforwardly generalised to a broader population.</w:t>
      </w:r>
    </w:p>
    <w:p w14:paraId="31F69103" w14:textId="77777777" w:rsidR="00AB249C" w:rsidRPr="006A1DCA" w:rsidRDefault="00AB249C" w:rsidP="00AB249C">
      <w:pPr>
        <w:spacing w:after="120" w:line="480" w:lineRule="auto"/>
        <w:rPr>
          <w:rFonts w:asciiTheme="minorHAnsi" w:hAnsiTheme="minorHAnsi"/>
          <w:sz w:val="24"/>
          <w:szCs w:val="24"/>
        </w:rPr>
      </w:pPr>
    </w:p>
    <w:p w14:paraId="30BBFC01" w14:textId="29215554" w:rsidR="0082400F" w:rsidRPr="006A1DCA" w:rsidRDefault="00000000" w:rsidP="00AB249C">
      <w:pPr>
        <w:pStyle w:val="Heading2"/>
        <w:spacing w:line="480" w:lineRule="auto"/>
        <w:rPr>
          <w:rFonts w:asciiTheme="minorHAnsi" w:hAnsiTheme="minorHAnsi"/>
          <w:sz w:val="24"/>
          <w:szCs w:val="24"/>
        </w:rPr>
      </w:pPr>
      <w:r w:rsidRPr="006A1DCA">
        <w:rPr>
          <w:rFonts w:asciiTheme="minorHAnsi" w:hAnsiTheme="minorHAnsi"/>
          <w:sz w:val="24"/>
          <w:szCs w:val="24"/>
        </w:rPr>
        <w:t>6e. Ethics and Clinical Implications</w:t>
      </w:r>
    </w:p>
    <w:p w14:paraId="36BF8B4E"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lastRenderedPageBreak/>
        <w:t>A few ethical points.</w:t>
      </w:r>
    </w:p>
    <w:p w14:paraId="57FDF325" w14:textId="77777777" w:rsidR="00AB249C" w:rsidRPr="006A1DCA" w:rsidRDefault="00AB249C" w:rsidP="00AB249C">
      <w:pPr>
        <w:spacing w:after="120" w:line="480" w:lineRule="auto"/>
        <w:rPr>
          <w:rFonts w:asciiTheme="minorHAnsi" w:hAnsiTheme="minorHAnsi"/>
          <w:sz w:val="24"/>
          <w:szCs w:val="24"/>
        </w:rPr>
      </w:pPr>
    </w:p>
    <w:p w14:paraId="6D4FFA1D"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Adverse effects. </w:t>
      </w:r>
      <w:r w:rsidRPr="006A1DCA">
        <w:rPr>
          <w:rFonts w:asciiTheme="minorHAnsi" w:hAnsiTheme="minorHAnsi"/>
          <w:sz w:val="24"/>
          <w:szCs w:val="24"/>
        </w:rPr>
        <w:t>Meditation-related adverse effects in mindfulness-based programmes are well documented and should be monitored routinely. Britton et al. (2021), using structured interviews with mindfulness programme participants, found that 83% reported at least one adverse meditation-related experience, and 37% reported effects that negatively impacted their functioning. Cebolla et al. (2017) — which the authors do cite — raised similar concerns. The Burgess et al. study reports no systematic harm monitoring, which is a notable gap for any intervention being positioned at a population level.</w:t>
      </w:r>
    </w:p>
    <w:p w14:paraId="303B0F04"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Consent and screening. </w:t>
      </w:r>
      <w:r w:rsidRPr="006A1DCA">
        <w:rPr>
          <w:rFonts w:asciiTheme="minorHAnsi" w:hAnsiTheme="minorHAnsi"/>
          <w:sz w:val="24"/>
          <w:szCs w:val="24"/>
        </w:rPr>
        <w:t>The exclusion criteria handle the most serious risks — psychosis, mania, active suicidality — but the paper doesn't describe consent procedures in depth, and I'd want to know how participants who didn't meet the GAD-7 threshold were redirected.</w:t>
      </w:r>
    </w:p>
    <w:p w14:paraId="0CF0A7ED" w14:textId="77777777" w:rsidR="00AB249C" w:rsidRPr="006A1DCA" w:rsidRDefault="00AB249C" w:rsidP="00AB249C">
      <w:pPr>
        <w:spacing w:after="120" w:line="480" w:lineRule="auto"/>
        <w:rPr>
          <w:rFonts w:asciiTheme="minorHAnsi" w:hAnsiTheme="minorHAnsi"/>
          <w:sz w:val="24"/>
          <w:szCs w:val="24"/>
        </w:rPr>
      </w:pPr>
    </w:p>
    <w:p w14:paraId="64BBD641"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t xml:space="preserve">The "population-level" claim and stepped-care. </w:t>
      </w:r>
      <w:r w:rsidRPr="006A1DCA">
        <w:rPr>
          <w:rFonts w:asciiTheme="minorHAnsi" w:hAnsiTheme="minorHAnsi"/>
          <w:sz w:val="24"/>
          <w:szCs w:val="24"/>
        </w:rPr>
        <w:t>In the UK, NHS Talking Therapies operates a stepped-care model where lower-intensity interventions come first. Recovery rates hover around 50% of treatment completers, but as low as 26% if you include everyone who started treatment, and dropout is a serious issue (Burke et al., 2025). Importing an abbreviated MBCT into that system based on a 54-person uncontrolled pilot would be premature. The infrastructure question — who delivers it, with what supervision, to whom — is not answered here.</w:t>
      </w:r>
    </w:p>
    <w:p w14:paraId="0FC461F3" w14:textId="77777777" w:rsidR="00AB249C" w:rsidRPr="006A1DCA" w:rsidRDefault="00AB249C" w:rsidP="00AB249C">
      <w:pPr>
        <w:spacing w:after="120" w:line="480" w:lineRule="auto"/>
        <w:rPr>
          <w:rFonts w:asciiTheme="minorHAnsi" w:hAnsiTheme="minorHAnsi"/>
          <w:sz w:val="24"/>
          <w:szCs w:val="24"/>
        </w:rPr>
      </w:pPr>
    </w:p>
    <w:p w14:paraId="15177899"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b/>
          <w:bCs/>
          <w:sz w:val="24"/>
          <w:szCs w:val="24"/>
        </w:rPr>
        <w:lastRenderedPageBreak/>
        <w:t xml:space="preserve">Funding. </w:t>
      </w:r>
      <w:r w:rsidRPr="006A1DCA">
        <w:rPr>
          <w:rFonts w:asciiTheme="minorHAnsi" w:hAnsiTheme="minorHAnsi"/>
          <w:sz w:val="24"/>
          <w:szCs w:val="24"/>
        </w:rPr>
        <w:t>The study was funded by Joseph Brant Hospital. Not a major conflict, but worth noting that institutional funding can subtly shape what gets published and how positively it's framed.</w:t>
      </w:r>
    </w:p>
    <w:p w14:paraId="04137928" w14:textId="77777777" w:rsidR="00AB249C" w:rsidRPr="006A1DCA" w:rsidRDefault="00AB249C" w:rsidP="00AB249C">
      <w:pPr>
        <w:spacing w:after="120" w:line="480" w:lineRule="auto"/>
        <w:rPr>
          <w:rFonts w:asciiTheme="minorHAnsi" w:hAnsiTheme="minorHAnsi"/>
          <w:sz w:val="24"/>
          <w:szCs w:val="24"/>
        </w:rPr>
      </w:pPr>
    </w:p>
    <w:p w14:paraId="2BC947AD" w14:textId="63337196" w:rsidR="0082400F" w:rsidRPr="006A1DCA" w:rsidRDefault="00000000" w:rsidP="00AB249C">
      <w:pPr>
        <w:pStyle w:val="Heading1"/>
        <w:spacing w:line="480" w:lineRule="auto"/>
        <w:rPr>
          <w:rFonts w:asciiTheme="minorHAnsi" w:hAnsiTheme="minorHAnsi"/>
          <w:sz w:val="24"/>
          <w:szCs w:val="24"/>
        </w:rPr>
      </w:pPr>
      <w:r w:rsidRPr="006A1DCA">
        <w:rPr>
          <w:rFonts w:asciiTheme="minorHAnsi" w:hAnsiTheme="minorHAnsi"/>
          <w:sz w:val="24"/>
          <w:szCs w:val="24"/>
        </w:rPr>
        <w:t xml:space="preserve">7. Conclusion — Recap, Future Directions, Open Questions </w:t>
      </w:r>
    </w:p>
    <w:p w14:paraId="28ED4E76"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So, pulling it together.</w:t>
      </w:r>
    </w:p>
    <w:p w14:paraId="12FC7CBA" w14:textId="77777777" w:rsidR="00AB249C" w:rsidRPr="006A1DCA" w:rsidRDefault="00AB249C" w:rsidP="00AB249C">
      <w:pPr>
        <w:spacing w:after="120" w:line="480" w:lineRule="auto"/>
        <w:rPr>
          <w:rFonts w:asciiTheme="minorHAnsi" w:hAnsiTheme="minorHAnsi"/>
          <w:sz w:val="24"/>
          <w:szCs w:val="24"/>
        </w:rPr>
      </w:pPr>
    </w:p>
    <w:p w14:paraId="32E7D484"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Burgess et al. (2021) is a genuinely interesting clinical pilot. Its contributions — the explicit self-compassion content, the transdiagnostic AWARE framework, and the careful protocol description — are worth taking seriously. For a counselling practitioner, there's real food for thought here about how mindfulness might be delivered more efficiently and whether self-compassion deserves more direct attention as a therapeutic target.</w:t>
      </w:r>
    </w:p>
    <w:p w14:paraId="550DC282" w14:textId="77777777" w:rsidR="00AB249C" w:rsidRPr="006A1DCA" w:rsidRDefault="00AB249C" w:rsidP="00AB249C">
      <w:pPr>
        <w:spacing w:after="120" w:line="480" w:lineRule="auto"/>
        <w:rPr>
          <w:rFonts w:asciiTheme="minorHAnsi" w:hAnsiTheme="minorHAnsi"/>
          <w:sz w:val="24"/>
          <w:szCs w:val="24"/>
        </w:rPr>
      </w:pPr>
    </w:p>
    <w:p w14:paraId="02D0A905" w14:textId="77777777"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But in my view, the headline claim — that this constitutes evidence for a population-level strategy — may overreach what a 54-person, single-site, single-clinician, uncontrolled pre-post study can firmly support. The effect sizes look impressive, but they are likely inflated by the uncontrolled design, self-report measurement, regression-to-the-mean risk, and expectancy effects. The wider literature — Galante et al. (2021), Goldberg et al. (2018), Schumer et al. (2018), and Van Dam et al. (2018) — would all lead us to expect that a properly controlled trial would produce considerably smaller numbers.</w:t>
      </w:r>
    </w:p>
    <w:p w14:paraId="7422666D" w14:textId="77777777" w:rsidR="00AB249C" w:rsidRPr="006A1DCA" w:rsidRDefault="00AB249C" w:rsidP="00AB249C">
      <w:pPr>
        <w:spacing w:after="120" w:line="480" w:lineRule="auto"/>
        <w:rPr>
          <w:rFonts w:asciiTheme="minorHAnsi" w:hAnsiTheme="minorHAnsi"/>
          <w:sz w:val="24"/>
          <w:szCs w:val="24"/>
        </w:rPr>
      </w:pPr>
    </w:p>
    <w:p w14:paraId="19F0C8DC" w14:textId="31A26198" w:rsidR="0082400F" w:rsidRPr="006A1DCA" w:rsidRDefault="000239CF" w:rsidP="00AB249C">
      <w:pPr>
        <w:spacing w:after="120" w:line="480" w:lineRule="auto"/>
        <w:rPr>
          <w:rFonts w:asciiTheme="minorHAnsi" w:hAnsiTheme="minorHAnsi"/>
          <w:sz w:val="24"/>
          <w:szCs w:val="24"/>
        </w:rPr>
      </w:pPr>
      <w:r w:rsidRPr="006A1DCA">
        <w:rPr>
          <w:rFonts w:asciiTheme="minorHAnsi" w:hAnsiTheme="minorHAnsi"/>
          <w:sz w:val="24"/>
          <w:szCs w:val="24"/>
        </w:rPr>
        <w:t>So, what would I want to see next?</w:t>
      </w:r>
    </w:p>
    <w:p w14:paraId="45566190" w14:textId="529546F2"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First, a randomised controlled trial with an active comparator to rule out non-specific effects.</w:t>
      </w:r>
    </w:p>
    <w:p w14:paraId="1DE9A04A"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Second, a follow-up at six and twelve months to see whether effects hold up.</w:t>
      </w:r>
    </w:p>
    <w:p w14:paraId="26B6FB98"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Third, intent-to-treat analysis — meaning all participants who start the programme are included in the statistics, not just those who completed it, which gives a more honest picture of real-world effectiveness.</w:t>
      </w:r>
    </w:p>
    <w:p w14:paraId="54DEBF59"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Fourth, structured monitoring of adverse events, using something like the Meditation Experiences Interview developed by Britton et al. (2021).</w:t>
      </w:r>
    </w:p>
    <w:p w14:paraId="005F9DF7" w14:textId="77777777" w:rsidR="0082400F" w:rsidRPr="006A1DCA" w:rsidRDefault="00000000" w:rsidP="00AB249C">
      <w:pPr>
        <w:pStyle w:val="ListParagraph"/>
        <w:numPr>
          <w:ilvl w:val="0"/>
          <w:numId w:val="2"/>
        </w:numPr>
        <w:spacing w:after="80" w:line="480" w:lineRule="auto"/>
        <w:rPr>
          <w:rFonts w:asciiTheme="minorHAnsi" w:hAnsiTheme="minorHAnsi"/>
          <w:sz w:val="24"/>
          <w:szCs w:val="24"/>
        </w:rPr>
      </w:pPr>
      <w:r w:rsidRPr="006A1DCA">
        <w:rPr>
          <w:rFonts w:asciiTheme="minorHAnsi" w:hAnsiTheme="minorHAnsi"/>
          <w:sz w:val="24"/>
          <w:szCs w:val="24"/>
        </w:rPr>
        <w:t>Fifth, deliberate recruitment from groups that are typically underrepresented in this literature.</w:t>
      </w:r>
    </w:p>
    <w:p w14:paraId="0D64CEF3" w14:textId="77777777" w:rsidR="00AB249C" w:rsidRPr="006A1DCA" w:rsidRDefault="00AB249C" w:rsidP="00AB249C">
      <w:pPr>
        <w:spacing w:after="80" w:line="480" w:lineRule="auto"/>
        <w:rPr>
          <w:rFonts w:asciiTheme="minorHAnsi" w:hAnsiTheme="minorHAnsi"/>
          <w:sz w:val="24"/>
          <w:szCs w:val="24"/>
        </w:rPr>
      </w:pPr>
    </w:p>
    <w:p w14:paraId="66C42E5C" w14:textId="77777777" w:rsidR="00AB249C"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And the open question I'd leave you with is this: is "brief" automatically "better" for population-level access, or does shrinking the dose risk shrinking the very mechanisms — the patient time, the practice, the therapeutic relationship — that make MBCT work in the first place? Until we see proper RCTs, that question stays open.</w:t>
      </w:r>
      <w:r w:rsidR="00AB249C" w:rsidRPr="006A1DCA">
        <w:rPr>
          <w:rFonts w:asciiTheme="minorHAnsi" w:hAnsiTheme="minorHAnsi"/>
          <w:sz w:val="24"/>
          <w:szCs w:val="24"/>
        </w:rPr>
        <w:t xml:space="preserve"> </w:t>
      </w:r>
    </w:p>
    <w:p w14:paraId="1ACCB4EC" w14:textId="2A2BA0CA" w:rsidR="0082400F" w:rsidRPr="006A1DCA" w:rsidRDefault="00000000" w:rsidP="00AB249C">
      <w:pPr>
        <w:spacing w:after="120" w:line="480" w:lineRule="auto"/>
        <w:rPr>
          <w:rFonts w:asciiTheme="minorHAnsi" w:hAnsiTheme="minorHAnsi"/>
          <w:sz w:val="24"/>
          <w:szCs w:val="24"/>
        </w:rPr>
      </w:pPr>
      <w:r w:rsidRPr="006A1DCA">
        <w:rPr>
          <w:rFonts w:asciiTheme="minorHAnsi" w:hAnsiTheme="minorHAnsi"/>
          <w:sz w:val="24"/>
          <w:szCs w:val="24"/>
        </w:rPr>
        <w:t xml:space="preserve">Thank you. </w:t>
      </w:r>
    </w:p>
    <w:p w14:paraId="1453CD71" w14:textId="77777777" w:rsidR="00AB249C" w:rsidRPr="006A1DCA" w:rsidRDefault="00AB249C">
      <w:pPr>
        <w:rPr>
          <w:rFonts w:asciiTheme="minorHAnsi" w:hAnsiTheme="minorHAnsi"/>
          <w:b/>
          <w:bCs/>
          <w:color w:val="1F3864"/>
          <w:sz w:val="24"/>
          <w:szCs w:val="24"/>
        </w:rPr>
      </w:pPr>
      <w:r w:rsidRPr="006A1DCA">
        <w:rPr>
          <w:rFonts w:asciiTheme="minorHAnsi" w:hAnsiTheme="minorHAnsi"/>
          <w:sz w:val="24"/>
          <w:szCs w:val="24"/>
        </w:rPr>
        <w:br w:type="page"/>
      </w:r>
    </w:p>
    <w:p w14:paraId="1DF96990" w14:textId="4635ADA8" w:rsidR="0082400F" w:rsidRPr="00C71E8D" w:rsidRDefault="00000000" w:rsidP="00C71E8D">
      <w:pPr>
        <w:pStyle w:val="Heading1"/>
        <w:tabs>
          <w:tab w:val="left" w:pos="709"/>
        </w:tabs>
        <w:jc w:val="center"/>
        <w:rPr>
          <w:rFonts w:asciiTheme="minorHAnsi" w:hAnsiTheme="minorHAnsi"/>
          <w:sz w:val="28"/>
          <w:szCs w:val="28"/>
        </w:rPr>
      </w:pPr>
      <w:r w:rsidRPr="00C71E8D">
        <w:rPr>
          <w:rFonts w:asciiTheme="minorHAnsi" w:hAnsiTheme="minorHAnsi"/>
          <w:sz w:val="28"/>
          <w:szCs w:val="28"/>
        </w:rPr>
        <w:lastRenderedPageBreak/>
        <w:t>References</w:t>
      </w:r>
    </w:p>
    <w:p w14:paraId="045381B2" w14:textId="0DBD1B4C"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Britton, W. B., Lindahl, J. R., Cooper, D. J., Canby, N. K., &amp; Palitsky, R. (2021). Defining and measuring meditation-related adverse effects in mindfulness-based programs. </w:t>
      </w:r>
      <w:r w:rsidRPr="006A1DCA">
        <w:rPr>
          <w:rFonts w:asciiTheme="minorHAnsi" w:hAnsiTheme="minorHAnsi"/>
          <w:i/>
          <w:iCs/>
          <w:sz w:val="24"/>
          <w:szCs w:val="24"/>
        </w:rPr>
        <w:t>Clinical Psychological Science, 9</w:t>
      </w:r>
      <w:r w:rsidRPr="006A1DCA">
        <w:rPr>
          <w:rFonts w:asciiTheme="minorHAnsi" w:hAnsiTheme="minorHAnsi"/>
          <w:sz w:val="24"/>
          <w:szCs w:val="24"/>
        </w:rPr>
        <w:t xml:space="preserve">(6), 1185–1204. </w:t>
      </w:r>
      <w:hyperlink r:id="rId10" w:history="1">
        <w:r w:rsidR="00B64555" w:rsidRPr="006A1DCA">
          <w:rPr>
            <w:rStyle w:val="Hyperlink"/>
            <w:rFonts w:asciiTheme="minorHAnsi" w:hAnsiTheme="minorHAnsi"/>
            <w:sz w:val="24"/>
            <w:szCs w:val="24"/>
          </w:rPr>
          <w:t>https://doi.org/10.1177/2167702621996340</w:t>
        </w:r>
      </w:hyperlink>
      <w:r w:rsidR="00B64555" w:rsidRPr="006A1DCA">
        <w:rPr>
          <w:rFonts w:asciiTheme="minorHAnsi" w:hAnsiTheme="minorHAnsi"/>
          <w:sz w:val="24"/>
          <w:szCs w:val="24"/>
        </w:rPr>
        <w:t xml:space="preserve"> </w:t>
      </w:r>
    </w:p>
    <w:p w14:paraId="12A34EFA" w14:textId="77A434C6" w:rsidR="0082400F" w:rsidRPr="006A1DCA" w:rsidRDefault="00000000" w:rsidP="00B64555">
      <w:pPr>
        <w:spacing w:after="160" w:line="480" w:lineRule="auto"/>
        <w:ind w:left="720" w:hanging="720"/>
        <w:contextualSpacing/>
        <w:rPr>
          <w:rFonts w:asciiTheme="minorHAnsi" w:hAnsiTheme="minorHAnsi"/>
          <w:sz w:val="24"/>
          <w:szCs w:val="24"/>
        </w:rPr>
      </w:pPr>
      <w:bookmarkStart w:id="0" w:name="_Int_3w8dcUQ7"/>
      <w:r w:rsidRPr="006A1DCA">
        <w:rPr>
          <w:rFonts w:asciiTheme="minorHAnsi" w:hAnsiTheme="minorHAnsi"/>
          <w:sz w:val="24"/>
          <w:szCs w:val="24"/>
        </w:rPr>
        <w:t>Burgess, E. E., Selchen, S., Diplock, B. D., &amp; Rector, N. A. (2021).</w:t>
      </w:r>
      <w:bookmarkEnd w:id="0"/>
      <w:r w:rsidRPr="006A1DCA">
        <w:rPr>
          <w:rFonts w:asciiTheme="minorHAnsi" w:hAnsiTheme="minorHAnsi"/>
          <w:sz w:val="24"/>
          <w:szCs w:val="24"/>
        </w:rPr>
        <w:t xml:space="preserve"> A brief mindfulness-based cognitive therapy (MBCT) intervention as a population-level strategy for anxiety and depression. </w:t>
      </w:r>
      <w:r w:rsidRPr="006A1DCA">
        <w:rPr>
          <w:rFonts w:asciiTheme="minorHAnsi" w:hAnsiTheme="minorHAnsi"/>
          <w:i/>
          <w:iCs/>
          <w:sz w:val="24"/>
          <w:szCs w:val="24"/>
        </w:rPr>
        <w:t>International Journal of Cognitive Therapy, 14</w:t>
      </w:r>
      <w:r w:rsidRPr="006A1DCA">
        <w:rPr>
          <w:rFonts w:asciiTheme="minorHAnsi" w:hAnsiTheme="minorHAnsi"/>
          <w:sz w:val="24"/>
          <w:szCs w:val="24"/>
        </w:rPr>
        <w:t xml:space="preserve">, 380–398. </w:t>
      </w:r>
      <w:hyperlink r:id="rId11" w:history="1">
        <w:r w:rsidR="00B64555" w:rsidRPr="006A1DCA">
          <w:rPr>
            <w:rStyle w:val="Hyperlink"/>
            <w:rFonts w:asciiTheme="minorHAnsi" w:hAnsiTheme="minorHAnsi"/>
            <w:sz w:val="24"/>
            <w:szCs w:val="24"/>
          </w:rPr>
          <w:t>https://doi.org/10.1007/s41811-021-00105-x</w:t>
        </w:r>
      </w:hyperlink>
      <w:r w:rsidR="00B64555" w:rsidRPr="006A1DCA">
        <w:rPr>
          <w:rFonts w:asciiTheme="minorHAnsi" w:hAnsiTheme="minorHAnsi"/>
          <w:sz w:val="24"/>
          <w:szCs w:val="24"/>
        </w:rPr>
        <w:t xml:space="preserve"> </w:t>
      </w:r>
    </w:p>
    <w:p w14:paraId="1E1980F9" w14:textId="43E20612"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Burke, A., Bachmann, M., Jones, C. E. L., Brainard, J., Shabuz, Z. R., Dalton, A. M., Cullum, R., &amp; Steel, N. (2025). Recovery, completion and further referral after Improving Access to Psychological Therapies in Norfolk and Waveney. </w:t>
      </w:r>
      <w:r w:rsidRPr="006A1DCA">
        <w:rPr>
          <w:rFonts w:asciiTheme="minorHAnsi" w:hAnsiTheme="minorHAnsi"/>
          <w:i/>
          <w:iCs/>
          <w:sz w:val="24"/>
          <w:szCs w:val="24"/>
        </w:rPr>
        <w:t>BJPsych Open, 11</w:t>
      </w:r>
      <w:r w:rsidRPr="006A1DCA">
        <w:rPr>
          <w:rFonts w:asciiTheme="minorHAnsi" w:hAnsiTheme="minorHAnsi"/>
          <w:sz w:val="24"/>
          <w:szCs w:val="24"/>
        </w:rPr>
        <w:t xml:space="preserve">, e151. </w:t>
      </w:r>
      <w:hyperlink r:id="rId12" w:history="1">
        <w:r w:rsidR="00B64555" w:rsidRPr="006A1DCA">
          <w:rPr>
            <w:rStyle w:val="Hyperlink"/>
            <w:rFonts w:asciiTheme="minorHAnsi" w:hAnsiTheme="minorHAnsi"/>
            <w:sz w:val="24"/>
            <w:szCs w:val="24"/>
          </w:rPr>
          <w:t>https://doi.org/10.1192/bjo.2025.10045</w:t>
        </w:r>
      </w:hyperlink>
      <w:r w:rsidR="00B64555" w:rsidRPr="006A1DCA">
        <w:rPr>
          <w:rFonts w:asciiTheme="minorHAnsi" w:hAnsiTheme="minorHAnsi"/>
          <w:sz w:val="24"/>
          <w:szCs w:val="24"/>
        </w:rPr>
        <w:t xml:space="preserve"> </w:t>
      </w:r>
    </w:p>
    <w:p w14:paraId="5375941E" w14:textId="3C8E294B"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Cebolla, A., Demarzo, M., Martins, P., Soler, J., &amp; Garcia-Campayo, J. (2017). Unwanted effects: Is there a negative side of meditation? A multicentre survey. </w:t>
      </w:r>
      <w:r w:rsidRPr="006A1DCA">
        <w:rPr>
          <w:rFonts w:asciiTheme="minorHAnsi" w:hAnsiTheme="minorHAnsi"/>
          <w:i/>
          <w:iCs/>
          <w:sz w:val="24"/>
          <w:szCs w:val="24"/>
        </w:rPr>
        <w:t>PLoS ONE, 12</w:t>
      </w:r>
      <w:r w:rsidRPr="006A1DCA">
        <w:rPr>
          <w:rFonts w:asciiTheme="minorHAnsi" w:hAnsiTheme="minorHAnsi"/>
          <w:sz w:val="24"/>
          <w:szCs w:val="24"/>
        </w:rPr>
        <w:t xml:space="preserve">(9), e0183137. </w:t>
      </w:r>
      <w:hyperlink r:id="rId13" w:history="1">
        <w:r w:rsidR="00B64555" w:rsidRPr="006A1DCA">
          <w:rPr>
            <w:rStyle w:val="Hyperlink"/>
            <w:rFonts w:asciiTheme="minorHAnsi" w:hAnsiTheme="minorHAnsi"/>
            <w:sz w:val="24"/>
            <w:szCs w:val="24"/>
          </w:rPr>
          <w:t>https://doi.org/10.1371/journal.pone.0183137</w:t>
        </w:r>
      </w:hyperlink>
      <w:r w:rsidR="00B64555" w:rsidRPr="006A1DCA">
        <w:rPr>
          <w:rFonts w:asciiTheme="minorHAnsi" w:hAnsiTheme="minorHAnsi"/>
          <w:sz w:val="24"/>
          <w:szCs w:val="24"/>
        </w:rPr>
        <w:t xml:space="preserve"> </w:t>
      </w:r>
    </w:p>
    <w:p w14:paraId="60C01D8F" w14:textId="77777777"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Cohen, J. (1988). </w:t>
      </w:r>
      <w:r w:rsidRPr="006A1DCA">
        <w:rPr>
          <w:rFonts w:asciiTheme="minorHAnsi" w:hAnsiTheme="minorHAnsi"/>
          <w:i/>
          <w:iCs/>
          <w:sz w:val="24"/>
          <w:szCs w:val="24"/>
        </w:rPr>
        <w:t>Statistical power analysis for the behavioral sciences</w:t>
      </w:r>
      <w:r w:rsidRPr="006A1DCA">
        <w:rPr>
          <w:rFonts w:asciiTheme="minorHAnsi" w:hAnsiTheme="minorHAnsi"/>
          <w:sz w:val="24"/>
          <w:szCs w:val="24"/>
        </w:rPr>
        <w:t xml:space="preserve"> (2nd ed.). Lawrence Erlbaum Associates.</w:t>
      </w:r>
    </w:p>
    <w:p w14:paraId="453AEEE9" w14:textId="01772FF6"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Eichel, K., Gawande, R., Acabchuk, R. L., Palitsky, R., Chau, S., Pham, A., Cheaito, A., Yam, D., Lipo, J., Rich, A., Lazar, S. W., Schuman-Olivier, Z., Britton, W. B., Loucks, E. B., &amp; Fulwiler, C. (2021). A retrospective systematic review of diversity variables in mindfulness research, 2000–2016. </w:t>
      </w:r>
      <w:r w:rsidRPr="006A1DCA">
        <w:rPr>
          <w:rFonts w:asciiTheme="minorHAnsi" w:hAnsiTheme="minorHAnsi"/>
          <w:i/>
          <w:iCs/>
          <w:sz w:val="24"/>
          <w:szCs w:val="24"/>
        </w:rPr>
        <w:t>Mindfulness, 12</w:t>
      </w:r>
      <w:r w:rsidRPr="006A1DCA">
        <w:rPr>
          <w:rFonts w:asciiTheme="minorHAnsi" w:hAnsiTheme="minorHAnsi"/>
          <w:sz w:val="24"/>
          <w:szCs w:val="24"/>
        </w:rPr>
        <w:t xml:space="preserve">, 2573–2592. </w:t>
      </w:r>
      <w:hyperlink r:id="rId14" w:history="1">
        <w:r w:rsidR="00B64555" w:rsidRPr="006A1DCA">
          <w:rPr>
            <w:rStyle w:val="Hyperlink"/>
            <w:rFonts w:asciiTheme="minorHAnsi" w:hAnsiTheme="minorHAnsi"/>
            <w:sz w:val="24"/>
            <w:szCs w:val="24"/>
          </w:rPr>
          <w:t>https://doi.org/10.1007/s12671-021-01715-4</w:t>
        </w:r>
      </w:hyperlink>
      <w:r w:rsidR="00B64555" w:rsidRPr="006A1DCA">
        <w:rPr>
          <w:rFonts w:asciiTheme="minorHAnsi" w:hAnsiTheme="minorHAnsi"/>
          <w:sz w:val="24"/>
          <w:szCs w:val="24"/>
        </w:rPr>
        <w:t xml:space="preserve"> </w:t>
      </w:r>
    </w:p>
    <w:p w14:paraId="00EC3312" w14:textId="4D02C1F4"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lastRenderedPageBreak/>
        <w:t xml:space="preserve">Galante, J., Friedrich, C., Dawson, A. F., Modrego-Alarcón, M., Gebbing, P., Delgado-Suárez, I., Gupta, R., Dean, L., Dalgleish, T., White, I. R., &amp; Jones, P. B. (2021). Mindfulness-based programmes for mental health promotion in adults in nonclinical settings: A systematic review and meta-analysis of randomised controlled trials. </w:t>
      </w:r>
      <w:r w:rsidRPr="006A1DCA">
        <w:rPr>
          <w:rFonts w:asciiTheme="minorHAnsi" w:hAnsiTheme="minorHAnsi"/>
          <w:i/>
          <w:iCs/>
          <w:sz w:val="24"/>
          <w:szCs w:val="24"/>
        </w:rPr>
        <w:t>PLoS Medicine, 18</w:t>
      </w:r>
      <w:r w:rsidRPr="006A1DCA">
        <w:rPr>
          <w:rFonts w:asciiTheme="minorHAnsi" w:hAnsiTheme="minorHAnsi"/>
          <w:sz w:val="24"/>
          <w:szCs w:val="24"/>
        </w:rPr>
        <w:t xml:space="preserve">(1), e1003481. </w:t>
      </w:r>
      <w:hyperlink r:id="rId15" w:history="1">
        <w:r w:rsidR="00B64555" w:rsidRPr="006A1DCA">
          <w:rPr>
            <w:rStyle w:val="Hyperlink"/>
            <w:rFonts w:asciiTheme="minorHAnsi" w:hAnsiTheme="minorHAnsi"/>
            <w:sz w:val="24"/>
            <w:szCs w:val="24"/>
          </w:rPr>
          <w:t>https://doi.org/10.1371/journal.pmed.1003481</w:t>
        </w:r>
      </w:hyperlink>
      <w:r w:rsidR="00B64555" w:rsidRPr="006A1DCA">
        <w:rPr>
          <w:rFonts w:asciiTheme="minorHAnsi" w:hAnsiTheme="minorHAnsi"/>
          <w:sz w:val="24"/>
          <w:szCs w:val="24"/>
        </w:rPr>
        <w:t xml:space="preserve"> </w:t>
      </w:r>
    </w:p>
    <w:p w14:paraId="006FE587" w14:textId="075B7DC7"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Goldberg, S. B., Tucker, R. P., Greene, P. A., Davidson, R. J., Wampold, B. E., Kearney, D. J., &amp; Simpson, T. L. (2018). Mindfulness-based interventions for psychiatric disorders: A systematic review and meta-analysis. </w:t>
      </w:r>
      <w:r w:rsidRPr="006A1DCA">
        <w:rPr>
          <w:rFonts w:asciiTheme="minorHAnsi" w:hAnsiTheme="minorHAnsi"/>
          <w:i/>
          <w:iCs/>
          <w:sz w:val="24"/>
          <w:szCs w:val="24"/>
        </w:rPr>
        <w:t>Clinical Psychology Review, 59</w:t>
      </w:r>
      <w:r w:rsidRPr="006A1DCA">
        <w:rPr>
          <w:rFonts w:asciiTheme="minorHAnsi" w:hAnsiTheme="minorHAnsi"/>
          <w:sz w:val="24"/>
          <w:szCs w:val="24"/>
        </w:rPr>
        <w:t xml:space="preserve">, 52–60. </w:t>
      </w:r>
      <w:hyperlink r:id="rId16" w:history="1">
        <w:r w:rsidR="00B64555" w:rsidRPr="006A1DCA">
          <w:rPr>
            <w:rStyle w:val="Hyperlink"/>
            <w:rFonts w:asciiTheme="minorHAnsi" w:hAnsiTheme="minorHAnsi"/>
            <w:sz w:val="24"/>
            <w:szCs w:val="24"/>
          </w:rPr>
          <w:t>https://doi.org/10.1016/j.cpr.2017.10.011</w:t>
        </w:r>
      </w:hyperlink>
      <w:r w:rsidR="00B64555" w:rsidRPr="006A1DCA">
        <w:rPr>
          <w:rFonts w:asciiTheme="minorHAnsi" w:hAnsiTheme="minorHAnsi"/>
          <w:sz w:val="24"/>
          <w:szCs w:val="24"/>
        </w:rPr>
        <w:t xml:space="preserve"> </w:t>
      </w:r>
    </w:p>
    <w:p w14:paraId="5FC5110F" w14:textId="5E29FC62"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Kuyken, W., Watkins, E., Holden, E., White, K., Taylor, R. S., Byford, S., Evans, A., Radford, S., Teasdale, J. D., &amp; Dalgleish, T. (2010). How does mindfulness-based cognitive therapy work? </w:t>
      </w:r>
      <w:r w:rsidRPr="006A1DCA">
        <w:rPr>
          <w:rFonts w:asciiTheme="minorHAnsi" w:hAnsiTheme="minorHAnsi"/>
          <w:i/>
          <w:iCs/>
          <w:sz w:val="24"/>
          <w:szCs w:val="24"/>
        </w:rPr>
        <w:t>Behaviour Research and Therapy, 48</w:t>
      </w:r>
      <w:r w:rsidRPr="006A1DCA">
        <w:rPr>
          <w:rFonts w:asciiTheme="minorHAnsi" w:hAnsiTheme="minorHAnsi"/>
          <w:sz w:val="24"/>
          <w:szCs w:val="24"/>
        </w:rPr>
        <w:t xml:space="preserve">(11), 1105–1112. </w:t>
      </w:r>
      <w:hyperlink r:id="rId17" w:history="1">
        <w:r w:rsidR="00B64555" w:rsidRPr="006A1DCA">
          <w:rPr>
            <w:rStyle w:val="Hyperlink"/>
            <w:rFonts w:asciiTheme="minorHAnsi" w:hAnsiTheme="minorHAnsi"/>
            <w:sz w:val="24"/>
            <w:szCs w:val="24"/>
          </w:rPr>
          <w:t>https://doi.org/10.1016/j.brat.2010.08.003</w:t>
        </w:r>
      </w:hyperlink>
      <w:r w:rsidR="00B64555" w:rsidRPr="006A1DCA">
        <w:rPr>
          <w:rFonts w:asciiTheme="minorHAnsi" w:hAnsiTheme="minorHAnsi"/>
          <w:sz w:val="24"/>
          <w:szCs w:val="24"/>
        </w:rPr>
        <w:t xml:space="preserve"> </w:t>
      </w:r>
    </w:p>
    <w:p w14:paraId="262C4773" w14:textId="7679A10C"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Marsden, E., &amp; Torgerson, C. J. (2012). Single group, pre- and post-test research designs: Some methodological concerns. </w:t>
      </w:r>
      <w:r w:rsidRPr="006A1DCA">
        <w:rPr>
          <w:rFonts w:asciiTheme="minorHAnsi" w:hAnsiTheme="minorHAnsi"/>
          <w:i/>
          <w:iCs/>
          <w:sz w:val="24"/>
          <w:szCs w:val="24"/>
        </w:rPr>
        <w:t>Oxford Review of Education, 38</w:t>
      </w:r>
      <w:r w:rsidRPr="006A1DCA">
        <w:rPr>
          <w:rFonts w:asciiTheme="minorHAnsi" w:hAnsiTheme="minorHAnsi"/>
          <w:sz w:val="24"/>
          <w:szCs w:val="24"/>
        </w:rPr>
        <w:t xml:space="preserve">(5), 583–616. </w:t>
      </w:r>
      <w:hyperlink r:id="rId18" w:history="1">
        <w:r w:rsidR="00B64555" w:rsidRPr="006A1DCA">
          <w:rPr>
            <w:rStyle w:val="Hyperlink"/>
            <w:rFonts w:asciiTheme="minorHAnsi" w:hAnsiTheme="minorHAnsi"/>
            <w:sz w:val="24"/>
            <w:szCs w:val="24"/>
          </w:rPr>
          <w:t>https://doi.org/10.1080/03054985.2012.731208</w:t>
        </w:r>
      </w:hyperlink>
      <w:r w:rsidR="00B64555" w:rsidRPr="006A1DCA">
        <w:rPr>
          <w:rFonts w:asciiTheme="minorHAnsi" w:hAnsiTheme="minorHAnsi"/>
          <w:sz w:val="24"/>
          <w:szCs w:val="24"/>
        </w:rPr>
        <w:t xml:space="preserve"> </w:t>
      </w:r>
    </w:p>
    <w:p w14:paraId="0BBDCD97" w14:textId="5B8A3E07"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Schumer, M. C., Lindsay, E. K., &amp; Creswell, J. D. (2018). Brief mindfulness training for negative affectivity: A systematic review and meta-analysis. </w:t>
      </w:r>
      <w:r w:rsidRPr="006A1DCA">
        <w:rPr>
          <w:rFonts w:asciiTheme="minorHAnsi" w:hAnsiTheme="minorHAnsi"/>
          <w:i/>
          <w:iCs/>
          <w:sz w:val="24"/>
          <w:szCs w:val="24"/>
        </w:rPr>
        <w:t>Journal of Consulting and Clinical Psychology, 86</w:t>
      </w:r>
      <w:r w:rsidRPr="006A1DCA">
        <w:rPr>
          <w:rFonts w:asciiTheme="minorHAnsi" w:hAnsiTheme="minorHAnsi"/>
          <w:sz w:val="24"/>
          <w:szCs w:val="24"/>
        </w:rPr>
        <w:t xml:space="preserve">(7), 569–583. </w:t>
      </w:r>
      <w:hyperlink r:id="rId19" w:history="1">
        <w:r w:rsidR="00B64555" w:rsidRPr="006A1DCA">
          <w:rPr>
            <w:rStyle w:val="Hyperlink"/>
            <w:rFonts w:asciiTheme="minorHAnsi" w:hAnsiTheme="minorHAnsi"/>
            <w:sz w:val="24"/>
            <w:szCs w:val="24"/>
          </w:rPr>
          <w:t>https://doi.org/10.1037/ccp0000324</w:t>
        </w:r>
      </w:hyperlink>
      <w:r w:rsidR="00B64555" w:rsidRPr="006A1DCA">
        <w:rPr>
          <w:rFonts w:asciiTheme="minorHAnsi" w:hAnsiTheme="minorHAnsi"/>
          <w:sz w:val="24"/>
          <w:szCs w:val="24"/>
        </w:rPr>
        <w:t xml:space="preserve"> </w:t>
      </w:r>
    </w:p>
    <w:p w14:paraId="0B84BFEC" w14:textId="77777777"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t xml:space="preserve">Segal, Z. V., Williams, J. M. G., &amp; Teasdale, J. D. (2013). </w:t>
      </w:r>
      <w:r w:rsidRPr="006A1DCA">
        <w:rPr>
          <w:rFonts w:asciiTheme="minorHAnsi" w:hAnsiTheme="minorHAnsi"/>
          <w:i/>
          <w:iCs/>
          <w:sz w:val="24"/>
          <w:szCs w:val="24"/>
        </w:rPr>
        <w:t>Mindfulness-based cognitive therapy for depression</w:t>
      </w:r>
      <w:r w:rsidRPr="006A1DCA">
        <w:rPr>
          <w:rFonts w:asciiTheme="minorHAnsi" w:hAnsiTheme="minorHAnsi"/>
          <w:sz w:val="24"/>
          <w:szCs w:val="24"/>
        </w:rPr>
        <w:t xml:space="preserve"> (2nd ed.). Guilford Press.</w:t>
      </w:r>
    </w:p>
    <w:p w14:paraId="7EC37EB2" w14:textId="040F5E66" w:rsidR="0082400F" w:rsidRPr="006A1DCA" w:rsidRDefault="00000000" w:rsidP="00B64555">
      <w:pPr>
        <w:spacing w:after="160" w:line="480" w:lineRule="auto"/>
        <w:ind w:left="720" w:hanging="720"/>
        <w:contextualSpacing/>
        <w:rPr>
          <w:rFonts w:asciiTheme="minorHAnsi" w:hAnsiTheme="minorHAnsi"/>
          <w:sz w:val="24"/>
          <w:szCs w:val="24"/>
        </w:rPr>
      </w:pPr>
      <w:r w:rsidRPr="006A1DCA">
        <w:rPr>
          <w:rFonts w:asciiTheme="minorHAnsi" w:hAnsiTheme="minorHAnsi"/>
          <w:sz w:val="24"/>
          <w:szCs w:val="24"/>
        </w:rPr>
        <w:lastRenderedPageBreak/>
        <w:t xml:space="preserve">Van Dam, N. T., van Vugt, M. K., Vago, D. R., Schmalzl, L., Saron, C. D., Olendzki, A., Meissner, T., Lazar, S. W., Kerr, C. E., Gorchov, J., Fox, K. C. R., Field, B. A., Britton, W. B., Brefczynski-Lewis, J. A., &amp; Meyer, D. E. (2018). Mind the hype: A critical evaluation and prescriptive agenda for research on mindfulness and meditation. </w:t>
      </w:r>
      <w:r w:rsidRPr="006A1DCA">
        <w:rPr>
          <w:rFonts w:asciiTheme="minorHAnsi" w:hAnsiTheme="minorHAnsi"/>
          <w:i/>
          <w:iCs/>
          <w:sz w:val="24"/>
          <w:szCs w:val="24"/>
        </w:rPr>
        <w:t>Perspectives on Psychological Science, 13</w:t>
      </w:r>
      <w:r w:rsidRPr="006A1DCA">
        <w:rPr>
          <w:rFonts w:asciiTheme="minorHAnsi" w:hAnsiTheme="minorHAnsi"/>
          <w:sz w:val="24"/>
          <w:szCs w:val="24"/>
        </w:rPr>
        <w:t xml:space="preserve">(1), 36–61. </w:t>
      </w:r>
      <w:hyperlink r:id="rId20" w:history="1">
        <w:r w:rsidR="00B64555" w:rsidRPr="006A1DCA">
          <w:rPr>
            <w:rStyle w:val="Hyperlink"/>
            <w:rFonts w:asciiTheme="minorHAnsi" w:hAnsiTheme="minorHAnsi"/>
            <w:sz w:val="24"/>
            <w:szCs w:val="24"/>
          </w:rPr>
          <w:t>https://doi.org/10.1177/1745691617709589</w:t>
        </w:r>
      </w:hyperlink>
      <w:r w:rsidR="00B64555" w:rsidRPr="006A1DCA">
        <w:rPr>
          <w:rFonts w:asciiTheme="minorHAnsi" w:hAnsiTheme="minorHAnsi"/>
          <w:sz w:val="24"/>
          <w:szCs w:val="24"/>
        </w:rPr>
        <w:t xml:space="preserve"> </w:t>
      </w:r>
    </w:p>
    <w:sectPr w:rsidR="0082400F" w:rsidRPr="006A1DCA" w:rsidSect="006A1DCA">
      <w:headerReference w:type="first" r:id="rId21"/>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176D8" w14:textId="77777777" w:rsidR="001E0104" w:rsidRDefault="001E0104" w:rsidP="006A1DCA">
      <w:r>
        <w:separator/>
      </w:r>
    </w:p>
  </w:endnote>
  <w:endnote w:type="continuationSeparator" w:id="0">
    <w:p w14:paraId="255B0181" w14:textId="77777777" w:rsidR="001E0104" w:rsidRDefault="001E0104" w:rsidP="006A1D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6367D" w14:textId="77777777" w:rsidR="001E0104" w:rsidRDefault="001E0104" w:rsidP="006A1DCA">
      <w:r>
        <w:separator/>
      </w:r>
    </w:p>
  </w:footnote>
  <w:footnote w:type="continuationSeparator" w:id="0">
    <w:p w14:paraId="29B11347" w14:textId="77777777" w:rsidR="001E0104" w:rsidRDefault="001E0104" w:rsidP="006A1D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9A0400" w14:textId="77777777" w:rsidR="00C71E8D" w:rsidRDefault="00C71E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CC62E" w14:textId="730AA6DD" w:rsidR="006A1DCA" w:rsidRPr="006A1DCA" w:rsidRDefault="006A1DCA" w:rsidP="006A1DCA">
    <w:pPr>
      <w:pStyle w:val="Header"/>
      <w:jc w:val="center"/>
      <w:rPr>
        <w:rFonts w:asciiTheme="majorHAnsi" w:hAnsiTheme="majorHAnsi"/>
        <w:b/>
        <w:bCs/>
        <w:sz w:val="28"/>
        <w:szCs w:val="28"/>
      </w:rPr>
    </w:pPr>
    <w:r w:rsidRPr="006A1DCA">
      <w:rPr>
        <w:rFonts w:asciiTheme="majorHAnsi" w:hAnsiTheme="majorHAnsi"/>
        <w:b/>
        <w:bCs/>
        <w:sz w:val="28"/>
        <w:szCs w:val="28"/>
      </w:rPr>
      <w:t>AI ACKNOWLEDGMENT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FF98A0" w14:textId="2FAC9163" w:rsidR="006A1DCA" w:rsidRPr="006A1DCA" w:rsidRDefault="006A1DCA" w:rsidP="006A1DCA">
    <w:pPr>
      <w:spacing w:after="120" w:line="480" w:lineRule="auto"/>
      <w:jc w:val="center"/>
    </w:pPr>
    <w:r w:rsidRPr="006A1DCA">
      <w:rPr>
        <w:rFonts w:asciiTheme="minorHAnsi" w:hAnsiTheme="minorHAnsi"/>
        <w:b/>
        <w:bCs/>
        <w:sz w:val="28"/>
        <w:szCs w:val="28"/>
      </w:rPr>
      <w:t>Critical Review Presentation Script</w:t>
    </w:r>
  </w:p>
</w:hdr>
</file>

<file path=word/intelligence2.xml><?xml version="1.0" encoding="utf-8"?>
<int2:intelligence xmlns:int2="http://schemas.microsoft.com/office/intelligence/2020/intelligence" xmlns:oel="http://schemas.microsoft.com/office/2019/extlst">
  <int2:observations>
    <int2:bookmark int2:bookmarkName="_Int_3w8dcUQ7" int2:invalidationBookmarkName="" int2:hashCode="vBhawlDeUd3B/c" int2:id="Zq22oaee">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BF3DBB"/>
    <w:multiLevelType w:val="hybridMultilevel"/>
    <w:tmpl w:val="DA9881D4"/>
    <w:lvl w:ilvl="0" w:tplc="424CCC52">
      <w:start w:val="1"/>
      <w:numFmt w:val="bullet"/>
      <w:lvlText w:val="●"/>
      <w:lvlJc w:val="left"/>
      <w:pPr>
        <w:ind w:left="720" w:hanging="360"/>
      </w:pPr>
    </w:lvl>
    <w:lvl w:ilvl="1" w:tplc="15A47904">
      <w:start w:val="1"/>
      <w:numFmt w:val="bullet"/>
      <w:lvlText w:val="○"/>
      <w:lvlJc w:val="left"/>
      <w:pPr>
        <w:ind w:left="1440" w:hanging="360"/>
      </w:pPr>
    </w:lvl>
    <w:lvl w:ilvl="2" w:tplc="2E5E3496">
      <w:start w:val="1"/>
      <w:numFmt w:val="bullet"/>
      <w:lvlText w:val="■"/>
      <w:lvlJc w:val="left"/>
      <w:pPr>
        <w:ind w:left="2160" w:hanging="360"/>
      </w:pPr>
    </w:lvl>
    <w:lvl w:ilvl="3" w:tplc="AF70CEDC">
      <w:start w:val="1"/>
      <w:numFmt w:val="bullet"/>
      <w:lvlText w:val="●"/>
      <w:lvlJc w:val="left"/>
      <w:pPr>
        <w:ind w:left="2880" w:hanging="360"/>
      </w:pPr>
    </w:lvl>
    <w:lvl w:ilvl="4" w:tplc="618C9682">
      <w:start w:val="1"/>
      <w:numFmt w:val="bullet"/>
      <w:lvlText w:val="○"/>
      <w:lvlJc w:val="left"/>
      <w:pPr>
        <w:ind w:left="3600" w:hanging="360"/>
      </w:pPr>
    </w:lvl>
    <w:lvl w:ilvl="5" w:tplc="80B4E860">
      <w:start w:val="1"/>
      <w:numFmt w:val="bullet"/>
      <w:lvlText w:val="■"/>
      <w:lvlJc w:val="left"/>
      <w:pPr>
        <w:ind w:left="4320" w:hanging="360"/>
      </w:pPr>
    </w:lvl>
    <w:lvl w:ilvl="6" w:tplc="49C46002">
      <w:start w:val="1"/>
      <w:numFmt w:val="bullet"/>
      <w:lvlText w:val="●"/>
      <w:lvlJc w:val="left"/>
      <w:pPr>
        <w:ind w:left="5040" w:hanging="360"/>
      </w:pPr>
    </w:lvl>
    <w:lvl w:ilvl="7" w:tplc="B11270E6">
      <w:start w:val="1"/>
      <w:numFmt w:val="bullet"/>
      <w:lvlText w:val="●"/>
      <w:lvlJc w:val="left"/>
      <w:pPr>
        <w:ind w:left="5760" w:hanging="360"/>
      </w:pPr>
    </w:lvl>
    <w:lvl w:ilvl="8" w:tplc="C246AE04">
      <w:start w:val="1"/>
      <w:numFmt w:val="bullet"/>
      <w:lvlText w:val="●"/>
      <w:lvlJc w:val="left"/>
      <w:pPr>
        <w:ind w:left="6480" w:hanging="360"/>
      </w:pPr>
    </w:lvl>
  </w:abstractNum>
  <w:abstractNum w:abstractNumId="1" w15:restartNumberingAfterBreak="0">
    <w:nsid w:val="78692AD1"/>
    <w:multiLevelType w:val="hybridMultilevel"/>
    <w:tmpl w:val="94DE7926"/>
    <w:lvl w:ilvl="0" w:tplc="2BC69F9C">
      <w:start w:val="1"/>
      <w:numFmt w:val="bullet"/>
      <w:lvlText w:val="•"/>
      <w:lvlJc w:val="left"/>
      <w:pPr>
        <w:ind w:left="720" w:hanging="360"/>
      </w:pPr>
    </w:lvl>
    <w:lvl w:ilvl="1" w:tplc="CD027690">
      <w:start w:val="1"/>
      <w:numFmt w:val="bullet"/>
      <w:lvlText w:val="◦"/>
      <w:lvlJc w:val="left"/>
      <w:pPr>
        <w:ind w:left="1440" w:hanging="360"/>
      </w:pPr>
    </w:lvl>
    <w:lvl w:ilvl="2" w:tplc="DBE2EB96">
      <w:numFmt w:val="decimal"/>
      <w:lvlText w:val=""/>
      <w:lvlJc w:val="left"/>
    </w:lvl>
    <w:lvl w:ilvl="3" w:tplc="66148BF6">
      <w:numFmt w:val="decimal"/>
      <w:lvlText w:val=""/>
      <w:lvlJc w:val="left"/>
    </w:lvl>
    <w:lvl w:ilvl="4" w:tplc="C914A884">
      <w:numFmt w:val="decimal"/>
      <w:lvlText w:val=""/>
      <w:lvlJc w:val="left"/>
    </w:lvl>
    <w:lvl w:ilvl="5" w:tplc="56D0D84A">
      <w:numFmt w:val="decimal"/>
      <w:lvlText w:val=""/>
      <w:lvlJc w:val="left"/>
    </w:lvl>
    <w:lvl w:ilvl="6" w:tplc="1968F032">
      <w:numFmt w:val="decimal"/>
      <w:lvlText w:val=""/>
      <w:lvlJc w:val="left"/>
    </w:lvl>
    <w:lvl w:ilvl="7" w:tplc="471EA19E">
      <w:numFmt w:val="decimal"/>
      <w:lvlText w:val=""/>
      <w:lvlJc w:val="left"/>
    </w:lvl>
    <w:lvl w:ilvl="8" w:tplc="D0C25598">
      <w:numFmt w:val="decimal"/>
      <w:lvlText w:val=""/>
      <w:lvlJc w:val="left"/>
    </w:lvl>
  </w:abstractNum>
  <w:num w:numId="1" w16cid:durableId="320548557">
    <w:abstractNumId w:val="0"/>
    <w:lvlOverride w:ilvl="0">
      <w:startOverride w:val="1"/>
    </w:lvlOverride>
  </w:num>
  <w:num w:numId="2" w16cid:durableId="2038658355">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400F"/>
    <w:rsid w:val="000239CF"/>
    <w:rsid w:val="001E0104"/>
    <w:rsid w:val="004863B2"/>
    <w:rsid w:val="00496266"/>
    <w:rsid w:val="006A1DCA"/>
    <w:rsid w:val="006A44C8"/>
    <w:rsid w:val="007A0D51"/>
    <w:rsid w:val="0082400F"/>
    <w:rsid w:val="00AB249C"/>
    <w:rsid w:val="00B64555"/>
    <w:rsid w:val="00C6153F"/>
    <w:rsid w:val="00C71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FE05E2"/>
  <w15:docId w15:val="{89C5FC35-4E54-4B95-8513-C8F736A37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color w:val="1F3864"/>
      <w:sz w:val="30"/>
      <w:szCs w:val="30"/>
    </w:rPr>
  </w:style>
  <w:style w:type="paragraph" w:styleId="Heading2">
    <w:name w:val="heading 2"/>
    <w:uiPriority w:val="9"/>
    <w:unhideWhenUsed/>
    <w:qFormat/>
    <w:pPr>
      <w:spacing w:before="280" w:after="140"/>
      <w:outlineLvl w:val="1"/>
    </w:pPr>
    <w:rPr>
      <w:b/>
      <w:bCs/>
      <w:color w:val="2E75B6"/>
      <w:sz w:val="26"/>
      <w:szCs w:val="26"/>
    </w:rPr>
  </w:style>
  <w:style w:type="paragraph" w:styleId="Heading3">
    <w:name w:val="heading 3"/>
    <w:uiPriority w:val="9"/>
    <w:unhideWhenUsed/>
    <w:qFormat/>
    <w:pPr>
      <w:spacing w:before="200" w:after="100"/>
      <w:outlineLvl w:val="2"/>
    </w:pPr>
    <w:rPr>
      <w:b/>
      <w:bCs/>
      <w:color w:val="404040"/>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64555"/>
    <w:rPr>
      <w:color w:val="605E5C"/>
      <w:shd w:val="clear" w:color="auto" w:fill="E1DFDD"/>
    </w:rPr>
  </w:style>
  <w:style w:type="character" w:styleId="FollowedHyperlink">
    <w:name w:val="FollowedHyperlink"/>
    <w:basedOn w:val="DefaultParagraphFont"/>
    <w:uiPriority w:val="99"/>
    <w:semiHidden/>
    <w:unhideWhenUsed/>
    <w:rsid w:val="00B64555"/>
    <w:rPr>
      <w:color w:val="96607D" w:themeColor="followedHyperlink"/>
      <w:u w:val="single"/>
    </w:rPr>
  </w:style>
  <w:style w:type="paragraph" w:styleId="Header">
    <w:name w:val="header"/>
    <w:basedOn w:val="Normal"/>
    <w:link w:val="HeaderChar"/>
    <w:uiPriority w:val="99"/>
    <w:unhideWhenUsed/>
    <w:rsid w:val="006A1DCA"/>
    <w:pPr>
      <w:tabs>
        <w:tab w:val="center" w:pos="4513"/>
        <w:tab w:val="right" w:pos="9026"/>
      </w:tabs>
    </w:pPr>
  </w:style>
  <w:style w:type="character" w:customStyle="1" w:styleId="HeaderChar">
    <w:name w:val="Header Char"/>
    <w:basedOn w:val="DefaultParagraphFont"/>
    <w:link w:val="Header"/>
    <w:uiPriority w:val="99"/>
    <w:rsid w:val="006A1DCA"/>
  </w:style>
  <w:style w:type="paragraph" w:styleId="Footer">
    <w:name w:val="footer"/>
    <w:basedOn w:val="Normal"/>
    <w:link w:val="FooterChar"/>
    <w:uiPriority w:val="99"/>
    <w:unhideWhenUsed/>
    <w:rsid w:val="006A1DCA"/>
    <w:pPr>
      <w:tabs>
        <w:tab w:val="center" w:pos="4513"/>
        <w:tab w:val="right" w:pos="9026"/>
      </w:tabs>
    </w:pPr>
  </w:style>
  <w:style w:type="character" w:customStyle="1" w:styleId="FooterChar">
    <w:name w:val="Footer Char"/>
    <w:basedOn w:val="DefaultParagraphFont"/>
    <w:link w:val="Footer"/>
    <w:uiPriority w:val="99"/>
    <w:rsid w:val="006A1D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oi.org/10.1371/journal.pone.0183137" TargetMode="External"/><Relationship Id="rId18" Type="http://schemas.openxmlformats.org/officeDocument/2006/relationships/hyperlink" Target="https://doi.org/10.1080/03054985.2012.731208" TargetMode="Externa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doi.org/10.1192/bjo.2025.10045" TargetMode="External"/><Relationship Id="rId17" Type="http://schemas.openxmlformats.org/officeDocument/2006/relationships/hyperlink" Target="https://doi.org/10.1016/j.brat.2010.08.003" TargetMode="External"/><Relationship Id="rId2" Type="http://schemas.openxmlformats.org/officeDocument/2006/relationships/numbering" Target="numbering.xml"/><Relationship Id="rId16" Type="http://schemas.openxmlformats.org/officeDocument/2006/relationships/hyperlink" Target="https://doi.org/10.1016/j.cpr.2017.10.011" TargetMode="External"/><Relationship Id="rId20" Type="http://schemas.openxmlformats.org/officeDocument/2006/relationships/hyperlink" Target="https://doi.org/10.1177/174569161770958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41811-021-00105-x" TargetMode="External"/><Relationship Id="rId24"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doi.org/10.1371/journal.pmed.1003481" TargetMode="External"/><Relationship Id="rId23" Type="http://schemas.openxmlformats.org/officeDocument/2006/relationships/theme" Target="theme/theme1.xml"/><Relationship Id="rId10" Type="http://schemas.openxmlformats.org/officeDocument/2006/relationships/hyperlink" Target="https://doi.org/10.1177/2167702621996340" TargetMode="External"/><Relationship Id="rId19" Type="http://schemas.openxmlformats.org/officeDocument/2006/relationships/hyperlink" Target="https://doi.org/10.1037/ccp0000324"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doi.org/10.1007/s12671-021-01715-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B02350-CCED-4BC0-B8E5-FAE5F1D2B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3274</Words>
  <Characters>18666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Critical Review Presentation Script - Burgess et al. 2021</vt:lpstr>
    </vt:vector>
  </TitlesOfParts>
  <Company/>
  <LinksUpToDate>false</LinksUpToDate>
  <CharactersWithSpaces>21897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Review Presentation Script - Burgess et al. 2021</dc:title>
  <dc:creator>Claude</dc:creator>
  <cp:lastModifiedBy>Al Evans (2416173)</cp:lastModifiedBy>
  <cp:revision>6</cp:revision>
  <dcterms:created xsi:type="dcterms:W3CDTF">2026-05-06T21:40:00Z</dcterms:created>
  <dcterms:modified xsi:type="dcterms:W3CDTF">2026-05-06T22:37:00Z</dcterms:modified>
</cp:coreProperties>
</file>