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23878330"/>
        <w:docPartObj>
          <w:docPartGallery w:val="Cover Pages"/>
          <w:docPartUnique/>
        </w:docPartObj>
      </w:sdtPr>
      <w:sdtContent>
        <w:p w:rsidR="00765BFB" w:rsidRDefault="00765BFB">
          <w:r>
            <w:rPr>
              <w:noProof/>
              <w:lang w:eastAsia="en-GB"/>
            </w:rPr>
            <mc:AlternateContent>
              <mc:Choice Requires="wps">
                <w:drawing>
                  <wp:anchor distT="0" distB="0" distL="114300" distR="114300" simplePos="0" relativeHeight="25166540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765BFB" w:rsidRDefault="00765BFB">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05/12/2017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540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765BFB" w:rsidRDefault="00765BFB">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05/12/2017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765BFB" w:rsidRDefault="00765BF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209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" fillcolor="#dbe5f1 [660]" stroked="f" strokeweight="2pt">
                    <v:fill color2="#95b3d7 [1940]" rotate="t" focusposition=".5,.5" focussize="" focus="100%" type="gradientRadial"/>
                    <v:path arrowok="t"/>
                    <v:textbox inset="21.6pt,,21.6pt">
                      <w:txbxContent>
                        <w:p w:rsidR="00765BFB" w:rsidRDefault="00765BFB"/>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65BFB" w:rsidRDefault="00765BF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Electronic and Hybrid propulsion control</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131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rsidR="00765BFB" w:rsidRDefault="00765BF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Electronic and Hybrid propulsion control</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821D603" id="Rectangle 468" o:spid="_x0000_s1026" style="position:absolute;margin-left:0;margin-top:0;width:244.8pt;height:554.4pt;z-index:25166028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3360"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38B4E9A" id="Rectangle 469" o:spid="_x0000_s1026" style="position:absolute;margin-left:0;margin-top:0;width:226.45pt;height:9.35pt;z-index:25166336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262626" w:themeColor="text1" w:themeTint="D9"/>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765BFB" w:rsidRDefault="00765BFB">
                                    <w:pPr>
                                      <w:spacing w:line="240" w:lineRule="auto"/>
                                      <w:rPr>
                                        <w:rFonts w:asciiTheme="majorHAnsi" w:eastAsiaTheme="majorEastAsia" w:hAnsiTheme="majorHAnsi" w:cstheme="majorBidi"/>
                                        <w:noProof/>
                                        <w:color w:val="4F81BD" w:themeColor="accent1"/>
                                        <w:sz w:val="72"/>
                                        <w:szCs w:val="144"/>
                                      </w:rPr>
                                    </w:pPr>
                                    <w:r w:rsidRPr="00765BFB">
                                      <w:rPr>
                                        <w:rFonts w:asciiTheme="majorHAnsi" w:eastAsiaTheme="majorEastAsia" w:hAnsiTheme="majorHAnsi" w:cstheme="majorBidi"/>
                                        <w:color w:val="262626" w:themeColor="text1" w:themeTint="D9"/>
                                        <w:sz w:val="72"/>
                                        <w:szCs w:val="72"/>
                                      </w:rPr>
                                      <w:t>Series Hybrid Vehicle</w:t>
                                    </w:r>
                                    <w:r>
                                      <w:rPr>
                                        <w:rFonts w:asciiTheme="majorHAnsi" w:eastAsiaTheme="majorEastAsia" w:hAnsiTheme="majorHAnsi" w:cstheme="majorBidi"/>
                                        <w:color w:val="262626" w:themeColor="text1" w:themeTint="D9"/>
                                        <w:sz w:val="72"/>
                                        <w:szCs w:val="72"/>
                                      </w:rPr>
                                      <w:t xml:space="preserve"> (Part A)</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765BFB" w:rsidRDefault="00765BFB">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Ryan Harwood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233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color w:val="262626" w:themeColor="text1" w:themeTint="D9"/>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765BFB" w:rsidRDefault="00765BFB">
                              <w:pPr>
                                <w:spacing w:line="240" w:lineRule="auto"/>
                                <w:rPr>
                                  <w:rFonts w:asciiTheme="majorHAnsi" w:eastAsiaTheme="majorEastAsia" w:hAnsiTheme="majorHAnsi" w:cstheme="majorBidi"/>
                                  <w:noProof/>
                                  <w:color w:val="4F81BD" w:themeColor="accent1"/>
                                  <w:sz w:val="72"/>
                                  <w:szCs w:val="144"/>
                                </w:rPr>
                              </w:pPr>
                              <w:r w:rsidRPr="00765BFB">
                                <w:rPr>
                                  <w:rFonts w:asciiTheme="majorHAnsi" w:eastAsiaTheme="majorEastAsia" w:hAnsiTheme="majorHAnsi" w:cstheme="majorBidi"/>
                                  <w:color w:val="262626" w:themeColor="text1" w:themeTint="D9"/>
                                  <w:sz w:val="72"/>
                                  <w:szCs w:val="72"/>
                                </w:rPr>
                                <w:t>Series Hybrid Vehicle</w:t>
                              </w:r>
                              <w:r>
                                <w:rPr>
                                  <w:rFonts w:asciiTheme="majorHAnsi" w:eastAsiaTheme="majorEastAsia" w:hAnsiTheme="majorHAnsi" w:cstheme="majorBidi"/>
                                  <w:color w:val="262626" w:themeColor="text1" w:themeTint="D9"/>
                                  <w:sz w:val="72"/>
                                  <w:szCs w:val="72"/>
                                </w:rPr>
                                <w:t xml:space="preserve"> (Part A)</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765BFB" w:rsidRDefault="00765BFB">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Ryan Harwood</w:t>
                              </w:r>
                            </w:p>
                          </w:sdtContent>
                        </w:sdt>
                      </w:txbxContent>
                    </v:textbox>
                    <w10:wrap type="square" anchorx="page" anchory="page"/>
                  </v:shape>
                </w:pict>
              </mc:Fallback>
            </mc:AlternateContent>
          </w:r>
        </w:p>
        <w:p w:rsidR="00765BFB" w:rsidRDefault="00765BFB">
          <w:pPr>
            <w:rPr>
              <w:rFonts w:asciiTheme="majorHAnsi" w:eastAsiaTheme="majorEastAsia" w:hAnsiTheme="majorHAnsi" w:cstheme="majorBidi"/>
              <w:color w:val="365F91" w:themeColor="accent1" w:themeShade="BF"/>
              <w:sz w:val="32"/>
              <w:szCs w:val="32"/>
            </w:rPr>
          </w:pPr>
          <w:r>
            <w:br w:type="page"/>
          </w:r>
        </w:p>
      </w:sdtContent>
    </w:sdt>
    <w:sdt>
      <w:sdtPr>
        <w:id w:val="15690035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65BFB" w:rsidRDefault="00765BFB">
          <w:pPr>
            <w:pStyle w:val="TOCHeading"/>
          </w:pPr>
          <w:r>
            <w:t>Table of Contents</w:t>
          </w:r>
        </w:p>
        <w:p w:rsidR="00765BFB" w:rsidRDefault="00765B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253042" w:history="1">
            <w:r w:rsidRPr="00CC1467">
              <w:rPr>
                <w:rStyle w:val="Hyperlink"/>
                <w:noProof/>
              </w:rPr>
              <w:t>1.0 Introduction</w:t>
            </w:r>
            <w:r>
              <w:rPr>
                <w:noProof/>
                <w:webHidden/>
              </w:rPr>
              <w:tab/>
            </w:r>
            <w:r>
              <w:rPr>
                <w:noProof/>
                <w:webHidden/>
              </w:rPr>
              <w:fldChar w:fldCharType="begin"/>
            </w:r>
            <w:r>
              <w:rPr>
                <w:noProof/>
                <w:webHidden/>
              </w:rPr>
              <w:instrText xml:space="preserve"> PAGEREF _Toc500253042 \h </w:instrText>
            </w:r>
            <w:r>
              <w:rPr>
                <w:noProof/>
                <w:webHidden/>
              </w:rPr>
            </w:r>
            <w:r>
              <w:rPr>
                <w:noProof/>
                <w:webHidden/>
              </w:rPr>
              <w:fldChar w:fldCharType="separate"/>
            </w:r>
            <w:r>
              <w:rPr>
                <w:noProof/>
                <w:webHidden/>
              </w:rPr>
              <w:t>2</w:t>
            </w:r>
            <w:r>
              <w:rPr>
                <w:noProof/>
                <w:webHidden/>
              </w:rPr>
              <w:fldChar w:fldCharType="end"/>
            </w:r>
          </w:hyperlink>
        </w:p>
        <w:p w:rsidR="00765BFB" w:rsidRDefault="00765BFB">
          <w:pPr>
            <w:pStyle w:val="TOC1"/>
            <w:tabs>
              <w:tab w:val="right" w:leader="dot" w:pos="9016"/>
            </w:tabs>
            <w:rPr>
              <w:rFonts w:eastAsiaTheme="minorEastAsia"/>
              <w:noProof/>
              <w:lang w:eastAsia="en-GB"/>
            </w:rPr>
          </w:pPr>
          <w:hyperlink w:anchor="_Toc500253043" w:history="1">
            <w:r w:rsidRPr="00CC1467">
              <w:rPr>
                <w:rStyle w:val="Hyperlink"/>
                <w:noProof/>
              </w:rPr>
              <w:t>2.0 Problem identification</w:t>
            </w:r>
            <w:r>
              <w:rPr>
                <w:noProof/>
                <w:webHidden/>
              </w:rPr>
              <w:tab/>
            </w:r>
            <w:r>
              <w:rPr>
                <w:noProof/>
                <w:webHidden/>
              </w:rPr>
              <w:fldChar w:fldCharType="begin"/>
            </w:r>
            <w:r>
              <w:rPr>
                <w:noProof/>
                <w:webHidden/>
              </w:rPr>
              <w:instrText xml:space="preserve"> PAGEREF _Toc500253043 \h </w:instrText>
            </w:r>
            <w:r>
              <w:rPr>
                <w:noProof/>
                <w:webHidden/>
              </w:rPr>
            </w:r>
            <w:r>
              <w:rPr>
                <w:noProof/>
                <w:webHidden/>
              </w:rPr>
              <w:fldChar w:fldCharType="separate"/>
            </w:r>
            <w:r>
              <w:rPr>
                <w:noProof/>
                <w:webHidden/>
              </w:rPr>
              <w:t>2</w:t>
            </w:r>
            <w:r>
              <w:rPr>
                <w:noProof/>
                <w:webHidden/>
              </w:rPr>
              <w:fldChar w:fldCharType="end"/>
            </w:r>
          </w:hyperlink>
        </w:p>
        <w:p w:rsidR="00765BFB" w:rsidRDefault="00765BFB">
          <w:pPr>
            <w:pStyle w:val="TOC2"/>
            <w:tabs>
              <w:tab w:val="right" w:leader="dot" w:pos="9016"/>
            </w:tabs>
            <w:rPr>
              <w:rFonts w:eastAsiaTheme="minorEastAsia"/>
              <w:noProof/>
              <w:lang w:eastAsia="en-GB"/>
            </w:rPr>
          </w:pPr>
          <w:hyperlink w:anchor="_Toc500253044" w:history="1">
            <w:r w:rsidRPr="00CC1467">
              <w:rPr>
                <w:rStyle w:val="Hyperlink"/>
                <w:noProof/>
              </w:rPr>
              <w:t>2.1 POLARIS Hammerhead GTS 150cc USA SPEC Platinum</w:t>
            </w:r>
            <w:r>
              <w:rPr>
                <w:noProof/>
                <w:webHidden/>
              </w:rPr>
              <w:tab/>
            </w:r>
            <w:r>
              <w:rPr>
                <w:noProof/>
                <w:webHidden/>
              </w:rPr>
              <w:fldChar w:fldCharType="begin"/>
            </w:r>
            <w:r>
              <w:rPr>
                <w:noProof/>
                <w:webHidden/>
              </w:rPr>
              <w:instrText xml:space="preserve"> PAGEREF _Toc500253044 \h </w:instrText>
            </w:r>
            <w:r>
              <w:rPr>
                <w:noProof/>
                <w:webHidden/>
              </w:rPr>
            </w:r>
            <w:r>
              <w:rPr>
                <w:noProof/>
                <w:webHidden/>
              </w:rPr>
              <w:fldChar w:fldCharType="separate"/>
            </w:r>
            <w:r>
              <w:rPr>
                <w:noProof/>
                <w:webHidden/>
              </w:rPr>
              <w:t>3</w:t>
            </w:r>
            <w:r>
              <w:rPr>
                <w:noProof/>
                <w:webHidden/>
              </w:rPr>
              <w:fldChar w:fldCharType="end"/>
            </w:r>
          </w:hyperlink>
        </w:p>
        <w:p w:rsidR="00765BFB" w:rsidRDefault="00765BFB">
          <w:pPr>
            <w:pStyle w:val="TOC2"/>
            <w:tabs>
              <w:tab w:val="right" w:leader="dot" w:pos="9016"/>
            </w:tabs>
            <w:rPr>
              <w:rFonts w:eastAsiaTheme="minorEastAsia"/>
              <w:noProof/>
              <w:lang w:eastAsia="en-GB"/>
            </w:rPr>
          </w:pPr>
          <w:hyperlink w:anchor="_Toc500253045" w:history="1">
            <w:r w:rsidRPr="00CC1467">
              <w:rPr>
                <w:rStyle w:val="Hyperlink"/>
                <w:noProof/>
              </w:rPr>
              <w:t>2.2 Analysis, Calculations and coefficients</w:t>
            </w:r>
            <w:r>
              <w:rPr>
                <w:noProof/>
                <w:webHidden/>
              </w:rPr>
              <w:tab/>
            </w:r>
            <w:r>
              <w:rPr>
                <w:noProof/>
                <w:webHidden/>
              </w:rPr>
              <w:fldChar w:fldCharType="begin"/>
            </w:r>
            <w:r>
              <w:rPr>
                <w:noProof/>
                <w:webHidden/>
              </w:rPr>
              <w:instrText xml:space="preserve"> PAGEREF _Toc500253045 \h </w:instrText>
            </w:r>
            <w:r>
              <w:rPr>
                <w:noProof/>
                <w:webHidden/>
              </w:rPr>
            </w:r>
            <w:r>
              <w:rPr>
                <w:noProof/>
                <w:webHidden/>
              </w:rPr>
              <w:fldChar w:fldCharType="separate"/>
            </w:r>
            <w:r>
              <w:rPr>
                <w:noProof/>
                <w:webHidden/>
              </w:rPr>
              <w:t>4</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46" w:history="1">
            <w:r w:rsidRPr="00CC1467">
              <w:rPr>
                <w:rStyle w:val="Hyperlink"/>
                <w:noProof/>
              </w:rPr>
              <w:t>2.1.1 Duty Cycle</w:t>
            </w:r>
            <w:r>
              <w:rPr>
                <w:noProof/>
                <w:webHidden/>
              </w:rPr>
              <w:tab/>
            </w:r>
            <w:r>
              <w:rPr>
                <w:noProof/>
                <w:webHidden/>
              </w:rPr>
              <w:fldChar w:fldCharType="begin"/>
            </w:r>
            <w:r>
              <w:rPr>
                <w:noProof/>
                <w:webHidden/>
              </w:rPr>
              <w:instrText xml:space="preserve"> PAGEREF _Toc500253046 \h </w:instrText>
            </w:r>
            <w:r>
              <w:rPr>
                <w:noProof/>
                <w:webHidden/>
              </w:rPr>
            </w:r>
            <w:r>
              <w:rPr>
                <w:noProof/>
                <w:webHidden/>
              </w:rPr>
              <w:fldChar w:fldCharType="separate"/>
            </w:r>
            <w:r>
              <w:rPr>
                <w:noProof/>
                <w:webHidden/>
              </w:rPr>
              <w:t>5</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47" w:history="1">
            <w:r w:rsidRPr="00CC1467">
              <w:rPr>
                <w:rStyle w:val="Hyperlink"/>
                <w:noProof/>
              </w:rPr>
              <w:t>2.1.2 Gradient radians</w:t>
            </w:r>
            <w:r>
              <w:rPr>
                <w:noProof/>
                <w:webHidden/>
              </w:rPr>
              <w:tab/>
            </w:r>
            <w:r>
              <w:rPr>
                <w:noProof/>
                <w:webHidden/>
              </w:rPr>
              <w:fldChar w:fldCharType="begin"/>
            </w:r>
            <w:r>
              <w:rPr>
                <w:noProof/>
                <w:webHidden/>
              </w:rPr>
              <w:instrText xml:space="preserve"> PAGEREF _Toc500253047 \h </w:instrText>
            </w:r>
            <w:r>
              <w:rPr>
                <w:noProof/>
                <w:webHidden/>
              </w:rPr>
            </w:r>
            <w:r>
              <w:rPr>
                <w:noProof/>
                <w:webHidden/>
              </w:rPr>
              <w:fldChar w:fldCharType="separate"/>
            </w:r>
            <w:r>
              <w:rPr>
                <w:noProof/>
                <w:webHidden/>
              </w:rPr>
              <w:t>6</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48" w:history="1">
            <w:r w:rsidRPr="00CC1467">
              <w:rPr>
                <w:rStyle w:val="Hyperlink"/>
                <w:noProof/>
              </w:rPr>
              <w:t>2.1.3 Gradient resistance</w:t>
            </w:r>
            <w:r>
              <w:rPr>
                <w:noProof/>
                <w:webHidden/>
              </w:rPr>
              <w:tab/>
            </w:r>
            <w:r>
              <w:rPr>
                <w:noProof/>
                <w:webHidden/>
              </w:rPr>
              <w:fldChar w:fldCharType="begin"/>
            </w:r>
            <w:r>
              <w:rPr>
                <w:noProof/>
                <w:webHidden/>
              </w:rPr>
              <w:instrText xml:space="preserve"> PAGEREF _Toc500253048 \h </w:instrText>
            </w:r>
            <w:r>
              <w:rPr>
                <w:noProof/>
                <w:webHidden/>
              </w:rPr>
            </w:r>
            <w:r>
              <w:rPr>
                <w:noProof/>
                <w:webHidden/>
              </w:rPr>
              <w:fldChar w:fldCharType="separate"/>
            </w:r>
            <w:r>
              <w:rPr>
                <w:noProof/>
                <w:webHidden/>
              </w:rPr>
              <w:t>7</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49" w:history="1">
            <w:r w:rsidRPr="00CC1467">
              <w:rPr>
                <w:rStyle w:val="Hyperlink"/>
                <w:noProof/>
              </w:rPr>
              <w:t>2.1.4 Rolling resistance</w:t>
            </w:r>
            <w:r>
              <w:rPr>
                <w:noProof/>
                <w:webHidden/>
              </w:rPr>
              <w:tab/>
            </w:r>
            <w:r>
              <w:rPr>
                <w:noProof/>
                <w:webHidden/>
              </w:rPr>
              <w:fldChar w:fldCharType="begin"/>
            </w:r>
            <w:r>
              <w:rPr>
                <w:noProof/>
                <w:webHidden/>
              </w:rPr>
              <w:instrText xml:space="preserve"> PAGEREF _Toc500253049 \h </w:instrText>
            </w:r>
            <w:r>
              <w:rPr>
                <w:noProof/>
                <w:webHidden/>
              </w:rPr>
            </w:r>
            <w:r>
              <w:rPr>
                <w:noProof/>
                <w:webHidden/>
              </w:rPr>
              <w:fldChar w:fldCharType="separate"/>
            </w:r>
            <w:r>
              <w:rPr>
                <w:noProof/>
                <w:webHidden/>
              </w:rPr>
              <w:t>8</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50" w:history="1">
            <w:r w:rsidRPr="00CC1467">
              <w:rPr>
                <w:rStyle w:val="Hyperlink"/>
                <w:noProof/>
              </w:rPr>
              <w:t>2.1.5 Aero resistance</w:t>
            </w:r>
            <w:r>
              <w:rPr>
                <w:noProof/>
                <w:webHidden/>
              </w:rPr>
              <w:tab/>
            </w:r>
            <w:r>
              <w:rPr>
                <w:noProof/>
                <w:webHidden/>
              </w:rPr>
              <w:fldChar w:fldCharType="begin"/>
            </w:r>
            <w:r>
              <w:rPr>
                <w:noProof/>
                <w:webHidden/>
              </w:rPr>
              <w:instrText xml:space="preserve"> PAGEREF _Toc500253050 \h </w:instrText>
            </w:r>
            <w:r>
              <w:rPr>
                <w:noProof/>
                <w:webHidden/>
              </w:rPr>
            </w:r>
            <w:r>
              <w:rPr>
                <w:noProof/>
                <w:webHidden/>
              </w:rPr>
              <w:fldChar w:fldCharType="separate"/>
            </w:r>
            <w:r>
              <w:rPr>
                <w:noProof/>
                <w:webHidden/>
              </w:rPr>
              <w:t>9</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51" w:history="1">
            <w:r w:rsidRPr="00CC1467">
              <w:rPr>
                <w:rStyle w:val="Hyperlink"/>
                <w:noProof/>
              </w:rPr>
              <w:t>2.1.6 Acceleration force</w:t>
            </w:r>
            <w:r>
              <w:rPr>
                <w:noProof/>
                <w:webHidden/>
              </w:rPr>
              <w:tab/>
            </w:r>
            <w:r>
              <w:rPr>
                <w:noProof/>
                <w:webHidden/>
              </w:rPr>
              <w:fldChar w:fldCharType="begin"/>
            </w:r>
            <w:r>
              <w:rPr>
                <w:noProof/>
                <w:webHidden/>
              </w:rPr>
              <w:instrText xml:space="preserve"> PAGEREF _Toc500253051 \h </w:instrText>
            </w:r>
            <w:r>
              <w:rPr>
                <w:noProof/>
                <w:webHidden/>
              </w:rPr>
            </w:r>
            <w:r>
              <w:rPr>
                <w:noProof/>
                <w:webHidden/>
              </w:rPr>
              <w:fldChar w:fldCharType="separate"/>
            </w:r>
            <w:r>
              <w:rPr>
                <w:noProof/>
                <w:webHidden/>
              </w:rPr>
              <w:t>10</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52" w:history="1">
            <w:r w:rsidRPr="00CC1467">
              <w:rPr>
                <w:rStyle w:val="Hyperlink"/>
                <w:noProof/>
              </w:rPr>
              <w:t>2.1.7 Power required</w:t>
            </w:r>
            <w:r>
              <w:rPr>
                <w:noProof/>
                <w:webHidden/>
              </w:rPr>
              <w:tab/>
            </w:r>
            <w:r>
              <w:rPr>
                <w:noProof/>
                <w:webHidden/>
              </w:rPr>
              <w:fldChar w:fldCharType="begin"/>
            </w:r>
            <w:r>
              <w:rPr>
                <w:noProof/>
                <w:webHidden/>
              </w:rPr>
              <w:instrText xml:space="preserve"> PAGEREF _Toc500253052 \h </w:instrText>
            </w:r>
            <w:r>
              <w:rPr>
                <w:noProof/>
                <w:webHidden/>
              </w:rPr>
            </w:r>
            <w:r>
              <w:rPr>
                <w:noProof/>
                <w:webHidden/>
              </w:rPr>
              <w:fldChar w:fldCharType="separate"/>
            </w:r>
            <w:r>
              <w:rPr>
                <w:noProof/>
                <w:webHidden/>
              </w:rPr>
              <w:t>11</w:t>
            </w:r>
            <w:r>
              <w:rPr>
                <w:noProof/>
                <w:webHidden/>
              </w:rPr>
              <w:fldChar w:fldCharType="end"/>
            </w:r>
          </w:hyperlink>
        </w:p>
        <w:p w:rsidR="00765BFB" w:rsidRDefault="00765BFB">
          <w:pPr>
            <w:pStyle w:val="TOC3"/>
            <w:tabs>
              <w:tab w:val="right" w:leader="dot" w:pos="9016"/>
            </w:tabs>
            <w:rPr>
              <w:rFonts w:eastAsiaTheme="minorEastAsia"/>
              <w:noProof/>
              <w:lang w:eastAsia="en-GB"/>
            </w:rPr>
          </w:pPr>
          <w:hyperlink w:anchor="_Toc500253053" w:history="1">
            <w:r w:rsidRPr="00CC1467">
              <w:rPr>
                <w:rStyle w:val="Hyperlink"/>
                <w:noProof/>
              </w:rPr>
              <w:t>2.1.8 Total tractive effort</w:t>
            </w:r>
            <w:r>
              <w:rPr>
                <w:noProof/>
                <w:webHidden/>
              </w:rPr>
              <w:tab/>
            </w:r>
            <w:r>
              <w:rPr>
                <w:noProof/>
                <w:webHidden/>
              </w:rPr>
              <w:fldChar w:fldCharType="begin"/>
            </w:r>
            <w:r>
              <w:rPr>
                <w:noProof/>
                <w:webHidden/>
              </w:rPr>
              <w:instrText xml:space="preserve"> PAGEREF _Toc500253053 \h </w:instrText>
            </w:r>
            <w:r>
              <w:rPr>
                <w:noProof/>
                <w:webHidden/>
              </w:rPr>
            </w:r>
            <w:r>
              <w:rPr>
                <w:noProof/>
                <w:webHidden/>
              </w:rPr>
              <w:fldChar w:fldCharType="separate"/>
            </w:r>
            <w:r>
              <w:rPr>
                <w:noProof/>
                <w:webHidden/>
              </w:rPr>
              <w:t>12</w:t>
            </w:r>
            <w:r>
              <w:rPr>
                <w:noProof/>
                <w:webHidden/>
              </w:rPr>
              <w:fldChar w:fldCharType="end"/>
            </w:r>
          </w:hyperlink>
        </w:p>
        <w:p w:rsidR="00765BFB" w:rsidRDefault="00765BFB">
          <w:pPr>
            <w:pStyle w:val="TOC1"/>
            <w:tabs>
              <w:tab w:val="right" w:leader="dot" w:pos="9016"/>
            </w:tabs>
            <w:rPr>
              <w:rFonts w:eastAsiaTheme="minorEastAsia"/>
              <w:noProof/>
              <w:lang w:eastAsia="en-GB"/>
            </w:rPr>
          </w:pPr>
          <w:hyperlink w:anchor="_Toc500253054" w:history="1">
            <w:r w:rsidRPr="00CC1467">
              <w:rPr>
                <w:rStyle w:val="Hyperlink"/>
                <w:noProof/>
              </w:rPr>
              <w:t>3.0 Conclusion</w:t>
            </w:r>
            <w:r>
              <w:rPr>
                <w:noProof/>
                <w:webHidden/>
              </w:rPr>
              <w:tab/>
            </w:r>
            <w:r>
              <w:rPr>
                <w:noProof/>
                <w:webHidden/>
              </w:rPr>
              <w:fldChar w:fldCharType="begin"/>
            </w:r>
            <w:r>
              <w:rPr>
                <w:noProof/>
                <w:webHidden/>
              </w:rPr>
              <w:instrText xml:space="preserve"> PAGEREF _Toc500253054 \h </w:instrText>
            </w:r>
            <w:r>
              <w:rPr>
                <w:noProof/>
                <w:webHidden/>
              </w:rPr>
            </w:r>
            <w:r>
              <w:rPr>
                <w:noProof/>
                <w:webHidden/>
              </w:rPr>
              <w:fldChar w:fldCharType="separate"/>
            </w:r>
            <w:r>
              <w:rPr>
                <w:noProof/>
                <w:webHidden/>
              </w:rPr>
              <w:t>13</w:t>
            </w:r>
            <w:r>
              <w:rPr>
                <w:noProof/>
                <w:webHidden/>
              </w:rPr>
              <w:fldChar w:fldCharType="end"/>
            </w:r>
          </w:hyperlink>
        </w:p>
        <w:p w:rsidR="00765BFB" w:rsidRDefault="00765BFB">
          <w:pPr>
            <w:pStyle w:val="TOC1"/>
            <w:tabs>
              <w:tab w:val="right" w:leader="dot" w:pos="9016"/>
            </w:tabs>
            <w:rPr>
              <w:rFonts w:eastAsiaTheme="minorEastAsia"/>
              <w:noProof/>
              <w:lang w:eastAsia="en-GB"/>
            </w:rPr>
          </w:pPr>
          <w:hyperlink w:anchor="_Toc500253055" w:history="1">
            <w:r w:rsidRPr="00CC1467">
              <w:rPr>
                <w:rStyle w:val="Hyperlink"/>
                <w:noProof/>
              </w:rPr>
              <w:t>4.0 Biliography</w:t>
            </w:r>
            <w:r>
              <w:rPr>
                <w:noProof/>
                <w:webHidden/>
              </w:rPr>
              <w:tab/>
            </w:r>
            <w:r>
              <w:rPr>
                <w:noProof/>
                <w:webHidden/>
              </w:rPr>
              <w:fldChar w:fldCharType="begin"/>
            </w:r>
            <w:r>
              <w:rPr>
                <w:noProof/>
                <w:webHidden/>
              </w:rPr>
              <w:instrText xml:space="preserve"> PAGEREF _Toc500253055 \h </w:instrText>
            </w:r>
            <w:r>
              <w:rPr>
                <w:noProof/>
                <w:webHidden/>
              </w:rPr>
            </w:r>
            <w:r>
              <w:rPr>
                <w:noProof/>
                <w:webHidden/>
              </w:rPr>
              <w:fldChar w:fldCharType="separate"/>
            </w:r>
            <w:r>
              <w:rPr>
                <w:noProof/>
                <w:webHidden/>
              </w:rPr>
              <w:t>14</w:t>
            </w:r>
            <w:r>
              <w:rPr>
                <w:noProof/>
                <w:webHidden/>
              </w:rPr>
              <w:fldChar w:fldCharType="end"/>
            </w:r>
          </w:hyperlink>
        </w:p>
        <w:p w:rsidR="00765BFB" w:rsidRDefault="00765BFB">
          <w:r>
            <w:rPr>
              <w:b/>
              <w:bCs/>
              <w:noProof/>
            </w:rPr>
            <w:fldChar w:fldCharType="end"/>
          </w:r>
        </w:p>
      </w:sdtContent>
    </w:sdt>
    <w:p w:rsidR="00765BFB" w:rsidRDefault="00765BFB" w:rsidP="00E66591">
      <w:pPr>
        <w:pStyle w:val="Heading1"/>
      </w:pPr>
    </w:p>
    <w:p w:rsidR="00765BFB" w:rsidRDefault="00765BFB" w:rsidP="00765BFB">
      <w:pPr>
        <w:rPr>
          <w:rFonts w:asciiTheme="majorHAnsi" w:eastAsiaTheme="majorEastAsia" w:hAnsiTheme="majorHAnsi" w:cstheme="majorBidi"/>
          <w:color w:val="365F91" w:themeColor="accent1" w:themeShade="BF"/>
          <w:sz w:val="32"/>
          <w:szCs w:val="32"/>
        </w:rPr>
      </w:pPr>
      <w:r>
        <w:br w:type="page"/>
      </w:r>
    </w:p>
    <w:p w:rsidR="006F63A0" w:rsidRDefault="00E66591" w:rsidP="00E66591">
      <w:pPr>
        <w:pStyle w:val="Heading1"/>
      </w:pPr>
      <w:bookmarkStart w:id="0" w:name="_Toc500253042"/>
      <w:r>
        <w:lastRenderedPageBreak/>
        <w:t xml:space="preserve">1.0 </w:t>
      </w:r>
      <w:r w:rsidR="006F63A0">
        <w:t>Introduction</w:t>
      </w:r>
      <w:bookmarkEnd w:id="0"/>
    </w:p>
    <w:p w:rsidR="006F63A0" w:rsidRDefault="006F63A0" w:rsidP="006F63A0">
      <w:r>
        <w:t xml:space="preserve">In this assignment we have been tasked with picking from a selection off-road </w:t>
      </w:r>
      <w:r w:rsidR="00646E73">
        <w:t>buggy’s</w:t>
      </w:r>
      <w:r>
        <w:t xml:space="preserve"> produced by an engineering director of a company that design buggies for the </w:t>
      </w:r>
      <w:r w:rsidR="00646E73">
        <w:t>recreational</w:t>
      </w:r>
      <w:r>
        <w:t xml:space="preserve"> and </w:t>
      </w:r>
      <w:r w:rsidR="00646E73">
        <w:t>entertainment</w:t>
      </w:r>
      <w:r>
        <w:t xml:space="preserve"> sector. We will be producing a typical off-road course with 20m of climb included this is too simulate a typical duty cycle that these buggies will undergo. Things that will be accounted for are the surface travelling upon and speed at each second throughout the course</w:t>
      </w:r>
      <w:r w:rsidR="00646E73">
        <w:t>. Selection of buggy will be determined by the buggies top speed, acceleration and grade-ability.</w:t>
      </w:r>
    </w:p>
    <w:p w:rsidR="00646E73" w:rsidRDefault="00646E73" w:rsidP="006F63A0">
      <w:r>
        <w:t>A course will be designed that represents a typical off-</w:t>
      </w:r>
      <w:r w:rsidR="00183854">
        <w:t>road</w:t>
      </w:r>
      <w:r>
        <w:t xml:space="preserve"> hill climb course that will include a 20m climb throughout the course. Throughout this course a number of variables will be recorded and placed into a excel spreadsheet that will be designed by myself. This spreadsheet will include variables such as Time, acceleration, vehicles speed, Gradient, rolling resistance and </w:t>
      </w:r>
      <w:r w:rsidR="00183854">
        <w:t>aerodynamic</w:t>
      </w:r>
      <w:r>
        <w:t xml:space="preserve"> resistance. </w:t>
      </w:r>
    </w:p>
    <w:p w:rsidR="00646E73" w:rsidRDefault="00646E73" w:rsidP="006F63A0">
      <w:r>
        <w:t xml:space="preserve">Using the spreadsheet that will be designed by myself we will perform a number of </w:t>
      </w:r>
      <w:r w:rsidR="00183854">
        <w:t>calculations</w:t>
      </w:r>
      <w:r>
        <w:t xml:space="preserve"> including all resistive forces, total tractive force, power requirement (for each section), maximum power and average power </w:t>
      </w:r>
      <w:r w:rsidR="00183854">
        <w:t xml:space="preserve">requirements. The calculations needed to fine these values will be found via literature review. We will also be using literature review to find surface co-efficient. </w:t>
      </w:r>
      <w:r>
        <w:t xml:space="preserve"> </w:t>
      </w:r>
    </w:p>
    <w:p w:rsidR="00B04601" w:rsidRDefault="00B04601" w:rsidP="006F63A0"/>
    <w:p w:rsidR="00B04601" w:rsidRDefault="00E66591" w:rsidP="00E66591">
      <w:pPr>
        <w:pStyle w:val="Heading1"/>
      </w:pPr>
      <w:bookmarkStart w:id="1" w:name="_Toc500253043"/>
      <w:r>
        <w:t>2.0 Problem identification</w:t>
      </w:r>
      <w:bookmarkEnd w:id="1"/>
    </w:p>
    <w:p w:rsidR="009B420E" w:rsidRDefault="00B04601" w:rsidP="006F63A0">
      <w:r>
        <w:t xml:space="preserve">The reason of </w:t>
      </w:r>
      <w:r w:rsidR="00953022">
        <w:t>designing</w:t>
      </w:r>
      <w:r>
        <w:t xml:space="preserve"> a typical off-road hill climb course is to recover data on a typical duty cycle that the buggy will undergo. Using the values record</w:t>
      </w:r>
      <w:r w:rsidR="00953022">
        <w:t>ed we are able to calculate required information such as total tractive force and total power required. By recording this data it will then be possible to hand the buggy production company these data sets so that they may make improvements upon the buggy so it may perform as optimally as possible</w:t>
      </w:r>
    </w:p>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E66591" w:rsidRDefault="00E66591" w:rsidP="006F63A0"/>
    <w:p w:rsidR="00E66591" w:rsidRDefault="00E66591" w:rsidP="006F63A0"/>
    <w:p w:rsidR="00E66591" w:rsidRDefault="00E66591" w:rsidP="006F63A0"/>
    <w:p w:rsidR="009B420E" w:rsidRDefault="009B420E" w:rsidP="006F63A0">
      <w:r>
        <w:t>In this section of the paper we will look at the calculations researched in order to progress with the work within this assignment. We will also be conducting research upon the appropriate buggy to use for the course designed.</w:t>
      </w:r>
    </w:p>
    <w:p w:rsidR="009B420E" w:rsidRDefault="009B420E" w:rsidP="00E66591">
      <w:pPr>
        <w:pStyle w:val="Heading2"/>
      </w:pPr>
      <w:bookmarkStart w:id="2" w:name="_Toc500253044"/>
      <w:r>
        <w:t>2.1 POLARIS Hammerhead GTS 150cc USA SPEC Platinum</w:t>
      </w:r>
      <w:bookmarkEnd w:id="2"/>
    </w:p>
    <w:p w:rsidR="009B420E" w:rsidRDefault="009B420E" w:rsidP="006F63A0">
      <w:r>
        <w:t>Using the blitz world site provided there were a number of choices to pick from for our course. However one buggy in particular stood out the POLARIS Hammerhead GTS 150cc USA spec platinum this buggy has adequate power to provide a fun experience and its cost is at the middle ground of the choice of buggy’s coming in at £2,795. It is suitable for ages 12 and up and is able to accommodate and adult also. It also provided sufficient safety for the passenger with a 5 point harness system. A full list of specs are seen below.</w:t>
      </w:r>
    </w:p>
    <w:tbl>
      <w:tblPr>
        <w:tblpPr w:leftFromText="45" w:rightFromText="45" w:vertAnchor="text"/>
        <w:tblW w:w="0" w:type="auto"/>
        <w:tblCellSpacing w:w="15" w:type="dxa"/>
        <w:tblBorders>
          <w:top w:val="outset" w:sz="36" w:space="0" w:color="auto"/>
          <w:left w:val="outset" w:sz="36" w:space="0" w:color="auto"/>
          <w:bottom w:val="outset" w:sz="36" w:space="0" w:color="auto"/>
          <w:right w:val="outset" w:sz="36" w:space="0" w:color="auto"/>
        </w:tblBorders>
        <w:shd w:val="clear" w:color="auto" w:fill="FFFFFF"/>
        <w:tblCellMar>
          <w:left w:w="0" w:type="dxa"/>
          <w:right w:w="0" w:type="dxa"/>
        </w:tblCellMar>
        <w:tblLook w:val="04A0" w:firstRow="1" w:lastRow="0" w:firstColumn="1" w:lastColumn="0" w:noHBand="0" w:noVBand="1"/>
      </w:tblPr>
      <w:tblGrid>
        <w:gridCol w:w="1920"/>
        <w:gridCol w:w="3477"/>
      </w:tblGrid>
      <w:tr w:rsidR="009B420E" w:rsidRPr="009B420E" w:rsidTr="009B420E">
        <w:trPr>
          <w:tblCellSpacing w:w="15"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t>
            </w:r>
            <w:r w:rsidRPr="009B420E">
              <w:rPr>
                <w:rFonts w:ascii="Arial" w:eastAsia="Times New Roman" w:hAnsi="Arial" w:cs="Arial"/>
                <w:b/>
                <w:bCs/>
                <w:color w:val="990000"/>
                <w:sz w:val="20"/>
                <w:szCs w:val="20"/>
                <w:lang w:eastAsia="en-GB"/>
              </w:rPr>
              <w:t>Engine</w:t>
            </w:r>
            <w:r w:rsidRPr="009B420E">
              <w:rPr>
                <w:rFonts w:ascii="Arial" w:eastAsia="Times New Roman" w:hAnsi="Arial" w:cs="Arial"/>
                <w:color w:val="000000"/>
                <w:sz w:val="20"/>
                <w:szCs w:val="20"/>
                <w:lang w:eastAsia="en-GB"/>
              </w:rPr>
              <w:t>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Motor Type: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4 Stroke</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Displacement: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149.6cc</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Cooling: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Oil &amp; Fan</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Bore x Stroke (mm):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57.4 x 57.8</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Transmission: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Automatic CVT w/reverse</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Power: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7.4kW(10hp) @ 7500rpm</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Torque: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17.6N.m @ 5500rpm</w:t>
            </w:r>
          </w:p>
        </w:tc>
      </w:tr>
      <w:tr w:rsidR="009B420E" w:rsidRPr="009B420E" w:rsidTr="009B420E">
        <w:trPr>
          <w:tblCellSpacing w:w="15"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t>
            </w:r>
            <w:r w:rsidRPr="009B420E">
              <w:rPr>
                <w:rFonts w:ascii="Arial" w:eastAsia="Times New Roman" w:hAnsi="Arial" w:cs="Arial"/>
                <w:b/>
                <w:bCs/>
                <w:color w:val="990000"/>
                <w:sz w:val="20"/>
                <w:szCs w:val="20"/>
                <w:lang w:eastAsia="en-GB"/>
              </w:rPr>
              <w:t>Brakes</w:t>
            </w:r>
            <w:r w:rsidRPr="009B420E">
              <w:rPr>
                <w:rFonts w:ascii="Arial" w:eastAsia="Times New Roman" w:hAnsi="Arial" w:cs="Arial"/>
                <w:color w:val="000000"/>
                <w:sz w:val="20"/>
                <w:szCs w:val="20"/>
                <w:lang w:eastAsia="en-GB"/>
              </w:rPr>
              <w:t>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Front Brakes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Double Disc</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Rear Brakes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Disc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t>
            </w:r>
            <w:r w:rsidRPr="009B420E">
              <w:rPr>
                <w:rFonts w:ascii="Arial" w:eastAsia="Times New Roman" w:hAnsi="Arial" w:cs="Arial"/>
                <w:b/>
                <w:bCs/>
                <w:color w:val="990000"/>
                <w:sz w:val="20"/>
                <w:szCs w:val="20"/>
                <w:lang w:eastAsia="en-GB"/>
              </w:rPr>
              <w:t>Safety</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Seat Belt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xml:space="preserve"> 5 Point </w:t>
            </w:r>
            <w:proofErr w:type="spellStart"/>
            <w:r w:rsidRPr="009B420E">
              <w:rPr>
                <w:rFonts w:ascii="Arial" w:eastAsia="Times New Roman" w:hAnsi="Arial" w:cs="Arial"/>
                <w:color w:val="000000"/>
                <w:sz w:val="20"/>
                <w:szCs w:val="20"/>
                <w:lang w:eastAsia="en-GB"/>
              </w:rPr>
              <w:t>Haarness</w:t>
            </w:r>
            <w:proofErr w:type="spellEnd"/>
            <w:r w:rsidRPr="009B420E">
              <w:rPr>
                <w:rFonts w:ascii="Arial" w:eastAsia="Times New Roman" w:hAnsi="Arial" w:cs="Arial"/>
                <w:color w:val="000000"/>
                <w:sz w:val="20"/>
                <w:szCs w:val="20"/>
                <w:lang w:eastAsia="en-GB"/>
              </w:rPr>
              <w:t>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Steering Column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Adjustable height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Brush Cage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t>
            </w:r>
            <w:proofErr w:type="spellStart"/>
            <w:r w:rsidRPr="009B420E">
              <w:rPr>
                <w:rFonts w:ascii="Arial" w:eastAsia="Times New Roman" w:hAnsi="Arial" w:cs="Arial"/>
                <w:color w:val="000000"/>
                <w:sz w:val="20"/>
                <w:szCs w:val="20"/>
                <w:lang w:eastAsia="en-GB"/>
              </w:rPr>
              <w:t>Blitzworld</w:t>
            </w:r>
            <w:proofErr w:type="spellEnd"/>
            <w:r w:rsidRPr="009B420E">
              <w:rPr>
                <w:rFonts w:ascii="Arial" w:eastAsia="Times New Roman" w:hAnsi="Arial" w:cs="Arial"/>
                <w:color w:val="000000"/>
                <w:sz w:val="20"/>
                <w:szCs w:val="20"/>
                <w:lang w:eastAsia="en-GB"/>
              </w:rPr>
              <w:t xml:space="preserve"> side bars for extra strength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t>
            </w:r>
            <w:r w:rsidRPr="009B420E">
              <w:rPr>
                <w:rFonts w:ascii="Arial" w:eastAsia="Times New Roman" w:hAnsi="Arial" w:cs="Arial"/>
                <w:b/>
                <w:bCs/>
                <w:color w:val="990000"/>
                <w:sz w:val="20"/>
                <w:szCs w:val="20"/>
                <w:lang w:eastAsia="en-GB"/>
              </w:rPr>
              <w:t>Dimensions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Length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2160 mm </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Width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1506 mm</w:t>
            </w:r>
          </w:p>
        </w:tc>
      </w:tr>
      <w:tr w:rsidR="009B420E" w:rsidRPr="009B420E" w:rsidTr="009B420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Height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420E" w:rsidRPr="009B420E" w:rsidRDefault="009B420E" w:rsidP="009B420E">
            <w:pPr>
              <w:spacing w:after="0" w:line="240" w:lineRule="auto"/>
              <w:rPr>
                <w:rFonts w:ascii="Arial" w:eastAsia="Times New Roman" w:hAnsi="Arial" w:cs="Arial"/>
                <w:color w:val="000000"/>
                <w:sz w:val="27"/>
                <w:szCs w:val="27"/>
                <w:lang w:eastAsia="en-GB"/>
              </w:rPr>
            </w:pPr>
            <w:r w:rsidRPr="009B420E">
              <w:rPr>
                <w:rFonts w:ascii="Arial" w:eastAsia="Times New Roman" w:hAnsi="Arial" w:cs="Arial"/>
                <w:color w:val="000000"/>
                <w:sz w:val="20"/>
                <w:szCs w:val="20"/>
                <w:lang w:eastAsia="en-GB"/>
              </w:rPr>
              <w:t> 1458 mm</w:t>
            </w:r>
          </w:p>
        </w:tc>
      </w:tr>
    </w:tbl>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p w:rsidR="009B420E" w:rsidRDefault="009B420E" w:rsidP="006F63A0">
      <w:r>
        <w:t>(Figure 1)</w:t>
      </w:r>
      <w:proofErr w:type="gramStart"/>
      <w:r>
        <w:t>(</w:t>
      </w:r>
      <w:r w:rsidRPr="009B420E">
        <w:t xml:space="preserve"> </w:t>
      </w:r>
      <w:proofErr w:type="gramEnd"/>
      <w:r>
        <w:fldChar w:fldCharType="begin"/>
      </w:r>
      <w:r>
        <w:instrText xml:space="preserve"> HYPERLINK "</w:instrText>
      </w:r>
      <w:r w:rsidRPr="009B420E">
        <w:instrText>http://www.blitzworld.co.uk/hammerhead-plat-i2325.html</w:instrText>
      </w:r>
      <w:r>
        <w:instrText xml:space="preserve">,2017" </w:instrText>
      </w:r>
      <w:r>
        <w:fldChar w:fldCharType="separate"/>
      </w:r>
      <w:r w:rsidRPr="000606E4">
        <w:rPr>
          <w:rStyle w:val="Hyperlink"/>
        </w:rPr>
        <w:t>http://www.blitzworld.co.uk/hammerhead-plat-i2325.html,2017</w:t>
      </w:r>
      <w:r>
        <w:fldChar w:fldCharType="end"/>
      </w:r>
      <w:r>
        <w:t>)</w:t>
      </w:r>
    </w:p>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9B420E" w:rsidRPr="006D1762" w:rsidRDefault="009B420E" w:rsidP="006D1762">
      <w:pPr>
        <w:pStyle w:val="Heading2"/>
      </w:pPr>
      <w:bookmarkStart w:id="3" w:name="_Toc500253045"/>
      <w:r w:rsidRPr="006D1762">
        <w:t xml:space="preserve">2.2 </w:t>
      </w:r>
      <w:r w:rsidR="006D1762" w:rsidRPr="006D1762">
        <w:t>Analysis, Calculations</w:t>
      </w:r>
      <w:r w:rsidRPr="006D1762">
        <w:t xml:space="preserve"> </w:t>
      </w:r>
      <w:r w:rsidR="000A350B" w:rsidRPr="006D1762">
        <w:t xml:space="preserve">and </w:t>
      </w:r>
      <w:r w:rsidR="00C13082" w:rsidRPr="006D1762">
        <w:t>coefficients</w:t>
      </w:r>
      <w:bookmarkEnd w:id="3"/>
    </w:p>
    <w:p w:rsidR="00C13082" w:rsidRDefault="00C13082" w:rsidP="006F63A0">
      <w:r>
        <w:t>Below we see a table of various rolling resistance co efficient that we will need for our calculations later on in this paper.</w:t>
      </w:r>
    </w:p>
    <w:p w:rsidR="000A350B" w:rsidRDefault="000A350B" w:rsidP="006F63A0"/>
    <w:tbl>
      <w:tblPr>
        <w:tblW w:w="8790" w:type="dxa"/>
        <w:tblBorders>
          <w:top w:val="single" w:sz="12" w:space="0" w:color="C0C0C0"/>
          <w:left w:val="single" w:sz="12" w:space="0" w:color="C0C0C0"/>
          <w:bottom w:val="single" w:sz="12" w:space="0" w:color="C0C0C0"/>
          <w:right w:val="single" w:sz="12" w:space="0" w:color="C0C0C0"/>
        </w:tblBorders>
        <w:tblCellMar>
          <w:top w:w="15" w:type="dxa"/>
          <w:left w:w="15" w:type="dxa"/>
          <w:bottom w:w="15" w:type="dxa"/>
          <w:right w:w="15" w:type="dxa"/>
        </w:tblCellMar>
        <w:tblLook w:val="04A0" w:firstRow="1" w:lastRow="0" w:firstColumn="1" w:lastColumn="0" w:noHBand="0" w:noVBand="1"/>
      </w:tblPr>
      <w:tblGrid>
        <w:gridCol w:w="1825"/>
        <w:gridCol w:w="1855"/>
        <w:gridCol w:w="5110"/>
      </w:tblGrid>
      <w:tr w:rsidR="000A350B" w:rsidRPr="000A350B" w:rsidTr="000A350B">
        <w:trPr>
          <w:tblHeader/>
        </w:trPr>
        <w:tc>
          <w:tcPr>
            <w:tcW w:w="0" w:type="auto"/>
            <w:gridSpan w:val="2"/>
            <w:tcBorders>
              <w:top w:val="single" w:sz="6" w:space="0" w:color="C0C0C0"/>
              <w:left w:val="single" w:sz="6" w:space="0" w:color="C0C0C0"/>
              <w:bottom w:val="single" w:sz="6" w:space="0" w:color="C0C0C0"/>
              <w:right w:val="single" w:sz="6" w:space="0" w:color="C0C0C0"/>
            </w:tcBorders>
            <w:shd w:val="clear" w:color="auto" w:fill="FFFFCC"/>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b/>
                <w:bCs/>
                <w:color w:val="000000"/>
                <w:lang w:eastAsia="en-GB"/>
              </w:rPr>
            </w:pPr>
            <w:r w:rsidRPr="000A350B">
              <w:rPr>
                <w:rFonts w:ascii="Arial" w:eastAsia="Times New Roman" w:hAnsi="Arial" w:cs="Arial"/>
                <w:b/>
                <w:bCs/>
                <w:color w:val="000000"/>
                <w:lang w:eastAsia="en-GB"/>
              </w:rPr>
              <w:t>Rolling Resistance Coefficient</w:t>
            </w:r>
          </w:p>
        </w:tc>
        <w:tc>
          <w:tcPr>
            <w:tcW w:w="0" w:type="auto"/>
            <w:vMerge w:val="restart"/>
            <w:tcBorders>
              <w:top w:val="single" w:sz="6" w:space="0" w:color="C0C0C0"/>
              <w:left w:val="single" w:sz="6" w:space="0" w:color="C0C0C0"/>
              <w:bottom w:val="single" w:sz="6" w:space="0" w:color="C0C0C0"/>
              <w:right w:val="single" w:sz="6" w:space="0" w:color="C0C0C0"/>
            </w:tcBorders>
            <w:shd w:val="clear" w:color="auto" w:fill="FFFFCC"/>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b/>
                <w:bCs/>
                <w:color w:val="000000"/>
                <w:lang w:eastAsia="en-GB"/>
              </w:rPr>
            </w:pPr>
            <w:r w:rsidRPr="000A350B">
              <w:rPr>
                <w:rFonts w:ascii="Arial" w:eastAsia="Times New Roman" w:hAnsi="Arial" w:cs="Arial"/>
                <w:b/>
                <w:bCs/>
                <w:color w:val="000000"/>
                <w:lang w:eastAsia="en-GB"/>
              </w:rPr>
              <w:t> </w:t>
            </w:r>
          </w:p>
        </w:tc>
      </w:tr>
      <w:tr w:rsidR="000A350B" w:rsidRPr="000A350B" w:rsidTr="000A350B">
        <w:trPr>
          <w:tblHeader/>
        </w:trPr>
        <w:tc>
          <w:tcPr>
            <w:tcW w:w="0" w:type="auto"/>
            <w:tcBorders>
              <w:top w:val="single" w:sz="6" w:space="0" w:color="C0C0C0"/>
              <w:left w:val="single" w:sz="6" w:space="0" w:color="C0C0C0"/>
              <w:bottom w:val="single" w:sz="6" w:space="0" w:color="C0C0C0"/>
              <w:right w:val="single" w:sz="6" w:space="0" w:color="C0C0C0"/>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b/>
                <w:bCs/>
                <w:color w:val="000000"/>
                <w:lang w:eastAsia="en-GB"/>
              </w:rPr>
            </w:pPr>
            <w:r w:rsidRPr="000A350B">
              <w:rPr>
                <w:rFonts w:ascii="Arial" w:eastAsia="Times New Roman" w:hAnsi="Arial" w:cs="Arial"/>
                <w:b/>
                <w:bCs/>
                <w:i/>
                <w:iCs/>
                <w:color w:val="000000"/>
                <w:lang w:eastAsia="en-GB"/>
              </w:rPr>
              <w:t>c</w:t>
            </w:r>
          </w:p>
        </w:tc>
        <w:tc>
          <w:tcPr>
            <w:tcW w:w="0" w:type="auto"/>
            <w:tcBorders>
              <w:top w:val="single" w:sz="6" w:space="0" w:color="C0C0C0"/>
              <w:left w:val="single" w:sz="6" w:space="0" w:color="C0C0C0"/>
              <w:bottom w:val="single" w:sz="6" w:space="0" w:color="C0C0C0"/>
              <w:right w:val="single" w:sz="6" w:space="0" w:color="C0C0C0"/>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b/>
                <w:bCs/>
                <w:color w:val="000000"/>
                <w:lang w:eastAsia="en-GB"/>
              </w:rPr>
            </w:pPr>
            <w:r w:rsidRPr="000A350B">
              <w:rPr>
                <w:rFonts w:ascii="Arial" w:eastAsia="Times New Roman" w:hAnsi="Arial" w:cs="Arial"/>
                <w:b/>
                <w:bCs/>
                <w:i/>
                <w:iCs/>
                <w:color w:val="000000"/>
                <w:lang w:eastAsia="en-GB"/>
              </w:rPr>
              <w:t>c</w:t>
            </w:r>
            <w:r w:rsidRPr="000A350B">
              <w:rPr>
                <w:rFonts w:ascii="Arial" w:eastAsia="Times New Roman" w:hAnsi="Arial" w:cs="Arial"/>
                <w:b/>
                <w:bCs/>
                <w:i/>
                <w:iCs/>
                <w:color w:val="000000"/>
                <w:vertAlign w:val="subscript"/>
                <w:lang w:eastAsia="en-GB"/>
              </w:rPr>
              <w:t>l</w:t>
            </w:r>
            <w:r w:rsidRPr="000A350B">
              <w:rPr>
                <w:rFonts w:ascii="Arial" w:eastAsia="Times New Roman" w:hAnsi="Arial" w:cs="Arial"/>
                <w:b/>
                <w:bCs/>
                <w:color w:val="000000"/>
                <w:lang w:eastAsia="en-GB"/>
              </w:rPr>
              <w:t> </w:t>
            </w:r>
            <w:r w:rsidRPr="000A350B">
              <w:rPr>
                <w:rFonts w:ascii="Arial" w:eastAsia="Times New Roman" w:hAnsi="Arial" w:cs="Arial"/>
                <w:b/>
                <w:bCs/>
                <w:i/>
                <w:iCs/>
                <w:color w:val="000000"/>
                <w:lang w:eastAsia="en-GB"/>
              </w:rPr>
              <w:t>(mm)</w:t>
            </w:r>
          </w:p>
        </w:tc>
        <w:tc>
          <w:tcPr>
            <w:tcW w:w="0" w:type="auto"/>
            <w:vMerge/>
            <w:tcBorders>
              <w:top w:val="single" w:sz="6" w:space="0" w:color="C0C0C0"/>
              <w:left w:val="single" w:sz="6" w:space="0" w:color="C0C0C0"/>
              <w:bottom w:val="single" w:sz="6" w:space="0" w:color="C0C0C0"/>
              <w:right w:val="single" w:sz="6" w:space="0" w:color="C0C0C0"/>
            </w:tcBorders>
            <w:vAlign w:val="center"/>
            <w:hideMark/>
          </w:tcPr>
          <w:p w:rsidR="000A350B" w:rsidRPr="000A350B" w:rsidRDefault="000A350B" w:rsidP="000A350B">
            <w:pPr>
              <w:spacing w:before="225" w:after="150" w:line="240" w:lineRule="auto"/>
              <w:jc w:val="center"/>
              <w:rPr>
                <w:rFonts w:ascii="Arial" w:eastAsia="Times New Roman" w:hAnsi="Arial" w:cs="Arial"/>
                <w:b/>
                <w:bCs/>
                <w:color w:val="000000"/>
                <w:lang w:eastAsia="en-GB"/>
              </w:rPr>
            </w:pPr>
          </w:p>
        </w:tc>
      </w:tr>
      <w:tr w:rsidR="000A350B" w:rsidRPr="000A350B" w:rsidTr="000A350B">
        <w:tc>
          <w:tcPr>
            <w:tcW w:w="2130"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0.001 - 0.002</w:t>
            </w:r>
          </w:p>
        </w:tc>
        <w:tc>
          <w:tcPr>
            <w:tcW w:w="2115"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0.5</w:t>
            </w:r>
          </w:p>
        </w:tc>
        <w:tc>
          <w:tcPr>
            <w:tcW w:w="4305"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railroad steel wheels on steel rails</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0.001</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bicycle tire on wooden track</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0.002 - 0.005</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low resistance tubeless tires</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0.002</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bicycle tire on concrete</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0.004</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bicycle tire on asphalt road</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0.005</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dirty tram rails</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0.006 - 0.01</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truck tire on asphalt</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0.008</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bicycle tire on rough paved road</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0.01 - 0.015</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ordinary car tires on concrete, new asphalt, cobbles small new</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0.02</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car tires on tar or asphalt</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0.02</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car tires on gravel - rolled new</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0.03</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car tires on cobbles  - large worn</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0.04 - 0.08</w:t>
            </w: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car tire on solid sand, gravel loose worn, soil medium hard</w:t>
            </w:r>
          </w:p>
        </w:tc>
      </w:tr>
      <w:tr w:rsidR="000A350B" w:rsidRPr="000A350B" w:rsidTr="000A350B">
        <w:tc>
          <w:tcPr>
            <w:tcW w:w="0" w:type="auto"/>
            <w:tcBorders>
              <w:top w:val="single" w:sz="6" w:space="0" w:color="CCCCCC"/>
              <w:left w:val="single" w:sz="6" w:space="0" w:color="CCCCCC"/>
              <w:bottom w:val="single" w:sz="6" w:space="0" w:color="CCCCCC"/>
              <w:right w:val="single" w:sz="6" w:space="0" w:color="CCCCCC"/>
            </w:tcBorders>
            <w:shd w:val="clear" w:color="auto" w:fill="FFFFCC"/>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lastRenderedPageBreak/>
              <w:t>0.2 - 0.4</w:t>
            </w:r>
          </w:p>
        </w:tc>
        <w:tc>
          <w:tcPr>
            <w:tcW w:w="0" w:type="auto"/>
            <w:tcBorders>
              <w:top w:val="single" w:sz="6" w:space="0" w:color="CCCCCC"/>
              <w:left w:val="single" w:sz="6" w:space="0" w:color="CCCCCC"/>
              <w:bottom w:val="single" w:sz="6" w:space="0" w:color="CCCCCC"/>
              <w:right w:val="single" w:sz="6" w:space="0" w:color="CCCCCC"/>
            </w:tcBorders>
            <w:shd w:val="clear" w:color="auto" w:fill="FFFFCC"/>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CC"/>
            <w:tcMar>
              <w:top w:w="30" w:type="dxa"/>
              <w:left w:w="30" w:type="dxa"/>
              <w:bottom w:w="30" w:type="dxa"/>
              <w:right w:w="30" w:type="dxa"/>
            </w:tcMar>
            <w:vAlign w:val="center"/>
            <w:hideMark/>
          </w:tcPr>
          <w:p w:rsidR="000A350B" w:rsidRPr="000A350B" w:rsidRDefault="000A350B" w:rsidP="000A350B">
            <w:pPr>
              <w:spacing w:before="225" w:after="150" w:line="240" w:lineRule="auto"/>
              <w:jc w:val="center"/>
              <w:rPr>
                <w:rFonts w:ascii="Arial" w:eastAsia="Times New Roman" w:hAnsi="Arial" w:cs="Arial"/>
                <w:color w:val="000000"/>
                <w:lang w:eastAsia="en-GB"/>
              </w:rPr>
            </w:pPr>
            <w:r w:rsidRPr="000A350B">
              <w:rPr>
                <w:rFonts w:ascii="Arial" w:eastAsia="Times New Roman" w:hAnsi="Arial" w:cs="Arial"/>
                <w:color w:val="000000"/>
                <w:lang w:eastAsia="en-GB"/>
              </w:rPr>
              <w:t>car tire on loose sand</w:t>
            </w:r>
          </w:p>
        </w:tc>
      </w:tr>
    </w:tbl>
    <w:p w:rsidR="009B420E" w:rsidRDefault="009B420E" w:rsidP="006F63A0"/>
    <w:p w:rsidR="006D1762" w:rsidRPr="006D1762" w:rsidRDefault="006D1762" w:rsidP="006D1762">
      <w:pPr>
        <w:pStyle w:val="Heading3"/>
      </w:pPr>
      <w:bookmarkStart w:id="4" w:name="_Toc500253046"/>
      <w:r w:rsidRPr="006D1762">
        <w:t>2.1.1 Duty Cycle</w:t>
      </w:r>
      <w:bookmarkEnd w:id="4"/>
    </w:p>
    <w:p w:rsidR="00C13082" w:rsidRDefault="00C13082" w:rsidP="00C13082">
      <w:r>
        <w:rPr>
          <w:noProof/>
          <w:lang w:eastAsia="en-GB"/>
        </w:rPr>
        <w:drawing>
          <wp:inline distT="0" distB="0" distL="0" distR="0" wp14:anchorId="423AAC7B" wp14:editId="5F61AE7D">
            <wp:extent cx="5731510" cy="3646170"/>
            <wp:effectExtent l="0" t="0" r="2540" b="11430"/>
            <wp:docPr id="2" name="Chart 2" titl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13082" w:rsidRDefault="0022011D" w:rsidP="00C13082">
      <w:r>
        <w:t xml:space="preserve">Here we see the duty cycle of the buggy upon the track we </w:t>
      </w:r>
      <w:r w:rsidR="00402722">
        <w:t>developed. We can see the velocity the buggy is travelling at throughout the course.</w:t>
      </w:r>
    </w:p>
    <w:p w:rsidR="00C13082" w:rsidRDefault="00C13082" w:rsidP="00C13082"/>
    <w:p w:rsidR="00C13082" w:rsidRDefault="006D1762" w:rsidP="006D1762">
      <w:pPr>
        <w:pStyle w:val="Heading3"/>
      </w:pPr>
      <w:bookmarkStart w:id="5" w:name="_Toc500253047"/>
      <w:r>
        <w:lastRenderedPageBreak/>
        <w:t>2.1.2 Gradient radians</w:t>
      </w:r>
      <w:bookmarkEnd w:id="5"/>
    </w:p>
    <w:p w:rsidR="00C13082" w:rsidRDefault="00C13082" w:rsidP="00C13082">
      <w:r>
        <w:rPr>
          <w:noProof/>
          <w:lang w:eastAsia="en-GB"/>
        </w:rPr>
        <w:drawing>
          <wp:inline distT="0" distB="0" distL="0" distR="0" wp14:anchorId="41FFB9A1" wp14:editId="78B26BDF">
            <wp:extent cx="5731510" cy="3640455"/>
            <wp:effectExtent l="0" t="0" r="2540" b="17145"/>
            <wp:docPr id="3" name="Chart 3" titl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606B3" w:rsidRDefault="00402722" w:rsidP="00C13082">
      <w:r>
        <w:t>After creating the duty cycle next we must find all resistive forces that the vehicles is experiencing throughout the course. Firstly we must find the gradient of the track in order to find the forces acting upon the vehicle when going up an incline or down a decline. To find our gradient we must divide the elevation of each slope by the distance travelled. Once we have found this we must then convert this value into a degree value. The following equation allows us to do this: Degrees=Tan-1(Slope</w:t>
      </w:r>
      <w:r w:rsidR="00A606B3">
        <w:t>/100) (</w:t>
      </w:r>
      <w:proofErr w:type="spellStart"/>
      <w:r w:rsidR="00A606B3">
        <w:t>Calcunation</w:t>
      </w:r>
      <w:proofErr w:type="spellEnd"/>
      <w:r w:rsidR="00A606B3">
        <w:t>, 2017)</w:t>
      </w:r>
    </w:p>
    <w:p w:rsidR="00A606B3" w:rsidRDefault="00A606B3" w:rsidP="00C13082">
      <w:r>
        <w:t>Onward from this we must then convert the degree value into a radian value. To do this we simply multiply our value by 0.017.</w:t>
      </w:r>
    </w:p>
    <w:p w:rsidR="00A606B3" w:rsidRDefault="00A606B3" w:rsidP="00C13082">
      <w:pPr>
        <w:rPr>
          <w:rFonts w:ascii="Arial" w:hAnsi="Arial" w:cs="Arial"/>
          <w:color w:val="222222"/>
          <w:shd w:val="clear" w:color="auto" w:fill="FFFFFF"/>
        </w:rPr>
      </w:pPr>
      <w:r>
        <w:t>Lastly we must now find the gradient resistance. We are able to do this with the equation MG SIN</w:t>
      </w:r>
      <w:r w:rsidRPr="00A606B3">
        <w:rPr>
          <w:rFonts w:ascii="Arial" w:hAnsi="Arial" w:cs="Arial"/>
          <w:color w:val="222222"/>
          <w:shd w:val="clear" w:color="auto" w:fill="FFFFFF"/>
        </w:rPr>
        <w:t xml:space="preserve"> </w:t>
      </w:r>
      <w:r>
        <w:rPr>
          <w:rFonts w:ascii="Arial" w:hAnsi="Arial" w:cs="Arial"/>
          <w:color w:val="222222"/>
          <w:shd w:val="clear" w:color="auto" w:fill="FFFFFF"/>
        </w:rPr>
        <w:t>θ</w:t>
      </w:r>
      <w:r>
        <w:rPr>
          <w:rFonts w:ascii="Arial" w:hAnsi="Arial" w:cs="Arial"/>
          <w:color w:val="222222"/>
          <w:shd w:val="clear" w:color="auto" w:fill="FFFFFF"/>
        </w:rPr>
        <w:t xml:space="preserve"> this will then give our value for gradient resistance in newton’s (N).</w:t>
      </w:r>
    </w:p>
    <w:p w:rsidR="006D1762" w:rsidRDefault="006D1762" w:rsidP="00C13082"/>
    <w:p w:rsidR="00C13082" w:rsidRDefault="006D1762" w:rsidP="006D1762">
      <w:pPr>
        <w:pStyle w:val="Heading3"/>
      </w:pPr>
      <w:bookmarkStart w:id="6" w:name="_Toc500253048"/>
      <w:r>
        <w:lastRenderedPageBreak/>
        <w:t>2.1.3 Gradient resistance</w:t>
      </w:r>
      <w:bookmarkEnd w:id="6"/>
    </w:p>
    <w:p w:rsidR="00C13082" w:rsidRDefault="00C13082" w:rsidP="00C13082">
      <w:r>
        <w:rPr>
          <w:noProof/>
          <w:lang w:eastAsia="en-GB"/>
        </w:rPr>
        <w:drawing>
          <wp:inline distT="0" distB="0" distL="0" distR="0" wp14:anchorId="001AC06E" wp14:editId="418039EA">
            <wp:extent cx="5731510" cy="3640455"/>
            <wp:effectExtent l="0" t="0" r="2540" b="17145"/>
            <wp:docPr id="4" name="Chart 4" titl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D1762" w:rsidRDefault="006D1762" w:rsidP="00C13082"/>
    <w:p w:rsidR="006D1762" w:rsidRDefault="006D1762" w:rsidP="00C13082"/>
    <w:p w:rsidR="006D1762" w:rsidRDefault="006D1762" w:rsidP="00C13082"/>
    <w:p w:rsidR="006D1762" w:rsidRDefault="006D1762" w:rsidP="00C13082"/>
    <w:p w:rsidR="006D1762" w:rsidRDefault="006D1762" w:rsidP="00C13082"/>
    <w:p w:rsidR="006D1762" w:rsidRDefault="006D1762" w:rsidP="00C13082"/>
    <w:p w:rsidR="006D1762" w:rsidRDefault="006D1762" w:rsidP="00C13082"/>
    <w:p w:rsidR="006D1762" w:rsidRDefault="006D1762" w:rsidP="006D1762">
      <w:pPr>
        <w:pStyle w:val="Heading3"/>
      </w:pPr>
      <w:bookmarkStart w:id="7" w:name="_Toc500253049"/>
      <w:r>
        <w:lastRenderedPageBreak/>
        <w:t>2.1.4 Rolling resistance</w:t>
      </w:r>
      <w:bookmarkEnd w:id="7"/>
    </w:p>
    <w:p w:rsidR="00C13082" w:rsidRDefault="00A606B3" w:rsidP="00C13082">
      <w:r>
        <w:rPr>
          <w:noProof/>
          <w:lang w:eastAsia="en-GB"/>
        </w:rPr>
        <w:drawing>
          <wp:inline distT="0" distB="0" distL="0" distR="0" wp14:anchorId="6F407868" wp14:editId="2BF77929">
            <wp:extent cx="5752214" cy="3436620"/>
            <wp:effectExtent l="0" t="0" r="1270" b="114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606B3" w:rsidRDefault="00474099" w:rsidP="00C13082">
      <w:r>
        <w:t>Here we see the rolling resistance results throughout the course. Throughout the course there are two different surfaces travelled upon gravel and field. We can see that the gravel has a much lower rolling resistance. The track is gravel until around 45 seconds in where the buggy crosses into a field we can see this due to the large jump in rolling resistance. We can see throughout the graph that the buggy switches between the two surface types further on in the track. To find rolling resistance we multiply our vehicle mass by the surface co efficient and then multiply this value by gravity to give us the total rolling resistance. A table of surface co efficient is shown previously in the paper. An example of this formula is: ((233.6x0.02</w:t>
      </w:r>
      <w:proofErr w:type="gramStart"/>
      <w:r>
        <w:t>)x9.81</w:t>
      </w:r>
      <w:proofErr w:type="gramEnd"/>
      <w:r>
        <w:t>) = 45.8N. Here we see the rolling resistance for gravel calculated.</w:t>
      </w:r>
    </w:p>
    <w:p w:rsidR="00A606B3" w:rsidRDefault="00A606B3" w:rsidP="00C13082"/>
    <w:p w:rsidR="00A606B3" w:rsidRDefault="00A606B3" w:rsidP="00C13082"/>
    <w:p w:rsidR="00A606B3" w:rsidRDefault="00A606B3" w:rsidP="00C13082"/>
    <w:p w:rsidR="00A606B3" w:rsidRDefault="00A606B3" w:rsidP="00C13082"/>
    <w:p w:rsidR="00A606B3" w:rsidRDefault="00A606B3" w:rsidP="00C13082"/>
    <w:p w:rsidR="00A606B3" w:rsidRDefault="00A606B3" w:rsidP="00C13082"/>
    <w:p w:rsidR="006D1762" w:rsidRDefault="006D1762" w:rsidP="00C13082"/>
    <w:p w:rsidR="006D1762" w:rsidRDefault="006D1762" w:rsidP="00C13082"/>
    <w:p w:rsidR="006D1762" w:rsidRDefault="006D1762" w:rsidP="00C13082"/>
    <w:p w:rsidR="006D1762" w:rsidRDefault="006D1762" w:rsidP="00C13082"/>
    <w:p w:rsidR="006D1762" w:rsidRDefault="006D1762" w:rsidP="006D1762">
      <w:pPr>
        <w:pStyle w:val="Heading3"/>
      </w:pPr>
      <w:bookmarkStart w:id="8" w:name="_Toc500253050"/>
      <w:r>
        <w:lastRenderedPageBreak/>
        <w:t>2.1.5 Aero resistance</w:t>
      </w:r>
      <w:bookmarkEnd w:id="8"/>
    </w:p>
    <w:p w:rsidR="00C13082" w:rsidRDefault="00C13082" w:rsidP="00C13082">
      <w:r>
        <w:rPr>
          <w:noProof/>
          <w:lang w:eastAsia="en-GB"/>
        </w:rPr>
        <w:drawing>
          <wp:inline distT="0" distB="0" distL="0" distR="0" wp14:anchorId="52AB8EEC" wp14:editId="26A6EE96">
            <wp:extent cx="5724525" cy="3638550"/>
            <wp:effectExtent l="0" t="0" r="9525" b="0"/>
            <wp:docPr id="5" name="Chart 5" titl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13082" w:rsidRDefault="00474099" w:rsidP="00C13082">
      <w:r>
        <w:t xml:space="preserve">In this next graph we aerodynamic resistance. In order to find this we must use the formula: </w:t>
      </w:r>
    </w:p>
    <w:p w:rsidR="00474099" w:rsidRDefault="00474099" w:rsidP="00C13082">
      <m:oMathPara>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×air dencity×coefficient of drag×frontal area×</m:t>
          </m:r>
          <m:sSup>
            <m:sSupPr>
              <m:ctrlPr>
                <w:rPr>
                  <w:rFonts w:ascii="Cambria Math" w:hAnsi="Cambria Math"/>
                  <w:i/>
                </w:rPr>
              </m:ctrlPr>
            </m:sSupPr>
            <m:e>
              <m:r>
                <w:rPr>
                  <w:rFonts w:ascii="Cambria Math" w:hAnsi="Cambria Math"/>
                </w:rPr>
                <m:t>vel</m:t>
              </m:r>
            </m:e>
            <m:sup>
              <m:r>
                <w:rPr>
                  <w:rFonts w:ascii="Cambria Math" w:hAnsi="Cambria Math"/>
                </w:rPr>
                <m:t>2</m:t>
              </m:r>
            </m:sup>
          </m:sSup>
        </m:oMath>
      </m:oMathPara>
    </w:p>
    <w:p w:rsidR="000D4B3D" w:rsidRDefault="000D4B3D" w:rsidP="006F63A0"/>
    <w:p w:rsidR="000D4B3D" w:rsidRDefault="00474099" w:rsidP="006F63A0">
      <w:r>
        <w:t>With air density of 1.2m2 and a co efficient of drag found to be 0.3</w:t>
      </w:r>
    </w:p>
    <w:p w:rsidR="00474099" w:rsidRDefault="00474099" w:rsidP="006F63A0">
      <w:r>
        <w:t>To find our vehicles frontal are we need only multiply the height of the vehicle by the width.</w:t>
      </w:r>
    </w:p>
    <w:p w:rsidR="00474099" w:rsidRDefault="00474099" w:rsidP="006F63A0">
      <w:r>
        <w:t xml:space="preserve">With all the values found for the formula this should then give us the aerodynamic resistance </w:t>
      </w:r>
      <w:r w:rsidR="00B7381F">
        <w:t>at each velocity recorded throughout the course.</w:t>
      </w:r>
    </w:p>
    <w:p w:rsidR="00474099" w:rsidRDefault="00474099" w:rsidP="006F63A0"/>
    <w:p w:rsidR="000A350B" w:rsidRDefault="000A350B" w:rsidP="006F63A0"/>
    <w:p w:rsidR="000A350B" w:rsidRDefault="000A350B" w:rsidP="006F63A0"/>
    <w:p w:rsidR="00B7381F" w:rsidRDefault="00B7381F" w:rsidP="006F63A0"/>
    <w:p w:rsidR="00B7381F" w:rsidRDefault="00B7381F" w:rsidP="006F63A0"/>
    <w:p w:rsidR="00B7381F" w:rsidRDefault="00B7381F" w:rsidP="006F63A0"/>
    <w:p w:rsidR="00B7381F" w:rsidRDefault="00B7381F" w:rsidP="006F63A0"/>
    <w:p w:rsidR="00B7381F" w:rsidRDefault="00B7381F" w:rsidP="006F63A0"/>
    <w:p w:rsidR="00B7381F" w:rsidRDefault="006D1762" w:rsidP="006D1762">
      <w:pPr>
        <w:pStyle w:val="Heading3"/>
      </w:pPr>
      <w:bookmarkStart w:id="9" w:name="_Toc500253051"/>
      <w:r>
        <w:lastRenderedPageBreak/>
        <w:t>2.1.6 Acceleration force</w:t>
      </w:r>
      <w:bookmarkEnd w:id="9"/>
    </w:p>
    <w:p w:rsidR="00B7381F" w:rsidRDefault="00B7381F" w:rsidP="006F63A0">
      <w:r>
        <w:rPr>
          <w:noProof/>
          <w:lang w:eastAsia="en-GB"/>
        </w:rPr>
        <w:drawing>
          <wp:inline distT="0" distB="0" distL="0" distR="0" wp14:anchorId="05162CC1" wp14:editId="59F4282E">
            <wp:extent cx="5599267" cy="3614584"/>
            <wp:effectExtent l="0" t="0" r="1905" b="50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7381F" w:rsidRDefault="00B7381F" w:rsidP="006F63A0"/>
    <w:p w:rsidR="00B7381F" w:rsidRDefault="00B7381F" w:rsidP="006F63A0">
      <w:r>
        <w:t xml:space="preserve">In the graph above we are able to see the acceleration force throughout the course recorded in </w:t>
      </w:r>
      <w:proofErr w:type="spellStart"/>
      <w:r w:rsidR="00765BFB">
        <w:t>newtons</w:t>
      </w:r>
      <w:proofErr w:type="spellEnd"/>
      <w:r>
        <w:t>. In order to find the acceleration force we must use the formula: f= ma</w:t>
      </w:r>
    </w:p>
    <w:p w:rsidR="00B7381F" w:rsidRDefault="00B7381F" w:rsidP="006F63A0">
      <w:r>
        <w:t>Where M is mass and A is acceleration</w:t>
      </w:r>
    </w:p>
    <w:p w:rsidR="00B7381F" w:rsidRDefault="00B7381F" w:rsidP="006F63A0"/>
    <w:p w:rsidR="00B7381F" w:rsidRDefault="00B7381F" w:rsidP="006F63A0"/>
    <w:p w:rsidR="00B7381F" w:rsidRDefault="00B7381F" w:rsidP="006F63A0"/>
    <w:p w:rsidR="00B7381F" w:rsidRDefault="00B7381F" w:rsidP="006F63A0"/>
    <w:p w:rsidR="006D1762" w:rsidRDefault="006D1762" w:rsidP="006F63A0"/>
    <w:p w:rsidR="006D1762" w:rsidRDefault="006D1762" w:rsidP="006F63A0"/>
    <w:p w:rsidR="006D1762" w:rsidRDefault="006D1762" w:rsidP="006F63A0"/>
    <w:p w:rsidR="006D1762" w:rsidRDefault="006D1762" w:rsidP="006F63A0"/>
    <w:p w:rsidR="006D1762" w:rsidRDefault="006D1762" w:rsidP="006F63A0"/>
    <w:p w:rsidR="006D1762" w:rsidRDefault="006D1762" w:rsidP="006F63A0"/>
    <w:p w:rsidR="006D1762" w:rsidRDefault="006D1762" w:rsidP="006F63A0"/>
    <w:p w:rsidR="006D1762" w:rsidRDefault="006D1762" w:rsidP="006D1762">
      <w:pPr>
        <w:pStyle w:val="Heading3"/>
      </w:pPr>
      <w:bookmarkStart w:id="10" w:name="_Toc500253052"/>
      <w:r>
        <w:lastRenderedPageBreak/>
        <w:t>2.1.7 Power required</w:t>
      </w:r>
      <w:bookmarkEnd w:id="10"/>
    </w:p>
    <w:p w:rsidR="000A350B" w:rsidRDefault="00B7381F" w:rsidP="006F63A0">
      <w:r>
        <w:rPr>
          <w:noProof/>
          <w:lang w:eastAsia="en-GB"/>
        </w:rPr>
        <w:drawing>
          <wp:inline distT="0" distB="0" distL="0" distR="0" wp14:anchorId="78B7EB2A" wp14:editId="42C59568">
            <wp:extent cx="5731510" cy="3639820"/>
            <wp:effectExtent l="0" t="0" r="2540" b="17780"/>
            <wp:docPr id="6" name="Chart 6" titl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A350B" w:rsidRDefault="000A350B" w:rsidP="006F63A0"/>
    <w:p w:rsidR="00C13082" w:rsidRDefault="006D1762" w:rsidP="006F63A0">
      <w:r>
        <w:t>In the graph above we see power required throughout the course. We can see upon the graph where the inclines begins as we see large spikes in power requirement. To find power requirement we added all resistive forces together and then multiplied that value by the velocity of the vehicle at the time. Throughout the course the largest power requirement was 2,398W which gives a good heading on what parts will be needed in the next part of the assignment.</w:t>
      </w:r>
    </w:p>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C13082" w:rsidRDefault="00C13082" w:rsidP="006F63A0"/>
    <w:p w:rsidR="006D1762" w:rsidRDefault="006D1762" w:rsidP="006D1762">
      <w:pPr>
        <w:pStyle w:val="Heading3"/>
      </w:pPr>
      <w:bookmarkStart w:id="11" w:name="_Toc500253053"/>
      <w:r>
        <w:lastRenderedPageBreak/>
        <w:t>2.1.8 Total tractive effort</w:t>
      </w:r>
      <w:bookmarkEnd w:id="11"/>
    </w:p>
    <w:p w:rsidR="00C13082" w:rsidRDefault="006D1762" w:rsidP="006F63A0">
      <w:r>
        <w:rPr>
          <w:noProof/>
          <w:lang w:eastAsia="en-GB"/>
        </w:rPr>
        <w:drawing>
          <wp:anchor distT="0" distB="0" distL="114300" distR="114300" simplePos="0" relativeHeight="251658240" behindDoc="1" locked="0" layoutInCell="1" allowOverlap="1">
            <wp:simplePos x="0" y="0"/>
            <wp:positionH relativeFrom="column">
              <wp:posOffset>105898</wp:posOffset>
            </wp:positionH>
            <wp:positionV relativeFrom="paragraph">
              <wp:posOffset>299779</wp:posOffset>
            </wp:positionV>
            <wp:extent cx="5731510" cy="3639820"/>
            <wp:effectExtent l="0" t="0" r="2540" b="17780"/>
            <wp:wrapTight wrapText="bothSides">
              <wp:wrapPolygon edited="0">
                <wp:start x="72" y="0"/>
                <wp:lineTo x="0" y="339"/>
                <wp:lineTo x="0" y="21253"/>
                <wp:lineTo x="72" y="21592"/>
                <wp:lineTo x="21466" y="21592"/>
                <wp:lineTo x="21538" y="21366"/>
                <wp:lineTo x="21538" y="339"/>
                <wp:lineTo x="21466" y="0"/>
                <wp:lineTo x="72" y="0"/>
              </wp:wrapPolygon>
            </wp:wrapTight>
            <wp:docPr id="1" name="Chart 1" titl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C13082" w:rsidRDefault="00C13082" w:rsidP="006F63A0"/>
    <w:p w:rsidR="000A350B" w:rsidRDefault="00B7381F" w:rsidP="006F63A0">
      <w:r>
        <w:t xml:space="preserve">The graph above shows us the total tractive effort experienced throughout the course. This value is gathered by adding </w:t>
      </w:r>
      <w:proofErr w:type="gramStart"/>
      <w:r>
        <w:t>Aero</w:t>
      </w:r>
      <w:proofErr w:type="gramEnd"/>
      <w:r>
        <w:t xml:space="preserve"> resistance, Gradient resistance and rolling resistance together to find the total resistance experienced by the vehicles. We can see that the resistance increase </w:t>
      </w:r>
      <w:r w:rsidR="006D1762">
        <w:t>substantially</w:t>
      </w:r>
      <w:r>
        <w:t xml:space="preserve"> when</w:t>
      </w:r>
      <w:r w:rsidR="006D1762">
        <w:t xml:space="preserve"> the vehicle is going up and incline in the track with this graph we are able to see that it clearly mimics that of the duty cycle with it showing large spikes where inclines are included on the track. To find tractive effort we used the equation seen below:</w:t>
      </w:r>
    </w:p>
    <w:p w:rsidR="000A350B" w:rsidRDefault="000A350B" w:rsidP="006F63A0"/>
    <w:p w:rsidR="00C13082" w:rsidRDefault="00C13082" w:rsidP="00C13082">
      <w:r>
        <w:t>TTE [N] = RR [N] + GR [N] + FA [N]</w:t>
      </w:r>
    </w:p>
    <w:p w:rsidR="00C13082" w:rsidRDefault="00C13082" w:rsidP="00C13082">
      <w:r>
        <w:t>TTE = total tractive effort [N]</w:t>
      </w:r>
    </w:p>
    <w:p w:rsidR="00C13082" w:rsidRDefault="00C13082" w:rsidP="00C13082">
      <w:r>
        <w:t xml:space="preserve"> RR = force necessary to overcome rolling resistance [N] </w:t>
      </w:r>
    </w:p>
    <w:p w:rsidR="00C13082" w:rsidRDefault="00C13082" w:rsidP="00C13082">
      <w:r>
        <w:t xml:space="preserve">GR = force required to climb a grade [N] </w:t>
      </w:r>
    </w:p>
    <w:p w:rsidR="00C13082" w:rsidRDefault="00C13082" w:rsidP="00C13082">
      <w:r>
        <w:t>FA = force required to accelerate to final velocity [N]</w:t>
      </w:r>
    </w:p>
    <w:p w:rsidR="00E66591" w:rsidRDefault="00E66591" w:rsidP="00C13082"/>
    <w:p w:rsidR="00E66591" w:rsidRDefault="00E66591" w:rsidP="00C13082"/>
    <w:p w:rsidR="00E66591" w:rsidRDefault="00E66591" w:rsidP="00C13082"/>
    <w:p w:rsidR="00E66591" w:rsidRDefault="00E66591" w:rsidP="00E66591">
      <w:pPr>
        <w:pStyle w:val="Heading1"/>
      </w:pPr>
      <w:bookmarkStart w:id="12" w:name="_Toc500253054"/>
      <w:r>
        <w:lastRenderedPageBreak/>
        <w:t>3</w:t>
      </w:r>
      <w:bookmarkStart w:id="13" w:name="_GoBack"/>
      <w:bookmarkEnd w:id="13"/>
      <w:r>
        <w:t>.0 Conclusion</w:t>
      </w:r>
      <w:bookmarkEnd w:id="12"/>
    </w:p>
    <w:p w:rsidR="00765BFB" w:rsidRDefault="00E66591" w:rsidP="00765BFB">
      <w:r>
        <w:t>In conclusion to this report I believe that the correct calculations have been researched and the correct values have been gathered. However I do believe that the course developed may need more work before the second part of the assignment. I say this as I believe that the power requirement values gathered seem very low for the buggy chosen with the max power requirement only reaching 2398w the buggy chosen supplies 7.4kw of power and so it feels as though the buggy may be under used when out on the track developed although this would bring a longer life to the buggy as it has less work to do. Possibly an inclusion of steeper incline and travelling at higher velocities may bring out the buggy’s full potential. However in the next part of the assignment where we design and electrical buggy it may be found that the amount of power available is not as much as an ICE buggy and therefore the track may find itself suitable for an electrical buggy in the second part of the assignment.</w:t>
      </w:r>
    </w:p>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765BFB" w:rsidRDefault="00765BFB" w:rsidP="00765BFB"/>
    <w:p w:rsidR="00E66591" w:rsidRDefault="00765BFB" w:rsidP="00765BFB">
      <w:pPr>
        <w:pStyle w:val="Heading1"/>
      </w:pPr>
      <w:bookmarkStart w:id="14" w:name="_Toc500253055"/>
      <w:r>
        <w:lastRenderedPageBreak/>
        <w:t>4</w:t>
      </w:r>
      <w:r w:rsidR="00E66591">
        <w:t xml:space="preserve">.0 </w:t>
      </w:r>
      <w:proofErr w:type="spellStart"/>
      <w:r w:rsidR="00E66591">
        <w:t>Biliography</w:t>
      </w:r>
      <w:bookmarkEnd w:id="14"/>
      <w:proofErr w:type="spellEnd"/>
    </w:p>
    <w:p w:rsidR="00E66591" w:rsidRDefault="00E66591" w:rsidP="00E66591">
      <w:pPr>
        <w:ind w:left="360"/>
        <w:rPr>
          <w:rFonts w:ascii="Verdana" w:hAnsi="Verdana"/>
          <w:color w:val="000000"/>
          <w:sz w:val="20"/>
          <w:szCs w:val="20"/>
        </w:rPr>
      </w:pPr>
    </w:p>
    <w:p w:rsidR="00E66591" w:rsidRPr="00E66591" w:rsidRDefault="00E66591" w:rsidP="00E66591">
      <w:pPr>
        <w:ind w:left="360"/>
      </w:pPr>
      <w:r>
        <w:rPr>
          <w:rFonts w:ascii="Verdana" w:hAnsi="Verdana"/>
          <w:color w:val="000000"/>
          <w:sz w:val="20"/>
          <w:szCs w:val="20"/>
        </w:rPr>
        <w:t>(1)</w:t>
      </w:r>
      <w:r w:rsidR="006D1762" w:rsidRPr="00E66591">
        <w:rPr>
          <w:rFonts w:ascii="Verdana" w:hAnsi="Verdana"/>
          <w:color w:val="000000"/>
          <w:sz w:val="20"/>
          <w:szCs w:val="20"/>
        </w:rPr>
        <w:t>MAE Design and Manufacturing Laboratory. (2015). </w:t>
      </w:r>
      <w:r w:rsidR="006D1762" w:rsidRPr="00E66591">
        <w:rPr>
          <w:rFonts w:ascii="Verdana" w:hAnsi="Verdana"/>
          <w:i/>
          <w:iCs/>
          <w:color w:val="000000"/>
          <w:sz w:val="20"/>
          <w:szCs w:val="20"/>
        </w:rPr>
        <w:t>Drive Wheel Motor Torque Calculations.</w:t>
      </w:r>
      <w:r w:rsidR="006D1762" w:rsidRPr="00E66591">
        <w:rPr>
          <w:rFonts w:ascii="Verdana" w:hAnsi="Verdana"/>
          <w:color w:val="000000"/>
          <w:sz w:val="20"/>
          <w:szCs w:val="20"/>
        </w:rPr>
        <w:t> Available: https://www.calcunation.com/calculator/slope-percent-conversion.php. Last accessed 4th Dec 2017.</w:t>
      </w:r>
    </w:p>
    <w:p w:rsidR="00E66591" w:rsidRDefault="00E66591" w:rsidP="00E66591">
      <w:pPr>
        <w:ind w:left="360"/>
        <w:rPr>
          <w:rFonts w:ascii="Verdana" w:hAnsi="Verdana"/>
          <w:color w:val="000000"/>
          <w:sz w:val="20"/>
          <w:szCs w:val="20"/>
        </w:rPr>
      </w:pPr>
      <w:r>
        <w:rPr>
          <w:rFonts w:ascii="Verdana" w:hAnsi="Verdana"/>
          <w:color w:val="000000"/>
          <w:sz w:val="20"/>
          <w:szCs w:val="20"/>
        </w:rPr>
        <w:t>(2)</w:t>
      </w:r>
      <w:r w:rsidRPr="00E66591">
        <w:rPr>
          <w:rFonts w:ascii="Verdana" w:hAnsi="Verdana"/>
          <w:color w:val="000000"/>
          <w:sz w:val="20"/>
          <w:szCs w:val="20"/>
        </w:rPr>
        <w:t>The engineering toolbox. (2015). </w:t>
      </w:r>
      <w:r w:rsidRPr="00E66591">
        <w:rPr>
          <w:rFonts w:ascii="Verdana" w:hAnsi="Verdana"/>
          <w:i/>
          <w:iCs/>
          <w:color w:val="000000"/>
          <w:sz w:val="20"/>
          <w:szCs w:val="20"/>
        </w:rPr>
        <w:t>Air - Temperature, Pressure and Density.</w:t>
      </w:r>
      <w:r w:rsidRPr="00E66591">
        <w:rPr>
          <w:rFonts w:ascii="Verdana" w:hAnsi="Verdana"/>
          <w:color w:val="000000"/>
          <w:sz w:val="20"/>
          <w:szCs w:val="20"/>
        </w:rPr>
        <w:t> Available: https://www.engineeringtoolbox.com/air-temperature-pressure-density-d_771.html. Last accessed 4th Dec 2017.</w:t>
      </w:r>
    </w:p>
    <w:p w:rsidR="00E66591" w:rsidRDefault="00E66591" w:rsidP="00E66591">
      <w:pPr>
        <w:ind w:left="360"/>
        <w:rPr>
          <w:rFonts w:ascii="Verdana" w:hAnsi="Verdana"/>
          <w:color w:val="000000"/>
          <w:sz w:val="20"/>
          <w:szCs w:val="20"/>
        </w:rPr>
      </w:pPr>
      <w:r>
        <w:rPr>
          <w:rFonts w:ascii="Verdana" w:hAnsi="Verdana"/>
          <w:color w:val="000000"/>
          <w:sz w:val="20"/>
          <w:szCs w:val="20"/>
        </w:rPr>
        <w:t>(3)</w:t>
      </w:r>
      <w:r w:rsidRPr="00E66591">
        <w:rPr>
          <w:rFonts w:ascii="Verdana" w:hAnsi="Verdana"/>
          <w:color w:val="000000"/>
          <w:sz w:val="20"/>
          <w:szCs w:val="20"/>
        </w:rPr>
        <w:t xml:space="preserve"> </w:t>
      </w:r>
      <w:r>
        <w:rPr>
          <w:rFonts w:ascii="Verdana" w:hAnsi="Verdana"/>
          <w:color w:val="000000"/>
          <w:sz w:val="20"/>
          <w:szCs w:val="20"/>
        </w:rPr>
        <w:t>Soft schools. (2017). </w:t>
      </w:r>
      <w:r>
        <w:rPr>
          <w:rFonts w:ascii="Verdana" w:hAnsi="Verdana"/>
          <w:i/>
          <w:iCs/>
          <w:color w:val="000000"/>
          <w:sz w:val="20"/>
          <w:szCs w:val="20"/>
        </w:rPr>
        <w:t>Air Resistance Formula.</w:t>
      </w:r>
      <w:r>
        <w:rPr>
          <w:rFonts w:ascii="Verdana" w:hAnsi="Verdana"/>
          <w:color w:val="000000"/>
          <w:sz w:val="20"/>
          <w:szCs w:val="20"/>
        </w:rPr>
        <w:t> Available: http://www.softschools.com/formulas/physics/air_resistance_formula/85/. Last accessed 5th Dec 2017.</w:t>
      </w:r>
    </w:p>
    <w:p w:rsidR="00765BFB" w:rsidRDefault="00765BFB" w:rsidP="00E66591">
      <w:pPr>
        <w:ind w:left="360"/>
        <w:rPr>
          <w:rFonts w:ascii="Verdana" w:hAnsi="Verdana"/>
          <w:color w:val="000000"/>
          <w:sz w:val="20"/>
          <w:szCs w:val="20"/>
        </w:rPr>
      </w:pPr>
      <w:r>
        <w:rPr>
          <w:rFonts w:ascii="Verdana" w:hAnsi="Verdana"/>
          <w:color w:val="000000"/>
          <w:sz w:val="20"/>
          <w:szCs w:val="20"/>
        </w:rPr>
        <w:t>(4)</w:t>
      </w:r>
      <w:r w:rsidRPr="00765BFB">
        <w:rPr>
          <w:rFonts w:ascii="Verdana" w:hAnsi="Verdana"/>
          <w:color w:val="000000"/>
          <w:sz w:val="20"/>
          <w:szCs w:val="20"/>
        </w:rPr>
        <w:t xml:space="preserve"> </w:t>
      </w:r>
      <w:r>
        <w:rPr>
          <w:rFonts w:ascii="Verdana" w:hAnsi="Verdana"/>
          <w:color w:val="000000"/>
          <w:sz w:val="20"/>
          <w:szCs w:val="20"/>
        </w:rPr>
        <w:t>Blitz world. (3017). </w:t>
      </w:r>
      <w:r>
        <w:rPr>
          <w:rFonts w:ascii="Verdana" w:hAnsi="Verdana"/>
          <w:i/>
          <w:iCs/>
          <w:color w:val="000000"/>
          <w:sz w:val="20"/>
          <w:szCs w:val="20"/>
        </w:rPr>
        <w:t>POLARIS Hammerhead GTS 150cc USA spec Platinum.</w:t>
      </w:r>
      <w:r>
        <w:rPr>
          <w:rFonts w:ascii="Verdana" w:hAnsi="Verdana"/>
          <w:color w:val="000000"/>
          <w:sz w:val="20"/>
          <w:szCs w:val="20"/>
        </w:rPr>
        <w:t> Available: http://www.blitzworld.co.uk/hammerhead-plat-i2325.html. Last accessed 3rd Dec 2017.</w:t>
      </w:r>
    </w:p>
    <w:p w:rsidR="00765BFB" w:rsidRPr="00E66591" w:rsidRDefault="00765BFB" w:rsidP="00E66591">
      <w:pPr>
        <w:ind w:left="360"/>
      </w:pPr>
      <w:r>
        <w:rPr>
          <w:rFonts w:ascii="Verdana" w:hAnsi="Verdana"/>
          <w:color w:val="000000"/>
          <w:sz w:val="20"/>
          <w:szCs w:val="20"/>
        </w:rPr>
        <w:t>(5)</w:t>
      </w:r>
      <w:r w:rsidRPr="00765BFB">
        <w:rPr>
          <w:rFonts w:ascii="Verdana" w:hAnsi="Verdana"/>
          <w:color w:val="000000"/>
          <w:sz w:val="20"/>
          <w:szCs w:val="20"/>
        </w:rPr>
        <w:t xml:space="preserve"> </w:t>
      </w:r>
      <w:r>
        <w:rPr>
          <w:rFonts w:ascii="Verdana" w:hAnsi="Verdana"/>
          <w:color w:val="000000"/>
          <w:sz w:val="20"/>
          <w:szCs w:val="20"/>
        </w:rPr>
        <w:t>Unavailable. (2017). </w:t>
      </w:r>
      <w:r>
        <w:rPr>
          <w:rFonts w:ascii="Verdana" w:hAnsi="Verdana"/>
          <w:i/>
          <w:iCs/>
          <w:color w:val="000000"/>
          <w:sz w:val="20"/>
          <w:szCs w:val="20"/>
        </w:rPr>
        <w:t>Car Performance Formulas.</w:t>
      </w:r>
      <w:r>
        <w:rPr>
          <w:rFonts w:ascii="Verdana" w:hAnsi="Verdana"/>
          <w:color w:val="000000"/>
          <w:sz w:val="20"/>
          <w:szCs w:val="20"/>
        </w:rPr>
        <w:t> Available: http://www.thecartech.com/subjects/auto_eng/car_performance_formulas.htm. Last accessed 4th Dec 2017.</w:t>
      </w:r>
    </w:p>
    <w:p w:rsidR="00474099" w:rsidRPr="00B04601" w:rsidRDefault="00474099" w:rsidP="00E66591"/>
    <w:sectPr w:rsidR="00474099" w:rsidRPr="00B04601" w:rsidSect="00765B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104C0"/>
    <w:multiLevelType w:val="hybridMultilevel"/>
    <w:tmpl w:val="1A940EB4"/>
    <w:lvl w:ilvl="0" w:tplc="5F664C06">
      <w:start w:val="1"/>
      <w:numFmt w:val="decimal"/>
      <w:lvlText w:val="(%1)"/>
      <w:lvlJc w:val="left"/>
      <w:pPr>
        <w:ind w:left="720" w:hanging="360"/>
      </w:pPr>
      <w:rPr>
        <w:rFonts w:ascii="Verdana" w:hAnsi="Verdana"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700"/>
    <w:rsid w:val="00056E06"/>
    <w:rsid w:val="000A350B"/>
    <w:rsid w:val="000D4B3D"/>
    <w:rsid w:val="00183854"/>
    <w:rsid w:val="0022011D"/>
    <w:rsid w:val="00402722"/>
    <w:rsid w:val="00474099"/>
    <w:rsid w:val="00646E73"/>
    <w:rsid w:val="006D1762"/>
    <w:rsid w:val="006F63A0"/>
    <w:rsid w:val="00765BFB"/>
    <w:rsid w:val="00953022"/>
    <w:rsid w:val="009B420E"/>
    <w:rsid w:val="00A606B3"/>
    <w:rsid w:val="00AF4F3A"/>
    <w:rsid w:val="00B04601"/>
    <w:rsid w:val="00B7381F"/>
    <w:rsid w:val="00B92700"/>
    <w:rsid w:val="00C13082"/>
    <w:rsid w:val="00E66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D4EE1"/>
  <w15:docId w15:val="{E6E8C5F5-9CF4-4A13-A11C-FAC70C172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176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D17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D176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420E"/>
    <w:rPr>
      <w:color w:val="0000FF" w:themeColor="hyperlink"/>
      <w:u w:val="single"/>
    </w:rPr>
  </w:style>
  <w:style w:type="character" w:customStyle="1" w:styleId="Heading1Char">
    <w:name w:val="Heading 1 Char"/>
    <w:basedOn w:val="DefaultParagraphFont"/>
    <w:link w:val="Heading1"/>
    <w:uiPriority w:val="9"/>
    <w:rsid w:val="006D176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D176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D1762"/>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E66591"/>
    <w:pPr>
      <w:ind w:left="720"/>
      <w:contextualSpacing/>
    </w:pPr>
  </w:style>
  <w:style w:type="paragraph" w:styleId="NoSpacing">
    <w:name w:val="No Spacing"/>
    <w:link w:val="NoSpacingChar"/>
    <w:uiPriority w:val="1"/>
    <w:qFormat/>
    <w:rsid w:val="00765B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5BFB"/>
    <w:rPr>
      <w:rFonts w:eastAsiaTheme="minorEastAsia"/>
      <w:lang w:val="en-US"/>
    </w:rPr>
  </w:style>
  <w:style w:type="paragraph" w:styleId="TOCHeading">
    <w:name w:val="TOC Heading"/>
    <w:basedOn w:val="Heading1"/>
    <w:next w:val="Normal"/>
    <w:uiPriority w:val="39"/>
    <w:unhideWhenUsed/>
    <w:qFormat/>
    <w:rsid w:val="00765BFB"/>
    <w:pPr>
      <w:spacing w:line="259" w:lineRule="auto"/>
      <w:outlineLvl w:val="9"/>
    </w:pPr>
    <w:rPr>
      <w:lang w:val="en-US"/>
    </w:rPr>
  </w:style>
  <w:style w:type="paragraph" w:styleId="TOC1">
    <w:name w:val="toc 1"/>
    <w:basedOn w:val="Normal"/>
    <w:next w:val="Normal"/>
    <w:autoRedefine/>
    <w:uiPriority w:val="39"/>
    <w:unhideWhenUsed/>
    <w:rsid w:val="00765BFB"/>
    <w:pPr>
      <w:spacing w:after="100"/>
    </w:pPr>
  </w:style>
  <w:style w:type="paragraph" w:styleId="TOC2">
    <w:name w:val="toc 2"/>
    <w:basedOn w:val="Normal"/>
    <w:next w:val="Normal"/>
    <w:autoRedefine/>
    <w:uiPriority w:val="39"/>
    <w:unhideWhenUsed/>
    <w:rsid w:val="00765BFB"/>
    <w:pPr>
      <w:spacing w:after="100"/>
      <w:ind w:left="220"/>
    </w:pPr>
  </w:style>
  <w:style w:type="paragraph" w:styleId="TOC3">
    <w:name w:val="toc 3"/>
    <w:basedOn w:val="Normal"/>
    <w:next w:val="Normal"/>
    <w:autoRedefine/>
    <w:uiPriority w:val="39"/>
    <w:unhideWhenUsed/>
    <w:rsid w:val="00765BF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09893">
      <w:bodyDiv w:val="1"/>
      <w:marLeft w:val="0"/>
      <w:marRight w:val="0"/>
      <w:marTop w:val="0"/>
      <w:marBottom w:val="0"/>
      <w:divBdr>
        <w:top w:val="none" w:sz="0" w:space="0" w:color="auto"/>
        <w:left w:val="none" w:sz="0" w:space="0" w:color="auto"/>
        <w:bottom w:val="none" w:sz="0" w:space="0" w:color="auto"/>
        <w:right w:val="none" w:sz="0" w:space="0" w:color="auto"/>
      </w:divBdr>
    </w:div>
    <w:div w:id="1363243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numbering" Target="numbering.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5.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styles" Target="style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1"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oleObject" Target="file:///C:\Users\P143871\Downloads\Untitled%20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4.bin"/></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1" Type="http://schemas.openxmlformats.org/officeDocument/2006/relationships/oleObject" Target="../embeddings/oleObject6.bin"/></Relationships>
</file>

<file path=word/charts/_rels/chart8.xml.rels><?xml version="1.0" encoding="UTF-8" standalone="yes"?>
<Relationships xmlns="http://schemas.openxmlformats.org/package/2006/relationships"><Relationship Id="rId1" Type="http://schemas.openxmlformats.org/officeDocument/2006/relationships/oleObject" Target="file:///C:\Users\P143871\Downloads\Untitled%20spr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pPr>
            <a:r>
              <a:rPr lang="en-GB"/>
              <a:t>Duty Cycle</a:t>
            </a:r>
          </a:p>
        </c:rich>
      </c:tx>
      <c:overlay val="0"/>
    </c:title>
    <c:autoTitleDeleted val="0"/>
    <c:plotArea>
      <c:layout/>
      <c:lineChart>
        <c:grouping val="standard"/>
        <c:varyColors val="0"/>
        <c:ser>
          <c:idx val="0"/>
          <c:order val="0"/>
          <c:tx>
            <c:strRef>
              <c:f>'[Untitled spreadsheet.xlsx]Sheet1'!$D$1</c:f>
              <c:strCache>
                <c:ptCount val="1"/>
                <c:pt idx="0">
                  <c:v>Velocity (M/s)</c:v>
                </c:pt>
              </c:strCache>
            </c:strRef>
          </c:tx>
          <c:spPr>
            <a:ln w="19050" cmpd="sng">
              <a:solidFill>
                <a:srgbClr val="3366CC"/>
              </a:solidFill>
            </a:ln>
          </c:spPr>
          <c:marker>
            <c:symbol val="none"/>
          </c:marker>
          <c:cat>
            <c:numRef>
              <c:f>'[Untitled spreadsheet.xlsx]Sheet1'!$B$3:$B$26</c:f>
              <c:numCache>
                <c:formatCode>General</c:formatCode>
                <c:ptCount val="24"/>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pt idx="17">
                  <c:v>90</c:v>
                </c:pt>
                <c:pt idx="18">
                  <c:v>95</c:v>
                </c:pt>
                <c:pt idx="19">
                  <c:v>100</c:v>
                </c:pt>
                <c:pt idx="20">
                  <c:v>105</c:v>
                </c:pt>
                <c:pt idx="21">
                  <c:v>110</c:v>
                </c:pt>
                <c:pt idx="22">
                  <c:v>115</c:v>
                </c:pt>
                <c:pt idx="23">
                  <c:v>120</c:v>
                </c:pt>
              </c:numCache>
            </c:numRef>
          </c:cat>
          <c:val>
            <c:numRef>
              <c:f>'[Untitled spreadsheet.xlsx]Sheet1'!$D$2:$D$26</c:f>
              <c:numCache>
                <c:formatCode>General</c:formatCode>
                <c:ptCount val="25"/>
                <c:pt idx="0">
                  <c:v>0</c:v>
                </c:pt>
                <c:pt idx="1">
                  <c:v>5</c:v>
                </c:pt>
                <c:pt idx="2">
                  <c:v>6</c:v>
                </c:pt>
                <c:pt idx="3">
                  <c:v>6</c:v>
                </c:pt>
                <c:pt idx="4">
                  <c:v>5</c:v>
                </c:pt>
                <c:pt idx="5">
                  <c:v>5</c:v>
                </c:pt>
                <c:pt idx="6">
                  <c:v>5</c:v>
                </c:pt>
                <c:pt idx="7">
                  <c:v>4</c:v>
                </c:pt>
                <c:pt idx="8">
                  <c:v>4</c:v>
                </c:pt>
                <c:pt idx="9">
                  <c:v>4</c:v>
                </c:pt>
                <c:pt idx="10">
                  <c:v>4</c:v>
                </c:pt>
                <c:pt idx="11">
                  <c:v>4</c:v>
                </c:pt>
                <c:pt idx="12">
                  <c:v>5</c:v>
                </c:pt>
                <c:pt idx="13">
                  <c:v>5</c:v>
                </c:pt>
                <c:pt idx="14">
                  <c:v>5</c:v>
                </c:pt>
                <c:pt idx="15">
                  <c:v>5</c:v>
                </c:pt>
                <c:pt idx="16">
                  <c:v>5</c:v>
                </c:pt>
                <c:pt idx="17">
                  <c:v>5</c:v>
                </c:pt>
                <c:pt idx="18">
                  <c:v>5</c:v>
                </c:pt>
                <c:pt idx="19">
                  <c:v>5</c:v>
                </c:pt>
                <c:pt idx="20">
                  <c:v>5</c:v>
                </c:pt>
                <c:pt idx="21">
                  <c:v>9</c:v>
                </c:pt>
                <c:pt idx="22">
                  <c:v>9</c:v>
                </c:pt>
                <c:pt idx="23">
                  <c:v>5</c:v>
                </c:pt>
                <c:pt idx="24">
                  <c:v>0</c:v>
                </c:pt>
              </c:numCache>
            </c:numRef>
          </c:val>
          <c:smooth val="0"/>
          <c:extLst>
            <c:ext xmlns:c16="http://schemas.microsoft.com/office/drawing/2014/chart" uri="{C3380CC4-5D6E-409C-BE32-E72D297353CC}">
              <c16:uniqueId val="{00000000-C7CE-4ABA-BDAE-01AA9081D5CF}"/>
            </c:ext>
          </c:extLst>
        </c:ser>
        <c:dLbls>
          <c:showLegendKey val="0"/>
          <c:showVal val="0"/>
          <c:showCatName val="0"/>
          <c:showSerName val="0"/>
          <c:showPercent val="0"/>
          <c:showBubbleSize val="0"/>
        </c:dLbls>
        <c:smooth val="0"/>
        <c:axId val="1486378192"/>
        <c:axId val="805076374"/>
      </c:lineChart>
      <c:catAx>
        <c:axId val="1486378192"/>
        <c:scaling>
          <c:orientation val="minMax"/>
        </c:scaling>
        <c:delete val="0"/>
        <c:axPos val="b"/>
        <c:title>
          <c:tx>
            <c:rich>
              <a:bodyPr/>
              <a:lstStyle/>
              <a:p>
                <a:pPr lvl="0">
                  <a:defRPr b="0"/>
                </a:pPr>
                <a:r>
                  <a:rPr lang="en-GB"/>
                  <a:t>Time (S)</a:t>
                </a:r>
              </a:p>
            </c:rich>
          </c:tx>
          <c:overlay val="0"/>
        </c:title>
        <c:numFmt formatCode="General" sourceLinked="1"/>
        <c:majorTickMark val="cross"/>
        <c:minorTickMark val="cross"/>
        <c:tickLblPos val="nextTo"/>
        <c:txPr>
          <a:bodyPr/>
          <a:lstStyle/>
          <a:p>
            <a:pPr lvl="0">
              <a:defRPr b="0"/>
            </a:pPr>
            <a:endParaRPr lang="en-US"/>
          </a:p>
        </c:txPr>
        <c:crossAx val="805076374"/>
        <c:crosses val="autoZero"/>
        <c:auto val="1"/>
        <c:lblAlgn val="ctr"/>
        <c:lblOffset val="100"/>
        <c:noMultiLvlLbl val="1"/>
      </c:catAx>
      <c:valAx>
        <c:axId val="805076374"/>
        <c:scaling>
          <c:orientation val="minMax"/>
        </c:scaling>
        <c:delete val="0"/>
        <c:axPos val="l"/>
        <c:majorGridlines>
          <c:spPr>
            <a:ln>
              <a:solidFill>
                <a:srgbClr val="B7B7B7"/>
              </a:solidFill>
            </a:ln>
          </c:spPr>
        </c:majorGridlines>
        <c:numFmt formatCode="General" sourceLinked="1"/>
        <c:majorTickMark val="cross"/>
        <c:minorTickMark val="cross"/>
        <c:tickLblPos val="nextTo"/>
        <c:spPr>
          <a:ln w="47625">
            <a:noFill/>
          </a:ln>
        </c:spPr>
        <c:txPr>
          <a:bodyPr/>
          <a:lstStyle/>
          <a:p>
            <a:pPr lvl="0">
              <a:defRPr b="0"/>
            </a:pPr>
            <a:endParaRPr lang="en-US"/>
          </a:p>
        </c:txPr>
        <c:crossAx val="1486378192"/>
        <c:crosses val="autoZero"/>
        <c:crossBetween val="between"/>
      </c:valAx>
    </c:plotArea>
    <c:legend>
      <c:legendPos val="r"/>
      <c:overlay val="0"/>
    </c:legend>
    <c:plotVisOnly val="1"/>
    <c:dispBlanksAs val="zero"/>
    <c:showDLblsOverMax val="1"/>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pPr>
            <a:r>
              <a:rPr lang="en-GB"/>
              <a:t>Gradient (RAD)</a:t>
            </a:r>
          </a:p>
        </c:rich>
      </c:tx>
      <c:overlay val="0"/>
    </c:title>
    <c:autoTitleDeleted val="0"/>
    <c:plotArea>
      <c:layout/>
      <c:lineChart>
        <c:grouping val="standard"/>
        <c:varyColors val="0"/>
        <c:ser>
          <c:idx val="0"/>
          <c:order val="0"/>
          <c:tx>
            <c:strRef>
              <c:f>'[Untitled spreadsheet.xlsx]Sheet1'!$H$1</c:f>
              <c:strCache>
                <c:ptCount val="1"/>
                <c:pt idx="0">
                  <c:v>Gradient (RAD)</c:v>
                </c:pt>
              </c:strCache>
            </c:strRef>
          </c:tx>
          <c:spPr>
            <a:ln w="19050" cmpd="sng">
              <a:solidFill>
                <a:srgbClr val="3366CC"/>
              </a:solidFill>
            </a:ln>
          </c:spPr>
          <c:marker>
            <c:symbol val="none"/>
          </c:marker>
          <c:cat>
            <c:numRef>
              <c:f>'[Untitled spreadsheet.xlsx]Sheet1'!$B$3:$B$26</c:f>
              <c:numCache>
                <c:formatCode>General</c:formatCode>
                <c:ptCount val="24"/>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pt idx="17">
                  <c:v>90</c:v>
                </c:pt>
                <c:pt idx="18">
                  <c:v>95</c:v>
                </c:pt>
                <c:pt idx="19">
                  <c:v>100</c:v>
                </c:pt>
                <c:pt idx="20">
                  <c:v>105</c:v>
                </c:pt>
                <c:pt idx="21">
                  <c:v>110</c:v>
                </c:pt>
                <c:pt idx="22">
                  <c:v>115</c:v>
                </c:pt>
                <c:pt idx="23">
                  <c:v>120</c:v>
                </c:pt>
              </c:numCache>
            </c:numRef>
          </c:cat>
          <c:val>
            <c:numRef>
              <c:f>'[Untitled spreadsheet.xlsx]Sheet1'!$H$2:$H$26</c:f>
              <c:numCache>
                <c:formatCode>General</c:formatCode>
                <c:ptCount val="25"/>
                <c:pt idx="0">
                  <c:v>0</c:v>
                </c:pt>
                <c:pt idx="1">
                  <c:v>0</c:v>
                </c:pt>
                <c:pt idx="2">
                  <c:v>3.4000000000000002E-2</c:v>
                </c:pt>
                <c:pt idx="3">
                  <c:v>5.1000000000000004E-2</c:v>
                </c:pt>
                <c:pt idx="4">
                  <c:v>8.5000000000000006E-2</c:v>
                </c:pt>
                <c:pt idx="5">
                  <c:v>0</c:v>
                </c:pt>
                <c:pt idx="6">
                  <c:v>0</c:v>
                </c:pt>
                <c:pt idx="7">
                  <c:v>0</c:v>
                </c:pt>
                <c:pt idx="8">
                  <c:v>-3.4000000000000002E-2</c:v>
                </c:pt>
                <c:pt idx="9">
                  <c:v>-6.8000000000000005E-2</c:v>
                </c:pt>
                <c:pt idx="10">
                  <c:v>-3.4000000000000002E-2</c:v>
                </c:pt>
                <c:pt idx="11">
                  <c:v>-3.4000000000000002E-2</c:v>
                </c:pt>
                <c:pt idx="12">
                  <c:v>0</c:v>
                </c:pt>
                <c:pt idx="13">
                  <c:v>3.4000000000000002E-2</c:v>
                </c:pt>
                <c:pt idx="14">
                  <c:v>6.8000000000000005E-2</c:v>
                </c:pt>
                <c:pt idx="15">
                  <c:v>8.5000000000000006E-2</c:v>
                </c:pt>
                <c:pt idx="16">
                  <c:v>0</c:v>
                </c:pt>
                <c:pt idx="17">
                  <c:v>0</c:v>
                </c:pt>
                <c:pt idx="18">
                  <c:v>3.4000000000000002E-2</c:v>
                </c:pt>
                <c:pt idx="19">
                  <c:v>5.1000000000000004E-2</c:v>
                </c:pt>
                <c:pt idx="20">
                  <c:v>8.5000000000000006E-2</c:v>
                </c:pt>
                <c:pt idx="21">
                  <c:v>0</c:v>
                </c:pt>
                <c:pt idx="22">
                  <c:v>0</c:v>
                </c:pt>
                <c:pt idx="23">
                  <c:v>0</c:v>
                </c:pt>
                <c:pt idx="24">
                  <c:v>0</c:v>
                </c:pt>
              </c:numCache>
            </c:numRef>
          </c:val>
          <c:smooth val="0"/>
          <c:extLst>
            <c:ext xmlns:c16="http://schemas.microsoft.com/office/drawing/2014/chart" uri="{C3380CC4-5D6E-409C-BE32-E72D297353CC}">
              <c16:uniqueId val="{00000000-017C-4C14-AFB9-EEA474526DA1}"/>
            </c:ext>
          </c:extLst>
        </c:ser>
        <c:dLbls>
          <c:showLegendKey val="0"/>
          <c:showVal val="0"/>
          <c:showCatName val="0"/>
          <c:showSerName val="0"/>
          <c:showPercent val="0"/>
          <c:showBubbleSize val="0"/>
        </c:dLbls>
        <c:smooth val="0"/>
        <c:axId val="503396295"/>
        <c:axId val="1660039238"/>
      </c:lineChart>
      <c:catAx>
        <c:axId val="503396295"/>
        <c:scaling>
          <c:orientation val="minMax"/>
        </c:scaling>
        <c:delete val="0"/>
        <c:axPos val="b"/>
        <c:title>
          <c:tx>
            <c:rich>
              <a:bodyPr/>
              <a:lstStyle/>
              <a:p>
                <a:pPr lvl="0">
                  <a:defRPr b="0"/>
                </a:pPr>
                <a:r>
                  <a:rPr lang="en-GB"/>
                  <a:t>Time (s)</a:t>
                </a:r>
              </a:p>
            </c:rich>
          </c:tx>
          <c:overlay val="0"/>
        </c:title>
        <c:numFmt formatCode="General" sourceLinked="1"/>
        <c:majorTickMark val="cross"/>
        <c:minorTickMark val="cross"/>
        <c:tickLblPos val="nextTo"/>
        <c:txPr>
          <a:bodyPr/>
          <a:lstStyle/>
          <a:p>
            <a:pPr lvl="0">
              <a:defRPr b="0"/>
            </a:pPr>
            <a:endParaRPr lang="en-US"/>
          </a:p>
        </c:txPr>
        <c:crossAx val="1660039238"/>
        <c:crosses val="autoZero"/>
        <c:auto val="1"/>
        <c:lblAlgn val="ctr"/>
        <c:lblOffset val="100"/>
        <c:noMultiLvlLbl val="1"/>
      </c:catAx>
      <c:valAx>
        <c:axId val="1660039238"/>
        <c:scaling>
          <c:orientation val="minMax"/>
        </c:scaling>
        <c:delete val="0"/>
        <c:axPos val="l"/>
        <c:majorGridlines>
          <c:spPr>
            <a:ln>
              <a:solidFill>
                <a:srgbClr val="B7B7B7"/>
              </a:solidFill>
            </a:ln>
          </c:spPr>
        </c:majorGridlines>
        <c:title>
          <c:tx>
            <c:rich>
              <a:bodyPr/>
              <a:lstStyle/>
              <a:p>
                <a:pPr lvl="0">
                  <a:defRPr b="0"/>
                </a:pPr>
                <a:r>
                  <a:rPr lang="en-GB"/>
                  <a:t>Gradient (RAD)</a:t>
                </a:r>
              </a:p>
            </c:rich>
          </c:tx>
          <c:overlay val="0"/>
        </c:title>
        <c:numFmt formatCode="General" sourceLinked="1"/>
        <c:majorTickMark val="cross"/>
        <c:minorTickMark val="cross"/>
        <c:tickLblPos val="nextTo"/>
        <c:spPr>
          <a:ln w="47625">
            <a:noFill/>
          </a:ln>
        </c:spPr>
        <c:txPr>
          <a:bodyPr/>
          <a:lstStyle/>
          <a:p>
            <a:pPr lvl="0">
              <a:defRPr b="0"/>
            </a:pPr>
            <a:endParaRPr lang="en-US"/>
          </a:p>
        </c:txPr>
        <c:crossAx val="503396295"/>
        <c:crosses val="autoZero"/>
        <c:crossBetween val="between"/>
      </c:valAx>
    </c:plotArea>
    <c:legend>
      <c:legendPos val="r"/>
      <c:overlay val="0"/>
    </c:legend>
    <c:plotVisOnly val="1"/>
    <c:dispBlanksAs val="zero"/>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pPr>
            <a:r>
              <a:rPr lang="en-GB"/>
              <a:t>Gradient Resistance(N)</a:t>
            </a:r>
          </a:p>
        </c:rich>
      </c:tx>
      <c:overlay val="0"/>
    </c:title>
    <c:autoTitleDeleted val="0"/>
    <c:plotArea>
      <c:layout/>
      <c:lineChart>
        <c:grouping val="standard"/>
        <c:varyColors val="0"/>
        <c:ser>
          <c:idx val="0"/>
          <c:order val="0"/>
          <c:tx>
            <c:strRef>
              <c:f>'[Untitled spreadsheet.xlsx]Sheet1'!$I$1</c:f>
              <c:strCache>
                <c:ptCount val="1"/>
                <c:pt idx="0">
                  <c:v>Gradient Resistance(N)</c:v>
                </c:pt>
              </c:strCache>
            </c:strRef>
          </c:tx>
          <c:spPr>
            <a:ln w="19050" cmpd="sng">
              <a:solidFill>
                <a:srgbClr val="3366CC"/>
              </a:solidFill>
            </a:ln>
          </c:spPr>
          <c:marker>
            <c:symbol val="none"/>
          </c:marker>
          <c:cat>
            <c:numRef>
              <c:f>'[Untitled spreadsheet.xlsx]Sheet1'!$B$3:$B$26</c:f>
              <c:numCache>
                <c:formatCode>General</c:formatCode>
                <c:ptCount val="24"/>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pt idx="17">
                  <c:v>90</c:v>
                </c:pt>
                <c:pt idx="18">
                  <c:v>95</c:v>
                </c:pt>
                <c:pt idx="19">
                  <c:v>100</c:v>
                </c:pt>
                <c:pt idx="20">
                  <c:v>105</c:v>
                </c:pt>
                <c:pt idx="21">
                  <c:v>110</c:v>
                </c:pt>
                <c:pt idx="22">
                  <c:v>115</c:v>
                </c:pt>
                <c:pt idx="23">
                  <c:v>120</c:v>
                </c:pt>
              </c:numCache>
            </c:numRef>
          </c:cat>
          <c:val>
            <c:numRef>
              <c:f>'[Untitled spreadsheet.xlsx]Sheet1'!$I$2:$I$26</c:f>
              <c:numCache>
                <c:formatCode>General</c:formatCode>
                <c:ptCount val="25"/>
                <c:pt idx="0">
                  <c:v>0</c:v>
                </c:pt>
                <c:pt idx="1">
                  <c:v>0</c:v>
                </c:pt>
                <c:pt idx="2">
                  <c:v>77.899933255103335</c:v>
                </c:pt>
                <c:pt idx="3">
                  <c:v>116.82175839613419</c:v>
                </c:pt>
                <c:pt idx="4">
                  <c:v>194.5528882729414</c:v>
                </c:pt>
                <c:pt idx="5">
                  <c:v>0</c:v>
                </c:pt>
                <c:pt idx="6">
                  <c:v>0</c:v>
                </c:pt>
                <c:pt idx="7">
                  <c:v>0</c:v>
                </c:pt>
                <c:pt idx="8">
                  <c:v>-77.899933255103335</c:v>
                </c:pt>
                <c:pt idx="9">
                  <c:v>-155.70982286206993</c:v>
                </c:pt>
                <c:pt idx="10">
                  <c:v>-77.899933255103335</c:v>
                </c:pt>
                <c:pt idx="11">
                  <c:v>-77.899933255103335</c:v>
                </c:pt>
                <c:pt idx="12">
                  <c:v>0</c:v>
                </c:pt>
                <c:pt idx="13">
                  <c:v>77.899933255103335</c:v>
                </c:pt>
                <c:pt idx="14">
                  <c:v>155.70982286206993</c:v>
                </c:pt>
                <c:pt idx="15">
                  <c:v>194.5528882729414</c:v>
                </c:pt>
                <c:pt idx="16">
                  <c:v>0</c:v>
                </c:pt>
                <c:pt idx="17">
                  <c:v>0</c:v>
                </c:pt>
                <c:pt idx="18">
                  <c:v>77.899933255103335</c:v>
                </c:pt>
                <c:pt idx="19">
                  <c:v>116.82175839613419</c:v>
                </c:pt>
                <c:pt idx="20">
                  <c:v>194.5528882729414</c:v>
                </c:pt>
                <c:pt idx="21">
                  <c:v>0</c:v>
                </c:pt>
                <c:pt idx="22">
                  <c:v>0</c:v>
                </c:pt>
                <c:pt idx="23">
                  <c:v>0</c:v>
                </c:pt>
                <c:pt idx="24">
                  <c:v>0</c:v>
                </c:pt>
              </c:numCache>
            </c:numRef>
          </c:val>
          <c:smooth val="0"/>
          <c:extLst>
            <c:ext xmlns:c16="http://schemas.microsoft.com/office/drawing/2014/chart" uri="{C3380CC4-5D6E-409C-BE32-E72D297353CC}">
              <c16:uniqueId val="{00000000-148B-491F-8B66-909ADC4033C6}"/>
            </c:ext>
          </c:extLst>
        </c:ser>
        <c:dLbls>
          <c:showLegendKey val="0"/>
          <c:showVal val="0"/>
          <c:showCatName val="0"/>
          <c:showSerName val="0"/>
          <c:showPercent val="0"/>
          <c:showBubbleSize val="0"/>
        </c:dLbls>
        <c:smooth val="0"/>
        <c:axId val="2092131987"/>
        <c:axId val="1459232821"/>
      </c:lineChart>
      <c:catAx>
        <c:axId val="2092131987"/>
        <c:scaling>
          <c:orientation val="minMax"/>
        </c:scaling>
        <c:delete val="0"/>
        <c:axPos val="b"/>
        <c:title>
          <c:tx>
            <c:rich>
              <a:bodyPr/>
              <a:lstStyle/>
              <a:p>
                <a:pPr lvl="0">
                  <a:defRPr b="0"/>
                </a:pPr>
                <a:r>
                  <a:rPr lang="en-GB"/>
                  <a:t>Time(s)</a:t>
                </a:r>
              </a:p>
            </c:rich>
          </c:tx>
          <c:overlay val="0"/>
        </c:title>
        <c:numFmt formatCode="General" sourceLinked="1"/>
        <c:majorTickMark val="cross"/>
        <c:minorTickMark val="cross"/>
        <c:tickLblPos val="nextTo"/>
        <c:txPr>
          <a:bodyPr/>
          <a:lstStyle/>
          <a:p>
            <a:pPr lvl="0">
              <a:defRPr b="0"/>
            </a:pPr>
            <a:endParaRPr lang="en-US"/>
          </a:p>
        </c:txPr>
        <c:crossAx val="1459232821"/>
        <c:crosses val="autoZero"/>
        <c:auto val="1"/>
        <c:lblAlgn val="ctr"/>
        <c:lblOffset val="100"/>
        <c:noMultiLvlLbl val="1"/>
      </c:catAx>
      <c:valAx>
        <c:axId val="1459232821"/>
        <c:scaling>
          <c:orientation val="minMax"/>
        </c:scaling>
        <c:delete val="0"/>
        <c:axPos val="l"/>
        <c:majorGridlines>
          <c:spPr>
            <a:ln>
              <a:solidFill>
                <a:srgbClr val="B7B7B7"/>
              </a:solidFill>
            </a:ln>
          </c:spPr>
        </c:majorGridlines>
        <c:title>
          <c:tx>
            <c:rich>
              <a:bodyPr/>
              <a:lstStyle/>
              <a:p>
                <a:pPr lvl="0">
                  <a:defRPr b="0"/>
                </a:pPr>
                <a:r>
                  <a:rPr lang="en-GB"/>
                  <a:t>Gradient Resistance(N)</a:t>
                </a:r>
              </a:p>
            </c:rich>
          </c:tx>
          <c:overlay val="0"/>
        </c:title>
        <c:numFmt formatCode="General" sourceLinked="1"/>
        <c:majorTickMark val="cross"/>
        <c:minorTickMark val="cross"/>
        <c:tickLblPos val="nextTo"/>
        <c:spPr>
          <a:ln w="47625">
            <a:noFill/>
          </a:ln>
        </c:spPr>
        <c:txPr>
          <a:bodyPr/>
          <a:lstStyle/>
          <a:p>
            <a:pPr lvl="0">
              <a:defRPr b="0"/>
            </a:pPr>
            <a:endParaRPr lang="en-US"/>
          </a:p>
        </c:txPr>
        <c:crossAx val="2092131987"/>
        <c:crosses val="autoZero"/>
        <c:crossBetween val="between"/>
      </c:valAx>
    </c:plotArea>
    <c:legend>
      <c:legendPos val="r"/>
      <c:overlay val="0"/>
    </c:legend>
    <c:plotVisOnly val="1"/>
    <c:dispBlanksAs val="zero"/>
    <c:showDLblsOverMax val="1"/>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Rolling resistance v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Rolling resistance</c:v>
          </c:tx>
          <c:spPr>
            <a:ln w="28575" cap="rnd">
              <a:solidFill>
                <a:schemeClr val="accent2"/>
              </a:solidFill>
              <a:round/>
            </a:ln>
            <a:effectLst/>
          </c:spPr>
          <c:marker>
            <c:symbol val="none"/>
          </c:marker>
          <c:cat>
            <c:strRef>
              <c:f>'[Untitled spreadsheet.xlsx]Sheet1'!$B$1:$B$26</c:f>
              <c:strCache>
                <c:ptCount val="26"/>
                <c:pt idx="0">
                  <c:v>Time (s)</c:v>
                </c:pt>
                <c:pt idx="1">
                  <c:v>0</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pt idx="19">
                  <c:v>90</c:v>
                </c:pt>
                <c:pt idx="20">
                  <c:v>95</c:v>
                </c:pt>
                <c:pt idx="21">
                  <c:v>100</c:v>
                </c:pt>
                <c:pt idx="22">
                  <c:v>105</c:v>
                </c:pt>
                <c:pt idx="23">
                  <c:v>110</c:v>
                </c:pt>
                <c:pt idx="24">
                  <c:v>115</c:v>
                </c:pt>
                <c:pt idx="25">
                  <c:v>120</c:v>
                </c:pt>
              </c:strCache>
            </c:strRef>
          </c:cat>
          <c:val>
            <c:numRef>
              <c:f>'[Untitled spreadsheet.xlsx]Sheet1'!$E$2:$E$26</c:f>
              <c:numCache>
                <c:formatCode>General</c:formatCode>
                <c:ptCount val="25"/>
                <c:pt idx="0">
                  <c:v>45.832320000000003</c:v>
                </c:pt>
                <c:pt idx="1">
                  <c:v>45.832320000000003</c:v>
                </c:pt>
                <c:pt idx="2">
                  <c:v>45.832320000000003</c:v>
                </c:pt>
                <c:pt idx="3">
                  <c:v>45.832320000000003</c:v>
                </c:pt>
                <c:pt idx="4">
                  <c:v>45.832320000000003</c:v>
                </c:pt>
                <c:pt idx="5">
                  <c:v>45.832320000000003</c:v>
                </c:pt>
                <c:pt idx="6">
                  <c:v>45.832320000000003</c:v>
                </c:pt>
                <c:pt idx="7">
                  <c:v>45.832320000000003</c:v>
                </c:pt>
                <c:pt idx="8">
                  <c:v>45.832320000000003</c:v>
                </c:pt>
                <c:pt idx="9">
                  <c:v>45.832320000000003</c:v>
                </c:pt>
                <c:pt idx="10">
                  <c:v>229.16159999999999</c:v>
                </c:pt>
                <c:pt idx="11">
                  <c:v>229.16159999999999</c:v>
                </c:pt>
                <c:pt idx="12">
                  <c:v>229.16159999999999</c:v>
                </c:pt>
                <c:pt idx="13">
                  <c:v>229.16159999999999</c:v>
                </c:pt>
                <c:pt idx="14">
                  <c:v>229.16159999999999</c:v>
                </c:pt>
                <c:pt idx="15">
                  <c:v>45.832320000000003</c:v>
                </c:pt>
                <c:pt idx="16">
                  <c:v>45.832320000000003</c:v>
                </c:pt>
                <c:pt idx="17">
                  <c:v>45.832320000000003</c:v>
                </c:pt>
                <c:pt idx="18">
                  <c:v>45.832320000000003</c:v>
                </c:pt>
                <c:pt idx="19">
                  <c:v>45.832320000000003</c:v>
                </c:pt>
                <c:pt idx="20">
                  <c:v>45.832320000000003</c:v>
                </c:pt>
                <c:pt idx="21">
                  <c:v>229.16159999999999</c:v>
                </c:pt>
                <c:pt idx="22">
                  <c:v>229.16159999999999</c:v>
                </c:pt>
                <c:pt idx="23">
                  <c:v>229.16159999999999</c:v>
                </c:pt>
                <c:pt idx="24">
                  <c:v>229.16159999999999</c:v>
                </c:pt>
              </c:numCache>
            </c:numRef>
          </c:val>
          <c:smooth val="0"/>
          <c:extLst>
            <c:ext xmlns:c16="http://schemas.microsoft.com/office/drawing/2014/chart" uri="{C3380CC4-5D6E-409C-BE32-E72D297353CC}">
              <c16:uniqueId val="{00000000-069E-4A66-A88D-2F8CB931CCD2}"/>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510901640"/>
        <c:axId val="510855064"/>
      </c:lineChart>
      <c:catAx>
        <c:axId val="510901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855064"/>
        <c:crosses val="autoZero"/>
        <c:auto val="1"/>
        <c:lblAlgn val="ctr"/>
        <c:lblOffset val="100"/>
        <c:noMultiLvlLbl val="0"/>
      </c:catAx>
      <c:valAx>
        <c:axId val="510855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Resitive</a:t>
                </a: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9016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pPr>
            <a:r>
              <a:rPr lang="en-GB"/>
              <a:t>Aero Resistance(N)</a:t>
            </a:r>
          </a:p>
        </c:rich>
      </c:tx>
      <c:overlay val="0"/>
    </c:title>
    <c:autoTitleDeleted val="0"/>
    <c:plotArea>
      <c:layout/>
      <c:lineChart>
        <c:grouping val="standard"/>
        <c:varyColors val="0"/>
        <c:ser>
          <c:idx val="0"/>
          <c:order val="0"/>
          <c:tx>
            <c:strRef>
              <c:f>'[Untitled spreadsheet.xlsx]Sheet1'!$F$1</c:f>
              <c:strCache>
                <c:ptCount val="1"/>
                <c:pt idx="0">
                  <c:v>Aero(N)</c:v>
                </c:pt>
              </c:strCache>
            </c:strRef>
          </c:tx>
          <c:spPr>
            <a:ln w="19050" cmpd="sng">
              <a:solidFill>
                <a:srgbClr val="3366CC"/>
              </a:solidFill>
            </a:ln>
          </c:spPr>
          <c:marker>
            <c:symbol val="none"/>
          </c:marker>
          <c:cat>
            <c:numRef>
              <c:f>'[Untitled spreadsheet.xlsx]Sheet1'!$B$3:$B$26</c:f>
              <c:numCache>
                <c:formatCode>General</c:formatCode>
                <c:ptCount val="24"/>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pt idx="17">
                  <c:v>90</c:v>
                </c:pt>
                <c:pt idx="18">
                  <c:v>95</c:v>
                </c:pt>
                <c:pt idx="19">
                  <c:v>100</c:v>
                </c:pt>
                <c:pt idx="20">
                  <c:v>105</c:v>
                </c:pt>
                <c:pt idx="21">
                  <c:v>110</c:v>
                </c:pt>
                <c:pt idx="22">
                  <c:v>115</c:v>
                </c:pt>
                <c:pt idx="23">
                  <c:v>120</c:v>
                </c:pt>
              </c:numCache>
            </c:numRef>
          </c:cat>
          <c:val>
            <c:numRef>
              <c:f>'[Untitled spreadsheet.xlsx]Sheet1'!$F$2:$F$26</c:f>
              <c:numCache>
                <c:formatCode>General</c:formatCode>
                <c:ptCount val="25"/>
                <c:pt idx="0">
                  <c:v>0</c:v>
                </c:pt>
                <c:pt idx="1">
                  <c:v>11.52375</c:v>
                </c:pt>
                <c:pt idx="2">
                  <c:v>16.594200000000001</c:v>
                </c:pt>
                <c:pt idx="3">
                  <c:v>16.594200000000001</c:v>
                </c:pt>
                <c:pt idx="4">
                  <c:v>11.52375</c:v>
                </c:pt>
                <c:pt idx="5">
                  <c:v>11.52375</c:v>
                </c:pt>
                <c:pt idx="6">
                  <c:v>11.52375</c:v>
                </c:pt>
                <c:pt idx="7">
                  <c:v>7.3751999999999995</c:v>
                </c:pt>
                <c:pt idx="8">
                  <c:v>7.3751999999999995</c:v>
                </c:pt>
                <c:pt idx="9">
                  <c:v>7.3751999999999995</c:v>
                </c:pt>
                <c:pt idx="10">
                  <c:v>7.3751999999999995</c:v>
                </c:pt>
                <c:pt idx="11">
                  <c:v>7.3751999999999995</c:v>
                </c:pt>
                <c:pt idx="12">
                  <c:v>11.52375</c:v>
                </c:pt>
                <c:pt idx="13">
                  <c:v>11.52375</c:v>
                </c:pt>
                <c:pt idx="14">
                  <c:v>11.52375</c:v>
                </c:pt>
                <c:pt idx="15">
                  <c:v>11.52375</c:v>
                </c:pt>
                <c:pt idx="16">
                  <c:v>11.52375</c:v>
                </c:pt>
                <c:pt idx="17">
                  <c:v>11.52375</c:v>
                </c:pt>
                <c:pt idx="18">
                  <c:v>11.52375</c:v>
                </c:pt>
                <c:pt idx="19">
                  <c:v>11.52375</c:v>
                </c:pt>
                <c:pt idx="20">
                  <c:v>11.52375</c:v>
                </c:pt>
                <c:pt idx="21">
                  <c:v>37.336949999999995</c:v>
                </c:pt>
                <c:pt idx="22">
                  <c:v>37.336949999999995</c:v>
                </c:pt>
                <c:pt idx="23">
                  <c:v>11.52375</c:v>
                </c:pt>
                <c:pt idx="24">
                  <c:v>0</c:v>
                </c:pt>
              </c:numCache>
            </c:numRef>
          </c:val>
          <c:smooth val="0"/>
          <c:extLst>
            <c:ext xmlns:c16="http://schemas.microsoft.com/office/drawing/2014/chart" uri="{C3380CC4-5D6E-409C-BE32-E72D297353CC}">
              <c16:uniqueId val="{00000000-21A4-41FB-899E-980C51498817}"/>
            </c:ext>
          </c:extLst>
        </c:ser>
        <c:dLbls>
          <c:showLegendKey val="0"/>
          <c:showVal val="0"/>
          <c:showCatName val="0"/>
          <c:showSerName val="0"/>
          <c:showPercent val="0"/>
          <c:showBubbleSize val="0"/>
        </c:dLbls>
        <c:smooth val="0"/>
        <c:axId val="1556557831"/>
        <c:axId val="1515334050"/>
      </c:lineChart>
      <c:catAx>
        <c:axId val="1556557831"/>
        <c:scaling>
          <c:orientation val="minMax"/>
        </c:scaling>
        <c:delete val="0"/>
        <c:axPos val="b"/>
        <c:title>
          <c:tx>
            <c:rich>
              <a:bodyPr/>
              <a:lstStyle/>
              <a:p>
                <a:pPr lvl="0">
                  <a:defRPr b="0"/>
                </a:pPr>
                <a:r>
                  <a:rPr lang="en-GB"/>
                  <a:t>Time (s)</a:t>
                </a:r>
              </a:p>
            </c:rich>
          </c:tx>
          <c:overlay val="0"/>
        </c:title>
        <c:numFmt formatCode="General" sourceLinked="1"/>
        <c:majorTickMark val="cross"/>
        <c:minorTickMark val="cross"/>
        <c:tickLblPos val="nextTo"/>
        <c:txPr>
          <a:bodyPr/>
          <a:lstStyle/>
          <a:p>
            <a:pPr lvl="0">
              <a:defRPr b="0"/>
            </a:pPr>
            <a:endParaRPr lang="en-US"/>
          </a:p>
        </c:txPr>
        <c:crossAx val="1515334050"/>
        <c:crosses val="autoZero"/>
        <c:auto val="1"/>
        <c:lblAlgn val="ctr"/>
        <c:lblOffset val="100"/>
        <c:noMultiLvlLbl val="1"/>
      </c:catAx>
      <c:valAx>
        <c:axId val="1515334050"/>
        <c:scaling>
          <c:orientation val="minMax"/>
        </c:scaling>
        <c:delete val="0"/>
        <c:axPos val="l"/>
        <c:majorGridlines>
          <c:spPr>
            <a:ln>
              <a:solidFill>
                <a:srgbClr val="B7B7B7"/>
              </a:solidFill>
            </a:ln>
          </c:spPr>
        </c:majorGridlines>
        <c:title>
          <c:tx>
            <c:rich>
              <a:bodyPr/>
              <a:lstStyle/>
              <a:p>
                <a:pPr lvl="0">
                  <a:defRPr b="0"/>
                </a:pPr>
                <a:r>
                  <a:rPr lang="en-GB"/>
                  <a:t>Aero(N)</a:t>
                </a:r>
              </a:p>
            </c:rich>
          </c:tx>
          <c:overlay val="0"/>
        </c:title>
        <c:numFmt formatCode="General" sourceLinked="1"/>
        <c:majorTickMark val="cross"/>
        <c:minorTickMark val="cross"/>
        <c:tickLblPos val="nextTo"/>
        <c:spPr>
          <a:ln w="47625">
            <a:noFill/>
          </a:ln>
        </c:spPr>
        <c:txPr>
          <a:bodyPr/>
          <a:lstStyle/>
          <a:p>
            <a:pPr lvl="0">
              <a:defRPr b="0"/>
            </a:pPr>
            <a:endParaRPr lang="en-US"/>
          </a:p>
        </c:txPr>
        <c:crossAx val="1556557831"/>
        <c:crosses val="autoZero"/>
        <c:crossBetween val="between"/>
      </c:valAx>
    </c:plotArea>
    <c:legend>
      <c:legendPos val="r"/>
      <c:overlay val="0"/>
    </c:legend>
    <c:plotVisOnly val="1"/>
    <c:dispBlanksAs val="zero"/>
    <c:showDLblsOverMax val="1"/>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Acceleration force (N)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Acceleration force</c:v>
          </c:tx>
          <c:spPr>
            <a:ln w="28575" cap="rnd">
              <a:solidFill>
                <a:schemeClr val="accent1"/>
              </a:solidFill>
              <a:round/>
            </a:ln>
            <a:effectLst/>
          </c:spPr>
          <c:marker>
            <c:symbol val="none"/>
          </c:marker>
          <c:cat>
            <c:numRef>
              <c:f>'[Untitled spreadsheet.xlsx]Sheet1'!$B$2:$B$26</c:f>
              <c:numCache>
                <c:formatCode>General</c:formatCode>
                <c:ptCount val="25"/>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numCache>
            </c:numRef>
          </c:cat>
          <c:val>
            <c:numRef>
              <c:f>'[Untitled spreadsheet.xlsx]Sheet1'!$O$2:$O$26</c:f>
              <c:numCache>
                <c:formatCode>General</c:formatCode>
                <c:ptCount val="25"/>
                <c:pt idx="0">
                  <c:v>0</c:v>
                </c:pt>
                <c:pt idx="1">
                  <c:v>46.72</c:v>
                </c:pt>
                <c:pt idx="2">
                  <c:v>0</c:v>
                </c:pt>
                <c:pt idx="3">
                  <c:v>-46.72</c:v>
                </c:pt>
                <c:pt idx="4">
                  <c:v>0</c:v>
                </c:pt>
                <c:pt idx="5">
                  <c:v>0</c:v>
                </c:pt>
                <c:pt idx="6">
                  <c:v>-46.72</c:v>
                </c:pt>
                <c:pt idx="7">
                  <c:v>0</c:v>
                </c:pt>
                <c:pt idx="8">
                  <c:v>0</c:v>
                </c:pt>
                <c:pt idx="9">
                  <c:v>0</c:v>
                </c:pt>
                <c:pt idx="10">
                  <c:v>0</c:v>
                </c:pt>
                <c:pt idx="11">
                  <c:v>46.72</c:v>
                </c:pt>
                <c:pt idx="12">
                  <c:v>0</c:v>
                </c:pt>
                <c:pt idx="13">
                  <c:v>0</c:v>
                </c:pt>
                <c:pt idx="14">
                  <c:v>0</c:v>
                </c:pt>
                <c:pt idx="15">
                  <c:v>0</c:v>
                </c:pt>
                <c:pt idx="16">
                  <c:v>0</c:v>
                </c:pt>
                <c:pt idx="17">
                  <c:v>0</c:v>
                </c:pt>
                <c:pt idx="18">
                  <c:v>0</c:v>
                </c:pt>
                <c:pt idx="19">
                  <c:v>0</c:v>
                </c:pt>
                <c:pt idx="20">
                  <c:v>186.88</c:v>
                </c:pt>
                <c:pt idx="21">
                  <c:v>0</c:v>
                </c:pt>
                <c:pt idx="22">
                  <c:v>-186.88</c:v>
                </c:pt>
                <c:pt idx="23">
                  <c:v>-233.6</c:v>
                </c:pt>
                <c:pt idx="24">
                  <c:v>0</c:v>
                </c:pt>
              </c:numCache>
            </c:numRef>
          </c:val>
          <c:smooth val="0"/>
          <c:extLst>
            <c:ext xmlns:c16="http://schemas.microsoft.com/office/drawing/2014/chart" uri="{C3380CC4-5D6E-409C-BE32-E72D297353CC}">
              <c16:uniqueId val="{00000000-86A6-4DF6-BC56-1852B29C0A80}"/>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510904920"/>
        <c:axId val="510912136"/>
      </c:lineChart>
      <c:catAx>
        <c:axId val="510904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912136"/>
        <c:crosses val="autoZero"/>
        <c:auto val="1"/>
        <c:lblAlgn val="ctr"/>
        <c:lblOffset val="100"/>
        <c:noMultiLvlLbl val="0"/>
      </c:catAx>
      <c:valAx>
        <c:axId val="510912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9049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pPr>
            <a:r>
              <a:rPr lang="en-GB"/>
              <a:t>Power Required (W)</a:t>
            </a:r>
          </a:p>
        </c:rich>
      </c:tx>
      <c:overlay val="0"/>
    </c:title>
    <c:autoTitleDeleted val="0"/>
    <c:plotArea>
      <c:layout/>
      <c:lineChart>
        <c:grouping val="standard"/>
        <c:varyColors val="0"/>
        <c:ser>
          <c:idx val="0"/>
          <c:order val="0"/>
          <c:tx>
            <c:strRef>
              <c:f>'[Untitled spreadsheet.xlsx]Sheet1'!$L$1</c:f>
              <c:strCache>
                <c:ptCount val="1"/>
                <c:pt idx="0">
                  <c:v>Power Required (W)</c:v>
                </c:pt>
              </c:strCache>
            </c:strRef>
          </c:tx>
          <c:spPr>
            <a:ln w="19050" cmpd="sng">
              <a:solidFill>
                <a:srgbClr val="3366CC"/>
              </a:solidFill>
            </a:ln>
          </c:spPr>
          <c:marker>
            <c:symbol val="none"/>
          </c:marker>
          <c:cat>
            <c:numRef>
              <c:f>'[Untitled spreadsheet.xlsx]Sheet1'!$B$3:$B$26</c:f>
              <c:numCache>
                <c:formatCode>General</c:formatCode>
                <c:ptCount val="24"/>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pt idx="17">
                  <c:v>90</c:v>
                </c:pt>
                <c:pt idx="18">
                  <c:v>95</c:v>
                </c:pt>
                <c:pt idx="19">
                  <c:v>100</c:v>
                </c:pt>
                <c:pt idx="20">
                  <c:v>105</c:v>
                </c:pt>
                <c:pt idx="21">
                  <c:v>110</c:v>
                </c:pt>
                <c:pt idx="22">
                  <c:v>115</c:v>
                </c:pt>
                <c:pt idx="23">
                  <c:v>120</c:v>
                </c:pt>
              </c:numCache>
            </c:numRef>
          </c:cat>
          <c:val>
            <c:numRef>
              <c:f>'[Untitled spreadsheet.xlsx]Sheet1'!$L$2:$L$26</c:f>
              <c:numCache>
                <c:formatCode>General</c:formatCode>
                <c:ptCount val="25"/>
                <c:pt idx="0">
                  <c:v>0</c:v>
                </c:pt>
                <c:pt idx="1">
                  <c:v>286.78035</c:v>
                </c:pt>
                <c:pt idx="2">
                  <c:v>841.95871953061999</c:v>
                </c:pt>
                <c:pt idx="3">
                  <c:v>1075.4896703768052</c:v>
                </c:pt>
                <c:pt idx="4">
                  <c:v>1259.5447913647072</c:v>
                </c:pt>
                <c:pt idx="5">
                  <c:v>286.78035</c:v>
                </c:pt>
                <c:pt idx="6">
                  <c:v>286.78035</c:v>
                </c:pt>
                <c:pt idx="7">
                  <c:v>212.83008000000001</c:v>
                </c:pt>
                <c:pt idx="8">
                  <c:v>-98.76965302041333</c:v>
                </c:pt>
                <c:pt idx="9">
                  <c:v>-410.00921144827964</c:v>
                </c:pt>
                <c:pt idx="10">
                  <c:v>634.54746697958672</c:v>
                </c:pt>
                <c:pt idx="11">
                  <c:v>634.54746697958672</c:v>
                </c:pt>
                <c:pt idx="12">
                  <c:v>1203.4267500000001</c:v>
                </c:pt>
                <c:pt idx="13">
                  <c:v>1592.9264162755167</c:v>
                </c:pt>
                <c:pt idx="14">
                  <c:v>1981.9758643103498</c:v>
                </c:pt>
                <c:pt idx="15">
                  <c:v>1259.5447913647072</c:v>
                </c:pt>
                <c:pt idx="16">
                  <c:v>286.78035</c:v>
                </c:pt>
                <c:pt idx="17">
                  <c:v>286.78035</c:v>
                </c:pt>
                <c:pt idx="18">
                  <c:v>676.28001627551669</c:v>
                </c:pt>
                <c:pt idx="19">
                  <c:v>870.88914198067096</c:v>
                </c:pt>
                <c:pt idx="20">
                  <c:v>1259.5447913647072</c:v>
                </c:pt>
                <c:pt idx="21">
                  <c:v>2398.4869499999995</c:v>
                </c:pt>
                <c:pt idx="22">
                  <c:v>2398.4869499999995</c:v>
                </c:pt>
                <c:pt idx="23">
                  <c:v>1203.4267500000001</c:v>
                </c:pt>
                <c:pt idx="24">
                  <c:v>0</c:v>
                </c:pt>
              </c:numCache>
            </c:numRef>
          </c:val>
          <c:smooth val="0"/>
          <c:extLst>
            <c:ext xmlns:c16="http://schemas.microsoft.com/office/drawing/2014/chart" uri="{C3380CC4-5D6E-409C-BE32-E72D297353CC}">
              <c16:uniqueId val="{00000000-79E8-46CE-B465-15C02DA64E4F}"/>
            </c:ext>
          </c:extLst>
        </c:ser>
        <c:dLbls>
          <c:showLegendKey val="0"/>
          <c:showVal val="0"/>
          <c:showCatName val="0"/>
          <c:showSerName val="0"/>
          <c:showPercent val="0"/>
          <c:showBubbleSize val="0"/>
        </c:dLbls>
        <c:smooth val="0"/>
        <c:axId val="1216140110"/>
        <c:axId val="671449052"/>
      </c:lineChart>
      <c:catAx>
        <c:axId val="1216140110"/>
        <c:scaling>
          <c:orientation val="minMax"/>
        </c:scaling>
        <c:delete val="0"/>
        <c:axPos val="b"/>
        <c:title>
          <c:tx>
            <c:rich>
              <a:bodyPr/>
              <a:lstStyle/>
              <a:p>
                <a:pPr lvl="0">
                  <a:defRPr b="0"/>
                </a:pPr>
                <a:r>
                  <a:rPr lang="en-GB"/>
                  <a:t>Time(s)</a:t>
                </a:r>
              </a:p>
            </c:rich>
          </c:tx>
          <c:overlay val="0"/>
        </c:title>
        <c:numFmt formatCode="General" sourceLinked="1"/>
        <c:majorTickMark val="cross"/>
        <c:minorTickMark val="cross"/>
        <c:tickLblPos val="nextTo"/>
        <c:txPr>
          <a:bodyPr/>
          <a:lstStyle/>
          <a:p>
            <a:pPr lvl="0">
              <a:defRPr b="0"/>
            </a:pPr>
            <a:endParaRPr lang="en-US"/>
          </a:p>
        </c:txPr>
        <c:crossAx val="671449052"/>
        <c:crosses val="autoZero"/>
        <c:auto val="1"/>
        <c:lblAlgn val="ctr"/>
        <c:lblOffset val="100"/>
        <c:noMultiLvlLbl val="1"/>
      </c:catAx>
      <c:valAx>
        <c:axId val="671449052"/>
        <c:scaling>
          <c:orientation val="minMax"/>
        </c:scaling>
        <c:delete val="0"/>
        <c:axPos val="l"/>
        <c:majorGridlines>
          <c:spPr>
            <a:ln>
              <a:solidFill>
                <a:srgbClr val="B7B7B7"/>
              </a:solidFill>
            </a:ln>
          </c:spPr>
        </c:majorGridlines>
        <c:title>
          <c:tx>
            <c:rich>
              <a:bodyPr/>
              <a:lstStyle/>
              <a:p>
                <a:pPr lvl="0">
                  <a:defRPr b="0"/>
                </a:pPr>
                <a:r>
                  <a:rPr lang="en-GB"/>
                  <a:t>Power Required (W)</a:t>
                </a:r>
              </a:p>
            </c:rich>
          </c:tx>
          <c:overlay val="0"/>
        </c:title>
        <c:numFmt formatCode="General" sourceLinked="1"/>
        <c:majorTickMark val="cross"/>
        <c:minorTickMark val="cross"/>
        <c:tickLblPos val="nextTo"/>
        <c:spPr>
          <a:ln w="47625">
            <a:noFill/>
          </a:ln>
        </c:spPr>
        <c:txPr>
          <a:bodyPr/>
          <a:lstStyle/>
          <a:p>
            <a:pPr lvl="0">
              <a:defRPr b="0"/>
            </a:pPr>
            <a:endParaRPr lang="en-US"/>
          </a:p>
        </c:txPr>
        <c:crossAx val="1216140110"/>
        <c:crosses val="autoZero"/>
        <c:crossBetween val="between"/>
      </c:valAx>
    </c:plotArea>
    <c:legend>
      <c:legendPos val="r"/>
      <c:overlay val="0"/>
    </c:legend>
    <c:plotVisOnly val="1"/>
    <c:dispBlanksAs val="zero"/>
    <c:showDLblsOverMax val="1"/>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pPr>
            <a:r>
              <a:rPr lang="en-GB"/>
              <a:t>Total Tractive effort (N)</a:t>
            </a:r>
          </a:p>
        </c:rich>
      </c:tx>
      <c:overlay val="0"/>
    </c:title>
    <c:autoTitleDeleted val="0"/>
    <c:plotArea>
      <c:layout/>
      <c:lineChart>
        <c:grouping val="standard"/>
        <c:varyColors val="0"/>
        <c:ser>
          <c:idx val="0"/>
          <c:order val="0"/>
          <c:tx>
            <c:strRef>
              <c:f>'[Untitled spreadsheet.xlsx]Sheet1'!$P$1</c:f>
              <c:strCache>
                <c:ptCount val="1"/>
                <c:pt idx="0">
                  <c:v>Total TE (N)</c:v>
                </c:pt>
              </c:strCache>
            </c:strRef>
          </c:tx>
          <c:spPr>
            <a:ln w="19050" cmpd="sng">
              <a:solidFill>
                <a:srgbClr val="3366CC"/>
              </a:solidFill>
            </a:ln>
          </c:spPr>
          <c:marker>
            <c:symbol val="none"/>
          </c:marker>
          <c:cat>
            <c:numRef>
              <c:f>'[Untitled spreadsheet.xlsx]Sheet1'!$B$3:$B$26</c:f>
              <c:numCache>
                <c:formatCode>General</c:formatCode>
                <c:ptCount val="24"/>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pt idx="17">
                  <c:v>90</c:v>
                </c:pt>
                <c:pt idx="18">
                  <c:v>95</c:v>
                </c:pt>
                <c:pt idx="19">
                  <c:v>100</c:v>
                </c:pt>
                <c:pt idx="20">
                  <c:v>105</c:v>
                </c:pt>
                <c:pt idx="21">
                  <c:v>110</c:v>
                </c:pt>
                <c:pt idx="22">
                  <c:v>115</c:v>
                </c:pt>
                <c:pt idx="23">
                  <c:v>120</c:v>
                </c:pt>
              </c:numCache>
            </c:numRef>
          </c:cat>
          <c:val>
            <c:numRef>
              <c:f>'[Untitled spreadsheet.xlsx]Sheet1'!$P$2:$P$26</c:f>
              <c:numCache>
                <c:formatCode>General</c:formatCode>
                <c:ptCount val="25"/>
                <c:pt idx="0">
                  <c:v>45.832320000000003</c:v>
                </c:pt>
                <c:pt idx="1">
                  <c:v>92.552320000000009</c:v>
                </c:pt>
                <c:pt idx="2">
                  <c:v>123.73225325510333</c:v>
                </c:pt>
                <c:pt idx="3">
                  <c:v>115.9340783961342</c:v>
                </c:pt>
                <c:pt idx="4">
                  <c:v>240.38520827294141</c:v>
                </c:pt>
                <c:pt idx="5">
                  <c:v>45.832320000000003</c:v>
                </c:pt>
                <c:pt idx="6">
                  <c:v>-0.88767999999999603</c:v>
                </c:pt>
                <c:pt idx="7">
                  <c:v>45.832320000000003</c:v>
                </c:pt>
                <c:pt idx="8">
                  <c:v>-32.067613255103332</c:v>
                </c:pt>
                <c:pt idx="9">
                  <c:v>-109.87750286206992</c:v>
                </c:pt>
                <c:pt idx="10">
                  <c:v>151.26166674489667</c:v>
                </c:pt>
                <c:pt idx="11">
                  <c:v>197.98166674489667</c:v>
                </c:pt>
                <c:pt idx="12">
                  <c:v>229.16159999999999</c:v>
                </c:pt>
                <c:pt idx="13">
                  <c:v>307.06153325510331</c:v>
                </c:pt>
                <c:pt idx="14">
                  <c:v>384.87142286206995</c:v>
                </c:pt>
                <c:pt idx="15">
                  <c:v>240.38520827294141</c:v>
                </c:pt>
                <c:pt idx="16">
                  <c:v>45.832320000000003</c:v>
                </c:pt>
                <c:pt idx="17">
                  <c:v>45.832320000000003</c:v>
                </c:pt>
                <c:pt idx="18">
                  <c:v>123.73225325510333</c:v>
                </c:pt>
                <c:pt idx="19">
                  <c:v>162.6540783961342</c:v>
                </c:pt>
                <c:pt idx="20">
                  <c:v>427.26520827294144</c:v>
                </c:pt>
                <c:pt idx="21">
                  <c:v>229.16159999999999</c:v>
                </c:pt>
                <c:pt idx="22">
                  <c:v>42.281599999999997</c:v>
                </c:pt>
                <c:pt idx="23">
                  <c:v>-4.4384000000000015</c:v>
                </c:pt>
                <c:pt idx="24">
                  <c:v>229.16159999999999</c:v>
                </c:pt>
              </c:numCache>
            </c:numRef>
          </c:val>
          <c:smooth val="0"/>
          <c:extLst>
            <c:ext xmlns:c16="http://schemas.microsoft.com/office/drawing/2014/chart" uri="{C3380CC4-5D6E-409C-BE32-E72D297353CC}">
              <c16:uniqueId val="{00000000-3DF2-4C3D-94AB-2728C602DB58}"/>
            </c:ext>
          </c:extLst>
        </c:ser>
        <c:dLbls>
          <c:showLegendKey val="0"/>
          <c:showVal val="0"/>
          <c:showCatName val="0"/>
          <c:showSerName val="0"/>
          <c:showPercent val="0"/>
          <c:showBubbleSize val="0"/>
        </c:dLbls>
        <c:smooth val="0"/>
        <c:axId val="24166700"/>
        <c:axId val="1454079128"/>
      </c:lineChart>
      <c:catAx>
        <c:axId val="24166700"/>
        <c:scaling>
          <c:orientation val="minMax"/>
        </c:scaling>
        <c:delete val="0"/>
        <c:axPos val="b"/>
        <c:title>
          <c:tx>
            <c:rich>
              <a:bodyPr/>
              <a:lstStyle/>
              <a:p>
                <a:pPr lvl="0">
                  <a:defRPr b="0"/>
                </a:pPr>
                <a:r>
                  <a:rPr lang="en-GB"/>
                  <a:t>Time(S)</a:t>
                </a:r>
              </a:p>
            </c:rich>
          </c:tx>
          <c:overlay val="0"/>
        </c:title>
        <c:numFmt formatCode="General" sourceLinked="1"/>
        <c:majorTickMark val="cross"/>
        <c:minorTickMark val="cross"/>
        <c:tickLblPos val="nextTo"/>
        <c:txPr>
          <a:bodyPr/>
          <a:lstStyle/>
          <a:p>
            <a:pPr lvl="0">
              <a:defRPr b="0"/>
            </a:pPr>
            <a:endParaRPr lang="en-US"/>
          </a:p>
        </c:txPr>
        <c:crossAx val="1454079128"/>
        <c:crosses val="autoZero"/>
        <c:auto val="1"/>
        <c:lblAlgn val="ctr"/>
        <c:lblOffset val="100"/>
        <c:noMultiLvlLbl val="1"/>
      </c:catAx>
      <c:valAx>
        <c:axId val="1454079128"/>
        <c:scaling>
          <c:orientation val="minMax"/>
        </c:scaling>
        <c:delete val="0"/>
        <c:axPos val="l"/>
        <c:majorGridlines>
          <c:spPr>
            <a:ln>
              <a:solidFill>
                <a:srgbClr val="B7B7B7"/>
              </a:solidFill>
            </a:ln>
          </c:spPr>
        </c:majorGridlines>
        <c:title>
          <c:tx>
            <c:rich>
              <a:bodyPr/>
              <a:lstStyle/>
              <a:p>
                <a:pPr lvl="0">
                  <a:defRPr b="0"/>
                </a:pPr>
                <a:r>
                  <a:rPr lang="en-GB"/>
                  <a:t>Total TE (N)</a:t>
                </a:r>
              </a:p>
            </c:rich>
          </c:tx>
          <c:overlay val="0"/>
        </c:title>
        <c:numFmt formatCode="General" sourceLinked="1"/>
        <c:majorTickMark val="cross"/>
        <c:minorTickMark val="cross"/>
        <c:tickLblPos val="nextTo"/>
        <c:spPr>
          <a:ln w="47625">
            <a:noFill/>
          </a:ln>
        </c:spPr>
        <c:txPr>
          <a:bodyPr/>
          <a:lstStyle/>
          <a:p>
            <a:pPr lvl="0">
              <a:defRPr b="0"/>
            </a:pPr>
            <a:endParaRPr lang="en-US"/>
          </a:p>
        </c:txPr>
        <c:crossAx val="24166700"/>
        <c:crosses val="autoZero"/>
        <c:crossBetween val="between"/>
      </c:valAx>
    </c:plotArea>
    <c:legend>
      <c:legendPos val="r"/>
      <c:overlay val="0"/>
    </c:legend>
    <c:plotVisOnly val="1"/>
    <c:dispBlanksAs val="zero"/>
    <c:showDLblsOverMax val="1"/>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Electronic and Hybrid propulsion control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0E64CC-E9E5-43D8-9320-5836CBD08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15</Pages>
  <Words>1707</Words>
  <Characters>9733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Series Hybrid Vehicle (Part A)</dc:title>
  <dc:subject>Ryan Harwood</dc:subject>
  <dc:creator>05/12/2017</dc:creator>
  <cp:lastModifiedBy>Ryan Harwood (P143871)</cp:lastModifiedBy>
  <cp:revision>4</cp:revision>
  <dcterms:created xsi:type="dcterms:W3CDTF">2017-12-05T11:43:00Z</dcterms:created>
  <dcterms:modified xsi:type="dcterms:W3CDTF">2017-12-05T16:02:00Z</dcterms:modified>
</cp:coreProperties>
</file>