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37BC1"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5FF7B65"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652DBB30"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Chapter 3 - Research Methods</w:t>
      </w:r>
    </w:p>
    <w:p w14:paraId="2673170D"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284815CE"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Introduction 3.1</w:t>
      </w:r>
    </w:p>
    <w:p w14:paraId="70794FA2"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8F0E4D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Research can be defined as the production of knowledge, the old French word </w:t>
      </w:r>
      <w:r>
        <w:rPr>
          <w:rFonts w:ascii="Calibri" w:hAnsi="Calibri" w:cs="Calibri"/>
          <w:i/>
          <w:iCs/>
          <w:sz w:val="22"/>
          <w:szCs w:val="22"/>
        </w:rPr>
        <w:t>recerchier</w:t>
      </w:r>
      <w:r>
        <w:rPr>
          <w:rFonts w:ascii="Calibri" w:hAnsi="Calibri" w:cs="Calibri"/>
          <w:sz w:val="22"/>
          <w:szCs w:val="22"/>
        </w:rPr>
        <w:t xml:space="preserve"> which translates as "an intense search of knowledge." It is defined that crime and justice research as a collection of social science methods applied in a systematic way that essentially generates general knowledge (Kraska, Brent and Neuman, 2020, p. 5) </w:t>
      </w:r>
    </w:p>
    <w:p w14:paraId="4C88415B"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224028E3"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method of primary research was examined by using the model named the Research Onion, created by Saunders (et al, 2016.) By using this </w:t>
      </w:r>
      <w:proofErr w:type="gramStart"/>
      <w:r>
        <w:rPr>
          <w:rFonts w:ascii="Calibri" w:hAnsi="Calibri" w:cs="Calibri"/>
          <w:sz w:val="22"/>
          <w:szCs w:val="22"/>
        </w:rPr>
        <w:t>model</w:t>
      </w:r>
      <w:proofErr w:type="gramEnd"/>
      <w:r>
        <w:rPr>
          <w:rFonts w:ascii="Calibri" w:hAnsi="Calibri" w:cs="Calibri"/>
          <w:sz w:val="22"/>
          <w:szCs w:val="22"/>
        </w:rPr>
        <w:t xml:space="preserve"> it provided structure and guidance during this chapter and the process of research throughout this dissertation, to identify and explain the chosen method of research. </w:t>
      </w:r>
    </w:p>
    <w:p w14:paraId="126D445D"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4E46A9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9DA15A5"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Figure 1: The Research Onion Saunders (et al 2016)</w:t>
      </w:r>
    </w:p>
    <w:p w14:paraId="4E7D3F45" w14:textId="6DACBC01" w:rsidR="00F01EDF" w:rsidRDefault="00F01EDF" w:rsidP="00556E1A">
      <w:pPr>
        <w:pStyle w:val="NormalWeb"/>
        <w:spacing w:before="0" w:beforeAutospacing="0" w:after="0" w:afterAutospacing="0" w:line="480" w:lineRule="auto"/>
        <w:rPr>
          <w:rFonts w:ascii="Calibri" w:hAnsi="Calibri" w:cs="Calibri"/>
          <w:sz w:val="22"/>
          <w:szCs w:val="22"/>
        </w:rPr>
      </w:pPr>
      <w:r>
        <w:rPr>
          <w:rFonts w:asciiTheme="minorHAnsi" w:eastAsiaTheme="minorHAnsi" w:hAnsiTheme="minorHAnsi" w:cstheme="minorBidi"/>
          <w:noProof/>
          <w:sz w:val="22"/>
          <w:szCs w:val="22"/>
          <w:lang w:eastAsia="en-US"/>
        </w:rPr>
        <w:drawing>
          <wp:inline distT="0" distB="0" distL="0" distR="0" wp14:anchorId="4CA4F331" wp14:editId="3369674D">
            <wp:extent cx="3816985" cy="24453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6985" cy="2445385"/>
                    </a:xfrm>
                    <a:prstGeom prst="rect">
                      <a:avLst/>
                    </a:prstGeom>
                    <a:noFill/>
                    <a:ln>
                      <a:noFill/>
                    </a:ln>
                  </pic:spPr>
                </pic:pic>
              </a:graphicData>
            </a:graphic>
          </wp:inline>
        </w:drawing>
      </w:r>
    </w:p>
    <w:p w14:paraId="35F11C3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w:t>
      </w:r>
    </w:p>
    <w:p w14:paraId="7DD48E98"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Research techniques are grouped into two </w:t>
      </w:r>
      <w:proofErr w:type="gramStart"/>
      <w:r>
        <w:rPr>
          <w:rFonts w:ascii="Calibri" w:hAnsi="Calibri" w:cs="Calibri"/>
          <w:sz w:val="22"/>
          <w:szCs w:val="22"/>
        </w:rPr>
        <w:t>forms;</w:t>
      </w:r>
      <w:proofErr w:type="gramEnd"/>
      <w:r>
        <w:rPr>
          <w:rFonts w:ascii="Calibri" w:hAnsi="Calibri" w:cs="Calibri"/>
          <w:sz w:val="22"/>
          <w:szCs w:val="22"/>
        </w:rPr>
        <w:t xml:space="preserve"> Qualitative techniques and quantitative. A qualitative approach uses a collection of data in the form of numbers, and a quantitative approach is a way of collecting data in the form of words or pictures (Kraska, Brent and Neuman 2020, p.12) </w:t>
      </w:r>
    </w:p>
    <w:p w14:paraId="5E6F5FE4"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1BEA5A3"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aim of this chapter was to complete the second objective of this research </w:t>
      </w:r>
      <w:proofErr w:type="gramStart"/>
      <w:r>
        <w:rPr>
          <w:rFonts w:ascii="Calibri" w:hAnsi="Calibri" w:cs="Calibri"/>
          <w:sz w:val="22"/>
          <w:szCs w:val="22"/>
        </w:rPr>
        <w:t>project;</w:t>
      </w:r>
      <w:proofErr w:type="gramEnd"/>
      <w:r>
        <w:rPr>
          <w:rFonts w:ascii="Calibri" w:hAnsi="Calibri" w:cs="Calibri"/>
          <w:sz w:val="22"/>
          <w:szCs w:val="22"/>
        </w:rPr>
        <w:t xml:space="preserve">  </w:t>
      </w:r>
    </w:p>
    <w:p w14:paraId="39E54910"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2C30C58D"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b/>
          <w:bCs/>
          <w:i/>
          <w:iCs/>
          <w:sz w:val="22"/>
          <w:szCs w:val="22"/>
        </w:rPr>
        <w:t>To select an appropriate research approach to explore issue and challenges women face in public spaces within Cardiff, and to analyse partnership working within this area, and whether women of the Cardiff area are aware of what Is currently being implemented.</w:t>
      </w:r>
    </w:p>
    <w:p w14:paraId="66178AC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03435AF"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 Research Onion </w:t>
      </w:r>
    </w:p>
    <w:p w14:paraId="5DFC4D4B"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Saunders (et al 2019) explains that as a researcher many people plan their research in relation to a question that needs answering or maybe a problem that needs solving, the researcher then thinks about how they are going to go about this and the data in which they need to </w:t>
      </w:r>
      <w:proofErr w:type="gramStart"/>
      <w:r>
        <w:rPr>
          <w:rFonts w:ascii="Calibri" w:hAnsi="Calibri" w:cs="Calibri"/>
          <w:sz w:val="22"/>
          <w:szCs w:val="22"/>
        </w:rPr>
        <w:t>collect</w:t>
      </w:r>
      <w:proofErr w:type="gramEnd"/>
      <w:r>
        <w:rPr>
          <w:rFonts w:ascii="Calibri" w:hAnsi="Calibri" w:cs="Calibri"/>
          <w:sz w:val="22"/>
          <w:szCs w:val="22"/>
        </w:rPr>
        <w:t xml:space="preserve"> and techniques required to do so. Saunders (et al 2019, p. 128) go on to clarify that how to collect data belongs in the centre of the 'research onion.' </w:t>
      </w:r>
    </w:p>
    <w:p w14:paraId="332E2477"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C39CA7E"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3.2.1 Research Philosophy - </w:t>
      </w:r>
    </w:p>
    <w:p w14:paraId="2019EE6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As set out in the figure above, the onion is made up of several layers, but how the data is collected remains from the centre of the onion. </w:t>
      </w:r>
    </w:p>
    <w:p w14:paraId="1DDBF32F"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outer layer explains the Research Philosophy, which refers to the types of assumptions that the researcher may take when developing knowledge in a specific area, and whether being consciously aware of these assumptions or not, these can be made up of the realities that the researcher may encounter (ontological assumptions), about human knowledge (epistemological assumptions), and </w:t>
      </w:r>
      <w:r>
        <w:rPr>
          <w:rFonts w:ascii="Calibri" w:hAnsi="Calibri" w:cs="Calibri"/>
          <w:sz w:val="22"/>
          <w:szCs w:val="22"/>
        </w:rPr>
        <w:lastRenderedPageBreak/>
        <w:t xml:space="preserve">about the extent the researcher own values and beliefs of their own research process (axiological assumptions). Saunders (et al 2019, p.130) </w:t>
      </w:r>
    </w:p>
    <w:p w14:paraId="1A0D1F07"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46C17ED"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Interpretivism is the approach that was taken throughout this research project as Saunders (et al 2019, p.148-149) states that it emphasises that humans are different because the create </w:t>
      </w:r>
      <w:proofErr w:type="gramStart"/>
      <w:r>
        <w:rPr>
          <w:rFonts w:ascii="Calibri" w:hAnsi="Calibri" w:cs="Calibri"/>
          <w:sz w:val="22"/>
          <w:szCs w:val="22"/>
        </w:rPr>
        <w:t>meanings, and</w:t>
      </w:r>
      <w:proofErr w:type="gramEnd"/>
      <w:r>
        <w:rPr>
          <w:rFonts w:ascii="Calibri" w:hAnsi="Calibri" w:cs="Calibri"/>
          <w:sz w:val="22"/>
          <w:szCs w:val="22"/>
        </w:rPr>
        <w:t xml:space="preserve"> argues that interpretivism that human beings and their social worlds, cannot be studied the same way as a physical phenomenon, as different people from multiple different cultural backgrounds, who have experienced a multitude of circumstances at different stages will conclude different meanings. </w:t>
      </w:r>
    </w:p>
    <w:p w14:paraId="41DEA468"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sole purpose of taking the interpretivism approach is to gain a richer understanding and create new interpretations of social worlds and contexts. (Saunders et al 2019, p.149).t</w:t>
      </w:r>
    </w:p>
    <w:p w14:paraId="1556044C"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FEF9B46"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3.2.2 Research Approach -</w:t>
      </w:r>
    </w:p>
    <w:p w14:paraId="462480BB"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As evidenced in the figure Above 3.0, there are two types of 'Research approaches' that are predominantly used within academic writing.</w:t>
      </w:r>
    </w:p>
    <w:p w14:paraId="016B578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E09CED5"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With figure 2: Bryman (2016, p.23) demonstrating these approaches.</w:t>
      </w:r>
    </w:p>
    <w:p w14:paraId="29506D5D" w14:textId="6971E109" w:rsidR="00F01EDF" w:rsidRDefault="0001097C" w:rsidP="00556E1A">
      <w:pPr>
        <w:pStyle w:val="NormalWeb"/>
        <w:spacing w:before="0" w:beforeAutospacing="0" w:after="0" w:afterAutospacing="0" w:line="480" w:lineRule="auto"/>
        <w:rPr>
          <w:rFonts w:ascii="Calibri" w:hAnsi="Calibri" w:cs="Calibri"/>
          <w:sz w:val="22"/>
          <w:szCs w:val="22"/>
        </w:rPr>
      </w:pPr>
      <w:r>
        <w:rPr>
          <w:rFonts w:asciiTheme="minorHAnsi" w:eastAsiaTheme="minorHAnsi" w:hAnsiTheme="minorHAnsi" w:cstheme="minorBidi"/>
          <w:noProof/>
          <w:sz w:val="22"/>
          <w:szCs w:val="22"/>
          <w:lang w:eastAsia="en-US"/>
        </w:rPr>
        <w:drawing>
          <wp:anchor distT="0" distB="0" distL="114300" distR="114300" simplePos="0" relativeHeight="251658240" behindDoc="1" locked="0" layoutInCell="1" allowOverlap="1" wp14:anchorId="6F128C0B" wp14:editId="617F8AA1">
            <wp:simplePos x="0" y="0"/>
            <wp:positionH relativeFrom="column">
              <wp:posOffset>1568837</wp:posOffset>
            </wp:positionH>
            <wp:positionV relativeFrom="paragraph">
              <wp:posOffset>124211</wp:posOffset>
            </wp:positionV>
            <wp:extent cx="1711960" cy="1786255"/>
            <wp:effectExtent l="0" t="0" r="2540" b="4445"/>
            <wp:wrapTight wrapText="bothSides">
              <wp:wrapPolygon edited="0">
                <wp:start x="0" y="0"/>
                <wp:lineTo x="0" y="21423"/>
                <wp:lineTo x="21392" y="21423"/>
                <wp:lineTo x="213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1960" cy="1786255"/>
                    </a:xfrm>
                    <a:prstGeom prst="rect">
                      <a:avLst/>
                    </a:prstGeom>
                    <a:noFill/>
                    <a:ln>
                      <a:noFill/>
                    </a:ln>
                  </pic:spPr>
                </pic:pic>
              </a:graphicData>
            </a:graphic>
          </wp:anchor>
        </w:drawing>
      </w:r>
      <w:r w:rsidR="00F01EDF">
        <w:rPr>
          <w:rFonts w:ascii="Calibri" w:hAnsi="Calibri" w:cs="Calibri"/>
          <w:sz w:val="22"/>
          <w:szCs w:val="22"/>
        </w:rPr>
        <w:t> </w:t>
      </w:r>
    </w:p>
    <w:p w14:paraId="0D805FAB" w14:textId="19479027" w:rsidR="00F01EDF" w:rsidRDefault="00F01EDF" w:rsidP="00556E1A">
      <w:pPr>
        <w:pStyle w:val="NormalWeb"/>
        <w:spacing w:before="0" w:beforeAutospacing="0" w:after="0" w:afterAutospacing="0" w:line="480" w:lineRule="auto"/>
        <w:rPr>
          <w:rFonts w:ascii="Calibri" w:hAnsi="Calibri" w:cs="Calibri"/>
          <w:sz w:val="22"/>
          <w:szCs w:val="22"/>
        </w:rPr>
      </w:pPr>
    </w:p>
    <w:p w14:paraId="10E2DAE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C4B9A8D"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220495FA"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30F6967B"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0176C0A4"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133FE8D4"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7AAE6F5C"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59B7D6A2"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4ED89C8D"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37CE2F29" w14:textId="77777777" w:rsidR="0001097C" w:rsidRDefault="0001097C" w:rsidP="00556E1A">
      <w:pPr>
        <w:pStyle w:val="NormalWeb"/>
        <w:spacing w:before="0" w:beforeAutospacing="0" w:after="0" w:afterAutospacing="0" w:line="480" w:lineRule="auto"/>
        <w:rPr>
          <w:rFonts w:ascii="Calibri" w:hAnsi="Calibri" w:cs="Calibri"/>
          <w:sz w:val="22"/>
          <w:szCs w:val="22"/>
        </w:rPr>
      </w:pPr>
    </w:p>
    <w:p w14:paraId="69F4C5D1" w14:textId="66FA9FB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From above one of these approaches is </w:t>
      </w:r>
      <w:proofErr w:type="gramStart"/>
      <w:r>
        <w:rPr>
          <w:rFonts w:ascii="Calibri" w:hAnsi="Calibri" w:cs="Calibri"/>
          <w:sz w:val="22"/>
          <w:szCs w:val="22"/>
        </w:rPr>
        <w:t>a deductive</w:t>
      </w:r>
      <w:proofErr w:type="gramEnd"/>
      <w:r>
        <w:rPr>
          <w:rFonts w:ascii="Calibri" w:hAnsi="Calibri" w:cs="Calibri"/>
          <w:sz w:val="22"/>
          <w:szCs w:val="22"/>
        </w:rPr>
        <w:t xml:space="preserve">. This approach would usually involve a theory being developed by the researcher and then put through rigorous testing. As Saunders (et al 2019, p. 153) explains, this is the approach that is </w:t>
      </w:r>
      <w:proofErr w:type="gramStart"/>
      <w:r>
        <w:rPr>
          <w:rFonts w:ascii="Calibri" w:hAnsi="Calibri" w:cs="Calibri"/>
          <w:sz w:val="22"/>
          <w:szCs w:val="22"/>
        </w:rPr>
        <w:t>most commonly used</w:t>
      </w:r>
      <w:proofErr w:type="gramEnd"/>
      <w:r>
        <w:rPr>
          <w:rFonts w:ascii="Calibri" w:hAnsi="Calibri" w:cs="Calibri"/>
          <w:sz w:val="22"/>
          <w:szCs w:val="22"/>
        </w:rPr>
        <w:t xml:space="preserve"> in the natural science field, due to there is a set precedent at the basis of an explanation, which then makes way for an anticipated phenomenon, which is subsequently predicted and therefore can be controlled. </w:t>
      </w:r>
    </w:p>
    <w:p w14:paraId="6E55C8B7"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alternative approach the researcher may take is an 'inductive' approach, which </w:t>
      </w:r>
      <w:proofErr w:type="gramStart"/>
      <w:r>
        <w:rPr>
          <w:rFonts w:ascii="Calibri" w:hAnsi="Calibri" w:cs="Calibri"/>
          <w:sz w:val="22"/>
          <w:szCs w:val="22"/>
        </w:rPr>
        <w:t>has essentially has</w:t>
      </w:r>
      <w:proofErr w:type="gramEnd"/>
      <w:r>
        <w:rPr>
          <w:rFonts w:ascii="Calibri" w:hAnsi="Calibri" w:cs="Calibri"/>
          <w:sz w:val="22"/>
          <w:szCs w:val="22"/>
        </w:rPr>
        <w:t xml:space="preserve"> opposing principles of 'deductive.' This approach entails the researcher identifying the problem, the collection of data that would lead to relationships between the results being </w:t>
      </w:r>
      <w:proofErr w:type="gramStart"/>
      <w:r>
        <w:rPr>
          <w:rFonts w:ascii="Calibri" w:hAnsi="Calibri" w:cs="Calibri"/>
          <w:sz w:val="22"/>
          <w:szCs w:val="22"/>
        </w:rPr>
        <w:t>formed, and</w:t>
      </w:r>
      <w:proofErr w:type="gramEnd"/>
      <w:r>
        <w:rPr>
          <w:rFonts w:ascii="Calibri" w:hAnsi="Calibri" w:cs="Calibri"/>
          <w:sz w:val="22"/>
          <w:szCs w:val="22"/>
        </w:rPr>
        <w:t xml:space="preserve"> being faced with the same theory through the analysis of the data, but the reasoning to produce the data is an 'inductive' approach. </w:t>
      </w:r>
    </w:p>
    <w:p w14:paraId="6C01F848" w14:textId="701A13D4"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An 'inductive' approach was used for this research project as the aim is to explore the challenges that women face in public spaces in the Cardiff</w:t>
      </w:r>
      <w:r w:rsidR="0001097C">
        <w:rPr>
          <w:rFonts w:ascii="Calibri" w:hAnsi="Calibri" w:cs="Calibri"/>
          <w:sz w:val="22"/>
          <w:szCs w:val="22"/>
        </w:rPr>
        <w:t xml:space="preserve"> area</w:t>
      </w:r>
      <w:r>
        <w:rPr>
          <w:rFonts w:ascii="Calibri" w:hAnsi="Calibri" w:cs="Calibri"/>
          <w:sz w:val="22"/>
          <w:szCs w:val="22"/>
        </w:rPr>
        <w:t>, and to analyse what partnership agencies are implementing and whether the women of Cardiff are aware of what's being implemented.</w:t>
      </w:r>
    </w:p>
    <w:p w14:paraId="229EE043"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selection of this approach is underpinned by Bryman (2016, p.22) as he explains that "with an inductive stance, theory is the outcome of the research which involves drawing generalizable inferences out of observations."</w:t>
      </w:r>
    </w:p>
    <w:p w14:paraId="440E38CA"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70A57E0A"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3.2.3 Research strategy and Choice - </w:t>
      </w:r>
    </w:p>
    <w:p w14:paraId="17E12B9D"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proposed research strategy for this project is a 'mixed method' approach. A questionnaire was designed using open and closed </w:t>
      </w:r>
      <w:proofErr w:type="gramStart"/>
      <w:r>
        <w:rPr>
          <w:rFonts w:ascii="Calibri" w:hAnsi="Calibri" w:cs="Calibri"/>
          <w:sz w:val="22"/>
          <w:szCs w:val="22"/>
        </w:rPr>
        <w:t>questions, and</w:t>
      </w:r>
      <w:proofErr w:type="gramEnd"/>
      <w:r>
        <w:rPr>
          <w:rFonts w:ascii="Calibri" w:hAnsi="Calibri" w:cs="Calibri"/>
          <w:sz w:val="22"/>
          <w:szCs w:val="22"/>
        </w:rPr>
        <w:t xml:space="preserve"> disseminated to 50 women that targeted a range of ethnicities and ages, that live in a various areas within Cardiff, and gathered a range of qualitative and quantitative data. </w:t>
      </w:r>
    </w:p>
    <w:p w14:paraId="3452E1C1"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lastRenderedPageBreak/>
        <w:t xml:space="preserve">Saunders (2016, p.176) explains "some survey research, whilst conducted quantitatively, may be seen to fit partly within the interpretivist philosophy," </w:t>
      </w:r>
      <w:proofErr w:type="gramStart"/>
      <w:r>
        <w:rPr>
          <w:rFonts w:ascii="Calibri" w:hAnsi="Calibri" w:cs="Calibri"/>
          <w:sz w:val="22"/>
          <w:szCs w:val="22"/>
        </w:rPr>
        <w:t>this fits</w:t>
      </w:r>
      <w:proofErr w:type="gramEnd"/>
      <w:r>
        <w:rPr>
          <w:rFonts w:ascii="Calibri" w:hAnsi="Calibri" w:cs="Calibri"/>
          <w:sz w:val="22"/>
          <w:szCs w:val="22"/>
        </w:rPr>
        <w:t xml:space="preserve"> with the interpretivist research philosophy proposed above mainly for the quantitative aspect of this research project.</w:t>
      </w:r>
    </w:p>
    <w:p w14:paraId="6AAB7A0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However Saunders (2016 p.179) then goes on to explain that "qualitative </w:t>
      </w:r>
      <w:proofErr w:type="gramStart"/>
      <w:r>
        <w:rPr>
          <w:rFonts w:ascii="Calibri" w:hAnsi="Calibri" w:cs="Calibri"/>
          <w:sz w:val="22"/>
          <w:szCs w:val="22"/>
        </w:rPr>
        <w:t>research  is</w:t>
      </w:r>
      <w:proofErr w:type="gramEnd"/>
      <w:r>
        <w:rPr>
          <w:rFonts w:ascii="Calibri" w:hAnsi="Calibri" w:cs="Calibri"/>
          <w:sz w:val="22"/>
          <w:szCs w:val="22"/>
        </w:rPr>
        <w:t xml:space="preserve"> often associated with an interpretive philosophy, it is interpretive because researchers need to make sense of the subjective and socially constructed meanings expressed about the phenomenon being studied."</w:t>
      </w:r>
    </w:p>
    <w:p w14:paraId="4F758BB4"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Part of the questionnaire was constructed to gain qualitative data, to ensure that the objective of analysing what partnerships agencies </w:t>
      </w:r>
      <w:proofErr w:type="gramStart"/>
      <w:r>
        <w:rPr>
          <w:rFonts w:ascii="Calibri" w:hAnsi="Calibri" w:cs="Calibri"/>
          <w:sz w:val="22"/>
          <w:szCs w:val="22"/>
        </w:rPr>
        <w:t>are</w:t>
      </w:r>
      <w:proofErr w:type="gramEnd"/>
      <w:r>
        <w:rPr>
          <w:rFonts w:ascii="Calibri" w:hAnsi="Calibri" w:cs="Calibri"/>
          <w:sz w:val="22"/>
          <w:szCs w:val="22"/>
        </w:rPr>
        <w:t xml:space="preserve"> currently implementing, and whether women in the Cardiff area of aware of schemes and initiatives being rolled out to tackle women's safety in public spaces is analysed.</w:t>
      </w:r>
    </w:p>
    <w:p w14:paraId="6B7D4976"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078223D"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3.2.4 Time Horizon - </w:t>
      </w:r>
    </w:p>
    <w:p w14:paraId="5BC64710"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last aspect of the 'research onion' is Time Horizons. This is an important aspect of the research design, as the researcher needs to establish whether the research is to be a '</w:t>
      </w:r>
      <w:proofErr w:type="gramStart"/>
      <w:r>
        <w:rPr>
          <w:rFonts w:ascii="Calibri" w:hAnsi="Calibri" w:cs="Calibri"/>
          <w:sz w:val="22"/>
          <w:szCs w:val="22"/>
        </w:rPr>
        <w:t>snap shot</w:t>
      </w:r>
      <w:proofErr w:type="gramEnd"/>
      <w:r>
        <w:rPr>
          <w:rFonts w:ascii="Calibri" w:hAnsi="Calibri" w:cs="Calibri"/>
          <w:sz w:val="22"/>
          <w:szCs w:val="22"/>
        </w:rPr>
        <w:t>' of the data being collected or whether the collection of data is to be conducted through a longer period of time (Saunders et al, 2019).</w:t>
      </w:r>
    </w:p>
    <w:p w14:paraId="60A126E6"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Due to this research project being relatively small, a Cross Sectional time horizon was the most appropriate approach.</w:t>
      </w:r>
    </w:p>
    <w:p w14:paraId="215E2996"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346E25C7"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3.2.5 Techniques; Data Collection and Analysis - </w:t>
      </w:r>
    </w:p>
    <w:p w14:paraId="00AC054F"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3.2.5.1 Data Collection - </w:t>
      </w:r>
    </w:p>
    <w:p w14:paraId="0CDE09B3" w14:textId="77777777" w:rsidR="00556E1A"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Questionnaires can be used to collect data</w:t>
      </w:r>
    </w:p>
    <w:p w14:paraId="62545C26" w14:textId="39F526CB"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 when the researcher is confident that participants will complete the questionnaire and can be helpful when the aim of the research is to create a '</w:t>
      </w:r>
      <w:proofErr w:type="gramStart"/>
      <w:r>
        <w:rPr>
          <w:rFonts w:ascii="Calibri" w:hAnsi="Calibri" w:cs="Calibri"/>
          <w:sz w:val="22"/>
          <w:szCs w:val="22"/>
        </w:rPr>
        <w:t>snap shot</w:t>
      </w:r>
      <w:proofErr w:type="gramEnd"/>
      <w:r>
        <w:rPr>
          <w:rFonts w:ascii="Calibri" w:hAnsi="Calibri" w:cs="Calibri"/>
          <w:sz w:val="22"/>
          <w:szCs w:val="22"/>
        </w:rPr>
        <w:t xml:space="preserve">' of the perceptions of the participants on a particular topic. However, as with any types of research technique, there are disadvantages to </w:t>
      </w:r>
      <w:r>
        <w:rPr>
          <w:rFonts w:ascii="Calibri" w:hAnsi="Calibri" w:cs="Calibri"/>
          <w:sz w:val="22"/>
          <w:szCs w:val="22"/>
        </w:rPr>
        <w:lastRenderedPageBreak/>
        <w:t>using questionnaires to collect data, Lambert (2019 p.2) explains that questionnaires are usually set at a more surface and descriptive level, and fundamental limitations can be felt due to the design and construction of the questionnaire. (Lambert, 2019 p. 1-2).</w:t>
      </w:r>
    </w:p>
    <w:p w14:paraId="595FFD57"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286C83F"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Primary and Secondary research will be conducted in the form of a questionnaire and through the analysis of what partnership agencies have currently in place to tackle women's safety in public spaces and this will also be incorporated into the questionnaire design to answer part of the objective stated </w:t>
      </w:r>
      <w:proofErr w:type="gramStart"/>
      <w:r>
        <w:rPr>
          <w:rFonts w:ascii="Calibri" w:hAnsi="Calibri" w:cs="Calibri"/>
          <w:sz w:val="22"/>
          <w:szCs w:val="22"/>
        </w:rPr>
        <w:t>above;</w:t>
      </w:r>
      <w:proofErr w:type="gramEnd"/>
      <w:r>
        <w:rPr>
          <w:rFonts w:ascii="Calibri" w:hAnsi="Calibri" w:cs="Calibri"/>
          <w:sz w:val="22"/>
          <w:szCs w:val="22"/>
        </w:rPr>
        <w:t xml:space="preserve"> whether women are aware of schemes and initiatives in place.</w:t>
      </w:r>
    </w:p>
    <w:p w14:paraId="17BD0A55"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A421281"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3.2.5.2 Sampling: Questionnaire Design - </w:t>
      </w:r>
    </w:p>
    <w:p w14:paraId="63CCBE78"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The target for the sample group of the questionnaire is 50 women from the Cardiff area, that had a range of ages and ethnicities and </w:t>
      </w:r>
      <w:proofErr w:type="gramStart"/>
      <w:r>
        <w:rPr>
          <w:rFonts w:ascii="Calibri" w:hAnsi="Calibri" w:cs="Calibri"/>
          <w:sz w:val="22"/>
          <w:szCs w:val="22"/>
        </w:rPr>
        <w:t>live in</w:t>
      </w:r>
      <w:proofErr w:type="gramEnd"/>
      <w:r>
        <w:rPr>
          <w:rFonts w:ascii="Calibri" w:hAnsi="Calibri" w:cs="Calibri"/>
          <w:sz w:val="22"/>
          <w:szCs w:val="22"/>
        </w:rPr>
        <w:t xml:space="preserve"> various areas within Cardiff.</w:t>
      </w:r>
    </w:p>
    <w:p w14:paraId="40B3F91B"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53684FC8"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3.2.5.3 - </w:t>
      </w:r>
      <w:proofErr w:type="gramStart"/>
      <w:r>
        <w:rPr>
          <w:rFonts w:ascii="Calibri" w:hAnsi="Calibri" w:cs="Calibri"/>
          <w:sz w:val="22"/>
          <w:szCs w:val="22"/>
        </w:rPr>
        <w:t>Pre Test</w:t>
      </w:r>
      <w:proofErr w:type="gramEnd"/>
      <w:r>
        <w:rPr>
          <w:rFonts w:ascii="Calibri" w:hAnsi="Calibri" w:cs="Calibri"/>
          <w:sz w:val="22"/>
          <w:szCs w:val="22"/>
        </w:rPr>
        <w:t xml:space="preserve"> of Questionnaire - </w:t>
      </w:r>
    </w:p>
    <w:p w14:paraId="63C996BA"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A pre-test of the questionnaire was carried out prior to the master questionnaire, this was to ensure its clarity and to ensure the sample group's acceptance of the survey, and to ensure the primary research principles of reliability and validity and maintain the most accurate data from the research (Mooi, Sarstedt, 2011, p. 65).</w:t>
      </w:r>
    </w:p>
    <w:p w14:paraId="47A84D10"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1EA14372"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3.2.5.4 Data Analysis - </w:t>
      </w:r>
    </w:p>
    <w:p w14:paraId="2BA51DB8"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The analysis of the data collected by the questionnaire was analysed by using Microsoft Excel.</w:t>
      </w:r>
    </w:p>
    <w:p w14:paraId="7871E33F"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4427EC0F"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Chapter 3.3 - Reliability and Validity - </w:t>
      </w:r>
    </w:p>
    <w:p w14:paraId="4A97E52C"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Questions arise about the quality of the research in the form of reliability and validity. Saunders (et al 2019, p.213) explains that reliability refers to the "replication and consistency. If a researcher is </w:t>
      </w:r>
      <w:r>
        <w:rPr>
          <w:rFonts w:ascii="Calibri" w:hAnsi="Calibri" w:cs="Calibri"/>
          <w:sz w:val="22"/>
          <w:szCs w:val="22"/>
        </w:rPr>
        <w:lastRenderedPageBreak/>
        <w:t xml:space="preserve">able to replicate </w:t>
      </w:r>
      <w:proofErr w:type="gramStart"/>
      <w:r>
        <w:rPr>
          <w:rFonts w:ascii="Calibri" w:hAnsi="Calibri" w:cs="Calibri"/>
          <w:sz w:val="22"/>
          <w:szCs w:val="22"/>
        </w:rPr>
        <w:t>an earlier research</w:t>
      </w:r>
      <w:proofErr w:type="gramEnd"/>
      <w:r>
        <w:rPr>
          <w:rFonts w:ascii="Calibri" w:hAnsi="Calibri" w:cs="Calibri"/>
          <w:sz w:val="22"/>
          <w:szCs w:val="22"/>
        </w:rPr>
        <w:t xml:space="preserve"> designed achieve the same findings, then that research would be seen as being reliable."</w:t>
      </w:r>
    </w:p>
    <w:p w14:paraId="403FAE23"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Saunders (et al 2019 p214) further states that validity refers to the suitability of the measures used within the research and how precise the findings are, thus the pre-test was conducted to ensure the reliability and validity of the research. </w:t>
      </w:r>
    </w:p>
    <w:p w14:paraId="660856CB"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68F6A108"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Chapter 3.4 - Limitations -  </w:t>
      </w:r>
    </w:p>
    <w:p w14:paraId="588C9056"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Due to the nature of the research project a limitation within research was the sample size. The researcher intended to capture a much bigger sample size, however due to time constraints this was not achievable. This research project set for students only allows the research to be conducted over short period of time, and therefore did not allow for a bigger sample as this would have had ever implications in the analysis of further data. </w:t>
      </w:r>
    </w:p>
    <w:p w14:paraId="238A2AAE"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w:t>
      </w:r>
    </w:p>
    <w:p w14:paraId="06941D39"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Chapter 3.5 - Ethical </w:t>
      </w:r>
      <w:proofErr w:type="gramStart"/>
      <w:r>
        <w:rPr>
          <w:rFonts w:ascii="Calibri" w:hAnsi="Calibri" w:cs="Calibri"/>
          <w:sz w:val="22"/>
          <w:szCs w:val="22"/>
        </w:rPr>
        <w:t>Considerations  -</w:t>
      </w:r>
      <w:proofErr w:type="gramEnd"/>
      <w:r>
        <w:rPr>
          <w:rFonts w:ascii="Calibri" w:hAnsi="Calibri" w:cs="Calibri"/>
          <w:sz w:val="22"/>
          <w:szCs w:val="22"/>
        </w:rPr>
        <w:t xml:space="preserve"> </w:t>
      </w:r>
    </w:p>
    <w:p w14:paraId="7B31B62C" w14:textId="77777777" w:rsidR="00F01EDF" w:rsidRDefault="00F01EDF" w:rsidP="00556E1A">
      <w:pPr>
        <w:pStyle w:val="NormalWeb"/>
        <w:spacing w:before="0" w:beforeAutospacing="0" w:after="0" w:afterAutospacing="0" w:line="480" w:lineRule="auto"/>
        <w:rPr>
          <w:rFonts w:ascii="Calibri" w:hAnsi="Calibri" w:cs="Calibri"/>
          <w:sz w:val="22"/>
          <w:szCs w:val="22"/>
        </w:rPr>
      </w:pPr>
      <w:r>
        <w:rPr>
          <w:rFonts w:ascii="Calibri" w:hAnsi="Calibri" w:cs="Calibri"/>
          <w:sz w:val="22"/>
          <w:szCs w:val="22"/>
        </w:rPr>
        <w:t xml:space="preserve">Before conducting this research project, an ethical considerations form was submitted to the university Trinity St David. </w:t>
      </w:r>
    </w:p>
    <w:p w14:paraId="3D26A51B" w14:textId="77777777" w:rsidR="00F01EDF" w:rsidRDefault="00F01EDF" w:rsidP="00556E1A">
      <w:pPr>
        <w:pStyle w:val="NormalWeb"/>
        <w:spacing w:before="0" w:beforeAutospacing="0" w:after="0" w:afterAutospacing="0" w:line="480" w:lineRule="auto"/>
        <w:rPr>
          <w:rFonts w:ascii="Calibri" w:hAnsi="Calibri" w:cs="Calibri"/>
          <w:sz w:val="22"/>
          <w:szCs w:val="22"/>
        </w:rPr>
      </w:pPr>
      <w:proofErr w:type="gramStart"/>
      <w:r>
        <w:rPr>
          <w:rFonts w:ascii="Calibri" w:hAnsi="Calibri" w:cs="Calibri"/>
          <w:sz w:val="22"/>
          <w:szCs w:val="22"/>
        </w:rPr>
        <w:t>This ethical considerations</w:t>
      </w:r>
      <w:proofErr w:type="gramEnd"/>
      <w:r>
        <w:rPr>
          <w:rFonts w:ascii="Calibri" w:hAnsi="Calibri" w:cs="Calibri"/>
          <w:sz w:val="22"/>
          <w:szCs w:val="22"/>
        </w:rPr>
        <w:t xml:space="preserve"> form was viewed and subsequently approved by University Trinity St David. </w:t>
      </w:r>
    </w:p>
    <w:p w14:paraId="7197FE0B" w14:textId="77777777" w:rsidR="00116151" w:rsidRDefault="00116151" w:rsidP="00556E1A">
      <w:pPr>
        <w:spacing w:line="480" w:lineRule="auto"/>
      </w:pPr>
    </w:p>
    <w:sectPr w:rsidR="001161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06E87" w14:textId="77777777" w:rsidR="00F01EDF" w:rsidRDefault="00F01EDF" w:rsidP="00F01EDF">
      <w:pPr>
        <w:spacing w:after="0" w:line="240" w:lineRule="auto"/>
      </w:pPr>
      <w:r>
        <w:separator/>
      </w:r>
    </w:p>
  </w:endnote>
  <w:endnote w:type="continuationSeparator" w:id="0">
    <w:p w14:paraId="7EA40142" w14:textId="77777777" w:rsidR="00F01EDF" w:rsidRDefault="00F01EDF" w:rsidP="00F01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1DE6D" w14:textId="77777777" w:rsidR="00F01EDF" w:rsidRDefault="00F01EDF" w:rsidP="00F01EDF">
      <w:pPr>
        <w:spacing w:after="0" w:line="240" w:lineRule="auto"/>
      </w:pPr>
      <w:r>
        <w:separator/>
      </w:r>
    </w:p>
  </w:footnote>
  <w:footnote w:type="continuationSeparator" w:id="0">
    <w:p w14:paraId="3DA3C8A4" w14:textId="77777777" w:rsidR="00F01EDF" w:rsidRDefault="00F01EDF" w:rsidP="00F01E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E1E"/>
    <w:rsid w:val="0001097C"/>
    <w:rsid w:val="000E6501"/>
    <w:rsid w:val="00116151"/>
    <w:rsid w:val="00556E1A"/>
    <w:rsid w:val="00BF486D"/>
    <w:rsid w:val="00D52E1E"/>
    <w:rsid w:val="00F01EDF"/>
    <w:rsid w:val="00F16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668637"/>
  <w15:chartTrackingRefBased/>
  <w15:docId w15:val="{1ECF3635-CA8E-4CFF-BC21-2FB4F428B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1ED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610879">
      <w:bodyDiv w:val="1"/>
      <w:marLeft w:val="0"/>
      <w:marRight w:val="0"/>
      <w:marTop w:val="0"/>
      <w:marBottom w:val="0"/>
      <w:divBdr>
        <w:top w:val="none" w:sz="0" w:space="0" w:color="auto"/>
        <w:left w:val="none" w:sz="0" w:space="0" w:color="auto"/>
        <w:bottom w:val="none" w:sz="0" w:space="0" w:color="auto"/>
        <w:right w:val="none" w:sz="0" w:space="0" w:color="auto"/>
      </w:divBdr>
    </w:div>
    <w:div w:id="1127435362">
      <w:bodyDiv w:val="1"/>
      <w:marLeft w:val="0"/>
      <w:marRight w:val="0"/>
      <w:marTop w:val="0"/>
      <w:marBottom w:val="0"/>
      <w:divBdr>
        <w:top w:val="none" w:sz="0" w:space="0" w:color="auto"/>
        <w:left w:val="none" w:sz="0" w:space="0" w:color="auto"/>
        <w:bottom w:val="none" w:sz="0" w:space="0" w:color="auto"/>
        <w:right w:val="none" w:sz="0" w:space="0" w:color="auto"/>
      </w:divBdr>
    </w:div>
    <w:div w:id="183980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4632</TotalTime>
  <Pages>7</Pages>
  <Words>1457</Words>
  <Characters>8308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Greenland,Abbeigh swp6553</dc:creator>
  <cp:keywords/>
  <dc:description/>
  <cp:lastModifiedBy>Greenland,Abbeigh swp6553</cp:lastModifiedBy>
  <cp:revision>2</cp:revision>
  <dcterms:created xsi:type="dcterms:W3CDTF">2022-03-02T12:21:00Z</dcterms:created>
  <dcterms:modified xsi:type="dcterms:W3CDTF">2022-03-07T19:20:00Z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2022-03-07T12:17:16Z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e9d78e49-a933-4fb0-ad41-1b5cf46bd868</vt:lpwstr>
  </property>
  <property fmtid="{D5CDD505-2E9C-101B-9397-08002B2CF9AE}" pid="8" name="MSIP_Label_66cf8fe5-b7b7-4df7-b38d-1c61ac2f6639_ContentBits">
    <vt:lpwstr>0</vt:lpwstr>
  </property>
</Properties>
</file>