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7076A8" w14:textId="77777777" w:rsidR="00215D76" w:rsidRDefault="00215D7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343D918E" w14:textId="77777777" w:rsidR="00215D76" w:rsidRPr="001A346D" w:rsidRDefault="00215D76" w:rsidP="00215D7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Student: Azra Bi</w:t>
      </w:r>
    </w:p>
    <w:p w14:paraId="3905BDA4" w14:textId="77777777" w:rsidR="00215D76" w:rsidRPr="001A346D" w:rsidRDefault="00215D76" w:rsidP="00215D7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2C491A3D" w14:textId="77777777" w:rsidR="00215D76" w:rsidRPr="001A346D" w:rsidRDefault="00215D76" w:rsidP="00215D76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Student ID: 2312900</w:t>
      </w:r>
    </w:p>
    <w:p w14:paraId="0B8071F3" w14:textId="195DE005" w:rsidR="00215D76" w:rsidRPr="00215D76" w:rsidRDefault="00215D76" w:rsidP="00215D76">
      <w:pPr>
        <w:spacing w:line="360" w:lineRule="auto"/>
        <w:jc w:val="center"/>
        <w:rPr>
          <w:rFonts w:ascii="Arial" w:hAnsi="Arial" w:cs="Arial"/>
          <w:b/>
          <w:bCs/>
          <w:color w:val="242130"/>
          <w:sz w:val="36"/>
          <w:szCs w:val="36"/>
          <w:shd w:val="clear" w:color="auto" w:fill="FFFFFF"/>
        </w:rPr>
      </w:pPr>
      <w:r w:rsidRPr="001A346D">
        <w:rPr>
          <w:rFonts w:ascii="Arial" w:hAnsi="Arial" w:cs="Arial"/>
          <w:b/>
          <w:bCs/>
          <w:sz w:val="36"/>
          <w:szCs w:val="36"/>
        </w:rPr>
        <w:t>Lecturer</w:t>
      </w:r>
      <w:r w:rsidRPr="00215D76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: </w:t>
      </w:r>
      <w:r w:rsidRPr="00FE01AD">
        <w:rPr>
          <w:rFonts w:ascii="Arial" w:hAnsi="Arial" w:cs="Arial"/>
          <w:b/>
          <w:bCs/>
          <w:sz w:val="36"/>
          <w:szCs w:val="36"/>
          <w:shd w:val="clear" w:color="auto" w:fill="FFFFFF"/>
        </w:rPr>
        <w:t>Chloe Harries</w:t>
      </w:r>
    </w:p>
    <w:p w14:paraId="768FD9E5" w14:textId="07A70FB2" w:rsidR="00215D76" w:rsidRPr="00215D76" w:rsidRDefault="00215D76" w:rsidP="00215D76">
      <w:pPr>
        <w:spacing w:before="120" w:after="120"/>
        <w:jc w:val="center"/>
        <w:rPr>
          <w:rFonts w:ascii="Arial" w:hAnsi="Arial" w:cs="Arial"/>
          <w:b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 xml:space="preserve">Module: </w:t>
      </w:r>
      <w:r w:rsidRPr="00215D76">
        <w:rPr>
          <w:rFonts w:ascii="Arial" w:hAnsi="Arial" w:cs="Arial"/>
          <w:b/>
          <w:bCs/>
          <w:sz w:val="36"/>
          <w:szCs w:val="36"/>
        </w:rPr>
        <w:t>Independent Project</w:t>
      </w:r>
    </w:p>
    <w:p w14:paraId="59A03E4F" w14:textId="409A6542" w:rsidR="00215D76" w:rsidRDefault="00215D76" w:rsidP="00215D76">
      <w:pPr>
        <w:spacing w:line="360" w:lineRule="auto"/>
        <w:jc w:val="center"/>
        <w:rPr>
          <w:rFonts w:ascii="Arial" w:hAnsi="Arial" w:cs="Arial"/>
          <w:b/>
        </w:rPr>
      </w:pPr>
    </w:p>
    <w:p w14:paraId="6C6FE96E" w14:textId="1C5B025F" w:rsidR="00215D76" w:rsidRPr="00215D76" w:rsidRDefault="00215D76" w:rsidP="00215D76">
      <w:pPr>
        <w:spacing w:before="120" w:after="120"/>
        <w:jc w:val="center"/>
        <w:rPr>
          <w:rFonts w:ascii="Arial" w:hAnsi="Arial" w:cs="Arial"/>
          <w:b/>
          <w:sz w:val="36"/>
          <w:szCs w:val="36"/>
        </w:rPr>
      </w:pPr>
      <w:r>
        <w:rPr>
          <w:rFonts w:ascii="Arial" w:hAnsi="Arial" w:cs="Arial"/>
          <w:b/>
        </w:rPr>
        <w:t xml:space="preserve"> </w:t>
      </w:r>
      <w:r w:rsidRPr="001A346D">
        <w:rPr>
          <w:rFonts w:ascii="Arial" w:hAnsi="Arial" w:cs="Arial"/>
          <w:b/>
          <w:bCs/>
          <w:sz w:val="36"/>
          <w:szCs w:val="36"/>
        </w:rPr>
        <w:t xml:space="preserve">Module </w:t>
      </w:r>
      <w:r w:rsidRPr="00861355">
        <w:rPr>
          <w:rFonts w:ascii="Arial" w:hAnsi="Arial" w:cs="Arial"/>
          <w:b/>
          <w:bCs/>
          <w:sz w:val="36"/>
          <w:szCs w:val="36"/>
        </w:rPr>
        <w:t>code</w:t>
      </w:r>
      <w:r w:rsidRPr="00215D76">
        <w:rPr>
          <w:rFonts w:ascii="Arial" w:hAnsi="Arial" w:cs="Arial"/>
          <w:b/>
          <w:bCs/>
          <w:sz w:val="36"/>
          <w:szCs w:val="36"/>
        </w:rPr>
        <w:t xml:space="preserve">: </w:t>
      </w:r>
      <w:r w:rsidRPr="00215D76">
        <w:rPr>
          <w:rFonts w:ascii="Arial" w:hAnsi="Arial" w:cs="Arial"/>
          <w:b/>
          <w:sz w:val="36"/>
          <w:szCs w:val="36"/>
        </w:rPr>
        <w:t>BMHP6020</w:t>
      </w:r>
    </w:p>
    <w:p w14:paraId="0CEF90E0" w14:textId="2FC14457" w:rsidR="00215D76" w:rsidRPr="001A346D" w:rsidRDefault="00215D76" w:rsidP="00215D76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</w:p>
    <w:p w14:paraId="3306500B" w14:textId="6606B43A" w:rsidR="00215D76" w:rsidRPr="00215D76" w:rsidRDefault="00215D76" w:rsidP="00215D76">
      <w:pPr>
        <w:spacing w:line="256" w:lineRule="auto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Assignment title</w:t>
      </w:r>
      <w:r w:rsidRPr="00215D76">
        <w:rPr>
          <w:rFonts w:ascii="Arial" w:hAnsi="Arial" w:cs="Arial"/>
          <w:b/>
          <w:bCs/>
          <w:sz w:val="36"/>
          <w:szCs w:val="36"/>
        </w:rPr>
        <w:t>:</w:t>
      </w:r>
      <w:r w:rsidRPr="00215D76">
        <w:rPr>
          <w:rFonts w:ascii="Arial" w:hAnsi="Arial" w:cs="Arial"/>
          <w:b/>
          <w:sz w:val="36"/>
          <w:szCs w:val="36"/>
        </w:rPr>
        <w:t xml:space="preserve"> </w:t>
      </w:r>
      <w:r w:rsidRPr="00215D76">
        <w:rPr>
          <w:rFonts w:ascii="Arial" w:hAnsi="Arial" w:cs="Arial"/>
          <w:b/>
          <w:bCs/>
          <w:sz w:val="36"/>
          <w:szCs w:val="36"/>
        </w:rPr>
        <w:t>Component 1: Portfolio (including 3 elements)</w:t>
      </w:r>
    </w:p>
    <w:p w14:paraId="14398DD1" w14:textId="77777777" w:rsidR="00215D76" w:rsidRDefault="00215D76" w:rsidP="00215D76">
      <w:pPr>
        <w:spacing w:line="360" w:lineRule="auto"/>
        <w:rPr>
          <w:rFonts w:ascii="Arial" w:hAnsi="Arial" w:cs="Arial"/>
          <w:b/>
          <w:bCs/>
        </w:rPr>
      </w:pPr>
    </w:p>
    <w:p w14:paraId="7F0239E7" w14:textId="77777777" w:rsidR="00215D76" w:rsidRDefault="00215D76" w:rsidP="00215D76">
      <w:pPr>
        <w:spacing w:line="360" w:lineRule="auto"/>
        <w:rPr>
          <w:rFonts w:ascii="Arial" w:hAnsi="Arial" w:cs="Arial"/>
          <w:b/>
          <w:bCs/>
        </w:rPr>
      </w:pPr>
    </w:p>
    <w:p w14:paraId="13744EDA" w14:textId="77777777" w:rsidR="00215D76" w:rsidRDefault="00215D76" w:rsidP="00215D76">
      <w:pPr>
        <w:spacing w:line="360" w:lineRule="auto"/>
        <w:rPr>
          <w:rFonts w:ascii="Arial" w:hAnsi="Arial" w:cs="Arial"/>
          <w:b/>
          <w:bCs/>
        </w:rPr>
      </w:pPr>
    </w:p>
    <w:p w14:paraId="7001C574" w14:textId="77777777" w:rsidR="00215D76" w:rsidRDefault="00215D76" w:rsidP="00215D76">
      <w:pPr>
        <w:spacing w:line="360" w:lineRule="auto"/>
        <w:rPr>
          <w:rFonts w:ascii="Arial" w:hAnsi="Arial" w:cs="Arial"/>
          <w:b/>
          <w:bCs/>
        </w:rPr>
      </w:pPr>
    </w:p>
    <w:p w14:paraId="0F00DF31" w14:textId="77777777" w:rsidR="00215D76" w:rsidRDefault="00215D76" w:rsidP="00215D76">
      <w:pPr>
        <w:spacing w:line="360" w:lineRule="auto"/>
        <w:rPr>
          <w:rFonts w:ascii="Arial" w:hAnsi="Arial" w:cs="Arial"/>
          <w:b/>
          <w:bCs/>
        </w:rPr>
      </w:pPr>
    </w:p>
    <w:p w14:paraId="2F7F0B95" w14:textId="77777777" w:rsidR="00215D76" w:rsidRDefault="00215D76" w:rsidP="00215D76">
      <w:pPr>
        <w:spacing w:line="360" w:lineRule="auto"/>
        <w:rPr>
          <w:rFonts w:ascii="Arial" w:hAnsi="Arial" w:cs="Arial"/>
          <w:b/>
          <w:bCs/>
        </w:rPr>
      </w:pPr>
    </w:p>
    <w:p w14:paraId="47D70A7A" w14:textId="77777777" w:rsidR="00215D76" w:rsidRDefault="00215D7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33AFF5B1" w14:textId="77777777" w:rsidR="00215D76" w:rsidRDefault="00215D7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143626F7" w14:textId="77777777" w:rsidR="00215D76" w:rsidRDefault="00215D7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12E83C83" w14:textId="77777777" w:rsidR="00215D76" w:rsidRDefault="00215D7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552BC289" w14:textId="77777777" w:rsidR="00215D76" w:rsidRDefault="00215D7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5514CECB" w14:textId="77777777" w:rsidR="00215D76" w:rsidRDefault="00215D7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2FFFC494" w14:textId="77777777" w:rsidR="00215D76" w:rsidRDefault="00215D7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1E4BFF2C" w14:textId="77777777" w:rsidR="00215D76" w:rsidRPr="00215D76" w:rsidRDefault="00215D76" w:rsidP="00215D76">
      <w:pPr>
        <w:jc w:val="center"/>
        <w:rPr>
          <w:rFonts w:ascii="Arial" w:hAnsi="Arial" w:cs="Arial"/>
          <w:b/>
          <w:bCs/>
        </w:rPr>
      </w:pPr>
      <w:r w:rsidRPr="00215D76">
        <w:rPr>
          <w:rFonts w:ascii="Arial" w:hAnsi="Arial" w:cs="Arial"/>
          <w:b/>
          <w:bCs/>
        </w:rPr>
        <w:lastRenderedPageBreak/>
        <w:t>Element 1 - Project Proposal</w:t>
      </w:r>
    </w:p>
    <w:p w14:paraId="5DD1F515" w14:textId="77777777" w:rsidR="00215D76" w:rsidRDefault="00215D76" w:rsidP="00215D76">
      <w:pPr>
        <w:spacing w:line="360" w:lineRule="auto"/>
        <w:jc w:val="center"/>
        <w:rPr>
          <w:rFonts w:ascii="Arial" w:hAnsi="Arial" w:cs="Arial"/>
          <w:b/>
          <w:bCs/>
          <w:i/>
          <w:iCs/>
        </w:rPr>
      </w:pPr>
    </w:p>
    <w:p w14:paraId="23DFAC4C" w14:textId="5AB3FDC5" w:rsidR="004E5236" w:rsidRPr="004E5236" w:rsidRDefault="004E523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4E5236">
        <w:rPr>
          <w:rFonts w:ascii="Arial" w:hAnsi="Arial" w:cs="Arial"/>
          <w:b/>
          <w:bCs/>
          <w:i/>
          <w:iCs/>
        </w:rPr>
        <w:t>My project title:</w:t>
      </w:r>
    </w:p>
    <w:p w14:paraId="28EE0C7B" w14:textId="2E13041B" w:rsid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Effectiveness and Accessibility of Digital Mental Health Interventions for Older Adults in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UK</w:t>
      </w:r>
      <w:r>
        <w:rPr>
          <w:rFonts w:ascii="Arial" w:hAnsi="Arial" w:cs="Arial"/>
        </w:rPr>
        <w:t>.</w:t>
      </w:r>
      <w:r w:rsidR="00164B2B">
        <w:rPr>
          <w:rFonts w:ascii="Arial" w:hAnsi="Arial" w:cs="Arial"/>
        </w:rPr>
        <w:t xml:space="preserve"> </w:t>
      </w:r>
    </w:p>
    <w:p w14:paraId="00461163" w14:textId="77777777" w:rsidR="006D396D" w:rsidRDefault="006D396D" w:rsidP="004E5236">
      <w:pPr>
        <w:spacing w:line="360" w:lineRule="auto"/>
        <w:rPr>
          <w:rFonts w:ascii="Arial" w:hAnsi="Arial" w:cs="Arial"/>
        </w:rPr>
      </w:pPr>
    </w:p>
    <w:p w14:paraId="4F61A0B3" w14:textId="77777777" w:rsidR="004E5236" w:rsidRPr="004E5236" w:rsidRDefault="004E523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4E5236">
        <w:rPr>
          <w:rFonts w:ascii="Arial" w:hAnsi="Arial" w:cs="Arial"/>
          <w:b/>
          <w:bCs/>
          <w:i/>
          <w:iCs/>
        </w:rPr>
        <w:t>1) Aim:</w:t>
      </w:r>
    </w:p>
    <w:p w14:paraId="1B54C315" w14:textId="1ECAAB31" w:rsidR="006D396D" w:rsidRDefault="006D396D" w:rsidP="006D396D">
      <w:pPr>
        <w:spacing w:line="360" w:lineRule="auto"/>
        <w:rPr>
          <w:rFonts w:ascii="Arial" w:hAnsi="Arial" w:cs="Arial"/>
        </w:rPr>
      </w:pPr>
      <w:r w:rsidRPr="006D396D">
        <w:rPr>
          <w:rFonts w:ascii="Arial" w:hAnsi="Arial" w:cs="Arial"/>
        </w:rPr>
        <w:t>This study aims to evaluate the quality and availability of online mental health</w:t>
      </w:r>
      <w:r>
        <w:rPr>
          <w:rFonts w:ascii="Arial" w:hAnsi="Arial" w:cs="Arial"/>
        </w:rPr>
        <w:t xml:space="preserve"> </w:t>
      </w:r>
      <w:r w:rsidRPr="006D396D">
        <w:rPr>
          <w:rFonts w:ascii="Arial" w:hAnsi="Arial" w:cs="Arial"/>
        </w:rPr>
        <w:t>interventions available to older adults in the United Kingdom, especially in outlining the</w:t>
      </w:r>
      <w:r>
        <w:rPr>
          <w:rFonts w:ascii="Arial" w:hAnsi="Arial" w:cs="Arial"/>
        </w:rPr>
        <w:t xml:space="preserve"> </w:t>
      </w:r>
      <w:r w:rsidRPr="006D396D">
        <w:rPr>
          <w:rFonts w:ascii="Arial" w:hAnsi="Arial" w:cs="Arial"/>
        </w:rPr>
        <w:t>barriers and enabling factors to participation and recommending ways to maximise the</w:t>
      </w:r>
      <w:r>
        <w:rPr>
          <w:rFonts w:ascii="Arial" w:hAnsi="Arial" w:cs="Arial"/>
        </w:rPr>
        <w:t xml:space="preserve"> </w:t>
      </w:r>
      <w:r w:rsidRPr="006D396D">
        <w:rPr>
          <w:rFonts w:ascii="Arial" w:hAnsi="Arial" w:cs="Arial"/>
        </w:rPr>
        <w:t>benefits.</w:t>
      </w:r>
    </w:p>
    <w:p w14:paraId="6987D795" w14:textId="77777777" w:rsidR="006D396D" w:rsidRDefault="006D396D" w:rsidP="006D396D">
      <w:pPr>
        <w:spacing w:line="360" w:lineRule="auto"/>
        <w:rPr>
          <w:rFonts w:ascii="Arial" w:hAnsi="Arial" w:cs="Arial"/>
        </w:rPr>
      </w:pPr>
    </w:p>
    <w:p w14:paraId="65DC2806" w14:textId="395C0C68" w:rsidR="004E5236" w:rsidRPr="004E5236" w:rsidRDefault="004E5236" w:rsidP="006D396D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4E5236">
        <w:rPr>
          <w:rFonts w:ascii="Arial" w:hAnsi="Arial" w:cs="Arial"/>
          <w:b/>
          <w:bCs/>
          <w:i/>
          <w:iCs/>
        </w:rPr>
        <w:t>2) Objectives:</w:t>
      </w:r>
    </w:p>
    <w:p w14:paraId="58D52C9C" w14:textId="277B2A1E" w:rsidR="004E5236" w:rsidRP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• Define and examine key types of digital mental health interventions used by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older people.</w:t>
      </w:r>
    </w:p>
    <w:p w14:paraId="051D51DD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• Analyse evidence on their effectiveness in improving mental health outcomes.</w:t>
      </w:r>
    </w:p>
    <w:p w14:paraId="50DA420F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• Evaluate barriers and facilitators to uptake among older adults.</w:t>
      </w:r>
    </w:p>
    <w:p w14:paraId="7FB3B19A" w14:textId="60250AD2" w:rsidR="001F1B72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• Provide recommendations for improving inclusive digital mental health services.</w:t>
      </w:r>
    </w:p>
    <w:p w14:paraId="4190C69F" w14:textId="77777777" w:rsidR="006D396D" w:rsidRPr="004E5236" w:rsidRDefault="006D396D" w:rsidP="004E5236">
      <w:pPr>
        <w:spacing w:line="360" w:lineRule="auto"/>
        <w:rPr>
          <w:rFonts w:ascii="Arial" w:hAnsi="Arial" w:cs="Arial"/>
        </w:rPr>
      </w:pPr>
    </w:p>
    <w:p w14:paraId="12226963" w14:textId="77777777" w:rsidR="004E5236" w:rsidRPr="004E5236" w:rsidRDefault="004E523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4E5236">
        <w:rPr>
          <w:rFonts w:ascii="Arial" w:hAnsi="Arial" w:cs="Arial"/>
          <w:b/>
          <w:bCs/>
          <w:i/>
          <w:iCs/>
        </w:rPr>
        <w:t>3) Background/Rationale:</w:t>
      </w:r>
    </w:p>
    <w:p w14:paraId="4BED6646" w14:textId="4EB06C7F" w:rsidR="004E5236" w:rsidRP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Among the most common mental illnesses in older adults in the UK, we find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depression, anxiety, and loneliness, but many experience problems with the traditional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services, including mobility and lengthy queues (Chowdhury et al., 2023). Online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cognitive behavioural therapy and telepsychiatry (as examples of digital mental health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interventions (DMHIs)) can also provide solutions to this, as they enhance access and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continuity of care (Philippe et al., 2022). Nonetheless, there is evidence that older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adults are less digitally literate and less confident, which contributes to digital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exclusion (Wale et al., 2024). Although DMHIs have been proven effective in adult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patients, studies that particularly target older individuals are scarce (Daniels and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Bonnechère, 2024). The presented paper assists in filling this gap by compiling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evidence published in the UK in recent years in order to evaluate both the effectiveness and accessibility and guide policy and practise in order to make digital services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age-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inclusive and equitable.</w:t>
      </w:r>
    </w:p>
    <w:p w14:paraId="6A2C5C11" w14:textId="77777777" w:rsidR="004E5236" w:rsidRDefault="004E523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4E5236">
        <w:rPr>
          <w:rFonts w:ascii="Arial" w:hAnsi="Arial" w:cs="Arial"/>
          <w:b/>
          <w:bCs/>
          <w:i/>
          <w:iCs/>
        </w:rPr>
        <w:lastRenderedPageBreak/>
        <w:t>4) Methods:</w:t>
      </w:r>
    </w:p>
    <w:p w14:paraId="4DE7D163" w14:textId="1061552A" w:rsidR="006D396D" w:rsidRPr="006D396D" w:rsidRDefault="006D396D" w:rsidP="006D396D">
      <w:pPr>
        <w:spacing w:line="360" w:lineRule="auto"/>
        <w:rPr>
          <w:rFonts w:ascii="Arial" w:hAnsi="Arial" w:cs="Arial"/>
        </w:rPr>
      </w:pPr>
      <w:r w:rsidRPr="006D396D">
        <w:rPr>
          <w:rFonts w:ascii="Arial" w:hAnsi="Arial" w:cs="Arial"/>
        </w:rPr>
        <w:t>The secondary research approach will be employed in the context of this study, with</w:t>
      </w:r>
      <w:r>
        <w:rPr>
          <w:rFonts w:ascii="Arial" w:hAnsi="Arial" w:cs="Arial"/>
        </w:rPr>
        <w:t xml:space="preserve"> </w:t>
      </w:r>
      <w:r w:rsidRPr="006D396D">
        <w:rPr>
          <w:rFonts w:ascii="Arial" w:hAnsi="Arial" w:cs="Arial"/>
        </w:rPr>
        <w:t>reference to peer-reviewed journal articles and policy reports published since 2015 and</w:t>
      </w:r>
      <w:r>
        <w:rPr>
          <w:rFonts w:ascii="Arial" w:hAnsi="Arial" w:cs="Arial"/>
        </w:rPr>
        <w:t xml:space="preserve"> </w:t>
      </w:r>
      <w:r w:rsidRPr="006D396D">
        <w:rPr>
          <w:rFonts w:ascii="Arial" w:hAnsi="Arial" w:cs="Arial"/>
        </w:rPr>
        <w:t>written in English. Predefined keywords will be used to search databases like PubMed,</w:t>
      </w:r>
      <w:r>
        <w:rPr>
          <w:rFonts w:ascii="Arial" w:hAnsi="Arial" w:cs="Arial"/>
        </w:rPr>
        <w:t xml:space="preserve"> </w:t>
      </w:r>
      <w:r w:rsidRPr="006D396D">
        <w:rPr>
          <w:rFonts w:ascii="Arial" w:hAnsi="Arial" w:cs="Arial"/>
        </w:rPr>
        <w:t>CINAHL and Google Scholar. Sources will be screened on relevance, methodological</w:t>
      </w:r>
      <w:r>
        <w:rPr>
          <w:rFonts w:ascii="Arial" w:hAnsi="Arial" w:cs="Arial"/>
        </w:rPr>
        <w:t xml:space="preserve"> </w:t>
      </w:r>
      <w:r w:rsidRPr="006D396D">
        <w:rPr>
          <w:rFonts w:ascii="Arial" w:hAnsi="Arial" w:cs="Arial"/>
        </w:rPr>
        <w:t>quality and suitability to older generations. Moreover, the thematic analysis method will</w:t>
      </w:r>
      <w:r>
        <w:rPr>
          <w:rFonts w:ascii="Arial" w:hAnsi="Arial" w:cs="Arial"/>
        </w:rPr>
        <w:t xml:space="preserve"> </w:t>
      </w:r>
      <w:r w:rsidRPr="006D396D">
        <w:rPr>
          <w:rFonts w:ascii="Arial" w:hAnsi="Arial" w:cs="Arial"/>
        </w:rPr>
        <w:t>be used to recognise general patterns in the context of effectiveness, barriers, and</w:t>
      </w:r>
      <w:r>
        <w:rPr>
          <w:rFonts w:ascii="Arial" w:hAnsi="Arial" w:cs="Arial"/>
        </w:rPr>
        <w:t xml:space="preserve"> </w:t>
      </w:r>
      <w:r w:rsidRPr="006D396D">
        <w:rPr>
          <w:rFonts w:ascii="Arial" w:hAnsi="Arial" w:cs="Arial"/>
        </w:rPr>
        <w:t>enablers of digital intervention use (</w:t>
      </w:r>
      <w:proofErr w:type="spellStart"/>
      <w:r w:rsidRPr="006D396D">
        <w:rPr>
          <w:rFonts w:ascii="Arial" w:hAnsi="Arial" w:cs="Arial"/>
        </w:rPr>
        <w:t>Cernasev</w:t>
      </w:r>
      <w:proofErr w:type="spellEnd"/>
      <w:r w:rsidRPr="006D396D">
        <w:rPr>
          <w:rFonts w:ascii="Arial" w:hAnsi="Arial" w:cs="Arial"/>
        </w:rPr>
        <w:t xml:space="preserve"> and Axon, 2023). Furthermore, a number</w:t>
      </w:r>
      <w:r>
        <w:rPr>
          <w:rFonts w:ascii="Arial" w:hAnsi="Arial" w:cs="Arial"/>
        </w:rPr>
        <w:t xml:space="preserve"> </w:t>
      </w:r>
      <w:r w:rsidRPr="006D396D">
        <w:rPr>
          <w:rFonts w:ascii="Arial" w:hAnsi="Arial" w:cs="Arial"/>
        </w:rPr>
        <w:t>of the ethical issues include proper citation, plagiarism prevention, and presentation of</w:t>
      </w:r>
      <w:r>
        <w:rPr>
          <w:rFonts w:ascii="Arial" w:hAnsi="Arial" w:cs="Arial"/>
        </w:rPr>
        <w:t xml:space="preserve"> </w:t>
      </w:r>
      <w:r w:rsidRPr="006D396D">
        <w:rPr>
          <w:rFonts w:ascii="Arial" w:hAnsi="Arial" w:cs="Arial"/>
        </w:rPr>
        <w:t>empirical findings in a transparent manner.</w:t>
      </w:r>
    </w:p>
    <w:p w14:paraId="05409E12" w14:textId="77777777" w:rsidR="004E5236" w:rsidRPr="004E5236" w:rsidRDefault="004E523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4E5236">
        <w:rPr>
          <w:rFonts w:ascii="Arial" w:hAnsi="Arial" w:cs="Arial"/>
          <w:b/>
          <w:bCs/>
          <w:i/>
          <w:iCs/>
        </w:rPr>
        <w:t>5) Resources:</w:t>
      </w:r>
    </w:p>
    <w:p w14:paraId="1AFCDD40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• Online academic databases</w:t>
      </w:r>
    </w:p>
    <w:p w14:paraId="71C0A961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• University library access</w:t>
      </w:r>
    </w:p>
    <w:p w14:paraId="072ED2DF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• Microsoft Word and reference management software</w:t>
      </w:r>
    </w:p>
    <w:p w14:paraId="2A5C6664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</w:p>
    <w:p w14:paraId="35D0D8B4" w14:textId="77777777" w:rsidR="004E5236" w:rsidRPr="004E5236" w:rsidRDefault="004E523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4E5236">
        <w:rPr>
          <w:rFonts w:ascii="Arial" w:hAnsi="Arial" w:cs="Arial"/>
          <w:b/>
          <w:bCs/>
          <w:i/>
          <w:iCs/>
        </w:rPr>
        <w:t>6) Timescale:</w:t>
      </w:r>
    </w:p>
    <w:p w14:paraId="28164B15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• Literature search: Weeks 1–2</w:t>
      </w:r>
    </w:p>
    <w:p w14:paraId="7A4B285C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• Analysis and synthesis: Weeks 3–4</w:t>
      </w:r>
    </w:p>
    <w:p w14:paraId="3058596B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• Writing and editing: Weeks 5–6</w:t>
      </w:r>
    </w:p>
    <w:p w14:paraId="486B2B6C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</w:p>
    <w:p w14:paraId="526DA7FF" w14:textId="77777777" w:rsidR="004E5236" w:rsidRPr="004E5236" w:rsidRDefault="004E523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4E5236">
        <w:rPr>
          <w:rFonts w:ascii="Arial" w:hAnsi="Arial" w:cs="Arial"/>
          <w:b/>
          <w:bCs/>
          <w:i/>
          <w:iCs/>
        </w:rPr>
        <w:t>7) Self-reflection as researcher (any strengths or challenges):</w:t>
      </w:r>
    </w:p>
    <w:p w14:paraId="66CC321B" w14:textId="7F30F21A" w:rsidR="004E5236" w:rsidRPr="004E5236" w:rsidRDefault="00164B2B" w:rsidP="004E523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Researchers</w:t>
      </w:r>
      <w:r w:rsidR="004E5236" w:rsidRPr="004E5236">
        <w:rPr>
          <w:rFonts w:ascii="Arial" w:hAnsi="Arial" w:cs="Arial"/>
        </w:rPr>
        <w:t xml:space="preserve"> have a good command of academic writing and am exposed to digital health research.</w:t>
      </w:r>
      <w:r w:rsidR="004E5236">
        <w:rPr>
          <w:rFonts w:ascii="Arial" w:hAnsi="Arial" w:cs="Arial"/>
        </w:rPr>
        <w:t xml:space="preserve"> </w:t>
      </w:r>
      <w:r w:rsidR="004E5236" w:rsidRPr="004E5236">
        <w:rPr>
          <w:rFonts w:ascii="Arial" w:hAnsi="Arial" w:cs="Arial"/>
        </w:rPr>
        <w:t>One of the possible difficulties is critically synthesising multidisciplinary evidence. The</w:t>
      </w:r>
      <w:r w:rsidR="004E5236">
        <w:rPr>
          <w:rFonts w:ascii="Arial" w:hAnsi="Arial" w:cs="Arial"/>
        </w:rPr>
        <w:t xml:space="preserve"> </w:t>
      </w:r>
      <w:r w:rsidR="004E5236" w:rsidRPr="004E5236">
        <w:rPr>
          <w:rFonts w:ascii="Arial" w:hAnsi="Arial" w:cs="Arial"/>
        </w:rPr>
        <w:t xml:space="preserve">project will not only cultivate </w:t>
      </w:r>
      <w:r>
        <w:rPr>
          <w:rFonts w:ascii="Arial" w:hAnsi="Arial" w:cs="Arial"/>
        </w:rPr>
        <w:t>the</w:t>
      </w:r>
      <w:r w:rsidR="004E5236" w:rsidRPr="004E5236">
        <w:rPr>
          <w:rFonts w:ascii="Arial" w:hAnsi="Arial" w:cs="Arial"/>
        </w:rPr>
        <w:t xml:space="preserve"> expertise in systematic literature review and thematic</w:t>
      </w:r>
      <w:r w:rsidR="004E5236">
        <w:rPr>
          <w:rFonts w:ascii="Arial" w:hAnsi="Arial" w:cs="Arial"/>
        </w:rPr>
        <w:t xml:space="preserve"> </w:t>
      </w:r>
      <w:r w:rsidR="004E5236" w:rsidRPr="004E5236">
        <w:rPr>
          <w:rFonts w:ascii="Arial" w:hAnsi="Arial" w:cs="Arial"/>
        </w:rPr>
        <w:t xml:space="preserve">analysis but also enhance </w:t>
      </w:r>
      <w:r>
        <w:rPr>
          <w:rFonts w:ascii="Arial" w:hAnsi="Arial" w:cs="Arial"/>
        </w:rPr>
        <w:t>the</w:t>
      </w:r>
      <w:r w:rsidR="004E5236" w:rsidRPr="004E5236">
        <w:rPr>
          <w:rFonts w:ascii="Arial" w:hAnsi="Arial" w:cs="Arial"/>
        </w:rPr>
        <w:t xml:space="preserve"> knowledge of inclusive digital </w:t>
      </w:r>
      <w:r w:rsidRPr="004E5236">
        <w:rPr>
          <w:rFonts w:ascii="Arial" w:hAnsi="Arial" w:cs="Arial"/>
        </w:rPr>
        <w:t>healthcare.</w:t>
      </w:r>
      <w:r>
        <w:rPr>
          <w:rFonts w:ascii="Arial" w:hAnsi="Arial" w:cs="Arial"/>
        </w:rPr>
        <w:t xml:space="preserve"> This will enhance the researcher’s knowledge</w:t>
      </w:r>
      <w:r w:rsidR="00D87079">
        <w:rPr>
          <w:rFonts w:ascii="Arial" w:hAnsi="Arial" w:cs="Arial"/>
        </w:rPr>
        <w:t xml:space="preserve"> about this particular topic</w:t>
      </w:r>
      <w:r>
        <w:rPr>
          <w:rFonts w:ascii="Arial" w:hAnsi="Arial" w:cs="Arial"/>
        </w:rPr>
        <w:t xml:space="preserve">.  </w:t>
      </w:r>
    </w:p>
    <w:p w14:paraId="44A7A5A6" w14:textId="77777777" w:rsidR="004E5236" w:rsidRPr="004E5236" w:rsidRDefault="004E523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</w:p>
    <w:p w14:paraId="72066FB4" w14:textId="77777777" w:rsidR="004E5236" w:rsidRPr="004E5236" w:rsidRDefault="004E5236" w:rsidP="004E5236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4E5236">
        <w:rPr>
          <w:rFonts w:ascii="Arial" w:hAnsi="Arial" w:cs="Arial"/>
          <w:b/>
          <w:bCs/>
          <w:i/>
          <w:iCs/>
        </w:rPr>
        <w:t>References</w:t>
      </w:r>
    </w:p>
    <w:p w14:paraId="7823904D" w14:textId="2C6E8FAC" w:rsidR="004E5236" w:rsidRDefault="004E5236" w:rsidP="004E5236">
      <w:pPr>
        <w:spacing w:line="360" w:lineRule="auto"/>
        <w:rPr>
          <w:rFonts w:ascii="Arial" w:hAnsi="Arial" w:cs="Arial"/>
        </w:rPr>
      </w:pPr>
      <w:proofErr w:type="spellStart"/>
      <w:r w:rsidRPr="004E5236">
        <w:rPr>
          <w:rFonts w:ascii="Arial" w:hAnsi="Arial" w:cs="Arial"/>
        </w:rPr>
        <w:t>Cernasev</w:t>
      </w:r>
      <w:proofErr w:type="spellEnd"/>
      <w:r w:rsidRPr="004E5236">
        <w:rPr>
          <w:rFonts w:ascii="Arial" w:hAnsi="Arial" w:cs="Arial"/>
        </w:rPr>
        <w:t>, A. and Axon, D.R., (2023). Research and scholarly methods: Thematic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analysis. Journal of the American College of Clinical Pharmacy, 6(7), pp.751-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755.</w:t>
      </w:r>
    </w:p>
    <w:p w14:paraId="10958B90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</w:p>
    <w:p w14:paraId="2F75308C" w14:textId="533AD768" w:rsid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Chowdhury, S.Z., Stevens, S., Wu, C., Woodward, C., Andrews, T., Ashall-Payne, L. and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Leigh, S. (2023). An age-old problem or an old-age problem? A UK survey of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attitudes,</w:t>
      </w:r>
      <w:r w:rsidR="00215D76"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historical use and recommendations by healthcare professionals to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use healthcare apps. BMC geriatrics, 23(1), p.110.</w:t>
      </w:r>
    </w:p>
    <w:p w14:paraId="5FD547F3" w14:textId="77777777" w:rsidR="00215D76" w:rsidRPr="004E5236" w:rsidRDefault="00215D76" w:rsidP="004E5236">
      <w:pPr>
        <w:spacing w:line="360" w:lineRule="auto"/>
        <w:rPr>
          <w:rFonts w:ascii="Arial" w:hAnsi="Arial" w:cs="Arial"/>
        </w:rPr>
      </w:pPr>
    </w:p>
    <w:p w14:paraId="123FC581" w14:textId="3E970B06" w:rsid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 xml:space="preserve">Daniels, K. and </w:t>
      </w:r>
      <w:proofErr w:type="spellStart"/>
      <w:r w:rsidRPr="004E5236">
        <w:rPr>
          <w:rFonts w:ascii="Arial" w:hAnsi="Arial" w:cs="Arial"/>
        </w:rPr>
        <w:t>Bonnechère</w:t>
      </w:r>
      <w:proofErr w:type="spellEnd"/>
      <w:r w:rsidRPr="004E5236">
        <w:rPr>
          <w:rFonts w:ascii="Arial" w:hAnsi="Arial" w:cs="Arial"/>
        </w:rPr>
        <w:t>, B., (2024). Harnessing digital health interventions to bridge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the</w:t>
      </w:r>
      <w:r w:rsidR="00215D76"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gap in prevention for older adults. Frontiers in public health, 11, p.1281923.</w:t>
      </w:r>
    </w:p>
    <w:p w14:paraId="662B347D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</w:p>
    <w:p w14:paraId="227122FC" w14:textId="5E385B47" w:rsid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 xml:space="preserve">Philippe, T.J., Sikder, N., Jackson, A., </w:t>
      </w:r>
      <w:proofErr w:type="spellStart"/>
      <w:r w:rsidRPr="004E5236">
        <w:rPr>
          <w:rFonts w:ascii="Arial" w:hAnsi="Arial" w:cs="Arial"/>
        </w:rPr>
        <w:t>Koblanski</w:t>
      </w:r>
      <w:proofErr w:type="spellEnd"/>
      <w:r w:rsidRPr="004E5236">
        <w:rPr>
          <w:rFonts w:ascii="Arial" w:hAnsi="Arial" w:cs="Arial"/>
        </w:rPr>
        <w:t xml:space="preserve">, M.E., Liow, E., </w:t>
      </w:r>
      <w:proofErr w:type="spellStart"/>
      <w:r w:rsidRPr="004E5236">
        <w:rPr>
          <w:rFonts w:ascii="Arial" w:hAnsi="Arial" w:cs="Arial"/>
        </w:rPr>
        <w:t>Pilarinos</w:t>
      </w:r>
      <w:proofErr w:type="spellEnd"/>
      <w:r w:rsidRPr="004E5236">
        <w:rPr>
          <w:rFonts w:ascii="Arial" w:hAnsi="Arial" w:cs="Arial"/>
        </w:rPr>
        <w:t>, A. and</w:t>
      </w:r>
      <w:r>
        <w:rPr>
          <w:rFonts w:ascii="Arial" w:hAnsi="Arial" w:cs="Arial"/>
        </w:rPr>
        <w:t xml:space="preserve"> </w:t>
      </w:r>
      <w:proofErr w:type="spellStart"/>
      <w:r w:rsidRPr="004E5236">
        <w:rPr>
          <w:rFonts w:ascii="Arial" w:hAnsi="Arial" w:cs="Arial"/>
        </w:rPr>
        <w:t>Vasarhelyi</w:t>
      </w:r>
      <w:proofErr w:type="spellEnd"/>
      <w:r w:rsidRPr="004E5236">
        <w:rPr>
          <w:rFonts w:ascii="Arial" w:hAnsi="Arial" w:cs="Arial"/>
        </w:rPr>
        <w:t>, K., (2022). Digital health interventions for delivery of mental health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care: systematic and comprehensive meta-review. JMIR mental health, 9(5),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p.e35159.</w:t>
      </w:r>
    </w:p>
    <w:p w14:paraId="5F8785EA" w14:textId="77777777" w:rsidR="004E5236" w:rsidRPr="004E5236" w:rsidRDefault="004E5236" w:rsidP="004E5236">
      <w:pPr>
        <w:spacing w:line="360" w:lineRule="auto"/>
        <w:rPr>
          <w:rFonts w:ascii="Arial" w:hAnsi="Arial" w:cs="Arial"/>
        </w:rPr>
      </w:pPr>
    </w:p>
    <w:p w14:paraId="5B63DEA0" w14:textId="03DA025D" w:rsidR="004E5236" w:rsidRPr="004E5236" w:rsidRDefault="004E5236" w:rsidP="004E5236">
      <w:pPr>
        <w:spacing w:line="360" w:lineRule="auto"/>
        <w:rPr>
          <w:rFonts w:ascii="Arial" w:hAnsi="Arial" w:cs="Arial"/>
        </w:rPr>
      </w:pPr>
      <w:r w:rsidRPr="004E5236">
        <w:rPr>
          <w:rFonts w:ascii="Arial" w:hAnsi="Arial" w:cs="Arial"/>
        </w:rPr>
        <w:t>Wale, A., Everitt, J., Ayres, T., Okolie, C., Morgan, H., Shaw, H., Edwards, R.T., Davies, J.,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Lewis, R., Cooper, A. and Edwards, A., (2024). A rapid review of the effectiveness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 xml:space="preserve">of interventions for addressing digital exclusion in older adults. </w:t>
      </w:r>
      <w:proofErr w:type="spellStart"/>
      <w:r w:rsidRPr="004E5236">
        <w:rPr>
          <w:rFonts w:ascii="Arial" w:hAnsi="Arial" w:cs="Arial"/>
        </w:rPr>
        <w:t>medRxiv</w:t>
      </w:r>
      <w:proofErr w:type="spellEnd"/>
      <w:r w:rsidRPr="004E523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Pr="004E5236">
        <w:rPr>
          <w:rFonts w:ascii="Arial" w:hAnsi="Arial" w:cs="Arial"/>
        </w:rPr>
        <w:t>pp.2024-03.</w:t>
      </w:r>
    </w:p>
    <w:sectPr w:rsidR="004E5236" w:rsidRPr="004E52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B194F6" w14:textId="77777777" w:rsidR="004E3643" w:rsidRDefault="004E3643" w:rsidP="00215D76">
      <w:pPr>
        <w:spacing w:after="0" w:line="240" w:lineRule="auto"/>
      </w:pPr>
      <w:r>
        <w:separator/>
      </w:r>
    </w:p>
  </w:endnote>
  <w:endnote w:type="continuationSeparator" w:id="0">
    <w:p w14:paraId="7B0B73EF" w14:textId="77777777" w:rsidR="004E3643" w:rsidRDefault="004E3643" w:rsidP="00215D7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B72474" w14:textId="77777777" w:rsidR="004E3643" w:rsidRDefault="004E3643" w:rsidP="00215D76">
      <w:pPr>
        <w:spacing w:after="0" w:line="240" w:lineRule="auto"/>
      </w:pPr>
      <w:r>
        <w:separator/>
      </w:r>
    </w:p>
  </w:footnote>
  <w:footnote w:type="continuationSeparator" w:id="0">
    <w:p w14:paraId="07296C85" w14:textId="77777777" w:rsidR="004E3643" w:rsidRDefault="004E3643" w:rsidP="00215D7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236"/>
    <w:rsid w:val="0014586C"/>
    <w:rsid w:val="00164B2B"/>
    <w:rsid w:val="001F1B72"/>
    <w:rsid w:val="00215D76"/>
    <w:rsid w:val="0043061C"/>
    <w:rsid w:val="004E3643"/>
    <w:rsid w:val="004E5236"/>
    <w:rsid w:val="00617217"/>
    <w:rsid w:val="006D396D"/>
    <w:rsid w:val="00843833"/>
    <w:rsid w:val="00A23220"/>
    <w:rsid w:val="00D028CA"/>
    <w:rsid w:val="00D87079"/>
    <w:rsid w:val="00DD1C81"/>
    <w:rsid w:val="00EA7508"/>
    <w:rsid w:val="00FE0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98C32"/>
  <w15:chartTrackingRefBased/>
  <w15:docId w15:val="{326A0D81-392C-4A86-B961-3FBF1D823B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52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52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523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52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523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52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52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52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52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523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523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523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523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523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52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52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52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52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52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52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52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52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52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52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52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523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523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523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5236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15D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5D76"/>
  </w:style>
  <w:style w:type="paragraph" w:styleId="Footer">
    <w:name w:val="footer"/>
    <w:basedOn w:val="Normal"/>
    <w:link w:val="FooterChar"/>
    <w:uiPriority w:val="99"/>
    <w:unhideWhenUsed/>
    <w:rsid w:val="00215D7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5D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4</Pages>
  <Words>693</Words>
  <Characters>3951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Azra Bi (2312900)</dc:creator>
  <cp:keywords/>
  <dc:description/>
  <cp:lastModifiedBy>Azra Bi (2312900)</cp:lastModifiedBy>
  <cp:revision>5</cp:revision>
  <dcterms:created xsi:type="dcterms:W3CDTF">2026-02-08T22:30:00Z</dcterms:created>
  <dcterms:modified xsi:type="dcterms:W3CDTF">2026-02-13T23:26:00Z</dcterms:modified>
</cp:coreProperties>
</file>