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4C957" w14:textId="77777777" w:rsidR="003813B2" w:rsidRPr="00DC5ED9" w:rsidRDefault="003813B2" w:rsidP="003813B2">
      <w:pPr>
        <w:pStyle w:val="Title"/>
      </w:pPr>
      <w:r>
        <w:t>EBP Level 4 Assessment</w:t>
      </w:r>
    </w:p>
    <w:p w14:paraId="559D1793" w14:textId="77777777" w:rsidR="003813B2" w:rsidRDefault="006A6508" w:rsidP="006A6508">
      <w:pPr>
        <w:pStyle w:val="Subtitle"/>
      </w:pPr>
      <w:r>
        <w:t xml:space="preserve">Question: </w:t>
      </w:r>
      <w:r w:rsidRPr="006A6508">
        <w:t>Explain the key theories of Crime Prevention discuss how they might be applied in practice (using examples).</w:t>
      </w:r>
    </w:p>
    <w:p w14:paraId="069E3DBE" w14:textId="77777777" w:rsidR="003813B2" w:rsidRDefault="003813B2" w:rsidP="003813B2"/>
    <w:p w14:paraId="7FB3659B" w14:textId="58A7FE33" w:rsidR="003813B2" w:rsidRDefault="003813B2" w:rsidP="003813B2"/>
    <w:p w14:paraId="3FCFD932" w14:textId="23CC37DF" w:rsidR="00EE4A1F" w:rsidRDefault="00EE4A1F" w:rsidP="003813B2"/>
    <w:p w14:paraId="6C881E48" w14:textId="3CFE99CE" w:rsidR="00EE4A1F" w:rsidRDefault="00EE4A1F" w:rsidP="003813B2"/>
    <w:p w14:paraId="0E5F522D" w14:textId="77777777" w:rsidR="00EE4A1F" w:rsidRDefault="00EE4A1F" w:rsidP="003813B2"/>
    <w:p w14:paraId="2E12EB81" w14:textId="77777777" w:rsidR="00EE4A1F" w:rsidRDefault="00EE4A1F" w:rsidP="00EE4A1F">
      <w:pPr>
        <w:spacing w:line="360" w:lineRule="auto"/>
        <w:jc w:val="center"/>
        <w:rPr>
          <w:rFonts w:cs="Times New Roman"/>
          <w:szCs w:val="24"/>
        </w:rPr>
      </w:pPr>
      <w:r>
        <w:rPr>
          <w:rFonts w:cs="Times New Roman"/>
          <w:szCs w:val="24"/>
        </w:rPr>
        <w:t>Your name: Florin Constantin Macovei</w:t>
      </w:r>
    </w:p>
    <w:p w14:paraId="26E17667" w14:textId="77777777" w:rsidR="00EE4A1F" w:rsidRDefault="00EE4A1F" w:rsidP="00EE4A1F">
      <w:pPr>
        <w:spacing w:line="360" w:lineRule="auto"/>
        <w:jc w:val="center"/>
        <w:rPr>
          <w:rFonts w:cs="Times New Roman"/>
          <w:szCs w:val="24"/>
        </w:rPr>
      </w:pPr>
      <w:r>
        <w:rPr>
          <w:rFonts w:cs="Times New Roman"/>
          <w:szCs w:val="24"/>
        </w:rPr>
        <w:t>Your Student ID: 2132426</w:t>
      </w:r>
    </w:p>
    <w:p w14:paraId="787EE66B" w14:textId="55207150" w:rsidR="003813B2" w:rsidRPr="00EE4A1F" w:rsidRDefault="00EE4A1F" w:rsidP="00EE4A1F">
      <w:pPr>
        <w:spacing w:line="360" w:lineRule="auto"/>
        <w:jc w:val="center"/>
        <w:rPr>
          <w:rFonts w:cs="Times New Roman"/>
          <w:szCs w:val="24"/>
        </w:rPr>
      </w:pPr>
      <w:r>
        <w:rPr>
          <w:rFonts w:cs="Times New Roman"/>
          <w:szCs w:val="24"/>
        </w:rPr>
        <w:t>Module Code:</w:t>
      </w:r>
      <w:r>
        <w:rPr>
          <w:rFonts w:cs="Times New Roman"/>
          <w:szCs w:val="24"/>
        </w:rPr>
        <w:t xml:space="preserve"> BMPL4001, BMPS 4008</w:t>
      </w:r>
    </w:p>
    <w:p w14:paraId="375A9D98" w14:textId="77777777" w:rsidR="003813B2" w:rsidRDefault="003813B2" w:rsidP="003813B2">
      <w:pPr>
        <w:jc w:val="center"/>
      </w:pPr>
    </w:p>
    <w:p w14:paraId="3F341BB8" w14:textId="77777777" w:rsidR="00BC59E1" w:rsidRDefault="00BC59E1">
      <w:pPr>
        <w:spacing w:after="200" w:line="276" w:lineRule="auto"/>
        <w:jc w:val="left"/>
      </w:pPr>
      <w:r>
        <w:br w:type="page"/>
      </w:r>
    </w:p>
    <w:p w14:paraId="4D183131" w14:textId="77777777" w:rsidR="00BC59E1" w:rsidRDefault="00BC59E1" w:rsidP="00BC59E1">
      <w:pPr>
        <w:jc w:val="center"/>
        <w:rPr>
          <w:b/>
        </w:rPr>
      </w:pPr>
      <w:r>
        <w:rPr>
          <w:b/>
        </w:rPr>
        <w:lastRenderedPageBreak/>
        <w:t>Table of Contents</w:t>
      </w:r>
    </w:p>
    <w:p w14:paraId="34240C5A" w14:textId="77777777" w:rsidR="001543D6" w:rsidRPr="001543D6" w:rsidRDefault="00BC59E1">
      <w:pPr>
        <w:pStyle w:val="TOC1"/>
        <w:tabs>
          <w:tab w:val="right" w:leader="dot" w:pos="9350"/>
        </w:tabs>
        <w:rPr>
          <w:rFonts w:ascii="Times New Roman" w:eastAsiaTheme="minorEastAsia" w:hAnsi="Times New Roman" w:cs="Times New Roman"/>
          <w:b w:val="0"/>
          <w:bCs w:val="0"/>
          <w:caps w:val="0"/>
          <w:noProof/>
          <w:sz w:val="22"/>
          <w:szCs w:val="22"/>
          <w:lang w:val="en-US"/>
        </w:rPr>
      </w:pPr>
      <w:r>
        <w:rPr>
          <w:b w:val="0"/>
        </w:rPr>
        <w:fldChar w:fldCharType="begin"/>
      </w:r>
      <w:r>
        <w:rPr>
          <w:b w:val="0"/>
        </w:rPr>
        <w:instrText xml:space="preserve"> TOC \o "1-3" \h \z \u </w:instrText>
      </w:r>
      <w:r>
        <w:rPr>
          <w:b w:val="0"/>
        </w:rPr>
        <w:fldChar w:fldCharType="separate"/>
      </w:r>
      <w:hyperlink w:anchor="_Toc109161440" w:history="1">
        <w:r w:rsidR="001543D6" w:rsidRPr="001543D6">
          <w:rPr>
            <w:rStyle w:val="Hyperlink"/>
            <w:rFonts w:ascii="Times New Roman" w:hAnsi="Times New Roman" w:cs="Times New Roman"/>
            <w:noProof/>
          </w:rPr>
          <w:t>Introduction</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_Toc109161440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3</w:t>
        </w:r>
        <w:r w:rsidR="001543D6" w:rsidRPr="001543D6">
          <w:rPr>
            <w:rFonts w:ascii="Times New Roman" w:hAnsi="Times New Roman" w:cs="Times New Roman"/>
            <w:noProof/>
            <w:webHidden/>
          </w:rPr>
          <w:fldChar w:fldCharType="end"/>
        </w:r>
      </w:hyperlink>
    </w:p>
    <w:p w14:paraId="65FAB395" w14:textId="77777777" w:rsidR="001543D6" w:rsidRPr="001543D6" w:rsidRDefault="00000000">
      <w:pPr>
        <w:pStyle w:val="TOC1"/>
        <w:tabs>
          <w:tab w:val="right" w:leader="dot" w:pos="9350"/>
        </w:tabs>
        <w:rPr>
          <w:rFonts w:ascii="Times New Roman" w:eastAsiaTheme="minorEastAsia" w:hAnsi="Times New Roman" w:cs="Times New Roman"/>
          <w:b w:val="0"/>
          <w:bCs w:val="0"/>
          <w:caps w:val="0"/>
          <w:noProof/>
          <w:sz w:val="22"/>
          <w:szCs w:val="22"/>
          <w:lang w:val="en-US"/>
        </w:rPr>
      </w:pPr>
      <w:hyperlink w:anchor="_Toc109161441" w:history="1">
        <w:r w:rsidR="001543D6" w:rsidRPr="001543D6">
          <w:rPr>
            <w:rStyle w:val="Hyperlink"/>
            <w:rFonts w:ascii="Times New Roman" w:hAnsi="Times New Roman" w:cs="Times New Roman"/>
            <w:noProof/>
          </w:rPr>
          <w:t>Crime Prevention Theories</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_Toc109161441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3</w:t>
        </w:r>
        <w:r w:rsidR="001543D6" w:rsidRPr="001543D6">
          <w:rPr>
            <w:rFonts w:ascii="Times New Roman" w:hAnsi="Times New Roman" w:cs="Times New Roman"/>
            <w:noProof/>
            <w:webHidden/>
          </w:rPr>
          <w:fldChar w:fldCharType="end"/>
        </w:r>
      </w:hyperlink>
    </w:p>
    <w:p w14:paraId="5DC841A1"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2" w:history="1">
        <w:r w:rsidR="001543D6" w:rsidRPr="001543D6">
          <w:rPr>
            <w:rStyle w:val="Hyperlink"/>
            <w:rFonts w:ascii="Times New Roman" w:hAnsi="Times New Roman" w:cs="Times New Roman"/>
            <w:noProof/>
          </w:rPr>
          <w:t>Crime Prevention Using Environmental Design</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_Toc109161442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4</w:t>
        </w:r>
        <w:r w:rsidR="001543D6" w:rsidRPr="001543D6">
          <w:rPr>
            <w:rFonts w:ascii="Times New Roman" w:hAnsi="Times New Roman" w:cs="Times New Roman"/>
            <w:noProof/>
            <w:webHidden/>
          </w:rPr>
          <w:fldChar w:fldCharType="end"/>
        </w:r>
      </w:hyperlink>
    </w:p>
    <w:p w14:paraId="668AA9E8"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3" w:history="1">
        <w:r w:rsidR="001543D6" w:rsidRPr="001543D6">
          <w:rPr>
            <w:rStyle w:val="Hyperlink"/>
            <w:rFonts w:ascii="Times New Roman" w:hAnsi="Times New Roman" w:cs="Times New Roman"/>
            <w:noProof/>
          </w:rPr>
          <w:t>Defensible Space Theory</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_Toc109161443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4</w:t>
        </w:r>
        <w:r w:rsidR="001543D6" w:rsidRPr="001543D6">
          <w:rPr>
            <w:rFonts w:ascii="Times New Roman" w:hAnsi="Times New Roman" w:cs="Times New Roman"/>
            <w:noProof/>
            <w:webHidden/>
          </w:rPr>
          <w:fldChar w:fldCharType="end"/>
        </w:r>
      </w:hyperlink>
    </w:p>
    <w:p w14:paraId="70A5231D"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4" w:history="1">
        <w:r w:rsidR="001543D6" w:rsidRPr="001543D6">
          <w:rPr>
            <w:rStyle w:val="Hyperlink"/>
            <w:rFonts w:ascii="Times New Roman" w:hAnsi="Times New Roman" w:cs="Times New Roman"/>
            <w:noProof/>
          </w:rPr>
          <w:t>Situational Crime Prevention Theory</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_Toc109161444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5</w:t>
        </w:r>
        <w:r w:rsidR="001543D6" w:rsidRPr="001543D6">
          <w:rPr>
            <w:rFonts w:ascii="Times New Roman" w:hAnsi="Times New Roman" w:cs="Times New Roman"/>
            <w:noProof/>
            <w:webHidden/>
          </w:rPr>
          <w:fldChar w:fldCharType="end"/>
        </w:r>
      </w:hyperlink>
    </w:p>
    <w:p w14:paraId="0A40F6B7"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5" w:history="1">
        <w:r w:rsidR="001543D6" w:rsidRPr="001543D6">
          <w:rPr>
            <w:rStyle w:val="Hyperlink"/>
            <w:rFonts w:ascii="Times New Roman" w:hAnsi="Times New Roman" w:cs="Times New Roman"/>
            <w:noProof/>
          </w:rPr>
          <w:t>Routine Activities Theory</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_Toc109161445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6</w:t>
        </w:r>
        <w:r w:rsidR="001543D6" w:rsidRPr="001543D6">
          <w:rPr>
            <w:rFonts w:ascii="Times New Roman" w:hAnsi="Times New Roman" w:cs="Times New Roman"/>
            <w:noProof/>
            <w:webHidden/>
          </w:rPr>
          <w:fldChar w:fldCharType="end"/>
        </w:r>
      </w:hyperlink>
    </w:p>
    <w:p w14:paraId="79458299"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6" w:history="1">
        <w:r w:rsidR="001543D6" w:rsidRPr="001543D6">
          <w:rPr>
            <w:rStyle w:val="Hyperlink"/>
            <w:rFonts w:ascii="Times New Roman" w:hAnsi="Times New Roman" w:cs="Times New Roman"/>
            <w:noProof/>
          </w:rPr>
          <w:t>Crime Pattern Theory</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_Toc109161446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7</w:t>
        </w:r>
        <w:r w:rsidR="001543D6" w:rsidRPr="001543D6">
          <w:rPr>
            <w:rFonts w:ascii="Times New Roman" w:hAnsi="Times New Roman" w:cs="Times New Roman"/>
            <w:noProof/>
            <w:webHidden/>
          </w:rPr>
          <w:fldChar w:fldCharType="end"/>
        </w:r>
      </w:hyperlink>
    </w:p>
    <w:p w14:paraId="7AB029A7"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7" w:history="1">
        <w:r w:rsidR="001543D6" w:rsidRPr="001543D6">
          <w:rPr>
            <w:rStyle w:val="Hyperlink"/>
            <w:rFonts w:ascii="Times New Roman" w:hAnsi="Times New Roman" w:cs="Times New Roman"/>
            <w:noProof/>
          </w:rPr>
          <w:t>Broken Windows Theory</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_Toc109161447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7</w:t>
        </w:r>
        <w:r w:rsidR="001543D6" w:rsidRPr="001543D6">
          <w:rPr>
            <w:rFonts w:ascii="Times New Roman" w:hAnsi="Times New Roman" w:cs="Times New Roman"/>
            <w:noProof/>
            <w:webHidden/>
          </w:rPr>
          <w:fldChar w:fldCharType="end"/>
        </w:r>
      </w:hyperlink>
    </w:p>
    <w:p w14:paraId="533AF875" w14:textId="77777777" w:rsidR="001543D6" w:rsidRPr="001543D6" w:rsidRDefault="00000000">
      <w:pPr>
        <w:pStyle w:val="TOC2"/>
        <w:tabs>
          <w:tab w:val="right" w:leader="dot" w:pos="9350"/>
        </w:tabs>
        <w:rPr>
          <w:rFonts w:ascii="Times New Roman" w:eastAsiaTheme="minorEastAsia" w:hAnsi="Times New Roman" w:cs="Times New Roman"/>
          <w:smallCaps w:val="0"/>
          <w:noProof/>
          <w:sz w:val="22"/>
          <w:szCs w:val="22"/>
          <w:lang w:val="en-US"/>
        </w:rPr>
      </w:pPr>
      <w:hyperlink w:anchor="_Toc109161448" w:history="1">
        <w:r w:rsidR="001543D6" w:rsidRPr="001543D6">
          <w:rPr>
            <w:rStyle w:val="Hyperlink"/>
            <w:rFonts w:ascii="Times New Roman" w:hAnsi="Times New Roman" w:cs="Times New Roman"/>
            <w:noProof/>
          </w:rPr>
          <w:t>Pockets of Crime Theory</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_Toc109161448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8</w:t>
        </w:r>
        <w:r w:rsidR="001543D6" w:rsidRPr="001543D6">
          <w:rPr>
            <w:rFonts w:ascii="Times New Roman" w:hAnsi="Times New Roman" w:cs="Times New Roman"/>
            <w:noProof/>
            <w:webHidden/>
          </w:rPr>
          <w:fldChar w:fldCharType="end"/>
        </w:r>
      </w:hyperlink>
    </w:p>
    <w:p w14:paraId="185A8609" w14:textId="77777777" w:rsidR="001543D6" w:rsidRPr="001543D6" w:rsidRDefault="00000000">
      <w:pPr>
        <w:pStyle w:val="TOC1"/>
        <w:tabs>
          <w:tab w:val="right" w:leader="dot" w:pos="9350"/>
        </w:tabs>
        <w:rPr>
          <w:rFonts w:ascii="Times New Roman" w:eastAsiaTheme="minorEastAsia" w:hAnsi="Times New Roman" w:cs="Times New Roman"/>
          <w:b w:val="0"/>
          <w:bCs w:val="0"/>
          <w:caps w:val="0"/>
          <w:noProof/>
          <w:sz w:val="22"/>
          <w:szCs w:val="22"/>
          <w:lang w:val="en-US"/>
        </w:rPr>
      </w:pPr>
      <w:hyperlink w:anchor="_Toc109161449" w:history="1">
        <w:r w:rsidR="001543D6" w:rsidRPr="001543D6">
          <w:rPr>
            <w:rStyle w:val="Hyperlink"/>
            <w:rFonts w:ascii="Times New Roman" w:hAnsi="Times New Roman" w:cs="Times New Roman"/>
            <w:noProof/>
          </w:rPr>
          <w:t>Conclusion</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_Toc109161449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9</w:t>
        </w:r>
        <w:r w:rsidR="001543D6" w:rsidRPr="001543D6">
          <w:rPr>
            <w:rFonts w:ascii="Times New Roman" w:hAnsi="Times New Roman" w:cs="Times New Roman"/>
            <w:noProof/>
            <w:webHidden/>
          </w:rPr>
          <w:fldChar w:fldCharType="end"/>
        </w:r>
      </w:hyperlink>
    </w:p>
    <w:p w14:paraId="63D4BF77" w14:textId="77777777" w:rsidR="001543D6" w:rsidRDefault="00000000">
      <w:pPr>
        <w:pStyle w:val="TOC1"/>
        <w:tabs>
          <w:tab w:val="right" w:leader="dot" w:pos="9350"/>
        </w:tabs>
        <w:rPr>
          <w:rFonts w:eastAsiaTheme="minorEastAsia" w:cstheme="minorBidi"/>
          <w:b w:val="0"/>
          <w:bCs w:val="0"/>
          <w:caps w:val="0"/>
          <w:noProof/>
          <w:sz w:val="22"/>
          <w:szCs w:val="22"/>
          <w:lang w:val="en-US"/>
        </w:rPr>
      </w:pPr>
      <w:hyperlink w:anchor="_Toc109161450" w:history="1">
        <w:r w:rsidR="001543D6" w:rsidRPr="001543D6">
          <w:rPr>
            <w:rStyle w:val="Hyperlink"/>
            <w:rFonts w:ascii="Times New Roman" w:hAnsi="Times New Roman" w:cs="Times New Roman"/>
            <w:noProof/>
          </w:rPr>
          <w:t>References</w:t>
        </w:r>
        <w:r w:rsidR="001543D6" w:rsidRPr="001543D6">
          <w:rPr>
            <w:rFonts w:ascii="Times New Roman" w:hAnsi="Times New Roman" w:cs="Times New Roman"/>
            <w:noProof/>
            <w:webHidden/>
          </w:rPr>
          <w:tab/>
        </w:r>
        <w:r w:rsidR="001543D6" w:rsidRPr="001543D6">
          <w:rPr>
            <w:rFonts w:ascii="Times New Roman" w:hAnsi="Times New Roman" w:cs="Times New Roman"/>
            <w:noProof/>
            <w:webHidden/>
          </w:rPr>
          <w:fldChar w:fldCharType="begin"/>
        </w:r>
        <w:r w:rsidR="001543D6" w:rsidRPr="001543D6">
          <w:rPr>
            <w:rFonts w:ascii="Times New Roman" w:hAnsi="Times New Roman" w:cs="Times New Roman"/>
            <w:noProof/>
            <w:webHidden/>
          </w:rPr>
          <w:instrText xml:space="preserve"> PAGEREF _Toc109161450 \h </w:instrText>
        </w:r>
        <w:r w:rsidR="001543D6" w:rsidRPr="001543D6">
          <w:rPr>
            <w:rFonts w:ascii="Times New Roman" w:hAnsi="Times New Roman" w:cs="Times New Roman"/>
            <w:noProof/>
            <w:webHidden/>
          </w:rPr>
        </w:r>
        <w:r w:rsidR="001543D6" w:rsidRPr="001543D6">
          <w:rPr>
            <w:rFonts w:ascii="Times New Roman" w:hAnsi="Times New Roman" w:cs="Times New Roman"/>
            <w:noProof/>
            <w:webHidden/>
          </w:rPr>
          <w:fldChar w:fldCharType="separate"/>
        </w:r>
        <w:r w:rsidR="001543D6" w:rsidRPr="001543D6">
          <w:rPr>
            <w:rFonts w:ascii="Times New Roman" w:hAnsi="Times New Roman" w:cs="Times New Roman"/>
            <w:noProof/>
            <w:webHidden/>
          </w:rPr>
          <w:t>10</w:t>
        </w:r>
        <w:r w:rsidR="001543D6" w:rsidRPr="001543D6">
          <w:rPr>
            <w:rFonts w:ascii="Times New Roman" w:hAnsi="Times New Roman" w:cs="Times New Roman"/>
            <w:noProof/>
            <w:webHidden/>
          </w:rPr>
          <w:fldChar w:fldCharType="end"/>
        </w:r>
      </w:hyperlink>
    </w:p>
    <w:p w14:paraId="73C21AE8" w14:textId="77777777" w:rsidR="00BC59E1" w:rsidRPr="00BC59E1" w:rsidRDefault="00BC59E1" w:rsidP="00BC59E1">
      <w:pPr>
        <w:rPr>
          <w:b/>
        </w:rPr>
      </w:pPr>
      <w:r>
        <w:rPr>
          <w:b/>
        </w:rPr>
        <w:fldChar w:fldCharType="end"/>
      </w:r>
    </w:p>
    <w:p w14:paraId="788F3EF3" w14:textId="77777777" w:rsidR="00BC59E1" w:rsidRDefault="00BC59E1">
      <w:pPr>
        <w:spacing w:after="200" w:line="276" w:lineRule="auto"/>
        <w:jc w:val="left"/>
        <w:rPr>
          <w:rFonts w:eastAsiaTheme="majorEastAsia" w:cstheme="majorBidi"/>
          <w:b/>
          <w:bCs/>
          <w:sz w:val="26"/>
          <w:szCs w:val="28"/>
          <w:lang w:val="en-US"/>
        </w:rPr>
      </w:pPr>
      <w:r>
        <w:br w:type="page"/>
      </w:r>
    </w:p>
    <w:p w14:paraId="2A6ED61B" w14:textId="77777777" w:rsidR="00397FEA" w:rsidRDefault="00BC59E1" w:rsidP="00BC59E1">
      <w:pPr>
        <w:pStyle w:val="Heading1"/>
      </w:pPr>
      <w:bookmarkStart w:id="0" w:name="_Toc109161440"/>
      <w:r>
        <w:lastRenderedPageBreak/>
        <w:t>Introduction</w:t>
      </w:r>
      <w:bookmarkEnd w:id="0"/>
      <w:r>
        <w:t xml:space="preserve"> </w:t>
      </w:r>
    </w:p>
    <w:p w14:paraId="79189DF3" w14:textId="77777777" w:rsidR="00ED5C6E" w:rsidRDefault="00ED5C6E" w:rsidP="007801D0">
      <w:pPr>
        <w:ind w:firstLine="720"/>
      </w:pPr>
      <w:r>
        <w:t>The report discusses different approaches associated with crime prevention and related interventions using the case study “Crime Prevention through Environmental Design: A Case Study on Different Egyptian Neighbourhoods.” The case helps in understanding the application of the theories by using some practice examples. Therefore, different types of activities are considered essential that can deliver and effectiveness of the idea by using crime prevention processes (</w:t>
      </w:r>
      <w:proofErr w:type="spellStart"/>
      <w:r>
        <w:t>Tankebe</w:t>
      </w:r>
      <w:proofErr w:type="spellEnd"/>
      <w:r>
        <w:t xml:space="preserve">, 2019). The understanding defines the application of the approaches that are available for the underlying rationale, where the theories are also crucial for developing effective programs and processes in crime prevention management. </w:t>
      </w:r>
    </w:p>
    <w:p w14:paraId="407072CE" w14:textId="77777777" w:rsidR="00ED5C6E" w:rsidRDefault="00ED5C6E" w:rsidP="007801D0">
      <w:pPr>
        <w:ind w:firstLine="720"/>
      </w:pPr>
      <w:r>
        <w:t xml:space="preserve">The theories related to crime prevention seem to follow the environmental approach. The environmental policy is used to reduce the opportunities associated with a crime by considering the modifying elements of the physical environment. The theories define criminal justice processes that help prevent crime through the services and activities of police, courts, and related management (Siegel, 2020). Police are responsible for using computers and crime analysis units that help apprehend criminals. The theories are used for reworking the data that can predict the crime and taking relevant actions for prevention. </w:t>
      </w:r>
    </w:p>
    <w:p w14:paraId="34F128AC" w14:textId="77777777" w:rsidR="00ED5C6E" w:rsidRDefault="00ED5C6E" w:rsidP="007801D0">
      <w:pPr>
        <w:pStyle w:val="Heading1"/>
      </w:pPr>
      <w:bookmarkStart w:id="1" w:name="_Toc109161441"/>
      <w:r>
        <w:t>Crime Prevention Theories</w:t>
      </w:r>
      <w:bookmarkEnd w:id="1"/>
    </w:p>
    <w:p w14:paraId="22B20E2D" w14:textId="77777777" w:rsidR="00ED5C6E" w:rsidRDefault="00ED5C6E" w:rsidP="007801D0">
      <w:pPr>
        <w:ind w:firstLine="720"/>
      </w:pPr>
      <w:r>
        <w:t>The implementation of crime prevention theory is used to provide the features of the surrounding activities. The views are applied to the cases that define environmental challenges and changes in different places (Ratcliffe, 2018). Therefore, they are directly related to the understanding of the crime surrounded by the contributions. The knowledge of theories and application by using practical examples are elaborated as un</w:t>
      </w:r>
      <w:r w:rsidR="00D4450D">
        <w:t>der:</w:t>
      </w:r>
    </w:p>
    <w:p w14:paraId="23D696F6" w14:textId="77777777" w:rsidR="00ED5C6E" w:rsidRDefault="00ED5C6E" w:rsidP="007801D0">
      <w:pPr>
        <w:pStyle w:val="Heading2"/>
      </w:pPr>
      <w:bookmarkStart w:id="2" w:name="_Toc109161442"/>
      <w:r>
        <w:lastRenderedPageBreak/>
        <w:t>Crime Prevention Using Environmental Design</w:t>
      </w:r>
      <w:bookmarkEnd w:id="2"/>
    </w:p>
    <w:p w14:paraId="7A6A2132" w14:textId="77777777" w:rsidR="00ED5C6E" w:rsidRDefault="00ED5C6E" w:rsidP="007801D0">
      <w:pPr>
        <w:ind w:firstLine="720"/>
      </w:pPr>
      <w:r>
        <w:t>It is also called CPTED, which C. Ray Jeffery proposed. The theory identifies the conditions related to physical and significant social environment management (</w:t>
      </w:r>
      <w:proofErr w:type="spellStart"/>
      <w:r>
        <w:t>Mcdowell</w:t>
      </w:r>
      <w:proofErr w:type="spellEnd"/>
      <w:r>
        <w:t xml:space="preserve"> &amp; </w:t>
      </w:r>
      <w:proofErr w:type="spellStart"/>
      <w:r>
        <w:t>Farnendez</w:t>
      </w:r>
      <w:proofErr w:type="spellEnd"/>
      <w:r>
        <w:t xml:space="preserve">, 2018). The approach provides several opportunities to sediment the criminal acts and define the alteration within the conditions where no such crimes arise. The theory determines the corruption facilitated or inhibited by certain features regarding physical environment management. The approach can be applied to the case of Egyptian Neighbourhood. </w:t>
      </w:r>
    </w:p>
    <w:p w14:paraId="54888674" w14:textId="77777777" w:rsidR="00ED5C6E" w:rsidRDefault="00ED5C6E" w:rsidP="007801D0">
      <w:pPr>
        <w:ind w:firstLine="720"/>
      </w:pPr>
      <w:r>
        <w:t>The theory identifies the hypothesized features of crime rates in urban areas are directly correlated to the design of the environment, such as the height of a building and its orientation. It has been observed that high-rise buildings experienced higher crime rates than low-rise buildings supporting the idea that a sense of ownership helps promote safer, more defensible spaces. The theory presents the advocated view for creating the hierarchy of spaces as defining the public to private processes (Ariel et al., 2018). Therefore the effective management of building territories can be done by using the practical resources of the symbolic devices like changes in the level, material management, portal services, or landscaping. The theory can be used by defining Newman’s ideas and thoughts that help understand the notion of Crime Prevention through Environmental Design (CPTED).</w:t>
      </w:r>
    </w:p>
    <w:p w14:paraId="149B03C2" w14:textId="77777777" w:rsidR="00ED5C6E" w:rsidRDefault="00ED5C6E" w:rsidP="007801D0">
      <w:pPr>
        <w:pStyle w:val="Heading2"/>
      </w:pPr>
      <w:bookmarkStart w:id="3" w:name="_Toc109161443"/>
      <w:r>
        <w:t>Defensible Space Theory</w:t>
      </w:r>
      <w:bookmarkEnd w:id="3"/>
    </w:p>
    <w:p w14:paraId="19EBE75F" w14:textId="77777777" w:rsidR="00ED5C6E" w:rsidRDefault="00ED5C6E" w:rsidP="007801D0">
      <w:pPr>
        <w:ind w:firstLine="720"/>
      </w:pPr>
      <w:r>
        <w:t xml:space="preserve">The theory was implemented by Architect Oscar Newman, who created safer public housing schemes. Newman has proposed that a residential environment can be designed to encourage the residents' supervision. It provides responsible matter for the </w:t>
      </w:r>
      <w:proofErr w:type="spellStart"/>
      <w:r>
        <w:t>neighborhoods</w:t>
      </w:r>
      <w:proofErr w:type="spellEnd"/>
      <w:r>
        <w:t xml:space="preserve"> as well (McLean et al., 2020). The theory seems to reduce the crime and fear of crime altogether by reducing the opportunity for crime and fostering positive social interaction among the residents.</w:t>
      </w:r>
    </w:p>
    <w:p w14:paraId="0A17DC57" w14:textId="77777777" w:rsidR="00ED5C6E" w:rsidRDefault="00ED5C6E" w:rsidP="00ED5C6E">
      <w:r>
        <w:lastRenderedPageBreak/>
        <w:t xml:space="preserve">For applying to the selected case, the theory focuses on defining the impact of configurational properties related to the crime in the last few decades. </w:t>
      </w:r>
    </w:p>
    <w:p w14:paraId="506CAB41" w14:textId="77777777" w:rsidR="00ED5C6E" w:rsidRDefault="00ED5C6E" w:rsidP="007801D0">
      <w:pPr>
        <w:ind w:firstLine="720"/>
      </w:pPr>
      <w:r>
        <w:t xml:space="preserve">It has seen the integration and connectivity with describing the Space Syntax steps of the Egyptian </w:t>
      </w:r>
      <w:r w:rsidR="007801D0">
        <w:t>neighbourhood</w:t>
      </w:r>
      <w:r>
        <w:t>. People can use it to calculate the degree of accessibility related to the street segments by considering different street segments of the spatial structure (</w:t>
      </w:r>
      <w:proofErr w:type="spellStart"/>
      <w:r>
        <w:t>Ansary</w:t>
      </w:r>
      <w:proofErr w:type="spellEnd"/>
      <w:r>
        <w:t>, 2020). Thus, the theory seems essential for remembering that the street networks significantly affect the crimes committed by the people in the learning places as using driving instead of walking. There is an imperative space description where the road networks deliver the illegal opportunity. It imposes more robust management of the traffic levels implied on many possible victims. The different factors are used to manage the street patterns that are affecting the rates of crimes and related procedures like the entrances of the spaces that are helpful for the management of the criminals towards the escape of the committing crimes.</w:t>
      </w:r>
    </w:p>
    <w:p w14:paraId="73F2B88C" w14:textId="77777777" w:rsidR="00ED5C6E" w:rsidRDefault="00ED5C6E" w:rsidP="007801D0">
      <w:pPr>
        <w:pStyle w:val="Heading2"/>
      </w:pPr>
      <w:bookmarkStart w:id="4" w:name="_Toc109161444"/>
      <w:r>
        <w:t>Situational Crime Prevention Theory</w:t>
      </w:r>
      <w:bookmarkEnd w:id="4"/>
    </w:p>
    <w:p w14:paraId="419ECE31" w14:textId="77777777" w:rsidR="00ED5C6E" w:rsidRDefault="00ED5C6E" w:rsidP="007801D0">
      <w:pPr>
        <w:ind w:firstLine="720"/>
      </w:pPr>
      <w:r>
        <w:t xml:space="preserve">The concept has been attributed in a book written by famous writer Ronald </w:t>
      </w:r>
      <w:proofErr w:type="spellStart"/>
      <w:r>
        <w:t>Clarkein</w:t>
      </w:r>
      <w:proofErr w:type="spellEnd"/>
      <w:r>
        <w:t xml:space="preserve"> 1992. The practical implications seen within the image are the same as those describing CPTED and Defensible Space theories. Therefore, the. Situational crime prevention defines the elimination of the opportunities related to the crime. The option is associated with reducing the measures that can be directly used for measuring the specific management of the crime. Tactics are based on defining direction, designing processes, and manipulating the manipulation that uses the environment in systematic and permanent manners (Bennett Moses &amp; Chan, 2018). The case of the Egyptian </w:t>
      </w:r>
      <w:proofErr w:type="spellStart"/>
      <w:r>
        <w:t>Neighborhood</w:t>
      </w:r>
      <w:proofErr w:type="spellEnd"/>
      <w:r>
        <w:t xml:space="preserve"> manages to increase the effort and challenges related to the crime for the reduction of the rewards that are associated with the crimes. </w:t>
      </w:r>
    </w:p>
    <w:p w14:paraId="0459070B" w14:textId="77777777" w:rsidR="00ED5C6E" w:rsidRDefault="00ED5C6E" w:rsidP="007801D0">
      <w:pPr>
        <w:ind w:firstLine="720"/>
      </w:pPr>
      <w:r>
        <w:lastRenderedPageBreak/>
        <w:t>The case uses a situational crime prevention model that demonstrates the potential matters for the designing of the crimes and related actions. It defines the manipulation of the situational factors seen in implementing the immediate measures of the environment. The theory applies the ProblemOriented Policing that leads toward developing SituationalCrime Prevention (Ariel et al., 2018). The use of different methods related to situational crime prevention is considered to increase the efforts needed to manage the commitment to the crime.</w:t>
      </w:r>
    </w:p>
    <w:p w14:paraId="666FF148" w14:textId="77777777" w:rsidR="00ED5C6E" w:rsidRDefault="00ED5C6E" w:rsidP="007801D0">
      <w:pPr>
        <w:pStyle w:val="Heading2"/>
      </w:pPr>
      <w:bookmarkStart w:id="5" w:name="_Toc109161445"/>
      <w:r>
        <w:t>Routine Activities Theory</w:t>
      </w:r>
      <w:bookmarkEnd w:id="5"/>
    </w:p>
    <w:p w14:paraId="6F885183" w14:textId="77777777" w:rsidR="00ED5C6E" w:rsidRDefault="00ED5C6E" w:rsidP="007801D0">
      <w:pPr>
        <w:ind w:firstLine="720"/>
      </w:pPr>
      <w:r>
        <w:t xml:space="preserve">The theory was created by Cohen and Felson that mentions the imposing of the crime for the occurrences of the intersection for the motivation and defining suitable target actions. There are different structural changes in routine activities while applying the valuable services of society (Lumsden &amp; Goode, 2018). It seems to influence the crime rates by affecting the convergence within the space of different elements. The theory can be applied in the case of Egyptian </w:t>
      </w:r>
      <w:proofErr w:type="spellStart"/>
      <w:r>
        <w:t>Neighborhoods</w:t>
      </w:r>
      <w:proofErr w:type="spellEnd"/>
      <w:r>
        <w:t>, where routine activities may define a more significant number of activities such as work, leisure, and related social interactions. The activities are seen within the home or away from the concerned house. The routine activities are used for performing the services considered near the home where the lower crime risks are expected to enhance the guardianship capabilities.</w:t>
      </w:r>
    </w:p>
    <w:p w14:paraId="5BAC002E" w14:textId="77777777" w:rsidR="00ED5C6E" w:rsidRDefault="00ED5C6E" w:rsidP="00E512A7">
      <w:pPr>
        <w:ind w:firstLine="720"/>
      </w:pPr>
      <w:r>
        <w:t>The selected case has presented the implementation of higher levels of guardianship that can increase the likelihood of the offenders being seen. There is a risk of managing criminal activities that can victimize the reduction. Routine activities are applied to services to explain higher crime rates after considering World War II (</w:t>
      </w:r>
      <w:proofErr w:type="spellStart"/>
      <w:r>
        <w:t>Bishopp</w:t>
      </w:r>
      <w:proofErr w:type="spellEnd"/>
      <w:r>
        <w:t xml:space="preserve"> et al., 218). It seems that the people in the workplace can leave their homes unattended for extended periods.</w:t>
      </w:r>
    </w:p>
    <w:p w14:paraId="708FCCA2" w14:textId="77777777" w:rsidR="00ED5C6E" w:rsidRDefault="00ED5C6E" w:rsidP="00E512A7">
      <w:pPr>
        <w:pStyle w:val="Heading2"/>
      </w:pPr>
      <w:bookmarkStart w:id="6" w:name="_Toc109161446"/>
      <w:r>
        <w:lastRenderedPageBreak/>
        <w:t>Crime Pattern Theory</w:t>
      </w:r>
      <w:bookmarkEnd w:id="6"/>
    </w:p>
    <w:p w14:paraId="57AA6095" w14:textId="77777777" w:rsidR="00ED5C6E" w:rsidRDefault="00ED5C6E" w:rsidP="00E512A7">
      <w:pPr>
        <w:ind w:firstLine="720"/>
      </w:pPr>
      <w:proofErr w:type="spellStart"/>
      <w:r>
        <w:t>Brantingham</w:t>
      </w:r>
      <w:proofErr w:type="spellEnd"/>
      <w:r>
        <w:t xml:space="preserve"> and </w:t>
      </w:r>
      <w:proofErr w:type="spellStart"/>
      <w:r>
        <w:t>Brantingham</w:t>
      </w:r>
      <w:proofErr w:type="spellEnd"/>
      <w:r>
        <w:t xml:space="preserve"> presented the theory. The theory can be influenced by adding different views within it, such as Routine Activities, Rational Choices, and environmental principles that are related to the crime. The theory is applied to specific criminal acts that are mostly seen as occurring within areas for providing awareness of the space. The offender uses it to intersect with the perceived notion of the definite target actions. Some criminals can select the crime sites in a random process where the criminal site can be spatially structured (Hardy, 2018).</w:t>
      </w:r>
    </w:p>
    <w:p w14:paraId="3E48062D" w14:textId="77777777" w:rsidR="00ED5C6E" w:rsidRDefault="00ED5C6E" w:rsidP="008B10D1">
      <w:pPr>
        <w:ind w:firstLine="720"/>
      </w:pPr>
      <w:r>
        <w:t xml:space="preserve">The theory is used in the Egyptian </w:t>
      </w:r>
      <w:proofErr w:type="spellStart"/>
      <w:r>
        <w:t>Neighborhood</w:t>
      </w:r>
      <w:proofErr w:type="spellEnd"/>
      <w:r>
        <w:t xml:space="preserve"> to define criminal events where the endpoint manages the decision process or considers the sequence of related steps. The decision process or the corresponding series of steps can be regarded as rational. The decisions can never be effective </w:t>
      </w:r>
      <w:r w:rsidR="008B10D1">
        <w:t>or</w:t>
      </w:r>
      <w:r>
        <w:t xml:space="preserve"> unpredictable for taking measurable actions. The case defines that moving from a lower income to a community of a higher income can increase the rates of crime (Brown et al., 2018). It owns the larger management of the socioeconomic division between the </w:t>
      </w:r>
      <w:proofErr w:type="spellStart"/>
      <w:r>
        <w:t>neighborhood</w:t>
      </w:r>
      <w:proofErr w:type="spellEnd"/>
      <w:r>
        <w:t xml:space="preserve"> and the people of lower income crime within the defined community.</w:t>
      </w:r>
    </w:p>
    <w:p w14:paraId="6C21C237" w14:textId="77777777" w:rsidR="00ED5C6E" w:rsidRDefault="00ED5C6E" w:rsidP="008B10D1">
      <w:pPr>
        <w:pStyle w:val="Heading2"/>
      </w:pPr>
      <w:bookmarkStart w:id="7" w:name="_Toc109161447"/>
      <w:r>
        <w:t>Broken Windows Theory</w:t>
      </w:r>
      <w:bookmarkEnd w:id="7"/>
    </w:p>
    <w:p w14:paraId="662497F6" w14:textId="77777777" w:rsidR="008B10D1" w:rsidRDefault="00ED5C6E" w:rsidP="008B10D1">
      <w:pPr>
        <w:ind w:firstLine="720"/>
      </w:pPr>
      <w:r>
        <w:t xml:space="preserve">James Q. Wilson and George Kelling conceptualized the theory. The concept of the Broken Windows theory is based on defining Neighbourhood disorder. It establishes the form of different crimes while providing the indicator of lower Neighbourhood for the management of social control. It can be applied to the activities of offenders while interpreting the elements of the disorder as considering a signal where the </w:t>
      </w:r>
      <w:proofErr w:type="spellStart"/>
      <w:r>
        <w:t>neighborhood</w:t>
      </w:r>
      <w:proofErr w:type="spellEnd"/>
      <w:r>
        <w:t xml:space="preserve"> defines a place where the crime is committed with definite impunity (Hamm et al., 2022). There is a fear of crime that can increase the situation among the residents. Thus, it can be applied to the case where the theory manages </w:t>
      </w:r>
      <w:r>
        <w:lastRenderedPageBreak/>
        <w:t xml:space="preserve">the vicious cycle with the conscientious residents moving away, defining the increased crime increase in the disorder leading towards the abandoned resources. </w:t>
      </w:r>
    </w:p>
    <w:p w14:paraId="24E6AC6F" w14:textId="77777777" w:rsidR="00ED5C6E" w:rsidRDefault="00ED5C6E" w:rsidP="008B10D1">
      <w:pPr>
        <w:ind w:firstLine="720"/>
      </w:pPr>
      <w:r>
        <w:t xml:space="preserve">According to the theory, the description of the poor design can primarily reinforce the factor related to the crime. In the Egyptian measures, the theory defines the association between Neighbourhood disorder and corruption relating to the impact on policing. The increased conditions can increase the fear of crime, such as street crimes, </w:t>
      </w:r>
      <w:proofErr w:type="spellStart"/>
      <w:r>
        <w:t>neighborhood</w:t>
      </w:r>
      <w:proofErr w:type="spellEnd"/>
      <w:r>
        <w:t xml:space="preserve"> decline, feelings of hopelessness among the residents, and Broken Windows policing (Di Nota&amp; </w:t>
      </w:r>
      <w:proofErr w:type="spellStart"/>
      <w:r>
        <w:t>Huhta</w:t>
      </w:r>
      <w:proofErr w:type="spellEnd"/>
      <w:r>
        <w:t>, 2019).</w:t>
      </w:r>
    </w:p>
    <w:p w14:paraId="4071DFA9" w14:textId="77777777" w:rsidR="00ED5C6E" w:rsidRDefault="00ED5C6E" w:rsidP="008B10D1">
      <w:pPr>
        <w:pStyle w:val="Heading2"/>
      </w:pPr>
      <w:bookmarkStart w:id="8" w:name="_Toc109161448"/>
      <w:r>
        <w:t>Pockets of Crime Theory</w:t>
      </w:r>
      <w:bookmarkEnd w:id="8"/>
    </w:p>
    <w:p w14:paraId="6B9E3F38" w14:textId="77777777" w:rsidR="008B10D1" w:rsidRDefault="00ED5C6E" w:rsidP="008B10D1">
      <w:pPr>
        <w:ind w:firstLine="720"/>
      </w:pPr>
      <w:r>
        <w:t xml:space="preserve">Peter K.B. St. Jean initiated the theory. The theory postulates the description of the highest crime rates within the city as considering the common area of a town. There is the majority of blocks that are seen in the region implement a lower incidence of crime. Crime can be concentrated within “pockets of crime” (Fleming &amp; Rhodes, 2018). It shows the opportunities for crime where the pockets of crime can broadly define a function of uneven development resources. The case of the Egyptian </w:t>
      </w:r>
      <w:proofErr w:type="spellStart"/>
      <w:r>
        <w:t>Neighborhood</w:t>
      </w:r>
      <w:proofErr w:type="spellEnd"/>
      <w:r>
        <w:t xml:space="preserve"> shows the placement of theory for the process of planning, zoning actions, and related patterns that can manage the Presence of </w:t>
      </w:r>
      <w:proofErr w:type="spellStart"/>
      <w:r>
        <w:t>Neighborhood</w:t>
      </w:r>
      <w:proofErr w:type="spellEnd"/>
      <w:r>
        <w:t xml:space="preserve"> disorder. There can be a lack of Collective Efficacy that is insufficient for managing crime. </w:t>
      </w:r>
    </w:p>
    <w:p w14:paraId="30EC259B" w14:textId="77777777" w:rsidR="00ED5C6E" w:rsidRDefault="00ED5C6E" w:rsidP="008B10D1">
      <w:pPr>
        <w:ind w:firstLine="720"/>
      </w:pPr>
      <w:r>
        <w:t xml:space="preserve">It seems that the higher crime areas result from the disorder/collective efficacy and opportunities related to the specific location. The criminals are habitually committing the crimes within the places that can define the advantages like management of the </w:t>
      </w:r>
      <w:proofErr w:type="spellStart"/>
      <w:r>
        <w:t>neighborhood</w:t>
      </w:r>
      <w:proofErr w:type="spellEnd"/>
      <w:r>
        <w:t xml:space="preserve"> spaces according to the zones. It can be used and developed efficiently in different areas (Engel, McManus &amp; </w:t>
      </w:r>
      <w:proofErr w:type="spellStart"/>
      <w:r>
        <w:t>Isaza</w:t>
      </w:r>
      <w:proofErr w:type="spellEnd"/>
      <w:r>
        <w:t>, 2020). The case shows that the standard division defines functions reconsidered within a hybrid zoning process. The approach can describe ways to combine the parts and effectively use the land.</w:t>
      </w:r>
    </w:p>
    <w:p w14:paraId="6E6B7243" w14:textId="77777777" w:rsidR="00ED5C6E" w:rsidRDefault="00ED5C6E" w:rsidP="008B10D1">
      <w:pPr>
        <w:pStyle w:val="Heading1"/>
      </w:pPr>
      <w:bookmarkStart w:id="9" w:name="_Toc109161449"/>
      <w:r>
        <w:lastRenderedPageBreak/>
        <w:t>Conclusion</w:t>
      </w:r>
      <w:bookmarkEnd w:id="9"/>
    </w:p>
    <w:p w14:paraId="2B0B7511" w14:textId="77777777" w:rsidR="00ED5C6E" w:rsidRDefault="00ED5C6E" w:rsidP="008B10D1">
      <w:pPr>
        <w:ind w:firstLine="720"/>
      </w:pPr>
      <w:r>
        <w:t xml:space="preserve">It has been concluded that the surveys for crime, considering the examples and approaches, are used to provide invaluable management to the groups of the police. For example, the activities of the architectural firms and land developers can avoid or reduce different policies related to the crime-producing features in the urban development processes. The practical implication has been given using the case study where the theories have touched upon the correlation between the external environment and the definite causes of the crimes. The environmental approach has been used for modifying the physical environment that can eliminate the opportunities for the occurrences of the crimes. </w:t>
      </w:r>
    </w:p>
    <w:p w14:paraId="7196E969" w14:textId="77777777" w:rsidR="00C74E48" w:rsidRDefault="00ED5C6E" w:rsidP="008B10D1">
      <w:pPr>
        <w:ind w:firstLine="720"/>
      </w:pPr>
      <w:r>
        <w:t>It has been seen that the large part of the literature was associated with understanding crime prevention policies within the study area. Different environmental theories regarding crime prevention are used, such as CPTED, Defensible Space Theory, Situational Crime Prevention Theory, Routine Activities Theory, Crime Pattern Management Theory, and Broken Windows Theory. Crime prevention has been applied by using the approaches that can achieve the punishment and related theories of punishment based on deterrence, retribution services, preventive measures, and considering reformative actions.</w:t>
      </w:r>
    </w:p>
    <w:p w14:paraId="458551FD" w14:textId="77777777" w:rsidR="00C74E48" w:rsidRDefault="00C74E48" w:rsidP="0089073D"/>
    <w:p w14:paraId="26A71FAB" w14:textId="77777777" w:rsidR="00ED5C6E" w:rsidRDefault="00ED5C6E" w:rsidP="0089073D"/>
    <w:p w14:paraId="7476A4E8" w14:textId="77777777" w:rsidR="00ED5C6E" w:rsidRDefault="00ED5C6E" w:rsidP="0089073D"/>
    <w:p w14:paraId="06A1448E" w14:textId="77777777" w:rsidR="00ED5C6E" w:rsidRDefault="00ED5C6E" w:rsidP="0089073D"/>
    <w:p w14:paraId="73CFC131" w14:textId="77777777" w:rsidR="00ED5C6E" w:rsidRDefault="00ED5C6E" w:rsidP="0089073D"/>
    <w:p w14:paraId="04336B31" w14:textId="77777777" w:rsidR="00C74E48" w:rsidRDefault="00C74E48" w:rsidP="00A61401">
      <w:pPr>
        <w:pStyle w:val="Heading1"/>
      </w:pPr>
      <w:bookmarkStart w:id="10" w:name="_Toc109161450"/>
      <w:r>
        <w:lastRenderedPageBreak/>
        <w:t>References</w:t>
      </w:r>
      <w:bookmarkEnd w:id="10"/>
    </w:p>
    <w:p w14:paraId="43A3E9FA" w14:textId="77777777" w:rsidR="00251697" w:rsidRDefault="00251697" w:rsidP="00A61401">
      <w:pPr>
        <w:ind w:left="720" w:hanging="720"/>
      </w:pPr>
      <w:proofErr w:type="spellStart"/>
      <w:r w:rsidRPr="00251697">
        <w:t>Ansary</w:t>
      </w:r>
      <w:proofErr w:type="spellEnd"/>
      <w:r w:rsidRPr="00251697">
        <w:t xml:space="preserve">, N. S. (2020). Cyberbullying: Concepts, theories, and correlates informing evidence-based best practices for prevention. </w:t>
      </w:r>
      <w:r w:rsidRPr="00AB01CF">
        <w:rPr>
          <w:i/>
          <w:iCs/>
        </w:rPr>
        <w:t xml:space="preserve">Aggression and violent </w:t>
      </w:r>
      <w:proofErr w:type="spellStart"/>
      <w:r w:rsidRPr="00AB01CF">
        <w:rPr>
          <w:i/>
          <w:iCs/>
        </w:rPr>
        <w:t>behavior</w:t>
      </w:r>
      <w:proofErr w:type="spellEnd"/>
      <w:r w:rsidRPr="00251697">
        <w:t xml:space="preserve">, </w:t>
      </w:r>
      <w:r w:rsidR="009173C9">
        <w:rPr>
          <w:i/>
          <w:iCs/>
        </w:rPr>
        <w:t>50</w:t>
      </w:r>
      <w:r w:rsidRPr="00251697">
        <w:t>, 101343.</w:t>
      </w:r>
    </w:p>
    <w:p w14:paraId="0253F7FC" w14:textId="77777777" w:rsidR="00CD5191" w:rsidRDefault="00CD5191" w:rsidP="00A61401">
      <w:pPr>
        <w:ind w:left="720" w:hanging="720"/>
      </w:pPr>
      <w:r w:rsidRPr="00CD5191">
        <w:t xml:space="preserve">Ariel, B., Sutherland, A., </w:t>
      </w:r>
      <w:proofErr w:type="spellStart"/>
      <w:r w:rsidRPr="00CD5191">
        <w:t>Henstock</w:t>
      </w:r>
      <w:proofErr w:type="spellEnd"/>
      <w:r w:rsidRPr="00CD5191">
        <w:t xml:space="preserve">, D., Young, J., &amp; </w:t>
      </w:r>
      <w:proofErr w:type="spellStart"/>
      <w:r w:rsidRPr="00CD5191">
        <w:t>Sosinski</w:t>
      </w:r>
      <w:proofErr w:type="spellEnd"/>
      <w:r w:rsidRPr="00CD5191">
        <w:t>, G. (2018). The deterrence spectrum: Explaining why police body-worn cameras ‘</w:t>
      </w:r>
      <w:proofErr w:type="spellStart"/>
      <w:r w:rsidRPr="00CD5191">
        <w:t>work’or</w:t>
      </w:r>
      <w:proofErr w:type="spellEnd"/>
      <w:r w:rsidRPr="00CD5191">
        <w:t xml:space="preserve"> ‘</w:t>
      </w:r>
      <w:proofErr w:type="spellStart"/>
      <w:r w:rsidRPr="00CD5191">
        <w:t>backfire’in</w:t>
      </w:r>
      <w:proofErr w:type="spellEnd"/>
      <w:r w:rsidRPr="00CD5191">
        <w:t xml:space="preserve"> aggressive police–public encounters. Policing: </w:t>
      </w:r>
      <w:r w:rsidRPr="009173C9">
        <w:rPr>
          <w:i/>
          <w:iCs/>
        </w:rPr>
        <w:t>A Journal of Policy and Practice, 12</w:t>
      </w:r>
      <w:r w:rsidRPr="00CD5191">
        <w:t>(1), 6-26.</w:t>
      </w:r>
    </w:p>
    <w:p w14:paraId="6A5D420E" w14:textId="77777777" w:rsidR="00AB01CF" w:rsidRDefault="00AB01CF" w:rsidP="00A61401">
      <w:pPr>
        <w:ind w:left="720" w:hanging="720"/>
      </w:pPr>
      <w:r w:rsidRPr="00AB01CF">
        <w:t xml:space="preserve">Bennett Moses, L., &amp; Chan, J. (2018). Algorithmic prediction in policing: assumptions, evaluation, and accountability. </w:t>
      </w:r>
      <w:r w:rsidRPr="009173C9">
        <w:rPr>
          <w:i/>
          <w:iCs/>
        </w:rPr>
        <w:t>Policing and society, 28</w:t>
      </w:r>
      <w:r w:rsidRPr="00AB01CF">
        <w:t>(7), 806-822.</w:t>
      </w:r>
    </w:p>
    <w:p w14:paraId="16BC062E" w14:textId="77777777" w:rsidR="00A43152" w:rsidRDefault="00A43152" w:rsidP="00A61401">
      <w:pPr>
        <w:ind w:left="720" w:hanging="720"/>
      </w:pPr>
      <w:proofErr w:type="spellStart"/>
      <w:r w:rsidRPr="00A43152">
        <w:t>Bishopp</w:t>
      </w:r>
      <w:proofErr w:type="spellEnd"/>
      <w:r w:rsidRPr="00A43152">
        <w:t xml:space="preserve">, S. A., Leeper Piquero, N., Worrall, J. L., &amp; Piquero, A. R. (2018). Negative affective responses to stress among urban police officers: A general strain theory approach. </w:t>
      </w:r>
      <w:r w:rsidRPr="009173C9">
        <w:rPr>
          <w:i/>
          <w:iCs/>
        </w:rPr>
        <w:t xml:space="preserve">Deviant </w:t>
      </w:r>
      <w:proofErr w:type="spellStart"/>
      <w:r w:rsidRPr="009173C9">
        <w:rPr>
          <w:i/>
          <w:iCs/>
        </w:rPr>
        <w:t>Behavior</w:t>
      </w:r>
      <w:proofErr w:type="spellEnd"/>
      <w:r w:rsidRPr="009173C9">
        <w:rPr>
          <w:i/>
          <w:iCs/>
        </w:rPr>
        <w:t>,</w:t>
      </w:r>
      <w:r w:rsidRPr="00A43152">
        <w:t xml:space="preserve"> 1-20.</w:t>
      </w:r>
    </w:p>
    <w:p w14:paraId="4645DD31" w14:textId="77777777" w:rsidR="00C74E48" w:rsidRDefault="002B377E" w:rsidP="00A61401">
      <w:pPr>
        <w:ind w:left="720" w:hanging="720"/>
      </w:pPr>
      <w:r w:rsidRPr="002B377E">
        <w:t xml:space="preserve">Brown, J., </w:t>
      </w:r>
      <w:proofErr w:type="spellStart"/>
      <w:r w:rsidRPr="002B377E">
        <w:t>Belur</w:t>
      </w:r>
      <w:proofErr w:type="spellEnd"/>
      <w:r w:rsidRPr="002B377E">
        <w:t xml:space="preserve">, J., </w:t>
      </w:r>
      <w:proofErr w:type="spellStart"/>
      <w:r w:rsidRPr="002B377E">
        <w:t>Tompson</w:t>
      </w:r>
      <w:proofErr w:type="spellEnd"/>
      <w:r w:rsidRPr="002B377E">
        <w:t xml:space="preserve">, L., McDowall, A., Hunter, G., &amp; May, T. (2018). Extending the remit of evidence-based policing. </w:t>
      </w:r>
      <w:r w:rsidRPr="009173C9">
        <w:rPr>
          <w:i/>
          <w:iCs/>
        </w:rPr>
        <w:t>International journal of police science &amp; management,</w:t>
      </w:r>
      <w:r w:rsidRPr="002B377E">
        <w:t xml:space="preserve"> </w:t>
      </w:r>
      <w:r w:rsidR="009173C9">
        <w:rPr>
          <w:i/>
          <w:iCs/>
        </w:rPr>
        <w:t>20</w:t>
      </w:r>
      <w:r w:rsidRPr="002B377E">
        <w:t>(1), 38-51.</w:t>
      </w:r>
      <w:r>
        <w:t xml:space="preserve"> </w:t>
      </w:r>
    </w:p>
    <w:p w14:paraId="01436969" w14:textId="77777777" w:rsidR="009948C2" w:rsidRDefault="009948C2" w:rsidP="00A61401">
      <w:pPr>
        <w:ind w:left="720" w:hanging="720"/>
      </w:pPr>
      <w:r w:rsidRPr="009948C2">
        <w:t xml:space="preserve">Di Nota, P. M., &amp; </w:t>
      </w:r>
      <w:proofErr w:type="spellStart"/>
      <w:r w:rsidRPr="009948C2">
        <w:t>Huhta</w:t>
      </w:r>
      <w:proofErr w:type="spellEnd"/>
      <w:r w:rsidRPr="009948C2">
        <w:t xml:space="preserve">, J. M. (2019). Complex motor learning and police training: Applied, cognitive, and clinical perspectives. </w:t>
      </w:r>
      <w:r w:rsidRPr="009173C9">
        <w:rPr>
          <w:i/>
          <w:iCs/>
        </w:rPr>
        <w:t xml:space="preserve">Frontiers in Psychology, 10, </w:t>
      </w:r>
      <w:r w:rsidRPr="009948C2">
        <w:t>1797.</w:t>
      </w:r>
    </w:p>
    <w:p w14:paraId="122F94FF" w14:textId="77777777" w:rsidR="008E5B91" w:rsidRDefault="008E5B91" w:rsidP="00A61401">
      <w:pPr>
        <w:ind w:left="720" w:hanging="720"/>
      </w:pPr>
      <w:r w:rsidRPr="008E5B91">
        <w:t xml:space="preserve">Engel, R. S., McManus, H. D., &amp; </w:t>
      </w:r>
      <w:proofErr w:type="spellStart"/>
      <w:r w:rsidRPr="008E5B91">
        <w:t>Isaza</w:t>
      </w:r>
      <w:proofErr w:type="spellEnd"/>
      <w:r w:rsidRPr="008E5B91">
        <w:t xml:space="preserve">, G. T. (2020). Moving beyond “best practice”: Experiences in police reform and a call for evidence to reduce officer-involved shootings. </w:t>
      </w:r>
      <w:r w:rsidRPr="00794BA4">
        <w:rPr>
          <w:i/>
          <w:iCs/>
        </w:rPr>
        <w:t>The ANNALS of the American Academy of Political and Social Science, 687</w:t>
      </w:r>
      <w:r w:rsidRPr="008E5B91">
        <w:t>(1), 146-165.</w:t>
      </w:r>
    </w:p>
    <w:p w14:paraId="4673C8CA" w14:textId="77777777" w:rsidR="00722949" w:rsidRPr="00722949" w:rsidRDefault="00E76D1F" w:rsidP="00A61401">
      <w:pPr>
        <w:ind w:left="720" w:hanging="720"/>
      </w:pPr>
      <w:r w:rsidRPr="00E76D1F">
        <w:t xml:space="preserve">Fleming, J., &amp; Rhodes, R. (2018). Can experience be evidence? Craft knowledge and evidence-based policing. </w:t>
      </w:r>
      <w:r w:rsidRPr="00794BA4">
        <w:rPr>
          <w:i/>
          <w:iCs/>
        </w:rPr>
        <w:t>Policy &amp; politics, 46</w:t>
      </w:r>
      <w:r w:rsidRPr="00E76D1F">
        <w:t>(1), 3-26.</w:t>
      </w:r>
      <w:r w:rsidR="00722949" w:rsidRPr="00722949">
        <w:rPr>
          <w:rFonts w:ascii="Arial" w:eastAsia="Times New Roman" w:hAnsi="Arial" w:cs="Arial"/>
          <w:color w:val="222222"/>
          <w:sz w:val="20"/>
          <w:szCs w:val="20"/>
          <w:shd w:val="clear" w:color="auto" w:fill="FFFFFF"/>
          <w:lang w:eastAsia="en-GB"/>
        </w:rPr>
        <w:t xml:space="preserve"> </w:t>
      </w:r>
    </w:p>
    <w:p w14:paraId="62EABDAB" w14:textId="77777777" w:rsidR="00722949" w:rsidRPr="006771EC" w:rsidRDefault="00722949" w:rsidP="00A61401">
      <w:pPr>
        <w:ind w:left="720" w:hanging="720"/>
      </w:pPr>
      <w:r w:rsidRPr="00722949">
        <w:lastRenderedPageBreak/>
        <w:t xml:space="preserve">Hamm, J. A., Wolfe, S. E., Cavanagh, C., &amp; Lee, S. (2022). (Re) Organizing legitimacy theory. </w:t>
      </w:r>
      <w:r w:rsidRPr="00794BA4">
        <w:rPr>
          <w:i/>
          <w:iCs/>
        </w:rPr>
        <w:t>Legal and Criminological Psychology</w:t>
      </w:r>
      <w:r w:rsidR="006A5D37">
        <w:t xml:space="preserve">, </w:t>
      </w:r>
      <w:r w:rsidR="006A5D37">
        <w:rPr>
          <w:i/>
          <w:iCs/>
        </w:rPr>
        <w:t>10</w:t>
      </w:r>
      <w:r w:rsidR="006771EC">
        <w:t>(2), 334-443,</w:t>
      </w:r>
    </w:p>
    <w:p w14:paraId="627B27D4" w14:textId="77777777" w:rsidR="005C0D30" w:rsidRPr="00594009" w:rsidRDefault="005C0D30" w:rsidP="00A61401">
      <w:pPr>
        <w:ind w:left="720" w:hanging="720"/>
      </w:pPr>
      <w:r w:rsidRPr="005C0D30">
        <w:t>Hardy, K. (2018). Comparing theories of radicalisation with countering violent extremism policy.</w:t>
      </w:r>
      <w:r w:rsidR="00594009">
        <w:t xml:space="preserve"> </w:t>
      </w:r>
      <w:r w:rsidR="00594009">
        <w:rPr>
          <w:i/>
          <w:iCs/>
        </w:rPr>
        <w:t xml:space="preserve">Journal of </w:t>
      </w:r>
      <w:r w:rsidR="006A5D37">
        <w:rPr>
          <w:i/>
          <w:iCs/>
        </w:rPr>
        <w:t>Psychology,</w:t>
      </w:r>
      <w:r w:rsidR="00594009">
        <w:rPr>
          <w:i/>
          <w:iCs/>
        </w:rPr>
        <w:t xml:space="preserve"> 10</w:t>
      </w:r>
      <w:r w:rsidR="00594009">
        <w:t>(2)</w:t>
      </w:r>
      <w:r w:rsidR="006A5D37">
        <w:t>, 22-34.</w:t>
      </w:r>
    </w:p>
    <w:p w14:paraId="29B3E0A2" w14:textId="77777777" w:rsidR="008A7BAC" w:rsidRDefault="00B006A7" w:rsidP="00A61401">
      <w:pPr>
        <w:ind w:left="720" w:hanging="720"/>
      </w:pPr>
      <w:r w:rsidRPr="00B006A7">
        <w:t xml:space="preserve">Lumsden, K., &amp; Goode, J. (2018). Policing research and the rise of the ‘evidence-base’: Police officer and staff understandings of research, its implementation and ‘what works’. </w:t>
      </w:r>
      <w:r w:rsidRPr="006771EC">
        <w:rPr>
          <w:i/>
          <w:iCs/>
        </w:rPr>
        <w:t>Sociology, 52</w:t>
      </w:r>
      <w:r w:rsidR="006771EC">
        <w:t>(4</w:t>
      </w:r>
      <w:r w:rsidRPr="00B006A7">
        <w:t>), 813-829.</w:t>
      </w:r>
    </w:p>
    <w:p w14:paraId="74BD80EA" w14:textId="77777777" w:rsidR="007E0575" w:rsidRDefault="007E0575" w:rsidP="00A61401">
      <w:pPr>
        <w:ind w:left="720" w:hanging="720"/>
      </w:pPr>
      <w:r w:rsidRPr="007E0575">
        <w:t xml:space="preserve">McLean, K., Wolfe, S. E., </w:t>
      </w:r>
      <w:proofErr w:type="spellStart"/>
      <w:r w:rsidRPr="007E0575">
        <w:t>Rojek</w:t>
      </w:r>
      <w:proofErr w:type="spellEnd"/>
      <w:r w:rsidRPr="007E0575">
        <w:t xml:space="preserve">, J., Alpert, G. P., &amp; Smith, M. R. (2020). Randomized controlled trial of social interaction police training. </w:t>
      </w:r>
      <w:r w:rsidRPr="006771EC">
        <w:rPr>
          <w:i/>
          <w:iCs/>
        </w:rPr>
        <w:t>Criminology &amp; Public Policy, 19</w:t>
      </w:r>
      <w:r w:rsidRPr="007E0575">
        <w:t>(3), 805-832.</w:t>
      </w:r>
    </w:p>
    <w:p w14:paraId="25077796" w14:textId="77777777" w:rsidR="006771EC" w:rsidRDefault="00C7482C" w:rsidP="00A61401">
      <w:pPr>
        <w:ind w:left="720" w:hanging="720"/>
      </w:pPr>
      <w:r w:rsidRPr="00C7482C">
        <w:t xml:space="preserve">McDowell, M. G., &amp; Fernandez, L. A. (2018). ‘Disband, disempower, and disarm’: Amplifying the theory and practice of police abolition. </w:t>
      </w:r>
      <w:r w:rsidRPr="006771EC">
        <w:rPr>
          <w:i/>
          <w:iCs/>
        </w:rPr>
        <w:t>Critical Criminology, 26</w:t>
      </w:r>
      <w:r w:rsidRPr="00C7482C">
        <w:t>(3), 373-391.</w:t>
      </w:r>
    </w:p>
    <w:p w14:paraId="2A838298" w14:textId="77777777" w:rsidR="0053592C" w:rsidRDefault="0053592C" w:rsidP="00A61401">
      <w:pPr>
        <w:ind w:left="720" w:hanging="720"/>
      </w:pPr>
      <w:r w:rsidRPr="0053592C">
        <w:t xml:space="preserve">Ratcliffe, J. H. (2018). Reducing crime: A companion for police leaders. </w:t>
      </w:r>
      <w:r w:rsidRPr="006771EC">
        <w:rPr>
          <w:i/>
          <w:iCs/>
        </w:rPr>
        <w:t>Routledge</w:t>
      </w:r>
      <w:r w:rsidRPr="0053592C">
        <w:t>.</w:t>
      </w:r>
    </w:p>
    <w:p w14:paraId="1235D78A" w14:textId="77777777" w:rsidR="00D03A93" w:rsidRPr="0053592C" w:rsidRDefault="00494F8C" w:rsidP="00A61401">
      <w:pPr>
        <w:ind w:left="720" w:hanging="720"/>
      </w:pPr>
      <w:r w:rsidRPr="00494F8C">
        <w:t xml:space="preserve">Siegel, M. (2020). Racial disparities in fatal police shootings: An empirical analysis informed by critical race theory. </w:t>
      </w:r>
      <w:r w:rsidRPr="006771EC">
        <w:rPr>
          <w:i/>
          <w:iCs/>
        </w:rPr>
        <w:t>BUL Rev., 100,</w:t>
      </w:r>
      <w:r w:rsidRPr="00494F8C">
        <w:t xml:space="preserve"> 1069.</w:t>
      </w:r>
    </w:p>
    <w:p w14:paraId="369A8633" w14:textId="77777777" w:rsidR="006457AC" w:rsidRDefault="00D03A93" w:rsidP="00A61401">
      <w:pPr>
        <w:ind w:left="720" w:hanging="720"/>
      </w:pPr>
      <w:proofErr w:type="spellStart"/>
      <w:r w:rsidRPr="00D03A93">
        <w:t>Tankebe</w:t>
      </w:r>
      <w:proofErr w:type="spellEnd"/>
      <w:r w:rsidRPr="00D03A93">
        <w:t xml:space="preserve">, J. (2019). In their own eyes: an empirical examination of police self-legitimacy. </w:t>
      </w:r>
      <w:r w:rsidRPr="006771EC">
        <w:rPr>
          <w:i/>
          <w:iCs/>
        </w:rPr>
        <w:t>International journal of comparative and applied criminal justice, 43</w:t>
      </w:r>
      <w:r w:rsidRPr="00D03A93">
        <w:t>(2), 99-116.</w:t>
      </w:r>
    </w:p>
    <w:sectPr w:rsidR="006457A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51F5E" w14:textId="77777777" w:rsidR="00B24E8E" w:rsidRDefault="00B24E8E" w:rsidP="003813B2">
      <w:pPr>
        <w:spacing w:after="0" w:line="240" w:lineRule="auto"/>
      </w:pPr>
      <w:r>
        <w:separator/>
      </w:r>
    </w:p>
  </w:endnote>
  <w:endnote w:type="continuationSeparator" w:id="0">
    <w:p w14:paraId="2480BB0D" w14:textId="77777777" w:rsidR="00B24E8E" w:rsidRDefault="00B24E8E" w:rsidP="00381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029344"/>
      <w:docPartObj>
        <w:docPartGallery w:val="Page Numbers (Bottom of Page)"/>
        <w:docPartUnique/>
      </w:docPartObj>
    </w:sdtPr>
    <w:sdtEndPr>
      <w:rPr>
        <w:noProof/>
      </w:rPr>
    </w:sdtEndPr>
    <w:sdtContent>
      <w:p w14:paraId="0B2409B4" w14:textId="77777777" w:rsidR="00127891" w:rsidRDefault="00127891">
        <w:pPr>
          <w:pStyle w:val="Footer"/>
          <w:jc w:val="right"/>
        </w:pPr>
        <w:r>
          <w:fldChar w:fldCharType="begin"/>
        </w:r>
        <w:r>
          <w:instrText xml:space="preserve"> PAGE   \* MERGEFORMAT </w:instrText>
        </w:r>
        <w:r>
          <w:fldChar w:fldCharType="separate"/>
        </w:r>
        <w:r w:rsidR="001543D6">
          <w:rPr>
            <w:noProof/>
          </w:rPr>
          <w:t>2</w:t>
        </w:r>
        <w:r>
          <w:rPr>
            <w:noProof/>
          </w:rPr>
          <w:fldChar w:fldCharType="end"/>
        </w:r>
      </w:p>
    </w:sdtContent>
  </w:sdt>
  <w:p w14:paraId="0094FB9D" w14:textId="77777777" w:rsidR="00127891" w:rsidRDefault="00127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447B7" w14:textId="77777777" w:rsidR="00B24E8E" w:rsidRDefault="00B24E8E" w:rsidP="003813B2">
      <w:pPr>
        <w:spacing w:after="0" w:line="240" w:lineRule="auto"/>
      </w:pPr>
      <w:r>
        <w:separator/>
      </w:r>
    </w:p>
  </w:footnote>
  <w:footnote w:type="continuationSeparator" w:id="0">
    <w:p w14:paraId="4C22C403" w14:textId="77777777" w:rsidR="00B24E8E" w:rsidRDefault="00B24E8E" w:rsidP="003813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813B2"/>
    <w:rsid w:val="00033532"/>
    <w:rsid w:val="000359E1"/>
    <w:rsid w:val="00047C58"/>
    <w:rsid w:val="00053A97"/>
    <w:rsid w:val="000625BB"/>
    <w:rsid w:val="000A6479"/>
    <w:rsid w:val="000D3D38"/>
    <w:rsid w:val="000E7E9F"/>
    <w:rsid w:val="00101868"/>
    <w:rsid w:val="001032BE"/>
    <w:rsid w:val="00127891"/>
    <w:rsid w:val="00130A6B"/>
    <w:rsid w:val="001543D6"/>
    <w:rsid w:val="001E0A1F"/>
    <w:rsid w:val="001E3C42"/>
    <w:rsid w:val="001F745F"/>
    <w:rsid w:val="002333ED"/>
    <w:rsid w:val="00251697"/>
    <w:rsid w:val="002669B3"/>
    <w:rsid w:val="00272107"/>
    <w:rsid w:val="002860B2"/>
    <w:rsid w:val="002A1792"/>
    <w:rsid w:val="002A59C0"/>
    <w:rsid w:val="002B377E"/>
    <w:rsid w:val="002B40CA"/>
    <w:rsid w:val="002C7DC2"/>
    <w:rsid w:val="002F6744"/>
    <w:rsid w:val="00314033"/>
    <w:rsid w:val="0034096D"/>
    <w:rsid w:val="003526DD"/>
    <w:rsid w:val="0035614A"/>
    <w:rsid w:val="003813B2"/>
    <w:rsid w:val="00397FEA"/>
    <w:rsid w:val="003C071D"/>
    <w:rsid w:val="00405839"/>
    <w:rsid w:val="00473AB6"/>
    <w:rsid w:val="00491628"/>
    <w:rsid w:val="00494F8C"/>
    <w:rsid w:val="004C032B"/>
    <w:rsid w:val="004E415D"/>
    <w:rsid w:val="0050667D"/>
    <w:rsid w:val="00530756"/>
    <w:rsid w:val="0053592C"/>
    <w:rsid w:val="00553772"/>
    <w:rsid w:val="0056164F"/>
    <w:rsid w:val="00594009"/>
    <w:rsid w:val="005C0D30"/>
    <w:rsid w:val="0062198E"/>
    <w:rsid w:val="006457AC"/>
    <w:rsid w:val="006641DD"/>
    <w:rsid w:val="006771EC"/>
    <w:rsid w:val="006876FB"/>
    <w:rsid w:val="00691B1A"/>
    <w:rsid w:val="006955F8"/>
    <w:rsid w:val="006A5D37"/>
    <w:rsid w:val="006A6508"/>
    <w:rsid w:val="006D6016"/>
    <w:rsid w:val="006F3573"/>
    <w:rsid w:val="0070109F"/>
    <w:rsid w:val="00722949"/>
    <w:rsid w:val="00766EDC"/>
    <w:rsid w:val="007801D0"/>
    <w:rsid w:val="00794BA4"/>
    <w:rsid w:val="007A050F"/>
    <w:rsid w:val="007D4D96"/>
    <w:rsid w:val="007E0575"/>
    <w:rsid w:val="008110DE"/>
    <w:rsid w:val="00847EC0"/>
    <w:rsid w:val="00850EBB"/>
    <w:rsid w:val="00877301"/>
    <w:rsid w:val="0089073D"/>
    <w:rsid w:val="008A7BAC"/>
    <w:rsid w:val="008B10D1"/>
    <w:rsid w:val="008E5B91"/>
    <w:rsid w:val="009173C9"/>
    <w:rsid w:val="0096064E"/>
    <w:rsid w:val="009728CC"/>
    <w:rsid w:val="0098155D"/>
    <w:rsid w:val="00982227"/>
    <w:rsid w:val="009948C2"/>
    <w:rsid w:val="00997106"/>
    <w:rsid w:val="009A6A1A"/>
    <w:rsid w:val="009F6519"/>
    <w:rsid w:val="00A10C22"/>
    <w:rsid w:val="00A143C3"/>
    <w:rsid w:val="00A35387"/>
    <w:rsid w:val="00A43152"/>
    <w:rsid w:val="00A44AEC"/>
    <w:rsid w:val="00A52962"/>
    <w:rsid w:val="00A5763F"/>
    <w:rsid w:val="00A61401"/>
    <w:rsid w:val="00A63449"/>
    <w:rsid w:val="00A85172"/>
    <w:rsid w:val="00AB01CF"/>
    <w:rsid w:val="00AC2B04"/>
    <w:rsid w:val="00AD31DD"/>
    <w:rsid w:val="00AD5632"/>
    <w:rsid w:val="00B006A7"/>
    <w:rsid w:val="00B01647"/>
    <w:rsid w:val="00B06A06"/>
    <w:rsid w:val="00B1408A"/>
    <w:rsid w:val="00B20026"/>
    <w:rsid w:val="00B22283"/>
    <w:rsid w:val="00B24E8E"/>
    <w:rsid w:val="00B2688D"/>
    <w:rsid w:val="00B31DCB"/>
    <w:rsid w:val="00B414AE"/>
    <w:rsid w:val="00B41660"/>
    <w:rsid w:val="00B41701"/>
    <w:rsid w:val="00B5120F"/>
    <w:rsid w:val="00B56CD2"/>
    <w:rsid w:val="00BC59E1"/>
    <w:rsid w:val="00BD0F5B"/>
    <w:rsid w:val="00BF72FC"/>
    <w:rsid w:val="00C1289A"/>
    <w:rsid w:val="00C437D2"/>
    <w:rsid w:val="00C46A8E"/>
    <w:rsid w:val="00C7482C"/>
    <w:rsid w:val="00C74E48"/>
    <w:rsid w:val="00CB276D"/>
    <w:rsid w:val="00CD0409"/>
    <w:rsid w:val="00CD5191"/>
    <w:rsid w:val="00CD5280"/>
    <w:rsid w:val="00CF2C19"/>
    <w:rsid w:val="00D03A93"/>
    <w:rsid w:val="00D26979"/>
    <w:rsid w:val="00D4450D"/>
    <w:rsid w:val="00D71CB5"/>
    <w:rsid w:val="00D90222"/>
    <w:rsid w:val="00DB5E52"/>
    <w:rsid w:val="00DC1D5E"/>
    <w:rsid w:val="00DE2681"/>
    <w:rsid w:val="00E05184"/>
    <w:rsid w:val="00E311F4"/>
    <w:rsid w:val="00E357B6"/>
    <w:rsid w:val="00E512A7"/>
    <w:rsid w:val="00E76D1F"/>
    <w:rsid w:val="00E94559"/>
    <w:rsid w:val="00ED361B"/>
    <w:rsid w:val="00ED5C6E"/>
    <w:rsid w:val="00ED644F"/>
    <w:rsid w:val="00EE4A1F"/>
    <w:rsid w:val="00EE508E"/>
    <w:rsid w:val="00F0088B"/>
    <w:rsid w:val="00F05668"/>
    <w:rsid w:val="00F357E2"/>
    <w:rsid w:val="00F84F1E"/>
    <w:rsid w:val="00F87C24"/>
    <w:rsid w:val="00FD5AEC"/>
    <w:rsid w:val="00FD7F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40113"/>
  <w15:docId w15:val="{0952B79E-4928-47BE-8075-9952476E0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Unicode MS"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3B2"/>
    <w:pPr>
      <w:spacing w:after="160" w:line="48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6641DD"/>
    <w:pPr>
      <w:keepNext/>
      <w:keepLines/>
      <w:pBdr>
        <w:top w:val="nil"/>
        <w:left w:val="nil"/>
        <w:bottom w:val="nil"/>
        <w:right w:val="nil"/>
        <w:between w:val="nil"/>
        <w:bar w:val="nil"/>
      </w:pBdr>
      <w:spacing w:before="480" w:after="0"/>
      <w:outlineLvl w:val="0"/>
    </w:pPr>
    <w:rPr>
      <w:rFonts w:eastAsiaTheme="majorEastAsia" w:cstheme="majorBidi"/>
      <w:b/>
      <w:bCs/>
      <w:sz w:val="26"/>
      <w:szCs w:val="28"/>
      <w:lang w:val="en-US"/>
    </w:rPr>
  </w:style>
  <w:style w:type="paragraph" w:styleId="Heading2">
    <w:name w:val="heading 2"/>
    <w:basedOn w:val="Normal"/>
    <w:next w:val="Normal"/>
    <w:link w:val="Heading2Char"/>
    <w:uiPriority w:val="9"/>
    <w:unhideWhenUsed/>
    <w:qFormat/>
    <w:rsid w:val="006641DD"/>
    <w:pPr>
      <w:keepNext/>
      <w:keepLines/>
      <w:pBdr>
        <w:top w:val="nil"/>
        <w:left w:val="nil"/>
        <w:bottom w:val="nil"/>
        <w:right w:val="nil"/>
        <w:between w:val="nil"/>
        <w:bar w:val="nil"/>
      </w:pBdr>
      <w:spacing w:before="200" w:after="0"/>
      <w:outlineLvl w:val="1"/>
    </w:pPr>
    <w:rPr>
      <w:rFonts w:eastAsiaTheme="majorEastAsia" w:cstheme="majorBidi"/>
      <w:b/>
      <w:bCs/>
      <w:i/>
      <w:szCs w:val="26"/>
      <w:lang w:val="en-US"/>
    </w:rPr>
  </w:style>
  <w:style w:type="paragraph" w:styleId="Heading3">
    <w:name w:val="heading 3"/>
    <w:basedOn w:val="Normal"/>
    <w:next w:val="Normal"/>
    <w:link w:val="Heading3Char"/>
    <w:uiPriority w:val="9"/>
    <w:semiHidden/>
    <w:unhideWhenUsed/>
    <w:qFormat/>
    <w:rsid w:val="001032BE"/>
    <w:pPr>
      <w:keepNext/>
      <w:keepLines/>
      <w:pBdr>
        <w:top w:val="nil"/>
        <w:left w:val="nil"/>
        <w:bottom w:val="nil"/>
        <w:right w:val="nil"/>
        <w:between w:val="nil"/>
        <w:bar w:val="nil"/>
      </w:pBdr>
      <w:spacing w:before="200" w:after="0"/>
      <w:outlineLvl w:val="2"/>
    </w:pPr>
    <w:rPr>
      <w:rFonts w:eastAsiaTheme="majorEastAsia" w:cstheme="majorBidi"/>
      <w:bCs/>
      <w:i/>
      <w:szCs w:val="24"/>
      <w:u w:val="single"/>
      <w:bdr w:val="ni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1DD"/>
    <w:rPr>
      <w:rFonts w:ascii="Times New Roman" w:eastAsiaTheme="majorEastAsia" w:hAnsi="Times New Roman" w:cstheme="majorBidi"/>
      <w:b/>
      <w:bCs/>
      <w:sz w:val="26"/>
      <w:szCs w:val="28"/>
    </w:rPr>
  </w:style>
  <w:style w:type="character" w:customStyle="1" w:styleId="Heading2Char">
    <w:name w:val="Heading 2 Char"/>
    <w:basedOn w:val="DefaultParagraphFont"/>
    <w:link w:val="Heading2"/>
    <w:uiPriority w:val="9"/>
    <w:rsid w:val="006641DD"/>
    <w:rPr>
      <w:rFonts w:ascii="Times New Roman" w:eastAsiaTheme="majorEastAsia" w:hAnsi="Times New Roman" w:cstheme="majorBidi"/>
      <w:b/>
      <w:bCs/>
      <w:i/>
      <w:sz w:val="24"/>
      <w:szCs w:val="26"/>
    </w:rPr>
  </w:style>
  <w:style w:type="paragraph" w:styleId="Title">
    <w:name w:val="Title"/>
    <w:basedOn w:val="Normal"/>
    <w:next w:val="Normal"/>
    <w:link w:val="TitleChar"/>
    <w:uiPriority w:val="10"/>
    <w:qFormat/>
    <w:rsid w:val="004E415D"/>
    <w:pPr>
      <w:pBdr>
        <w:top w:val="nil"/>
        <w:left w:val="nil"/>
        <w:bottom w:val="single" w:sz="8" w:space="4" w:color="4F81BD" w:themeColor="accent1"/>
        <w:right w:val="nil"/>
        <w:between w:val="nil"/>
        <w:bar w:val="nil"/>
      </w:pBdr>
      <w:spacing w:after="300"/>
      <w:contextualSpacing/>
      <w:jc w:val="center"/>
    </w:pPr>
    <w:rPr>
      <w:rFonts w:eastAsiaTheme="majorEastAsia" w:cstheme="majorBidi"/>
      <w:spacing w:val="5"/>
      <w:kern w:val="28"/>
      <w:sz w:val="40"/>
      <w:szCs w:val="52"/>
      <w:bdr w:val="nil"/>
    </w:rPr>
  </w:style>
  <w:style w:type="character" w:customStyle="1" w:styleId="TitleChar">
    <w:name w:val="Title Char"/>
    <w:basedOn w:val="DefaultParagraphFont"/>
    <w:link w:val="Title"/>
    <w:uiPriority w:val="10"/>
    <w:rsid w:val="004E415D"/>
    <w:rPr>
      <w:rFonts w:ascii="Times New Roman" w:eastAsiaTheme="majorEastAsia" w:hAnsi="Times New Roman" w:cstheme="majorBidi"/>
      <w:spacing w:val="5"/>
      <w:kern w:val="28"/>
      <w:sz w:val="40"/>
      <w:szCs w:val="52"/>
      <w:lang w:val="en-GB"/>
    </w:rPr>
  </w:style>
  <w:style w:type="paragraph" w:styleId="Subtitle">
    <w:name w:val="Subtitle"/>
    <w:basedOn w:val="Normal"/>
    <w:next w:val="Normal"/>
    <w:link w:val="SubtitleChar"/>
    <w:uiPriority w:val="11"/>
    <w:qFormat/>
    <w:rsid w:val="004E415D"/>
    <w:pPr>
      <w:numPr>
        <w:ilvl w:val="1"/>
      </w:numPr>
      <w:pBdr>
        <w:top w:val="nil"/>
        <w:left w:val="nil"/>
        <w:bottom w:val="nil"/>
        <w:right w:val="nil"/>
        <w:between w:val="nil"/>
        <w:bar w:val="nil"/>
      </w:pBdr>
      <w:spacing w:after="0"/>
      <w:jc w:val="center"/>
    </w:pPr>
    <w:rPr>
      <w:rFonts w:eastAsiaTheme="majorEastAsia" w:cstheme="majorBidi"/>
      <w:b/>
      <w:i/>
      <w:iCs/>
      <w:spacing w:val="15"/>
      <w:szCs w:val="24"/>
      <w:bdr w:val="nil"/>
    </w:rPr>
  </w:style>
  <w:style w:type="character" w:customStyle="1" w:styleId="SubtitleChar">
    <w:name w:val="Subtitle Char"/>
    <w:basedOn w:val="DefaultParagraphFont"/>
    <w:link w:val="Subtitle"/>
    <w:uiPriority w:val="11"/>
    <w:rsid w:val="004E415D"/>
    <w:rPr>
      <w:rFonts w:ascii="Times New Roman" w:eastAsiaTheme="majorEastAsia" w:hAnsi="Times New Roman" w:cstheme="majorBidi"/>
      <w:b/>
      <w:i/>
      <w:iCs/>
      <w:spacing w:val="15"/>
      <w:sz w:val="24"/>
      <w:lang w:val="en-GB"/>
    </w:rPr>
  </w:style>
  <w:style w:type="character" w:customStyle="1" w:styleId="Heading3Char">
    <w:name w:val="Heading 3 Char"/>
    <w:basedOn w:val="DefaultParagraphFont"/>
    <w:link w:val="Heading3"/>
    <w:uiPriority w:val="9"/>
    <w:semiHidden/>
    <w:rsid w:val="001032BE"/>
    <w:rPr>
      <w:rFonts w:ascii="Times New Roman" w:eastAsiaTheme="majorEastAsia" w:hAnsi="Times New Roman" w:cstheme="majorBidi"/>
      <w:bCs/>
      <w:i/>
      <w:sz w:val="24"/>
      <w:u w:val="single"/>
      <w:lang w:val="en-GB"/>
    </w:rPr>
  </w:style>
  <w:style w:type="paragraph" w:styleId="Header">
    <w:name w:val="header"/>
    <w:basedOn w:val="Normal"/>
    <w:link w:val="HeaderChar"/>
    <w:uiPriority w:val="99"/>
    <w:unhideWhenUsed/>
    <w:rsid w:val="003813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3B2"/>
    <w:rPr>
      <w:rFonts w:ascii="Times New Roman" w:eastAsiaTheme="minorHAnsi" w:hAnsi="Times New Roman"/>
      <w:sz w:val="24"/>
      <w:lang w:val="en-GB"/>
    </w:rPr>
  </w:style>
  <w:style w:type="paragraph" w:styleId="Footer">
    <w:name w:val="footer"/>
    <w:basedOn w:val="Normal"/>
    <w:link w:val="FooterChar"/>
    <w:uiPriority w:val="99"/>
    <w:unhideWhenUsed/>
    <w:rsid w:val="003813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3B2"/>
    <w:rPr>
      <w:rFonts w:ascii="Times New Roman" w:eastAsiaTheme="minorHAnsi" w:hAnsi="Times New Roman"/>
      <w:sz w:val="24"/>
      <w:lang w:val="en-GB"/>
    </w:rPr>
  </w:style>
  <w:style w:type="paragraph" w:styleId="TOC1">
    <w:name w:val="toc 1"/>
    <w:basedOn w:val="Normal"/>
    <w:next w:val="Normal"/>
    <w:autoRedefine/>
    <w:uiPriority w:val="39"/>
    <w:unhideWhenUsed/>
    <w:rsid w:val="00BC59E1"/>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BC59E1"/>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BC59E1"/>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BC59E1"/>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BC59E1"/>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BC59E1"/>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BC59E1"/>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BC59E1"/>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BC59E1"/>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BC59E1"/>
    <w:rPr>
      <w:color w:val="0000FF" w:themeColor="hyperlink"/>
      <w:u w:val="single"/>
    </w:rPr>
  </w:style>
  <w:style w:type="character" w:customStyle="1" w:styleId="apple-converted-space">
    <w:name w:val="apple-converted-space"/>
    <w:basedOn w:val="DefaultParagraphFont"/>
    <w:rsid w:val="008A7B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28529">
      <w:bodyDiv w:val="1"/>
      <w:marLeft w:val="0"/>
      <w:marRight w:val="0"/>
      <w:marTop w:val="0"/>
      <w:marBottom w:val="0"/>
      <w:divBdr>
        <w:top w:val="none" w:sz="0" w:space="0" w:color="auto"/>
        <w:left w:val="none" w:sz="0" w:space="0" w:color="auto"/>
        <w:bottom w:val="none" w:sz="0" w:space="0" w:color="auto"/>
        <w:right w:val="none" w:sz="0" w:space="0" w:color="auto"/>
      </w:divBdr>
    </w:div>
    <w:div w:id="129174540">
      <w:bodyDiv w:val="1"/>
      <w:marLeft w:val="0"/>
      <w:marRight w:val="0"/>
      <w:marTop w:val="0"/>
      <w:marBottom w:val="0"/>
      <w:divBdr>
        <w:top w:val="none" w:sz="0" w:space="0" w:color="auto"/>
        <w:left w:val="none" w:sz="0" w:space="0" w:color="auto"/>
        <w:bottom w:val="none" w:sz="0" w:space="0" w:color="auto"/>
        <w:right w:val="none" w:sz="0" w:space="0" w:color="auto"/>
      </w:divBdr>
    </w:div>
    <w:div w:id="141578984">
      <w:bodyDiv w:val="1"/>
      <w:marLeft w:val="0"/>
      <w:marRight w:val="0"/>
      <w:marTop w:val="0"/>
      <w:marBottom w:val="0"/>
      <w:divBdr>
        <w:top w:val="none" w:sz="0" w:space="0" w:color="auto"/>
        <w:left w:val="none" w:sz="0" w:space="0" w:color="auto"/>
        <w:bottom w:val="none" w:sz="0" w:space="0" w:color="auto"/>
        <w:right w:val="none" w:sz="0" w:space="0" w:color="auto"/>
      </w:divBdr>
      <w:divsChild>
        <w:div w:id="1792505463">
          <w:marLeft w:val="0"/>
          <w:marRight w:val="0"/>
          <w:marTop w:val="0"/>
          <w:marBottom w:val="0"/>
          <w:divBdr>
            <w:top w:val="none" w:sz="0" w:space="0" w:color="auto"/>
            <w:left w:val="none" w:sz="0" w:space="0" w:color="auto"/>
            <w:bottom w:val="none" w:sz="0" w:space="0" w:color="auto"/>
            <w:right w:val="none" w:sz="0" w:space="0" w:color="auto"/>
          </w:divBdr>
        </w:div>
      </w:divsChild>
    </w:div>
    <w:div w:id="154762219">
      <w:bodyDiv w:val="1"/>
      <w:marLeft w:val="0"/>
      <w:marRight w:val="0"/>
      <w:marTop w:val="0"/>
      <w:marBottom w:val="0"/>
      <w:divBdr>
        <w:top w:val="none" w:sz="0" w:space="0" w:color="auto"/>
        <w:left w:val="none" w:sz="0" w:space="0" w:color="auto"/>
        <w:bottom w:val="none" w:sz="0" w:space="0" w:color="auto"/>
        <w:right w:val="none" w:sz="0" w:space="0" w:color="auto"/>
      </w:divBdr>
    </w:div>
    <w:div w:id="253129902">
      <w:bodyDiv w:val="1"/>
      <w:marLeft w:val="0"/>
      <w:marRight w:val="0"/>
      <w:marTop w:val="0"/>
      <w:marBottom w:val="0"/>
      <w:divBdr>
        <w:top w:val="none" w:sz="0" w:space="0" w:color="auto"/>
        <w:left w:val="none" w:sz="0" w:space="0" w:color="auto"/>
        <w:bottom w:val="none" w:sz="0" w:space="0" w:color="auto"/>
        <w:right w:val="none" w:sz="0" w:space="0" w:color="auto"/>
      </w:divBdr>
    </w:div>
    <w:div w:id="296223677">
      <w:bodyDiv w:val="1"/>
      <w:marLeft w:val="0"/>
      <w:marRight w:val="0"/>
      <w:marTop w:val="0"/>
      <w:marBottom w:val="0"/>
      <w:divBdr>
        <w:top w:val="none" w:sz="0" w:space="0" w:color="auto"/>
        <w:left w:val="none" w:sz="0" w:space="0" w:color="auto"/>
        <w:bottom w:val="none" w:sz="0" w:space="0" w:color="auto"/>
        <w:right w:val="none" w:sz="0" w:space="0" w:color="auto"/>
      </w:divBdr>
    </w:div>
    <w:div w:id="359744554">
      <w:bodyDiv w:val="1"/>
      <w:marLeft w:val="0"/>
      <w:marRight w:val="0"/>
      <w:marTop w:val="0"/>
      <w:marBottom w:val="0"/>
      <w:divBdr>
        <w:top w:val="none" w:sz="0" w:space="0" w:color="auto"/>
        <w:left w:val="none" w:sz="0" w:space="0" w:color="auto"/>
        <w:bottom w:val="none" w:sz="0" w:space="0" w:color="auto"/>
        <w:right w:val="none" w:sz="0" w:space="0" w:color="auto"/>
      </w:divBdr>
    </w:div>
    <w:div w:id="380520354">
      <w:bodyDiv w:val="1"/>
      <w:marLeft w:val="0"/>
      <w:marRight w:val="0"/>
      <w:marTop w:val="0"/>
      <w:marBottom w:val="0"/>
      <w:divBdr>
        <w:top w:val="none" w:sz="0" w:space="0" w:color="auto"/>
        <w:left w:val="none" w:sz="0" w:space="0" w:color="auto"/>
        <w:bottom w:val="none" w:sz="0" w:space="0" w:color="auto"/>
        <w:right w:val="none" w:sz="0" w:space="0" w:color="auto"/>
      </w:divBdr>
    </w:div>
    <w:div w:id="517082530">
      <w:bodyDiv w:val="1"/>
      <w:marLeft w:val="0"/>
      <w:marRight w:val="0"/>
      <w:marTop w:val="0"/>
      <w:marBottom w:val="0"/>
      <w:divBdr>
        <w:top w:val="none" w:sz="0" w:space="0" w:color="auto"/>
        <w:left w:val="none" w:sz="0" w:space="0" w:color="auto"/>
        <w:bottom w:val="none" w:sz="0" w:space="0" w:color="auto"/>
        <w:right w:val="none" w:sz="0" w:space="0" w:color="auto"/>
      </w:divBdr>
    </w:div>
    <w:div w:id="632254024">
      <w:bodyDiv w:val="1"/>
      <w:marLeft w:val="0"/>
      <w:marRight w:val="0"/>
      <w:marTop w:val="0"/>
      <w:marBottom w:val="0"/>
      <w:divBdr>
        <w:top w:val="none" w:sz="0" w:space="0" w:color="auto"/>
        <w:left w:val="none" w:sz="0" w:space="0" w:color="auto"/>
        <w:bottom w:val="none" w:sz="0" w:space="0" w:color="auto"/>
        <w:right w:val="none" w:sz="0" w:space="0" w:color="auto"/>
      </w:divBdr>
    </w:div>
    <w:div w:id="792555437">
      <w:bodyDiv w:val="1"/>
      <w:marLeft w:val="0"/>
      <w:marRight w:val="0"/>
      <w:marTop w:val="0"/>
      <w:marBottom w:val="0"/>
      <w:divBdr>
        <w:top w:val="none" w:sz="0" w:space="0" w:color="auto"/>
        <w:left w:val="none" w:sz="0" w:space="0" w:color="auto"/>
        <w:bottom w:val="none" w:sz="0" w:space="0" w:color="auto"/>
        <w:right w:val="none" w:sz="0" w:space="0" w:color="auto"/>
      </w:divBdr>
    </w:div>
    <w:div w:id="845286140">
      <w:bodyDiv w:val="1"/>
      <w:marLeft w:val="0"/>
      <w:marRight w:val="0"/>
      <w:marTop w:val="0"/>
      <w:marBottom w:val="0"/>
      <w:divBdr>
        <w:top w:val="none" w:sz="0" w:space="0" w:color="auto"/>
        <w:left w:val="none" w:sz="0" w:space="0" w:color="auto"/>
        <w:bottom w:val="none" w:sz="0" w:space="0" w:color="auto"/>
        <w:right w:val="none" w:sz="0" w:space="0" w:color="auto"/>
      </w:divBdr>
    </w:div>
    <w:div w:id="854852564">
      <w:bodyDiv w:val="1"/>
      <w:marLeft w:val="0"/>
      <w:marRight w:val="0"/>
      <w:marTop w:val="0"/>
      <w:marBottom w:val="0"/>
      <w:divBdr>
        <w:top w:val="none" w:sz="0" w:space="0" w:color="auto"/>
        <w:left w:val="none" w:sz="0" w:space="0" w:color="auto"/>
        <w:bottom w:val="none" w:sz="0" w:space="0" w:color="auto"/>
        <w:right w:val="none" w:sz="0" w:space="0" w:color="auto"/>
      </w:divBdr>
    </w:div>
    <w:div w:id="864098238">
      <w:bodyDiv w:val="1"/>
      <w:marLeft w:val="0"/>
      <w:marRight w:val="0"/>
      <w:marTop w:val="0"/>
      <w:marBottom w:val="0"/>
      <w:divBdr>
        <w:top w:val="none" w:sz="0" w:space="0" w:color="auto"/>
        <w:left w:val="none" w:sz="0" w:space="0" w:color="auto"/>
        <w:bottom w:val="none" w:sz="0" w:space="0" w:color="auto"/>
        <w:right w:val="none" w:sz="0" w:space="0" w:color="auto"/>
      </w:divBdr>
    </w:div>
    <w:div w:id="955715489">
      <w:bodyDiv w:val="1"/>
      <w:marLeft w:val="0"/>
      <w:marRight w:val="0"/>
      <w:marTop w:val="0"/>
      <w:marBottom w:val="0"/>
      <w:divBdr>
        <w:top w:val="none" w:sz="0" w:space="0" w:color="auto"/>
        <w:left w:val="none" w:sz="0" w:space="0" w:color="auto"/>
        <w:bottom w:val="none" w:sz="0" w:space="0" w:color="auto"/>
        <w:right w:val="none" w:sz="0" w:space="0" w:color="auto"/>
      </w:divBdr>
    </w:div>
    <w:div w:id="1061516746">
      <w:bodyDiv w:val="1"/>
      <w:marLeft w:val="0"/>
      <w:marRight w:val="0"/>
      <w:marTop w:val="0"/>
      <w:marBottom w:val="0"/>
      <w:divBdr>
        <w:top w:val="none" w:sz="0" w:space="0" w:color="auto"/>
        <w:left w:val="none" w:sz="0" w:space="0" w:color="auto"/>
        <w:bottom w:val="none" w:sz="0" w:space="0" w:color="auto"/>
        <w:right w:val="none" w:sz="0" w:space="0" w:color="auto"/>
      </w:divBdr>
    </w:div>
    <w:div w:id="1083062644">
      <w:bodyDiv w:val="1"/>
      <w:marLeft w:val="0"/>
      <w:marRight w:val="0"/>
      <w:marTop w:val="0"/>
      <w:marBottom w:val="0"/>
      <w:divBdr>
        <w:top w:val="none" w:sz="0" w:space="0" w:color="auto"/>
        <w:left w:val="none" w:sz="0" w:space="0" w:color="auto"/>
        <w:bottom w:val="none" w:sz="0" w:space="0" w:color="auto"/>
        <w:right w:val="none" w:sz="0" w:space="0" w:color="auto"/>
      </w:divBdr>
    </w:div>
    <w:div w:id="1209876507">
      <w:bodyDiv w:val="1"/>
      <w:marLeft w:val="0"/>
      <w:marRight w:val="0"/>
      <w:marTop w:val="0"/>
      <w:marBottom w:val="0"/>
      <w:divBdr>
        <w:top w:val="none" w:sz="0" w:space="0" w:color="auto"/>
        <w:left w:val="none" w:sz="0" w:space="0" w:color="auto"/>
        <w:bottom w:val="none" w:sz="0" w:space="0" w:color="auto"/>
        <w:right w:val="none" w:sz="0" w:space="0" w:color="auto"/>
      </w:divBdr>
    </w:div>
    <w:div w:id="1432967660">
      <w:bodyDiv w:val="1"/>
      <w:marLeft w:val="0"/>
      <w:marRight w:val="0"/>
      <w:marTop w:val="0"/>
      <w:marBottom w:val="0"/>
      <w:divBdr>
        <w:top w:val="none" w:sz="0" w:space="0" w:color="auto"/>
        <w:left w:val="none" w:sz="0" w:space="0" w:color="auto"/>
        <w:bottom w:val="none" w:sz="0" w:space="0" w:color="auto"/>
        <w:right w:val="none" w:sz="0" w:space="0" w:color="auto"/>
      </w:divBdr>
    </w:div>
    <w:div w:id="1571694346">
      <w:bodyDiv w:val="1"/>
      <w:marLeft w:val="0"/>
      <w:marRight w:val="0"/>
      <w:marTop w:val="0"/>
      <w:marBottom w:val="0"/>
      <w:divBdr>
        <w:top w:val="none" w:sz="0" w:space="0" w:color="auto"/>
        <w:left w:val="none" w:sz="0" w:space="0" w:color="auto"/>
        <w:bottom w:val="none" w:sz="0" w:space="0" w:color="auto"/>
        <w:right w:val="none" w:sz="0" w:space="0" w:color="auto"/>
      </w:divBdr>
    </w:div>
    <w:div w:id="1625580299">
      <w:bodyDiv w:val="1"/>
      <w:marLeft w:val="0"/>
      <w:marRight w:val="0"/>
      <w:marTop w:val="0"/>
      <w:marBottom w:val="0"/>
      <w:divBdr>
        <w:top w:val="none" w:sz="0" w:space="0" w:color="auto"/>
        <w:left w:val="none" w:sz="0" w:space="0" w:color="auto"/>
        <w:bottom w:val="none" w:sz="0" w:space="0" w:color="auto"/>
        <w:right w:val="none" w:sz="0" w:space="0" w:color="auto"/>
      </w:divBdr>
    </w:div>
    <w:div w:id="1772697960">
      <w:bodyDiv w:val="1"/>
      <w:marLeft w:val="0"/>
      <w:marRight w:val="0"/>
      <w:marTop w:val="0"/>
      <w:marBottom w:val="0"/>
      <w:divBdr>
        <w:top w:val="none" w:sz="0" w:space="0" w:color="auto"/>
        <w:left w:val="none" w:sz="0" w:space="0" w:color="auto"/>
        <w:bottom w:val="none" w:sz="0" w:space="0" w:color="auto"/>
        <w:right w:val="none" w:sz="0" w:space="0" w:color="auto"/>
      </w:divBdr>
    </w:div>
    <w:div w:id="1781293667">
      <w:bodyDiv w:val="1"/>
      <w:marLeft w:val="0"/>
      <w:marRight w:val="0"/>
      <w:marTop w:val="0"/>
      <w:marBottom w:val="0"/>
      <w:divBdr>
        <w:top w:val="none" w:sz="0" w:space="0" w:color="auto"/>
        <w:left w:val="none" w:sz="0" w:space="0" w:color="auto"/>
        <w:bottom w:val="none" w:sz="0" w:space="0" w:color="auto"/>
        <w:right w:val="none" w:sz="0" w:space="0" w:color="auto"/>
      </w:divBdr>
    </w:div>
    <w:div w:id="1851603404">
      <w:bodyDiv w:val="1"/>
      <w:marLeft w:val="0"/>
      <w:marRight w:val="0"/>
      <w:marTop w:val="0"/>
      <w:marBottom w:val="0"/>
      <w:divBdr>
        <w:top w:val="none" w:sz="0" w:space="0" w:color="auto"/>
        <w:left w:val="none" w:sz="0" w:space="0" w:color="auto"/>
        <w:bottom w:val="none" w:sz="0" w:space="0" w:color="auto"/>
        <w:right w:val="none" w:sz="0" w:space="0" w:color="auto"/>
      </w:divBdr>
    </w:div>
    <w:div w:id="1887644977">
      <w:bodyDiv w:val="1"/>
      <w:marLeft w:val="0"/>
      <w:marRight w:val="0"/>
      <w:marTop w:val="0"/>
      <w:marBottom w:val="0"/>
      <w:divBdr>
        <w:top w:val="none" w:sz="0" w:space="0" w:color="auto"/>
        <w:left w:val="none" w:sz="0" w:space="0" w:color="auto"/>
        <w:bottom w:val="none" w:sz="0" w:space="0" w:color="auto"/>
        <w:right w:val="none" w:sz="0" w:space="0" w:color="auto"/>
      </w:divBdr>
    </w:div>
    <w:div w:id="1900239872">
      <w:bodyDiv w:val="1"/>
      <w:marLeft w:val="0"/>
      <w:marRight w:val="0"/>
      <w:marTop w:val="0"/>
      <w:marBottom w:val="0"/>
      <w:divBdr>
        <w:top w:val="none" w:sz="0" w:space="0" w:color="auto"/>
        <w:left w:val="none" w:sz="0" w:space="0" w:color="auto"/>
        <w:bottom w:val="none" w:sz="0" w:space="0" w:color="auto"/>
        <w:right w:val="none" w:sz="0" w:space="0" w:color="auto"/>
      </w:divBdr>
    </w:div>
    <w:div w:id="1959987481">
      <w:bodyDiv w:val="1"/>
      <w:marLeft w:val="0"/>
      <w:marRight w:val="0"/>
      <w:marTop w:val="0"/>
      <w:marBottom w:val="0"/>
      <w:divBdr>
        <w:top w:val="none" w:sz="0" w:space="0" w:color="auto"/>
        <w:left w:val="none" w:sz="0" w:space="0" w:color="auto"/>
        <w:bottom w:val="none" w:sz="0" w:space="0" w:color="auto"/>
        <w:right w:val="none" w:sz="0" w:space="0" w:color="auto"/>
      </w:divBdr>
    </w:div>
    <w:div w:id="1966812953">
      <w:bodyDiv w:val="1"/>
      <w:marLeft w:val="0"/>
      <w:marRight w:val="0"/>
      <w:marTop w:val="0"/>
      <w:marBottom w:val="0"/>
      <w:divBdr>
        <w:top w:val="none" w:sz="0" w:space="0" w:color="auto"/>
        <w:left w:val="none" w:sz="0" w:space="0" w:color="auto"/>
        <w:bottom w:val="none" w:sz="0" w:space="0" w:color="auto"/>
        <w:right w:val="none" w:sz="0" w:space="0" w:color="auto"/>
      </w:divBdr>
    </w:div>
    <w:div w:id="2092895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786029-DD8C-4D40-8475-A9F711B29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1</Pages>
  <Words>2505</Words>
  <Characters>14284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bjn_alex@yahoo.co.uk</cp:lastModifiedBy>
  <cp:revision>126</cp:revision>
  <dcterms:created xsi:type="dcterms:W3CDTF">2022-07-19T08:23:00Z</dcterms:created>
  <dcterms:modified xsi:type="dcterms:W3CDTF">2022-07-22T18:22:00Z</dcterms:modified>
</cp:coreProperties>
</file>