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5994710"/>
        <w:docPartObj>
          <w:docPartGallery w:val="Cover Pages"/>
          <w:docPartUnique/>
        </w:docPartObj>
      </w:sdtPr>
      <w:sdtEndPr/>
      <w:sdtContent>
        <w:p w14:paraId="7341CC18" w14:textId="34608DD6" w:rsidR="001527F1" w:rsidRDefault="001527F1">
          <w:r>
            <w:rPr>
              <w:noProof/>
            </w:rPr>
            <mc:AlternateContent>
              <mc:Choice Requires="wps">
                <w:drawing>
                  <wp:anchor distT="0" distB="0" distL="114300" distR="114300" simplePos="0" relativeHeight="251659264" behindDoc="1" locked="0" layoutInCell="1" allowOverlap="0" wp14:anchorId="3E3FAB41" wp14:editId="2B99C43E">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527F1" w14:paraId="27231F42" w14:textId="77777777">
                                  <w:trPr>
                                    <w:trHeight w:hRule="exact" w:val="9360"/>
                                  </w:trPr>
                                  <w:tc>
                                    <w:tcPr>
                                      <w:tcW w:w="5000" w:type="pct"/>
                                    </w:tcPr>
                                    <w:p w14:paraId="3BD9A1DB" w14:textId="77777777" w:rsidR="001527F1" w:rsidRDefault="001527F1">
                                      <w:r>
                                        <w:rPr>
                                          <w:noProof/>
                                        </w:rPr>
                                        <w:drawing>
                                          <wp:inline distT="0" distB="0" distL="0" distR="0" wp14:anchorId="0A5D9B64" wp14:editId="441EF8F6">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527F1" w14:paraId="13207CDC" w14:textId="77777777">
                                  <w:trPr>
                                    <w:trHeight w:hRule="exact" w:val="4320"/>
                                  </w:trPr>
                                  <w:tc>
                                    <w:tcPr>
                                      <w:tcW w:w="5000" w:type="pct"/>
                                      <w:shd w:val="clear" w:color="auto" w:fill="4472C4" w:themeFill="accent1"/>
                                      <w:vAlign w:val="center"/>
                                    </w:tcPr>
                                    <w:p w14:paraId="0972F282" w14:textId="165A09A2" w:rsidR="001527F1" w:rsidRDefault="002158B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527F1">
                                            <w:rPr>
                                              <w:rFonts w:asciiTheme="majorHAnsi" w:hAnsiTheme="majorHAnsi"/>
                                              <w:color w:val="FFFFFF" w:themeColor="background1"/>
                                              <w:sz w:val="96"/>
                                              <w:szCs w:val="96"/>
                                            </w:rPr>
                                            <w:t>Contract Law.</w:t>
                                          </w:r>
                                        </w:sdtContent>
                                      </w:sdt>
                                    </w:p>
                                    <w:p w14:paraId="19CE1C4D" w14:textId="77777777" w:rsidR="001527F1" w:rsidRDefault="002158BF">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1527F1">
                                            <w:rPr>
                                              <w:color w:val="FFFFFF" w:themeColor="background1"/>
                                              <w:sz w:val="32"/>
                                              <w:szCs w:val="32"/>
                                            </w:rPr>
                                            <w:t>[Document subtitle]</w:t>
                                          </w:r>
                                        </w:sdtContent>
                                      </w:sdt>
                                      <w:r w:rsidR="001527F1">
                                        <w:rPr>
                                          <w:color w:val="FFFFFF" w:themeColor="background1"/>
                                          <w:sz w:val="32"/>
                                          <w:szCs w:val="32"/>
                                        </w:rPr>
                                        <w:t xml:space="preserve"> </w:t>
                                      </w:r>
                                    </w:p>
                                  </w:tc>
                                </w:tr>
                                <w:tr w:rsidR="001527F1" w14:paraId="52682C7B"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527F1" w14:paraId="2CD18F2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062B0F4" w14:textId="034515DE" w:rsidR="001527F1" w:rsidRDefault="001527F1">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3-01T00:00:00Z">
                                                <w:dateFormat w:val="M/d/yy"/>
                                                <w:lid w:val="en-US"/>
                                                <w:storeMappedDataAs w:val="dateTime"/>
                                                <w:calendar w:val="gregorian"/>
                                              </w:date>
                                            </w:sdtPr>
                                            <w:sdtEndPr/>
                                            <w:sdtContent>
                                              <w:p w14:paraId="452B60D9" w14:textId="0F372EF4" w:rsidR="001527F1" w:rsidRDefault="001527F1">
                                                <w:pPr>
                                                  <w:pStyle w:val="NoSpacing"/>
                                                  <w:ind w:left="144" w:right="144"/>
                                                  <w:jc w:val="center"/>
                                                  <w:rPr>
                                                    <w:color w:val="FFFFFF" w:themeColor="background1"/>
                                                  </w:rPr>
                                                </w:pPr>
                                                <w:r>
                                                  <w:rPr>
                                                    <w:color w:val="FFFFFF" w:themeColor="background1"/>
                                                  </w:rPr>
                                                  <w:t>3/1/22</w:t>
                                                </w:r>
                                              </w:p>
                                            </w:sdtContent>
                                          </w:sdt>
                                        </w:tc>
                                        <w:sdt>
                                          <w:sdtPr>
                                            <w:rPr>
                                              <w:rFonts w:ascii="Arial" w:hAnsi="Arial" w:cs="Arial"/>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C2F475D" w14:textId="471351A8" w:rsidR="001527F1" w:rsidRDefault="001527F1" w:rsidP="001527F1">
                                                <w:pPr>
                                                  <w:pStyle w:val="NoSpacing"/>
                                                  <w:spacing w:line="600" w:lineRule="auto"/>
                                                  <w:ind w:left="144" w:right="720"/>
                                                  <w:jc w:val="right"/>
                                                  <w:rPr>
                                                    <w:color w:val="FFFFFF" w:themeColor="background1"/>
                                                  </w:rPr>
                                                </w:pPr>
                                                <w:r w:rsidRPr="001527F1">
                                                  <w:rPr>
                                                    <w:rFonts w:ascii="Arial" w:hAnsi="Arial" w:cs="Arial"/>
                                                    <w:color w:val="FFFFFF" w:themeColor="background1"/>
                                                    <w:sz w:val="24"/>
                                                    <w:szCs w:val="24"/>
                                                  </w:rPr>
                                                  <w:t>BMLW5006.</w:t>
                                                </w:r>
                                              </w:p>
                                            </w:tc>
                                          </w:sdtContent>
                                        </w:sdt>
                                      </w:tr>
                                    </w:tbl>
                                    <w:p w14:paraId="7E6DB93C" w14:textId="77777777" w:rsidR="001527F1" w:rsidRDefault="001527F1"/>
                                  </w:tc>
                                </w:tr>
                              </w:tbl>
                              <w:p w14:paraId="017F43ED" w14:textId="77777777" w:rsidR="001527F1" w:rsidRDefault="001527F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3FAB41"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527F1" w14:paraId="27231F42" w14:textId="77777777">
                            <w:trPr>
                              <w:trHeight w:hRule="exact" w:val="9360"/>
                            </w:trPr>
                            <w:tc>
                              <w:tcPr>
                                <w:tcW w:w="5000" w:type="pct"/>
                              </w:tcPr>
                              <w:p w14:paraId="3BD9A1DB" w14:textId="77777777" w:rsidR="001527F1" w:rsidRDefault="001527F1">
                                <w:r>
                                  <w:rPr>
                                    <w:noProof/>
                                  </w:rPr>
                                  <w:drawing>
                                    <wp:inline distT="0" distB="0" distL="0" distR="0" wp14:anchorId="0A5D9B64" wp14:editId="441EF8F6">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527F1" w14:paraId="13207CDC" w14:textId="77777777">
                            <w:trPr>
                              <w:trHeight w:hRule="exact" w:val="4320"/>
                            </w:trPr>
                            <w:tc>
                              <w:tcPr>
                                <w:tcW w:w="5000" w:type="pct"/>
                                <w:shd w:val="clear" w:color="auto" w:fill="4472C4" w:themeFill="accent1"/>
                                <w:vAlign w:val="center"/>
                              </w:tcPr>
                              <w:p w14:paraId="0972F282" w14:textId="165A09A2" w:rsidR="001527F1" w:rsidRDefault="002158B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527F1">
                                      <w:rPr>
                                        <w:rFonts w:asciiTheme="majorHAnsi" w:hAnsiTheme="majorHAnsi"/>
                                        <w:color w:val="FFFFFF" w:themeColor="background1"/>
                                        <w:sz w:val="96"/>
                                        <w:szCs w:val="96"/>
                                      </w:rPr>
                                      <w:t>Contract Law.</w:t>
                                    </w:r>
                                  </w:sdtContent>
                                </w:sdt>
                              </w:p>
                              <w:p w14:paraId="19CE1C4D" w14:textId="77777777" w:rsidR="001527F1" w:rsidRDefault="002158BF">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1527F1">
                                      <w:rPr>
                                        <w:color w:val="FFFFFF" w:themeColor="background1"/>
                                        <w:sz w:val="32"/>
                                        <w:szCs w:val="32"/>
                                      </w:rPr>
                                      <w:t>[Document subtitle]</w:t>
                                    </w:r>
                                  </w:sdtContent>
                                </w:sdt>
                                <w:r w:rsidR="001527F1">
                                  <w:rPr>
                                    <w:color w:val="FFFFFF" w:themeColor="background1"/>
                                    <w:sz w:val="32"/>
                                    <w:szCs w:val="32"/>
                                  </w:rPr>
                                  <w:t xml:space="preserve"> </w:t>
                                </w:r>
                              </w:p>
                            </w:tc>
                          </w:tr>
                          <w:tr w:rsidR="001527F1" w14:paraId="52682C7B"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527F1" w14:paraId="2CD18F2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062B0F4" w14:textId="034515DE" w:rsidR="001527F1" w:rsidRDefault="001527F1">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3-01T00:00:00Z">
                                          <w:dateFormat w:val="M/d/yy"/>
                                          <w:lid w:val="en-US"/>
                                          <w:storeMappedDataAs w:val="dateTime"/>
                                          <w:calendar w:val="gregorian"/>
                                        </w:date>
                                      </w:sdtPr>
                                      <w:sdtEndPr/>
                                      <w:sdtContent>
                                        <w:p w14:paraId="452B60D9" w14:textId="0F372EF4" w:rsidR="001527F1" w:rsidRDefault="001527F1">
                                          <w:pPr>
                                            <w:pStyle w:val="NoSpacing"/>
                                            <w:ind w:left="144" w:right="144"/>
                                            <w:jc w:val="center"/>
                                            <w:rPr>
                                              <w:color w:val="FFFFFF" w:themeColor="background1"/>
                                            </w:rPr>
                                          </w:pPr>
                                          <w:r>
                                            <w:rPr>
                                              <w:color w:val="FFFFFF" w:themeColor="background1"/>
                                            </w:rPr>
                                            <w:t>3/1/22</w:t>
                                          </w:r>
                                        </w:p>
                                      </w:sdtContent>
                                    </w:sdt>
                                  </w:tc>
                                  <w:sdt>
                                    <w:sdtPr>
                                      <w:rPr>
                                        <w:rFonts w:ascii="Arial" w:hAnsi="Arial" w:cs="Arial"/>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C2F475D" w14:textId="471351A8" w:rsidR="001527F1" w:rsidRDefault="001527F1" w:rsidP="001527F1">
                                          <w:pPr>
                                            <w:pStyle w:val="NoSpacing"/>
                                            <w:spacing w:line="600" w:lineRule="auto"/>
                                            <w:ind w:left="144" w:right="720"/>
                                            <w:jc w:val="right"/>
                                            <w:rPr>
                                              <w:color w:val="FFFFFF" w:themeColor="background1"/>
                                            </w:rPr>
                                          </w:pPr>
                                          <w:r w:rsidRPr="001527F1">
                                            <w:rPr>
                                              <w:rFonts w:ascii="Arial" w:hAnsi="Arial" w:cs="Arial"/>
                                              <w:color w:val="FFFFFF" w:themeColor="background1"/>
                                              <w:sz w:val="24"/>
                                              <w:szCs w:val="24"/>
                                            </w:rPr>
                                            <w:t>BMLW5006.</w:t>
                                          </w:r>
                                        </w:p>
                                      </w:tc>
                                    </w:sdtContent>
                                  </w:sdt>
                                </w:tr>
                              </w:tbl>
                              <w:p w14:paraId="7E6DB93C" w14:textId="77777777" w:rsidR="001527F1" w:rsidRDefault="001527F1"/>
                            </w:tc>
                          </w:tr>
                        </w:tbl>
                        <w:p w14:paraId="017F43ED" w14:textId="77777777" w:rsidR="001527F1" w:rsidRDefault="001527F1"/>
                      </w:txbxContent>
                    </v:textbox>
                    <w10:wrap anchorx="page" anchory="page"/>
                  </v:shape>
                </w:pict>
              </mc:Fallback>
            </mc:AlternateContent>
          </w:r>
        </w:p>
        <w:p w14:paraId="1EF7208B" w14:textId="450A3A04" w:rsidR="001527F1" w:rsidRDefault="001527F1">
          <w:r>
            <w:br w:type="page"/>
          </w:r>
        </w:p>
      </w:sdtContent>
    </w:sdt>
    <w:p w14:paraId="1B94F076" w14:textId="4DE2F0C5" w:rsidR="000E0FF0" w:rsidRDefault="001527F1" w:rsidP="001527F1">
      <w:pPr>
        <w:spacing w:line="600" w:lineRule="auto"/>
        <w:rPr>
          <w:rFonts w:ascii="Arial" w:hAnsi="Arial" w:cs="Arial"/>
          <w:sz w:val="24"/>
          <w:szCs w:val="24"/>
        </w:rPr>
      </w:pPr>
      <w:r>
        <w:rPr>
          <w:rFonts w:ascii="Arial" w:hAnsi="Arial" w:cs="Arial"/>
          <w:sz w:val="24"/>
          <w:szCs w:val="24"/>
        </w:rPr>
        <w:lastRenderedPageBreak/>
        <w:t xml:space="preserve">In order to understand contract law, you must first need to know a little part of the history of it. </w:t>
      </w:r>
      <w:proofErr w:type="gramStart"/>
      <w:r>
        <w:rPr>
          <w:rFonts w:ascii="Arial" w:hAnsi="Arial" w:cs="Arial"/>
          <w:sz w:val="24"/>
          <w:szCs w:val="24"/>
        </w:rPr>
        <w:t>The majority of</w:t>
      </w:r>
      <w:proofErr w:type="gramEnd"/>
      <w:r>
        <w:rPr>
          <w:rFonts w:ascii="Arial" w:hAnsi="Arial" w:cs="Arial"/>
          <w:sz w:val="24"/>
          <w:szCs w:val="24"/>
        </w:rPr>
        <w:t xml:space="preserve"> the principles which are applied in the cases, and these stretch back centuries. For the most though, contract law or the rules surrounding this were only established in the early part of the nineteenth century. Anything before this didn’t much very exist as a branch of law within its own rights.</w:t>
      </w:r>
    </w:p>
    <w:p w14:paraId="163B8BA9" w14:textId="0D165640" w:rsidR="001527F1" w:rsidRDefault="001527F1" w:rsidP="001527F1">
      <w:pPr>
        <w:spacing w:line="600" w:lineRule="auto"/>
        <w:rPr>
          <w:rFonts w:ascii="Arial" w:hAnsi="Arial" w:cs="Arial"/>
          <w:sz w:val="24"/>
          <w:szCs w:val="24"/>
        </w:rPr>
      </w:pPr>
      <w:r>
        <w:rPr>
          <w:rFonts w:ascii="Arial" w:hAnsi="Arial" w:cs="Arial"/>
          <w:sz w:val="24"/>
          <w:szCs w:val="24"/>
        </w:rPr>
        <w:t xml:space="preserve">The rule of privity of contract is when a third party to a contract </w:t>
      </w:r>
      <w:proofErr w:type="gramStart"/>
      <w:r>
        <w:rPr>
          <w:rFonts w:ascii="Arial" w:hAnsi="Arial" w:cs="Arial"/>
          <w:sz w:val="24"/>
          <w:szCs w:val="24"/>
        </w:rPr>
        <w:t>is someone who is</w:t>
      </w:r>
      <w:proofErr w:type="gramEnd"/>
      <w:r>
        <w:rPr>
          <w:rFonts w:ascii="Arial" w:hAnsi="Arial" w:cs="Arial"/>
          <w:sz w:val="24"/>
          <w:szCs w:val="24"/>
        </w:rPr>
        <w:t xml:space="preserve"> not party to this contract. They have not provided any consideration towards the contract, but they have a willing </w:t>
      </w:r>
      <w:r w:rsidR="006E48D4">
        <w:rPr>
          <w:rFonts w:ascii="Arial" w:hAnsi="Arial" w:cs="Arial"/>
          <w:sz w:val="24"/>
          <w:szCs w:val="24"/>
        </w:rPr>
        <w:t>interest in the performance of this. There is a rule which states that only someone who is party to the contract has the rights and obligations within this.</w:t>
      </w:r>
    </w:p>
    <w:p w14:paraId="2CF79EE8" w14:textId="745AF784" w:rsidR="006E48D4" w:rsidRDefault="006E48D4" w:rsidP="001527F1">
      <w:pPr>
        <w:spacing w:line="600" w:lineRule="auto"/>
        <w:rPr>
          <w:rFonts w:ascii="Arial" w:hAnsi="Arial" w:cs="Arial"/>
          <w:sz w:val="24"/>
          <w:szCs w:val="24"/>
        </w:rPr>
      </w:pPr>
      <w:r>
        <w:rPr>
          <w:rFonts w:ascii="Arial" w:hAnsi="Arial" w:cs="Arial"/>
          <w:sz w:val="24"/>
          <w:szCs w:val="24"/>
        </w:rPr>
        <w:t>As stated within a doctrine of privity, the actual principle of this means that any third party are unable to sue, nor can they be sued under a contract. If the contract was put together for third party benefits, then this party would still have no legal rights under it. The key case for this can be seen in Tweddle v Atkinson (1861). In 1999 there was a major change to all rules which regarded privity on contracts. This was to be known as Rights of Third Parties Act (1999). Even though the enactment of this law was in place, the old rules were there still under s7(1) and went on to exist alongside the new rules.</w:t>
      </w:r>
    </w:p>
    <w:p w14:paraId="60D67631" w14:textId="5A9F191C" w:rsidR="006E48D4" w:rsidRDefault="006E48D4" w:rsidP="001527F1">
      <w:pPr>
        <w:spacing w:line="600" w:lineRule="auto"/>
        <w:rPr>
          <w:rFonts w:ascii="Arial" w:hAnsi="Arial" w:cs="Arial"/>
          <w:sz w:val="24"/>
          <w:szCs w:val="24"/>
        </w:rPr>
      </w:pPr>
      <w:r>
        <w:rPr>
          <w:rFonts w:ascii="Arial" w:hAnsi="Arial" w:cs="Arial"/>
          <w:sz w:val="24"/>
          <w:szCs w:val="24"/>
        </w:rPr>
        <w:t xml:space="preserve">Under a section one of the contracts (Rights of Third Parties) Act (1999), a third party are entitled to enforce the contract terms if a s1(1)(a) expressly implies that the </w:t>
      </w:r>
      <w:r>
        <w:rPr>
          <w:rFonts w:ascii="Arial" w:hAnsi="Arial" w:cs="Arial"/>
          <w:sz w:val="24"/>
          <w:szCs w:val="24"/>
        </w:rPr>
        <w:lastRenderedPageBreak/>
        <w:t>contract may do so, or that a s1(1)(b) purports to confer a benefit on them. As part of the doctrine of privity there is a rule stating that a contract can not put a burden upon the third party</w:t>
      </w:r>
      <w:r w:rsidR="00C27504">
        <w:rPr>
          <w:rFonts w:ascii="Arial" w:hAnsi="Arial" w:cs="Arial"/>
          <w:sz w:val="24"/>
          <w:szCs w:val="24"/>
        </w:rPr>
        <w:t xml:space="preserve">, this can be seen in the case of Dunlop Pneumatic Tyres Co Ltd v Selfridge and Co Ltd (1915). Within this case, it was refused by the House of Lords to impose any obligations upon the defendant. This case was of a retailer reselling tyre below a certain price. This was because the defendant was not a party to this particular contract. </w:t>
      </w:r>
      <w:r w:rsidR="00AC49F9">
        <w:rPr>
          <w:rFonts w:ascii="Arial" w:hAnsi="Arial" w:cs="Arial"/>
          <w:sz w:val="24"/>
          <w:szCs w:val="24"/>
        </w:rPr>
        <w:t>So,</w:t>
      </w:r>
      <w:r w:rsidR="00C27504">
        <w:rPr>
          <w:rFonts w:ascii="Arial" w:hAnsi="Arial" w:cs="Arial"/>
          <w:sz w:val="24"/>
          <w:szCs w:val="24"/>
        </w:rPr>
        <w:t xml:space="preserve"> in the end it transpired that Dunlop could not sue Selfridge for a breach of the contract, as he was not a party to this contract.</w:t>
      </w:r>
    </w:p>
    <w:p w14:paraId="684C3CAF" w14:textId="007DCC96" w:rsidR="00C27504" w:rsidRDefault="00C27504" w:rsidP="001527F1">
      <w:pPr>
        <w:spacing w:line="600" w:lineRule="auto"/>
        <w:rPr>
          <w:rFonts w:ascii="Arial" w:hAnsi="Arial" w:cs="Arial"/>
          <w:sz w:val="24"/>
          <w:szCs w:val="24"/>
        </w:rPr>
      </w:pPr>
      <w:r>
        <w:rPr>
          <w:rFonts w:ascii="Arial" w:hAnsi="Arial" w:cs="Arial"/>
          <w:sz w:val="24"/>
          <w:szCs w:val="24"/>
        </w:rPr>
        <w:t>There has been over the years exceptions to privity doctrine. One exception is included under a section eleven, Married Women’s Property Act 91882). This would be where a married couple gain life insurance for the benefit of one another</w:t>
      </w:r>
      <w:r w:rsidR="00AC49F9">
        <w:rPr>
          <w:rFonts w:ascii="Arial" w:hAnsi="Arial" w:cs="Arial"/>
          <w:sz w:val="24"/>
          <w:szCs w:val="24"/>
        </w:rPr>
        <w:t>, a civil partner or their child which creates a trust in favour of those people who would benefit from the policy. It goes on to state</w:t>
      </w:r>
      <w:r w:rsidR="00744ED6">
        <w:rPr>
          <w:rFonts w:ascii="Arial" w:hAnsi="Arial" w:cs="Arial"/>
          <w:sz w:val="24"/>
          <w:szCs w:val="24"/>
        </w:rPr>
        <w:t xml:space="preserve"> that those people in question can sue other parties even though they were not party to this contract.</w:t>
      </w:r>
      <w:r w:rsidR="00F638FD">
        <w:rPr>
          <w:rFonts w:ascii="Arial" w:hAnsi="Arial" w:cs="Arial"/>
          <w:sz w:val="24"/>
          <w:szCs w:val="24"/>
        </w:rPr>
        <w:t xml:space="preserve"> There was a case where an attempt had been made to avoid the privity of contract doctrine. This was to allow a party, which was contracted to sue for third party loss. This is the case of Jackson v Horizon Holidays Ltd (1975). Mr. Jackson was the only person who had entered this contract, but he was able to sue the holiday company not just for himself but his family too.</w:t>
      </w:r>
    </w:p>
    <w:p w14:paraId="751E440C" w14:textId="0B127569" w:rsidR="00F638FD" w:rsidRDefault="00F638FD" w:rsidP="001527F1">
      <w:pPr>
        <w:spacing w:line="600" w:lineRule="auto"/>
        <w:rPr>
          <w:rFonts w:ascii="Arial" w:hAnsi="Arial" w:cs="Arial"/>
          <w:sz w:val="24"/>
          <w:szCs w:val="24"/>
        </w:rPr>
      </w:pPr>
      <w:r>
        <w:rPr>
          <w:rFonts w:ascii="Arial" w:hAnsi="Arial" w:cs="Arial"/>
          <w:sz w:val="24"/>
          <w:szCs w:val="24"/>
        </w:rPr>
        <w:lastRenderedPageBreak/>
        <w:t xml:space="preserve">Past consideration is very rarely recognised as being valid if there is a dispute over a recent contract and could render this as enforceable. Past consideration, when reviewed by courts, is normally there if there was sufficient consideration </w:t>
      </w:r>
      <w:proofErr w:type="gramStart"/>
      <w:r>
        <w:rPr>
          <w:rFonts w:ascii="Arial" w:hAnsi="Arial" w:cs="Arial"/>
          <w:sz w:val="24"/>
          <w:szCs w:val="24"/>
        </w:rPr>
        <w:t>taken into account</w:t>
      </w:r>
      <w:proofErr w:type="gramEnd"/>
      <w:r>
        <w:rPr>
          <w:rFonts w:ascii="Arial" w:hAnsi="Arial" w:cs="Arial"/>
          <w:sz w:val="24"/>
          <w:szCs w:val="24"/>
        </w:rPr>
        <w:t xml:space="preserve"> at the time. This is where something is promised for a present agreement. </w:t>
      </w:r>
      <w:r w:rsidR="006935DE">
        <w:rPr>
          <w:rFonts w:ascii="Arial" w:hAnsi="Arial" w:cs="Arial"/>
          <w:sz w:val="24"/>
          <w:szCs w:val="24"/>
        </w:rPr>
        <w:t>Basically,</w:t>
      </w:r>
      <w:r>
        <w:rPr>
          <w:rFonts w:ascii="Arial" w:hAnsi="Arial" w:cs="Arial"/>
          <w:sz w:val="24"/>
          <w:szCs w:val="24"/>
        </w:rPr>
        <w:t xml:space="preserve"> an act which you have undertaken or any money that has been paid</w:t>
      </w:r>
      <w:r w:rsidR="006935DE">
        <w:rPr>
          <w:rFonts w:ascii="Arial" w:hAnsi="Arial" w:cs="Arial"/>
          <w:sz w:val="24"/>
          <w:szCs w:val="24"/>
        </w:rPr>
        <w:t xml:space="preserve"> in the past would not constitute any consideration for any present agreements. Past consideration is something that would be completed before a promise is made, but only in exchange, is known to be past consideration thus will not support any valid contracts whatsoever. Examples of past consideration can be seen in several cases. Take the case of the racehorse as seen in </w:t>
      </w:r>
      <w:proofErr w:type="spellStart"/>
      <w:r w:rsidR="006935DE">
        <w:rPr>
          <w:rFonts w:ascii="Arial" w:hAnsi="Arial" w:cs="Arial"/>
          <w:sz w:val="24"/>
          <w:szCs w:val="24"/>
        </w:rPr>
        <w:t>Roscorla</w:t>
      </w:r>
      <w:proofErr w:type="spellEnd"/>
      <w:r w:rsidR="006935DE">
        <w:rPr>
          <w:rFonts w:ascii="Arial" w:hAnsi="Arial" w:cs="Arial"/>
          <w:sz w:val="24"/>
          <w:szCs w:val="24"/>
        </w:rPr>
        <w:t xml:space="preserve"> v Thomas (1842). This is where the contract was </w:t>
      </w:r>
      <w:proofErr w:type="gramStart"/>
      <w:r w:rsidR="006935DE">
        <w:rPr>
          <w:rFonts w:ascii="Arial" w:hAnsi="Arial" w:cs="Arial"/>
          <w:sz w:val="24"/>
          <w:szCs w:val="24"/>
        </w:rPr>
        <w:t>entered into</w:t>
      </w:r>
      <w:proofErr w:type="gramEnd"/>
      <w:r w:rsidR="006935DE">
        <w:rPr>
          <w:rFonts w:ascii="Arial" w:hAnsi="Arial" w:cs="Arial"/>
          <w:sz w:val="24"/>
          <w:szCs w:val="24"/>
        </w:rPr>
        <w:t>, and the seller made a statement to say that the horse’s quality was good. This ended up being a lie, but the buyer could not sue on the promise, because the consideration (the price he paid for the horse) had gone past the point, so the sellers promise was given.</w:t>
      </w:r>
    </w:p>
    <w:p w14:paraId="5E2EEBAC" w14:textId="3AF4DAF6" w:rsidR="006935DE" w:rsidRDefault="006935DE" w:rsidP="001527F1">
      <w:pPr>
        <w:spacing w:line="600" w:lineRule="auto"/>
        <w:rPr>
          <w:rFonts w:ascii="Arial" w:hAnsi="Arial" w:cs="Arial"/>
          <w:sz w:val="24"/>
          <w:szCs w:val="24"/>
        </w:rPr>
      </w:pPr>
      <w:r>
        <w:rPr>
          <w:rFonts w:ascii="Arial" w:hAnsi="Arial" w:cs="Arial"/>
          <w:sz w:val="24"/>
          <w:szCs w:val="24"/>
        </w:rPr>
        <w:t xml:space="preserve">There is one big exception to the rule of past </w:t>
      </w:r>
      <w:r w:rsidR="00A662B6">
        <w:rPr>
          <w:rFonts w:ascii="Arial" w:hAnsi="Arial" w:cs="Arial"/>
          <w:sz w:val="24"/>
          <w:szCs w:val="24"/>
        </w:rPr>
        <w:t>consideration,</w:t>
      </w:r>
      <w:r>
        <w:rPr>
          <w:rFonts w:ascii="Arial" w:hAnsi="Arial" w:cs="Arial"/>
          <w:sz w:val="24"/>
          <w:szCs w:val="24"/>
        </w:rPr>
        <w:t xml:space="preserve"> and this is where one party, at the request of the other party</w:t>
      </w:r>
      <w:r w:rsidR="00A662B6">
        <w:rPr>
          <w:rFonts w:ascii="Arial" w:hAnsi="Arial" w:cs="Arial"/>
          <w:sz w:val="24"/>
          <w:szCs w:val="24"/>
        </w:rPr>
        <w:t xml:space="preserve">, do a service of a kind that would normally be paid for. The courts would then think that this service was meant to be paid for, so therefore the courts would enforce this promise to be paid </w:t>
      </w:r>
      <w:proofErr w:type="gramStart"/>
      <w:r w:rsidR="00A662B6">
        <w:rPr>
          <w:rFonts w:ascii="Arial" w:hAnsi="Arial" w:cs="Arial"/>
          <w:sz w:val="24"/>
          <w:szCs w:val="24"/>
        </w:rPr>
        <w:t>at a later date</w:t>
      </w:r>
      <w:proofErr w:type="gramEnd"/>
      <w:r w:rsidR="00A662B6">
        <w:rPr>
          <w:rFonts w:ascii="Arial" w:hAnsi="Arial" w:cs="Arial"/>
          <w:sz w:val="24"/>
          <w:szCs w:val="24"/>
        </w:rPr>
        <w:t xml:space="preserve">. This came from the case of </w:t>
      </w:r>
      <w:proofErr w:type="spellStart"/>
      <w:r w:rsidR="00A662B6">
        <w:rPr>
          <w:rFonts w:ascii="Arial" w:hAnsi="Arial" w:cs="Arial"/>
          <w:sz w:val="24"/>
          <w:szCs w:val="24"/>
        </w:rPr>
        <w:t>Lampleigh</w:t>
      </w:r>
      <w:proofErr w:type="spellEnd"/>
      <w:r w:rsidR="00A662B6">
        <w:rPr>
          <w:rFonts w:ascii="Arial" w:hAnsi="Arial" w:cs="Arial"/>
          <w:sz w:val="24"/>
          <w:szCs w:val="24"/>
        </w:rPr>
        <w:t xml:space="preserve"> v Braithwaite (1615). Braithwaite</w:t>
      </w:r>
      <w:r w:rsidR="008F03B0">
        <w:rPr>
          <w:rFonts w:ascii="Arial" w:hAnsi="Arial" w:cs="Arial"/>
          <w:sz w:val="24"/>
          <w:szCs w:val="24"/>
        </w:rPr>
        <w:t xml:space="preserve"> had been convicted of the killing of another man, and so he asked </w:t>
      </w:r>
      <w:proofErr w:type="spellStart"/>
      <w:r w:rsidR="008F03B0">
        <w:rPr>
          <w:rFonts w:ascii="Arial" w:hAnsi="Arial" w:cs="Arial"/>
          <w:sz w:val="24"/>
          <w:szCs w:val="24"/>
        </w:rPr>
        <w:t>Lampleigh</w:t>
      </w:r>
      <w:proofErr w:type="spellEnd"/>
      <w:r w:rsidR="008F03B0">
        <w:rPr>
          <w:rFonts w:ascii="Arial" w:hAnsi="Arial" w:cs="Arial"/>
          <w:sz w:val="24"/>
          <w:szCs w:val="24"/>
        </w:rPr>
        <w:t xml:space="preserve"> to try and obtain from the king </w:t>
      </w:r>
      <w:r w:rsidR="008F03B0">
        <w:rPr>
          <w:rFonts w:ascii="Arial" w:hAnsi="Arial" w:cs="Arial"/>
          <w:sz w:val="24"/>
          <w:szCs w:val="24"/>
        </w:rPr>
        <w:lastRenderedPageBreak/>
        <w:t xml:space="preserve">a pardon for his release. After a short while </w:t>
      </w:r>
      <w:proofErr w:type="spellStart"/>
      <w:r w:rsidR="008F03B0">
        <w:rPr>
          <w:rFonts w:ascii="Arial" w:hAnsi="Arial" w:cs="Arial"/>
          <w:sz w:val="24"/>
          <w:szCs w:val="24"/>
        </w:rPr>
        <w:t>Lampleigh</w:t>
      </w:r>
      <w:proofErr w:type="spellEnd"/>
      <w:r w:rsidR="008F03B0">
        <w:rPr>
          <w:rFonts w:ascii="Arial" w:hAnsi="Arial" w:cs="Arial"/>
          <w:sz w:val="24"/>
          <w:szCs w:val="24"/>
        </w:rPr>
        <w:t xml:space="preserve"> managed to obtain this pardon, but during all of this, Braithwaite made a promise to </w:t>
      </w:r>
      <w:proofErr w:type="spellStart"/>
      <w:r w:rsidR="008F03B0">
        <w:rPr>
          <w:rFonts w:ascii="Arial" w:hAnsi="Arial" w:cs="Arial"/>
          <w:sz w:val="24"/>
          <w:szCs w:val="24"/>
        </w:rPr>
        <w:t>Lampleigh</w:t>
      </w:r>
      <w:proofErr w:type="spellEnd"/>
      <w:r w:rsidR="008F03B0">
        <w:rPr>
          <w:rFonts w:ascii="Arial" w:hAnsi="Arial" w:cs="Arial"/>
          <w:sz w:val="24"/>
          <w:szCs w:val="24"/>
        </w:rPr>
        <w:t xml:space="preserve"> that if he secured the pardon then he would pay him £100. The money was not handed over, so </w:t>
      </w:r>
      <w:proofErr w:type="spellStart"/>
      <w:r w:rsidR="008F03B0">
        <w:rPr>
          <w:rFonts w:ascii="Arial" w:hAnsi="Arial" w:cs="Arial"/>
          <w:sz w:val="24"/>
          <w:szCs w:val="24"/>
        </w:rPr>
        <w:t>Lampleigh</w:t>
      </w:r>
      <w:proofErr w:type="spellEnd"/>
      <w:r w:rsidR="008F03B0">
        <w:rPr>
          <w:rFonts w:ascii="Arial" w:hAnsi="Arial" w:cs="Arial"/>
          <w:sz w:val="24"/>
          <w:szCs w:val="24"/>
        </w:rPr>
        <w:t xml:space="preserve"> went on to sue Braithwaite. It may have been past consideration on </w:t>
      </w:r>
      <w:proofErr w:type="spellStart"/>
      <w:r w:rsidR="008F03B0">
        <w:rPr>
          <w:rFonts w:ascii="Arial" w:hAnsi="Arial" w:cs="Arial"/>
          <w:sz w:val="24"/>
          <w:szCs w:val="24"/>
        </w:rPr>
        <w:t>Lampleigh’s</w:t>
      </w:r>
      <w:proofErr w:type="spellEnd"/>
      <w:r w:rsidR="008F03B0">
        <w:rPr>
          <w:rFonts w:ascii="Arial" w:hAnsi="Arial" w:cs="Arial"/>
          <w:sz w:val="24"/>
          <w:szCs w:val="24"/>
        </w:rPr>
        <w:t xml:space="preserve"> behalf, but since the pardon was secured before the promise to pay was made then it should be upheld. The legal principle for this case is that past consideration is enough when it is provided at the promisor’s request and that payment will or should be made in return.</w:t>
      </w:r>
    </w:p>
    <w:p w14:paraId="5E80EF6C" w14:textId="5EC5B678" w:rsidR="000A3AB4" w:rsidRDefault="000A3AB4" w:rsidP="001527F1">
      <w:pPr>
        <w:spacing w:line="600" w:lineRule="auto"/>
        <w:rPr>
          <w:rFonts w:ascii="Arial" w:hAnsi="Arial" w:cs="Arial"/>
          <w:sz w:val="24"/>
          <w:szCs w:val="24"/>
        </w:rPr>
      </w:pPr>
      <w:r>
        <w:rPr>
          <w:rFonts w:ascii="Arial" w:hAnsi="Arial" w:cs="Arial"/>
          <w:sz w:val="24"/>
          <w:szCs w:val="24"/>
        </w:rPr>
        <w:t>Upon the principle of the above case, there is Re Casey v Patents (1892). The defendant’s owned the rights of some of the patent work, and the claimant of this worked for the defendants. They wrote to the claimant with regards his consideration of his position of manager with relation to the patents, that they would give him a third of the interests in them. The promise was not binding, but the courts were to say that the services by the claimant were clearly meant to be paid for.</w:t>
      </w:r>
    </w:p>
    <w:p w14:paraId="3BD3A858" w14:textId="642EBC3F" w:rsidR="000A3AB4" w:rsidRDefault="000A3AB4" w:rsidP="001527F1">
      <w:pPr>
        <w:spacing w:line="600" w:lineRule="auto"/>
        <w:rPr>
          <w:rFonts w:ascii="Arial" w:hAnsi="Arial" w:cs="Arial"/>
          <w:sz w:val="24"/>
          <w:szCs w:val="24"/>
        </w:rPr>
      </w:pPr>
      <w:r>
        <w:rPr>
          <w:rFonts w:ascii="Arial" w:hAnsi="Arial" w:cs="Arial"/>
          <w:sz w:val="24"/>
          <w:szCs w:val="24"/>
        </w:rPr>
        <w:t xml:space="preserve">There is also a second exemption on the rule of past consideration, this would be the bill of exchange. Under a section twenty – seven of the 1882 Bill of Exchange Act, then a liability could be consideration for a receipt of a bill of exchange. The rule of past consideration is not good consideration, this can be found by the </w:t>
      </w:r>
      <w:r w:rsidR="004E162B">
        <w:rPr>
          <w:rFonts w:ascii="Arial" w:hAnsi="Arial" w:cs="Arial"/>
          <w:sz w:val="24"/>
          <w:szCs w:val="24"/>
        </w:rPr>
        <w:t>Privy</w:t>
      </w:r>
      <w:r>
        <w:rPr>
          <w:rFonts w:ascii="Arial" w:hAnsi="Arial" w:cs="Arial"/>
          <w:sz w:val="24"/>
          <w:szCs w:val="24"/>
        </w:rPr>
        <w:t xml:space="preserve"> Council in Pao On v </w:t>
      </w:r>
      <w:r w:rsidR="004E162B">
        <w:rPr>
          <w:rFonts w:ascii="Arial" w:hAnsi="Arial" w:cs="Arial"/>
          <w:sz w:val="24"/>
          <w:szCs w:val="24"/>
        </w:rPr>
        <w:t xml:space="preserve">Lau You Lang (1979/1980). Past consideration can only be good consideration if you have three things. The promise must have completed the act </w:t>
      </w:r>
      <w:r w:rsidR="004E162B">
        <w:rPr>
          <w:rFonts w:ascii="Arial" w:hAnsi="Arial" w:cs="Arial"/>
          <w:sz w:val="24"/>
          <w:szCs w:val="24"/>
        </w:rPr>
        <w:lastRenderedPageBreak/>
        <w:t xml:space="preserve">which was set out by the promisor. There should have also been a clear understanding between </w:t>
      </w:r>
      <w:proofErr w:type="gramStart"/>
      <w:r w:rsidR="004E162B">
        <w:rPr>
          <w:rFonts w:ascii="Arial" w:hAnsi="Arial" w:cs="Arial"/>
          <w:sz w:val="24"/>
          <w:szCs w:val="24"/>
        </w:rPr>
        <w:t>all of</w:t>
      </w:r>
      <w:proofErr w:type="gramEnd"/>
      <w:r w:rsidR="004E162B">
        <w:rPr>
          <w:rFonts w:ascii="Arial" w:hAnsi="Arial" w:cs="Arial"/>
          <w:sz w:val="24"/>
          <w:szCs w:val="24"/>
        </w:rPr>
        <w:t xml:space="preserve"> the involved parties, stating that the promise will be rewarded for this act. And finally, the actual promise was made. If this promise was made before the promise had given any consideration, then it must be capable of being used/ enforced. This in terms would give rise to a legally yet binding contract.</w:t>
      </w:r>
    </w:p>
    <w:p w14:paraId="6FF8A0EA" w14:textId="515ED9B7" w:rsidR="004E162B" w:rsidRDefault="004E162B" w:rsidP="001527F1">
      <w:pPr>
        <w:spacing w:line="600" w:lineRule="auto"/>
        <w:rPr>
          <w:rFonts w:ascii="Arial" w:hAnsi="Arial" w:cs="Arial"/>
          <w:sz w:val="24"/>
          <w:szCs w:val="24"/>
        </w:rPr>
      </w:pPr>
      <w:r>
        <w:rPr>
          <w:rFonts w:ascii="Arial" w:hAnsi="Arial" w:cs="Arial"/>
          <w:sz w:val="24"/>
          <w:szCs w:val="24"/>
        </w:rPr>
        <w:t xml:space="preserve">In the case of Cutter v Powell (1795), there had been an injustice. The performance for this case did not match the requirements exactly, which had been laid out in the contract, this would be known as entire performance. This is to say that if the first party fail to perform what the contract states, then the other party need not pay anything at all, even if the short comings in this performance would cause no hardships to the first party. The contract was made but not full – filled due to no fault of the sailor, he died, so the performance was impossible to keep. This is therefore </w:t>
      </w:r>
      <w:r w:rsidR="005D1867">
        <w:rPr>
          <w:rFonts w:ascii="Arial" w:hAnsi="Arial" w:cs="Arial"/>
          <w:sz w:val="24"/>
          <w:szCs w:val="24"/>
        </w:rPr>
        <w:t xml:space="preserve">said to be known as frustrated. One of the three ways of the exception of the contract being discharged is if both of the parties perform their obligations under it. This can be easily done, but the circumstances in which one of the parties could claim to have done, so therefore be entitled to payment while the other party would tend to disagree with this outcome. </w:t>
      </w:r>
      <w:r w:rsidR="006327D5">
        <w:rPr>
          <w:rFonts w:ascii="Arial" w:hAnsi="Arial" w:cs="Arial"/>
          <w:sz w:val="24"/>
          <w:szCs w:val="24"/>
        </w:rPr>
        <w:t>So,</w:t>
      </w:r>
      <w:r w:rsidR="005D1867">
        <w:rPr>
          <w:rFonts w:ascii="Arial" w:hAnsi="Arial" w:cs="Arial"/>
          <w:sz w:val="24"/>
          <w:szCs w:val="24"/>
        </w:rPr>
        <w:t xml:space="preserve"> the law must try and address the question of what amounts to performance.</w:t>
      </w:r>
    </w:p>
    <w:p w14:paraId="559EF35D" w14:textId="20589AC8" w:rsidR="006327D5" w:rsidRDefault="006327D5" w:rsidP="001527F1">
      <w:pPr>
        <w:spacing w:line="600" w:lineRule="auto"/>
        <w:rPr>
          <w:rFonts w:ascii="Arial" w:hAnsi="Arial" w:cs="Arial"/>
          <w:sz w:val="24"/>
          <w:szCs w:val="24"/>
        </w:rPr>
      </w:pPr>
      <w:r>
        <w:rPr>
          <w:rFonts w:ascii="Arial" w:hAnsi="Arial" w:cs="Arial"/>
          <w:sz w:val="24"/>
          <w:szCs w:val="24"/>
        </w:rPr>
        <w:t xml:space="preserve">Arthur’s advert would be an offer to treaty. This sort of communication would be treated as an offer, only if this were to indicate any terms with which an offeror is </w:t>
      </w:r>
      <w:r>
        <w:rPr>
          <w:rFonts w:ascii="Arial" w:hAnsi="Arial" w:cs="Arial"/>
          <w:sz w:val="24"/>
          <w:szCs w:val="24"/>
        </w:rPr>
        <w:lastRenderedPageBreak/>
        <w:t xml:space="preserve">ready to make a contract (price of goods for sale). This </w:t>
      </w:r>
      <w:proofErr w:type="gramStart"/>
      <w:r>
        <w:rPr>
          <w:rFonts w:ascii="Arial" w:hAnsi="Arial" w:cs="Arial"/>
          <w:sz w:val="24"/>
          <w:szCs w:val="24"/>
        </w:rPr>
        <w:t>has to</w:t>
      </w:r>
      <w:proofErr w:type="gramEnd"/>
      <w:r>
        <w:rPr>
          <w:rFonts w:ascii="Arial" w:hAnsi="Arial" w:cs="Arial"/>
          <w:sz w:val="24"/>
          <w:szCs w:val="24"/>
        </w:rPr>
        <w:t xml:space="preserve"> give a clear indication of the offeror intending to be bound by the terms, but only if the offeree goes on to accept them. Arthur’s offer may be what is also known as an express offer because in the advert he has stated a price for the Rolex watch.</w:t>
      </w:r>
      <w:r w:rsidR="00027432">
        <w:rPr>
          <w:rFonts w:ascii="Arial" w:hAnsi="Arial" w:cs="Arial"/>
          <w:sz w:val="24"/>
          <w:szCs w:val="24"/>
        </w:rPr>
        <w:t xml:space="preserve"> </w:t>
      </w:r>
      <w:r w:rsidR="00216672">
        <w:rPr>
          <w:rFonts w:ascii="Arial" w:hAnsi="Arial" w:cs="Arial"/>
          <w:sz w:val="24"/>
          <w:szCs w:val="24"/>
        </w:rPr>
        <w:t xml:space="preserve"> Ben wished to purchase Arthur’s watch, so on the 4</w:t>
      </w:r>
      <w:r w:rsidR="00216672" w:rsidRPr="00216672">
        <w:rPr>
          <w:rFonts w:ascii="Arial" w:hAnsi="Arial" w:cs="Arial"/>
          <w:sz w:val="24"/>
          <w:szCs w:val="24"/>
          <w:vertAlign w:val="superscript"/>
        </w:rPr>
        <w:t>th</w:t>
      </w:r>
      <w:r w:rsidR="00216672">
        <w:rPr>
          <w:rFonts w:ascii="Arial" w:hAnsi="Arial" w:cs="Arial"/>
          <w:sz w:val="24"/>
          <w:szCs w:val="24"/>
        </w:rPr>
        <w:t xml:space="preserve"> May he sent a letter as he was not computer literate</w:t>
      </w:r>
      <w:r w:rsidR="00226B73">
        <w:rPr>
          <w:rFonts w:ascii="Arial" w:hAnsi="Arial" w:cs="Arial"/>
          <w:sz w:val="24"/>
          <w:szCs w:val="24"/>
        </w:rPr>
        <w:t xml:space="preserve"> stating his intention to buy the watch at the full price of £15,000. This would be known as a simple contract as it was done in writing. A day later Christine emailed to say she would purchase the Rolex watch but could not pay the £15,000 in full so this is known as a counteroffer, it did not match what Arthur was asking for as she would pay £13,000 now and the rest at the end of the month when she got paid. Christine emailed back on the same day at 2pm to say she had found the rest of the money, but as it was a counteroffer it would not be valid. Dennis also emailed Arthur on May 6</w:t>
      </w:r>
      <w:r w:rsidR="00226B73" w:rsidRPr="00226B73">
        <w:rPr>
          <w:rFonts w:ascii="Arial" w:hAnsi="Arial" w:cs="Arial"/>
          <w:sz w:val="24"/>
          <w:szCs w:val="24"/>
          <w:vertAlign w:val="superscript"/>
        </w:rPr>
        <w:t>th</w:t>
      </w:r>
      <w:r w:rsidR="00226B73">
        <w:rPr>
          <w:rFonts w:ascii="Arial" w:hAnsi="Arial" w:cs="Arial"/>
          <w:sz w:val="24"/>
          <w:szCs w:val="24"/>
        </w:rPr>
        <w:t xml:space="preserve"> to say that he was interested in purchasing the watch, Arthur emailed he back with the price he required for this watch. Later that same day Dennis emailed back to say he would pay the £13,000 as requested.</w:t>
      </w:r>
      <w:r w:rsidR="00654981">
        <w:rPr>
          <w:rFonts w:ascii="Arial" w:hAnsi="Arial" w:cs="Arial"/>
          <w:sz w:val="24"/>
          <w:szCs w:val="24"/>
        </w:rPr>
        <w:t xml:space="preserve"> Christine would not be entitled to purchase the watch due to her counteroffer. Acceptance will only become effective once the offeror has received a form of communication. Ben’s letter arrived with Arthur on May 7</w:t>
      </w:r>
      <w:r w:rsidR="00654981" w:rsidRPr="00654981">
        <w:rPr>
          <w:rFonts w:ascii="Arial" w:hAnsi="Arial" w:cs="Arial"/>
          <w:sz w:val="24"/>
          <w:szCs w:val="24"/>
          <w:vertAlign w:val="superscript"/>
        </w:rPr>
        <w:t>th</w:t>
      </w:r>
      <w:r w:rsidR="00654981">
        <w:rPr>
          <w:rFonts w:ascii="Arial" w:hAnsi="Arial" w:cs="Arial"/>
          <w:sz w:val="24"/>
          <w:szCs w:val="24"/>
        </w:rPr>
        <w:t xml:space="preserve"> so that would mean that Ben was entitled to purchase the watch at the original price of £15,000.</w:t>
      </w:r>
    </w:p>
    <w:p w14:paraId="0236BC55" w14:textId="5266FA16" w:rsidR="00654981" w:rsidRDefault="00654981" w:rsidP="001527F1">
      <w:pPr>
        <w:spacing w:line="600" w:lineRule="auto"/>
        <w:rPr>
          <w:rFonts w:ascii="Arial" w:hAnsi="Arial" w:cs="Arial"/>
          <w:sz w:val="24"/>
          <w:szCs w:val="24"/>
        </w:rPr>
      </w:pPr>
      <w:r>
        <w:rPr>
          <w:rFonts w:ascii="Arial" w:hAnsi="Arial" w:cs="Arial"/>
          <w:sz w:val="24"/>
          <w:szCs w:val="24"/>
        </w:rPr>
        <w:lastRenderedPageBreak/>
        <w:t xml:space="preserve">Laissez Faire is the modern-day law of contract. This is based on the nineteenth century theory of Laissez Faire, which is the freedom with which a person </w:t>
      </w:r>
      <w:proofErr w:type="gramStart"/>
      <w:r>
        <w:rPr>
          <w:rFonts w:ascii="Arial" w:hAnsi="Arial" w:cs="Arial"/>
          <w:sz w:val="24"/>
          <w:szCs w:val="24"/>
        </w:rPr>
        <w:t>has to</w:t>
      </w:r>
      <w:proofErr w:type="gramEnd"/>
      <w:r>
        <w:rPr>
          <w:rFonts w:ascii="Arial" w:hAnsi="Arial" w:cs="Arial"/>
          <w:sz w:val="24"/>
          <w:szCs w:val="24"/>
        </w:rPr>
        <w:t xml:space="preserve"> enter a contract if they so wish to do so. If there was an existence already of a contract this would then give the parties involved legal rights. A contract can be entered into in various ways, face – to -face, by telephone, mere conduct, email or done within writing.</w:t>
      </w:r>
      <w:r w:rsidR="002326AB">
        <w:rPr>
          <w:rFonts w:ascii="Arial" w:hAnsi="Arial" w:cs="Arial"/>
          <w:sz w:val="24"/>
          <w:szCs w:val="24"/>
        </w:rPr>
        <w:t xml:space="preserve"> The cases for these can be seen in </w:t>
      </w:r>
      <w:proofErr w:type="spellStart"/>
      <w:r w:rsidR="002326AB">
        <w:rPr>
          <w:rFonts w:ascii="Arial" w:hAnsi="Arial" w:cs="Arial"/>
          <w:sz w:val="24"/>
          <w:szCs w:val="24"/>
        </w:rPr>
        <w:t>Brinkibon</w:t>
      </w:r>
      <w:proofErr w:type="spellEnd"/>
      <w:r w:rsidR="002326AB">
        <w:rPr>
          <w:rFonts w:ascii="Arial" w:hAnsi="Arial" w:cs="Arial"/>
          <w:sz w:val="24"/>
          <w:szCs w:val="24"/>
        </w:rPr>
        <w:t xml:space="preserve"> v </w:t>
      </w:r>
      <w:proofErr w:type="spellStart"/>
      <w:r w:rsidR="002326AB">
        <w:rPr>
          <w:rFonts w:ascii="Arial" w:hAnsi="Arial" w:cs="Arial"/>
          <w:sz w:val="24"/>
          <w:szCs w:val="24"/>
        </w:rPr>
        <w:t>Stahag</w:t>
      </w:r>
      <w:proofErr w:type="spellEnd"/>
      <w:r w:rsidR="002326AB">
        <w:rPr>
          <w:rFonts w:ascii="Arial" w:hAnsi="Arial" w:cs="Arial"/>
          <w:sz w:val="24"/>
          <w:szCs w:val="24"/>
        </w:rPr>
        <w:t xml:space="preserve"> Stahl (1983).</w:t>
      </w:r>
      <w:r w:rsidR="00A566EF">
        <w:rPr>
          <w:rFonts w:ascii="Arial" w:hAnsi="Arial" w:cs="Arial"/>
          <w:sz w:val="24"/>
          <w:szCs w:val="24"/>
        </w:rPr>
        <w:t xml:space="preserve"> This was an acceptance by telex / fax that had been received out of office hours, would this make it a valid form of contract. The courts said the acceptance must be communicated so would only be effective once the office reopened the following morning. Lord Wilberforce stated that no universal rule could cover all cases of this kind, so they must be solved or resolved by reference to the intention of the parties involved. With the case of Ben, Lord Denning was to explain why the postal rule could not apply. If an offer to another person across a river</w:t>
      </w:r>
      <w:r w:rsidR="00ED5B10">
        <w:rPr>
          <w:rFonts w:ascii="Arial" w:hAnsi="Arial" w:cs="Arial"/>
          <w:sz w:val="24"/>
          <w:szCs w:val="24"/>
        </w:rPr>
        <w:t xml:space="preserve"> and you do not hear his reply because of a plane flying overhead, there would be no contract. If a wish to make a contract is still required, then you </w:t>
      </w:r>
      <w:proofErr w:type="gramStart"/>
      <w:r w:rsidR="00ED5B10">
        <w:rPr>
          <w:rFonts w:ascii="Arial" w:hAnsi="Arial" w:cs="Arial"/>
          <w:sz w:val="24"/>
          <w:szCs w:val="24"/>
        </w:rPr>
        <w:t>have to</w:t>
      </w:r>
      <w:proofErr w:type="gramEnd"/>
      <w:r w:rsidR="00ED5B10">
        <w:rPr>
          <w:rFonts w:ascii="Arial" w:hAnsi="Arial" w:cs="Arial"/>
          <w:sz w:val="24"/>
          <w:szCs w:val="24"/>
        </w:rPr>
        <w:t xml:space="preserve"> wait until the plane has flown over and you can hear the other persons acceptance. Not until you have an answer are you bound to contract.  For a counteroffer then Hyde and Wrench (1840) can be referred to where the defendant offered to sell his farm to the claimant for a £1,000. The claimant came back with the offer of £950.00, this was rejected by the </w:t>
      </w:r>
      <w:r w:rsidR="00925DFA">
        <w:rPr>
          <w:rFonts w:ascii="Arial" w:hAnsi="Arial" w:cs="Arial"/>
          <w:sz w:val="24"/>
          <w:szCs w:val="24"/>
        </w:rPr>
        <w:t xml:space="preserve">defendant, and they tried to accept the original price. The courts stated that this was </w:t>
      </w:r>
      <w:r w:rsidR="00925DFA">
        <w:rPr>
          <w:rFonts w:ascii="Arial" w:hAnsi="Arial" w:cs="Arial"/>
          <w:sz w:val="24"/>
          <w:szCs w:val="24"/>
        </w:rPr>
        <w:lastRenderedPageBreak/>
        <w:t>a counteroffer and no longer open to acceptance. Lord Langdale had said that if the offer had at once been unconditionally accepted, then there would have been a binding contract. Instead, the plaintiff was to make an offer of his own. He thereby would reject the offer which was originally made. Therefore, there would be no obligation of sorts between the parties which are involved.</w:t>
      </w:r>
    </w:p>
    <w:p w14:paraId="5394F7FB" w14:textId="739DA804" w:rsidR="005B4AA5" w:rsidRDefault="005B4AA5" w:rsidP="001527F1">
      <w:pPr>
        <w:spacing w:line="600" w:lineRule="auto"/>
        <w:rPr>
          <w:rFonts w:ascii="Arial" w:hAnsi="Arial" w:cs="Arial"/>
          <w:sz w:val="24"/>
          <w:szCs w:val="24"/>
        </w:rPr>
      </w:pPr>
      <w:r>
        <w:rPr>
          <w:rFonts w:ascii="Arial" w:hAnsi="Arial" w:cs="Arial"/>
          <w:sz w:val="24"/>
          <w:szCs w:val="24"/>
        </w:rPr>
        <w:t>In conclusion to this assignment, contract law is not so easy or even straight forward. Without the case law to go with this, then contract law may not even exist.</w:t>
      </w:r>
    </w:p>
    <w:p w14:paraId="0243A721" w14:textId="3E2A175A" w:rsidR="007F64D1" w:rsidRDefault="007F64D1" w:rsidP="001527F1">
      <w:pPr>
        <w:spacing w:line="600" w:lineRule="auto"/>
        <w:rPr>
          <w:rFonts w:ascii="Arial" w:hAnsi="Arial" w:cs="Arial"/>
          <w:sz w:val="24"/>
          <w:szCs w:val="24"/>
        </w:rPr>
      </w:pPr>
      <w:proofErr w:type="spellStart"/>
      <w:r>
        <w:rPr>
          <w:rFonts w:ascii="Arial" w:hAnsi="Arial" w:cs="Arial"/>
          <w:sz w:val="24"/>
          <w:szCs w:val="24"/>
        </w:rPr>
        <w:t>Brinkibon</w:t>
      </w:r>
      <w:proofErr w:type="spellEnd"/>
      <w:r>
        <w:rPr>
          <w:rFonts w:ascii="Arial" w:hAnsi="Arial" w:cs="Arial"/>
          <w:sz w:val="24"/>
          <w:szCs w:val="24"/>
        </w:rPr>
        <w:t xml:space="preserve"> v </w:t>
      </w:r>
      <w:proofErr w:type="spellStart"/>
      <w:r>
        <w:rPr>
          <w:rFonts w:ascii="Arial" w:hAnsi="Arial" w:cs="Arial"/>
          <w:sz w:val="24"/>
          <w:szCs w:val="24"/>
        </w:rPr>
        <w:t>Stahag</w:t>
      </w:r>
      <w:proofErr w:type="spellEnd"/>
      <w:r>
        <w:rPr>
          <w:rFonts w:ascii="Arial" w:hAnsi="Arial" w:cs="Arial"/>
          <w:sz w:val="24"/>
          <w:szCs w:val="24"/>
        </w:rPr>
        <w:t xml:space="preserve"> Stahl (1983) AC 34</w:t>
      </w:r>
    </w:p>
    <w:p w14:paraId="6FCEB5A7" w14:textId="46A043A8" w:rsidR="007F64D1" w:rsidRDefault="007F64D1" w:rsidP="001527F1">
      <w:pPr>
        <w:spacing w:line="600" w:lineRule="auto"/>
        <w:rPr>
          <w:rFonts w:ascii="Arial" w:hAnsi="Arial" w:cs="Arial"/>
          <w:sz w:val="24"/>
          <w:szCs w:val="24"/>
        </w:rPr>
      </w:pPr>
      <w:r>
        <w:rPr>
          <w:rFonts w:ascii="Arial" w:hAnsi="Arial" w:cs="Arial"/>
          <w:sz w:val="24"/>
          <w:szCs w:val="24"/>
        </w:rPr>
        <w:t>Cutter v Powell (1795) 6 Term Rep 320,308,310</w:t>
      </w:r>
    </w:p>
    <w:p w14:paraId="0D507015" w14:textId="1EBD0A63" w:rsidR="007F64D1" w:rsidRDefault="007F64D1" w:rsidP="001527F1">
      <w:pPr>
        <w:spacing w:line="600" w:lineRule="auto"/>
        <w:rPr>
          <w:rFonts w:ascii="Arial" w:hAnsi="Arial" w:cs="Arial"/>
          <w:sz w:val="24"/>
          <w:szCs w:val="24"/>
        </w:rPr>
      </w:pPr>
      <w:r>
        <w:rPr>
          <w:rFonts w:ascii="Arial" w:hAnsi="Arial" w:cs="Arial"/>
          <w:sz w:val="24"/>
          <w:szCs w:val="24"/>
        </w:rPr>
        <w:t>Dunlop Pneumatic Tyres Co Ltd v Selfridge and Co Ltd (1915) AC 847 (1914 – 15) All ER Rep 333, HL 377,379,395</w:t>
      </w:r>
    </w:p>
    <w:p w14:paraId="55442C30" w14:textId="0A9A87F4" w:rsidR="007F64D1" w:rsidRDefault="007F64D1" w:rsidP="001527F1">
      <w:pPr>
        <w:spacing w:line="600" w:lineRule="auto"/>
        <w:rPr>
          <w:rFonts w:ascii="Arial" w:hAnsi="Arial" w:cs="Arial"/>
          <w:sz w:val="24"/>
          <w:szCs w:val="24"/>
        </w:rPr>
      </w:pPr>
      <w:r>
        <w:rPr>
          <w:rFonts w:ascii="Arial" w:hAnsi="Arial" w:cs="Arial"/>
          <w:sz w:val="24"/>
          <w:szCs w:val="24"/>
        </w:rPr>
        <w:t xml:space="preserve">Hyde v Wrench (1840) </w:t>
      </w:r>
      <w:r w:rsidR="0041264F">
        <w:rPr>
          <w:rFonts w:ascii="Arial" w:hAnsi="Arial" w:cs="Arial"/>
          <w:sz w:val="24"/>
          <w:szCs w:val="24"/>
        </w:rPr>
        <w:t xml:space="preserve">3 </w:t>
      </w:r>
      <w:proofErr w:type="spellStart"/>
      <w:r w:rsidR="0041264F">
        <w:rPr>
          <w:rFonts w:ascii="Arial" w:hAnsi="Arial" w:cs="Arial"/>
          <w:sz w:val="24"/>
          <w:szCs w:val="24"/>
        </w:rPr>
        <w:t>Beav</w:t>
      </w:r>
      <w:proofErr w:type="spellEnd"/>
      <w:r w:rsidR="0041264F">
        <w:rPr>
          <w:rFonts w:ascii="Arial" w:hAnsi="Arial" w:cs="Arial"/>
          <w:sz w:val="24"/>
          <w:szCs w:val="24"/>
        </w:rPr>
        <w:t xml:space="preserve"> 334,18,50</w:t>
      </w:r>
    </w:p>
    <w:p w14:paraId="655E5555" w14:textId="42B890EB" w:rsidR="0041264F" w:rsidRDefault="0041264F" w:rsidP="001527F1">
      <w:pPr>
        <w:spacing w:line="600" w:lineRule="auto"/>
        <w:rPr>
          <w:rFonts w:ascii="Arial" w:hAnsi="Arial" w:cs="Arial"/>
          <w:sz w:val="24"/>
          <w:szCs w:val="24"/>
        </w:rPr>
      </w:pPr>
      <w:r>
        <w:rPr>
          <w:rFonts w:ascii="Arial" w:hAnsi="Arial" w:cs="Arial"/>
          <w:sz w:val="24"/>
          <w:szCs w:val="24"/>
        </w:rPr>
        <w:t>Jackson v Horizon Holidays Ltd (1975) 3 All ER 92: (1975) 1 WLR 1468, CA 292,300,302,342</w:t>
      </w:r>
    </w:p>
    <w:p w14:paraId="66722A27" w14:textId="58C75F35" w:rsidR="0041264F" w:rsidRDefault="0041264F" w:rsidP="001527F1">
      <w:pPr>
        <w:spacing w:line="600" w:lineRule="auto"/>
        <w:rPr>
          <w:rFonts w:ascii="Arial" w:hAnsi="Arial" w:cs="Arial"/>
          <w:sz w:val="24"/>
          <w:szCs w:val="24"/>
        </w:rPr>
      </w:pPr>
      <w:proofErr w:type="spellStart"/>
      <w:r>
        <w:rPr>
          <w:rFonts w:ascii="Arial" w:hAnsi="Arial" w:cs="Arial"/>
          <w:sz w:val="24"/>
          <w:szCs w:val="24"/>
        </w:rPr>
        <w:t>Lampleigh</w:t>
      </w:r>
      <w:proofErr w:type="spellEnd"/>
      <w:r>
        <w:rPr>
          <w:rFonts w:ascii="Arial" w:hAnsi="Arial" w:cs="Arial"/>
          <w:sz w:val="24"/>
          <w:szCs w:val="24"/>
        </w:rPr>
        <w:t xml:space="preserve"> v Braithwaite (1615) Hob 105 96,97,119</w:t>
      </w:r>
    </w:p>
    <w:p w14:paraId="739C6C5C" w14:textId="5D745DA2" w:rsidR="00E87AF8" w:rsidRDefault="00E87AF8" w:rsidP="001527F1">
      <w:pPr>
        <w:spacing w:line="600" w:lineRule="auto"/>
        <w:rPr>
          <w:rFonts w:ascii="Arial" w:hAnsi="Arial" w:cs="Arial"/>
          <w:sz w:val="24"/>
          <w:szCs w:val="24"/>
        </w:rPr>
      </w:pPr>
      <w:r>
        <w:rPr>
          <w:rFonts w:ascii="Arial" w:hAnsi="Arial" w:cs="Arial"/>
          <w:sz w:val="24"/>
          <w:szCs w:val="24"/>
        </w:rPr>
        <w:t>Pao On v Lau You Long (1980) AC 614: (1979) 3 ALL ER 65 107,263,275</w:t>
      </w:r>
    </w:p>
    <w:p w14:paraId="5438E87E" w14:textId="5E2635EF" w:rsidR="00E87AF8" w:rsidRDefault="00E87AF8" w:rsidP="001527F1">
      <w:pPr>
        <w:spacing w:line="600" w:lineRule="auto"/>
        <w:rPr>
          <w:rFonts w:ascii="Arial" w:hAnsi="Arial" w:cs="Arial"/>
          <w:sz w:val="24"/>
          <w:szCs w:val="24"/>
        </w:rPr>
      </w:pPr>
      <w:r>
        <w:rPr>
          <w:rFonts w:ascii="Arial" w:hAnsi="Arial" w:cs="Arial"/>
          <w:sz w:val="24"/>
          <w:szCs w:val="24"/>
        </w:rPr>
        <w:t xml:space="preserve">Re Casey v Patents (1892) </w:t>
      </w:r>
    </w:p>
    <w:p w14:paraId="7AEFFC98" w14:textId="28DFC902" w:rsidR="002158BF" w:rsidRDefault="002158BF" w:rsidP="001527F1">
      <w:pPr>
        <w:spacing w:line="600" w:lineRule="auto"/>
        <w:rPr>
          <w:rFonts w:ascii="Arial" w:hAnsi="Arial" w:cs="Arial"/>
          <w:sz w:val="24"/>
          <w:szCs w:val="24"/>
        </w:rPr>
      </w:pPr>
      <w:proofErr w:type="spellStart"/>
      <w:r>
        <w:rPr>
          <w:rFonts w:ascii="Arial" w:hAnsi="Arial" w:cs="Arial"/>
          <w:sz w:val="24"/>
          <w:szCs w:val="24"/>
        </w:rPr>
        <w:t>Roscorla</w:t>
      </w:r>
      <w:proofErr w:type="spellEnd"/>
      <w:r>
        <w:rPr>
          <w:rFonts w:ascii="Arial" w:hAnsi="Arial" w:cs="Arial"/>
          <w:sz w:val="24"/>
          <w:szCs w:val="24"/>
        </w:rPr>
        <w:t xml:space="preserve"> v Thomas (1842) 3 QB 234</w:t>
      </w:r>
    </w:p>
    <w:p w14:paraId="2C2F1251" w14:textId="10DF82F3" w:rsidR="002158BF" w:rsidRDefault="002158BF" w:rsidP="001527F1">
      <w:pPr>
        <w:spacing w:line="600" w:lineRule="auto"/>
        <w:rPr>
          <w:rFonts w:ascii="Arial" w:hAnsi="Arial" w:cs="Arial"/>
          <w:sz w:val="24"/>
          <w:szCs w:val="24"/>
        </w:rPr>
      </w:pPr>
      <w:r>
        <w:rPr>
          <w:rFonts w:ascii="Arial" w:hAnsi="Arial" w:cs="Arial"/>
          <w:sz w:val="24"/>
          <w:szCs w:val="24"/>
        </w:rPr>
        <w:lastRenderedPageBreak/>
        <w:t>Tweddle v Atkinson (1861) 121 ER 762</w:t>
      </w:r>
    </w:p>
    <w:p w14:paraId="788D3CAF" w14:textId="77777777" w:rsidR="007F64D1" w:rsidRPr="001527F1" w:rsidRDefault="007F64D1" w:rsidP="001527F1">
      <w:pPr>
        <w:spacing w:line="600" w:lineRule="auto"/>
        <w:rPr>
          <w:rFonts w:ascii="Arial" w:hAnsi="Arial" w:cs="Arial"/>
          <w:sz w:val="24"/>
          <w:szCs w:val="24"/>
        </w:rPr>
      </w:pPr>
    </w:p>
    <w:sectPr w:rsidR="007F64D1" w:rsidRPr="001527F1" w:rsidSect="001527F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2A70F" w14:textId="77777777" w:rsidR="00F638FD" w:rsidRDefault="00F638FD" w:rsidP="00F638FD">
      <w:pPr>
        <w:spacing w:after="0" w:line="240" w:lineRule="auto"/>
      </w:pPr>
      <w:r>
        <w:separator/>
      </w:r>
    </w:p>
  </w:endnote>
  <w:endnote w:type="continuationSeparator" w:id="0">
    <w:p w14:paraId="029FA7DF" w14:textId="77777777" w:rsidR="00F638FD" w:rsidRDefault="00F638FD" w:rsidP="00F63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01D4E" w14:textId="77777777" w:rsidR="00F638FD" w:rsidRDefault="00F638FD" w:rsidP="00F638FD">
      <w:pPr>
        <w:spacing w:after="0" w:line="240" w:lineRule="auto"/>
      </w:pPr>
      <w:r>
        <w:separator/>
      </w:r>
    </w:p>
  </w:footnote>
  <w:footnote w:type="continuationSeparator" w:id="0">
    <w:p w14:paraId="010F6E42" w14:textId="77777777" w:rsidR="00F638FD" w:rsidRDefault="00F638FD" w:rsidP="00F638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7F1"/>
    <w:rsid w:val="00027432"/>
    <w:rsid w:val="000A3AB4"/>
    <w:rsid w:val="000B6C3C"/>
    <w:rsid w:val="000E0FF0"/>
    <w:rsid w:val="001527F1"/>
    <w:rsid w:val="002158BF"/>
    <w:rsid w:val="00216672"/>
    <w:rsid w:val="00226B73"/>
    <w:rsid w:val="002326AB"/>
    <w:rsid w:val="0041264F"/>
    <w:rsid w:val="004E162B"/>
    <w:rsid w:val="005B4AA5"/>
    <w:rsid w:val="005D1867"/>
    <w:rsid w:val="006327D5"/>
    <w:rsid w:val="00654981"/>
    <w:rsid w:val="006935DE"/>
    <w:rsid w:val="006E48D4"/>
    <w:rsid w:val="00744ED6"/>
    <w:rsid w:val="007F64D1"/>
    <w:rsid w:val="008F03B0"/>
    <w:rsid w:val="00925DFA"/>
    <w:rsid w:val="009A39BA"/>
    <w:rsid w:val="00A566EF"/>
    <w:rsid w:val="00A662B6"/>
    <w:rsid w:val="00AC49F9"/>
    <w:rsid w:val="00C27504"/>
    <w:rsid w:val="00E87AF8"/>
    <w:rsid w:val="00ED5B10"/>
    <w:rsid w:val="00F638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A7E26BF"/>
  <w15:chartTrackingRefBased/>
  <w15:docId w15:val="{8892293E-B650-40A6-9BB8-5D5EE2C6F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27F1"/>
    <w:pPr>
      <w:spacing w:after="0" w:line="240" w:lineRule="auto"/>
    </w:pPr>
    <w:rPr>
      <w:lang w:val="en-US" w:eastAsia="en-US"/>
    </w:rPr>
  </w:style>
  <w:style w:type="character" w:customStyle="1" w:styleId="NoSpacingChar">
    <w:name w:val="No Spacing Char"/>
    <w:basedOn w:val="DefaultParagraphFont"/>
    <w:link w:val="NoSpacing"/>
    <w:uiPriority w:val="1"/>
    <w:rsid w:val="001527F1"/>
    <w:rPr>
      <w:lang w:val="en-US" w:eastAsia="en-US"/>
    </w:rPr>
  </w:style>
  <w:style w:type="paragraph" w:styleId="Header">
    <w:name w:val="header"/>
    <w:basedOn w:val="Normal"/>
    <w:link w:val="HeaderChar"/>
    <w:uiPriority w:val="99"/>
    <w:unhideWhenUsed/>
    <w:rsid w:val="00F63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8FD"/>
  </w:style>
  <w:style w:type="paragraph" w:styleId="Footer">
    <w:name w:val="footer"/>
    <w:basedOn w:val="Normal"/>
    <w:link w:val="FooterChar"/>
    <w:uiPriority w:val="99"/>
    <w:unhideWhenUsed/>
    <w:rsid w:val="00F63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1820</Words>
  <Characters>10375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Contract Law.</vt:lpstr>
    </vt:vector>
  </TitlesOfParts>
  <Company/>
  <LinksUpToDate>false</LinksUpToDate>
  <CharactersWithSpaces>12171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dc:title>
  <dc:subject/>
  <dc:creator>Mel Jane Box (2003707)</dc:creator>
  <cp:keywords/>
  <dc:description/>
  <cp:lastModifiedBy>Mel Jane Box (2003707)</cp:lastModifiedBy>
  <cp:revision>2</cp:revision>
  <dcterms:created xsi:type="dcterms:W3CDTF">2022-03-02T00:13:00Z</dcterms:created>
  <dcterms:modified xsi:type="dcterms:W3CDTF">2022-03-02T00:13:00Z</dcterms:modified>
  <cp:category>BMLW5006.</cp:category>
</cp:coreProperties>
</file>