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131B1" w14:textId="2F53F882" w:rsidR="00D622A3" w:rsidRDefault="00D622A3" w:rsidP="003F61EF">
      <w:pPr>
        <w:rPr>
          <w:b/>
          <w:bCs/>
          <w:lang w:val="en-GB"/>
        </w:rPr>
      </w:pPr>
    </w:p>
    <w:p w14:paraId="344A4FF7" w14:textId="77777777" w:rsidR="00D622A3" w:rsidRDefault="00D622A3" w:rsidP="003F61EF">
      <w:pPr>
        <w:rPr>
          <w:b/>
          <w:bCs/>
          <w:lang w:val="en-GB"/>
        </w:rPr>
      </w:pPr>
    </w:p>
    <w:p w14:paraId="3CD61870" w14:textId="6D8D13A5" w:rsidR="00D622A3" w:rsidRDefault="00A333FD" w:rsidP="003F61EF">
      <w:pPr>
        <w:rPr>
          <w:b/>
          <w:bCs/>
          <w:lang w:val="en-GB"/>
        </w:rPr>
      </w:pPr>
      <w:r w:rsidRPr="00A333FD">
        <w:drawing>
          <wp:inline distT="0" distB="0" distL="0" distR="0" wp14:anchorId="3D55332D" wp14:editId="76891D0C">
            <wp:extent cx="5943600" cy="4351020"/>
            <wp:effectExtent l="0" t="0" r="0" b="0"/>
            <wp:docPr id="1745643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4351020"/>
                    </a:xfrm>
                    <a:prstGeom prst="rect">
                      <a:avLst/>
                    </a:prstGeom>
                    <a:noFill/>
                    <a:ln>
                      <a:noFill/>
                    </a:ln>
                  </pic:spPr>
                </pic:pic>
              </a:graphicData>
            </a:graphic>
          </wp:inline>
        </w:drawing>
      </w:r>
    </w:p>
    <w:p w14:paraId="16F57C64" w14:textId="77777777" w:rsidR="00D622A3" w:rsidRDefault="00D622A3" w:rsidP="003F61EF">
      <w:pPr>
        <w:rPr>
          <w:b/>
          <w:bCs/>
          <w:lang w:val="en-GB"/>
        </w:rPr>
      </w:pPr>
    </w:p>
    <w:p w14:paraId="57CF1BE3" w14:textId="77777777" w:rsidR="00D622A3" w:rsidRDefault="00D622A3" w:rsidP="003F61EF">
      <w:pPr>
        <w:rPr>
          <w:b/>
          <w:bCs/>
          <w:lang w:val="en-GB"/>
        </w:rPr>
      </w:pPr>
    </w:p>
    <w:p w14:paraId="6D819C4C" w14:textId="77777777" w:rsidR="00D622A3" w:rsidRDefault="00D622A3" w:rsidP="003F61EF">
      <w:pPr>
        <w:rPr>
          <w:b/>
          <w:bCs/>
          <w:lang w:val="en-GB"/>
        </w:rPr>
      </w:pPr>
    </w:p>
    <w:p w14:paraId="30120BFA" w14:textId="052C41EF" w:rsidR="00A333FD" w:rsidRPr="00A333FD" w:rsidRDefault="00A333FD" w:rsidP="00A333FD">
      <w:pPr>
        <w:rPr>
          <w:b/>
          <w:bCs/>
          <w:lang w:val="en-GB"/>
        </w:rPr>
      </w:pPr>
    </w:p>
    <w:p w14:paraId="4527FE48" w14:textId="77777777" w:rsidR="00D622A3" w:rsidRDefault="00D622A3" w:rsidP="003F61EF">
      <w:pPr>
        <w:rPr>
          <w:b/>
          <w:bCs/>
          <w:lang w:val="en-GB"/>
        </w:rPr>
      </w:pPr>
    </w:p>
    <w:p w14:paraId="44D0D61A" w14:textId="77777777" w:rsidR="00D622A3" w:rsidRDefault="00D622A3" w:rsidP="003F61EF">
      <w:pPr>
        <w:rPr>
          <w:b/>
          <w:bCs/>
          <w:lang w:val="en-GB"/>
        </w:rPr>
      </w:pPr>
    </w:p>
    <w:p w14:paraId="4EEFCEFF" w14:textId="77777777" w:rsidR="00D622A3" w:rsidRDefault="00D622A3" w:rsidP="003F61EF">
      <w:pPr>
        <w:rPr>
          <w:b/>
          <w:bCs/>
          <w:lang w:val="en-GB"/>
        </w:rPr>
      </w:pPr>
    </w:p>
    <w:sdt>
      <w:sdtPr>
        <w:id w:val="-1317489163"/>
        <w:docPartObj>
          <w:docPartGallery w:val="Table of Contents"/>
          <w:docPartUnique/>
        </w:docPartObj>
      </w:sdtPr>
      <w:sdtEndPr>
        <w:rPr>
          <w:rFonts w:asciiTheme="minorHAnsi" w:eastAsiaTheme="minorHAnsi" w:hAnsiTheme="minorHAnsi" w:cstheme="minorBidi"/>
          <w:b/>
          <w:bCs/>
          <w:noProof/>
          <w:color w:val="auto"/>
          <w:kern w:val="2"/>
          <w:sz w:val="22"/>
          <w:szCs w:val="22"/>
        </w:rPr>
      </w:sdtEndPr>
      <w:sdtContent>
        <w:p w14:paraId="2C387FD5" w14:textId="29CA3ADE" w:rsidR="00D622A3" w:rsidRDefault="00D622A3">
          <w:pPr>
            <w:pStyle w:val="TOCHeading"/>
          </w:pPr>
          <w:r>
            <w:t>Contents</w:t>
          </w:r>
        </w:p>
        <w:p w14:paraId="1931585B" w14:textId="3B0F7E49" w:rsidR="00D622A3" w:rsidRDefault="00D622A3">
          <w:pPr>
            <w:pStyle w:val="TOC2"/>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43892671" w:history="1">
            <w:r w:rsidRPr="009E74FB">
              <w:rPr>
                <w:rStyle w:val="Hyperlink"/>
                <w:noProof/>
                <w:lang w:val="en-GB"/>
              </w:rPr>
              <w:t>Introduction to Nike and Marketing</w:t>
            </w:r>
            <w:r>
              <w:rPr>
                <w:noProof/>
                <w:webHidden/>
              </w:rPr>
              <w:tab/>
            </w:r>
            <w:r>
              <w:rPr>
                <w:noProof/>
                <w:webHidden/>
              </w:rPr>
              <w:fldChar w:fldCharType="begin"/>
            </w:r>
            <w:r>
              <w:rPr>
                <w:noProof/>
                <w:webHidden/>
              </w:rPr>
              <w:instrText xml:space="preserve"> PAGEREF _Toc143892671 \h </w:instrText>
            </w:r>
            <w:r>
              <w:rPr>
                <w:noProof/>
                <w:webHidden/>
              </w:rPr>
            </w:r>
            <w:r>
              <w:rPr>
                <w:noProof/>
                <w:webHidden/>
              </w:rPr>
              <w:fldChar w:fldCharType="separate"/>
            </w:r>
            <w:r>
              <w:rPr>
                <w:noProof/>
                <w:webHidden/>
              </w:rPr>
              <w:t>2</w:t>
            </w:r>
            <w:r>
              <w:rPr>
                <w:noProof/>
                <w:webHidden/>
              </w:rPr>
              <w:fldChar w:fldCharType="end"/>
            </w:r>
          </w:hyperlink>
        </w:p>
        <w:p w14:paraId="15175D73" w14:textId="279EF77A" w:rsidR="00D622A3" w:rsidRDefault="00D622A3">
          <w:pPr>
            <w:pStyle w:val="TOC2"/>
            <w:tabs>
              <w:tab w:val="right" w:leader="dot" w:pos="9350"/>
            </w:tabs>
            <w:rPr>
              <w:rFonts w:eastAsiaTheme="minorEastAsia"/>
              <w:noProof/>
              <w:lang w:val="en-GB" w:eastAsia="en-GB"/>
            </w:rPr>
          </w:pPr>
          <w:hyperlink w:anchor="_Toc143892672" w:history="1">
            <w:r w:rsidRPr="009E74FB">
              <w:rPr>
                <w:rStyle w:val="Hyperlink"/>
                <w:noProof/>
                <w:lang w:val="en-GB"/>
              </w:rPr>
              <w:t>The Marketing Process:</w:t>
            </w:r>
            <w:r>
              <w:rPr>
                <w:noProof/>
                <w:webHidden/>
              </w:rPr>
              <w:tab/>
            </w:r>
            <w:r>
              <w:rPr>
                <w:noProof/>
                <w:webHidden/>
              </w:rPr>
              <w:fldChar w:fldCharType="begin"/>
            </w:r>
            <w:r>
              <w:rPr>
                <w:noProof/>
                <w:webHidden/>
              </w:rPr>
              <w:instrText xml:space="preserve"> PAGEREF _Toc143892672 \h </w:instrText>
            </w:r>
            <w:r>
              <w:rPr>
                <w:noProof/>
                <w:webHidden/>
              </w:rPr>
            </w:r>
            <w:r>
              <w:rPr>
                <w:noProof/>
                <w:webHidden/>
              </w:rPr>
              <w:fldChar w:fldCharType="separate"/>
            </w:r>
            <w:r>
              <w:rPr>
                <w:noProof/>
                <w:webHidden/>
              </w:rPr>
              <w:t>2</w:t>
            </w:r>
            <w:r>
              <w:rPr>
                <w:noProof/>
                <w:webHidden/>
              </w:rPr>
              <w:fldChar w:fldCharType="end"/>
            </w:r>
          </w:hyperlink>
        </w:p>
        <w:p w14:paraId="3C68B5B5" w14:textId="138889CD" w:rsidR="00D622A3" w:rsidRDefault="00D622A3">
          <w:pPr>
            <w:pStyle w:val="TOC2"/>
            <w:tabs>
              <w:tab w:val="left" w:pos="660"/>
              <w:tab w:val="right" w:leader="dot" w:pos="9350"/>
            </w:tabs>
            <w:rPr>
              <w:rFonts w:eastAsiaTheme="minorEastAsia"/>
              <w:noProof/>
              <w:lang w:val="en-GB" w:eastAsia="en-GB"/>
            </w:rPr>
          </w:pPr>
          <w:hyperlink w:anchor="_Toc143892673" w:history="1">
            <w:r w:rsidRPr="009E74FB">
              <w:rPr>
                <w:rStyle w:val="Hyperlink"/>
                <w:noProof/>
                <w:lang w:val="en-GB"/>
              </w:rPr>
              <w:t>1.</w:t>
            </w:r>
            <w:r>
              <w:rPr>
                <w:rFonts w:eastAsiaTheme="minorEastAsia"/>
                <w:noProof/>
                <w:lang w:val="en-GB" w:eastAsia="en-GB"/>
              </w:rPr>
              <w:tab/>
            </w:r>
            <w:r w:rsidRPr="009E74FB">
              <w:rPr>
                <w:rStyle w:val="Hyperlink"/>
                <w:noProof/>
                <w:lang w:val="en-GB"/>
              </w:rPr>
              <w:t>Situational Analysis:</w:t>
            </w:r>
            <w:r>
              <w:rPr>
                <w:noProof/>
                <w:webHidden/>
              </w:rPr>
              <w:tab/>
            </w:r>
            <w:r>
              <w:rPr>
                <w:noProof/>
                <w:webHidden/>
              </w:rPr>
              <w:fldChar w:fldCharType="begin"/>
            </w:r>
            <w:r>
              <w:rPr>
                <w:noProof/>
                <w:webHidden/>
              </w:rPr>
              <w:instrText xml:space="preserve"> PAGEREF _Toc143892673 \h </w:instrText>
            </w:r>
            <w:r>
              <w:rPr>
                <w:noProof/>
                <w:webHidden/>
              </w:rPr>
            </w:r>
            <w:r>
              <w:rPr>
                <w:noProof/>
                <w:webHidden/>
              </w:rPr>
              <w:fldChar w:fldCharType="separate"/>
            </w:r>
            <w:r>
              <w:rPr>
                <w:noProof/>
                <w:webHidden/>
              </w:rPr>
              <w:t>2</w:t>
            </w:r>
            <w:r>
              <w:rPr>
                <w:noProof/>
                <w:webHidden/>
              </w:rPr>
              <w:fldChar w:fldCharType="end"/>
            </w:r>
          </w:hyperlink>
        </w:p>
        <w:p w14:paraId="180FABAF" w14:textId="17FF8B73" w:rsidR="00D622A3" w:rsidRDefault="00D622A3">
          <w:pPr>
            <w:pStyle w:val="TOC2"/>
            <w:tabs>
              <w:tab w:val="left" w:pos="660"/>
              <w:tab w:val="right" w:leader="dot" w:pos="9350"/>
            </w:tabs>
            <w:rPr>
              <w:rFonts w:eastAsiaTheme="minorEastAsia"/>
              <w:noProof/>
              <w:lang w:val="en-GB" w:eastAsia="en-GB"/>
            </w:rPr>
          </w:pPr>
          <w:hyperlink w:anchor="_Toc143892674" w:history="1">
            <w:r w:rsidRPr="009E74FB">
              <w:rPr>
                <w:rStyle w:val="Hyperlink"/>
                <w:noProof/>
                <w:lang w:val="en-GB"/>
              </w:rPr>
              <w:t>2.</w:t>
            </w:r>
            <w:r>
              <w:rPr>
                <w:rFonts w:eastAsiaTheme="minorEastAsia"/>
                <w:noProof/>
                <w:lang w:val="en-GB" w:eastAsia="en-GB"/>
              </w:rPr>
              <w:tab/>
            </w:r>
            <w:r w:rsidRPr="009E74FB">
              <w:rPr>
                <w:rStyle w:val="Hyperlink"/>
                <w:noProof/>
                <w:lang w:val="en-GB"/>
              </w:rPr>
              <w:t>Objectives:</w:t>
            </w:r>
            <w:r>
              <w:rPr>
                <w:noProof/>
                <w:webHidden/>
              </w:rPr>
              <w:tab/>
            </w:r>
            <w:r>
              <w:rPr>
                <w:noProof/>
                <w:webHidden/>
              </w:rPr>
              <w:fldChar w:fldCharType="begin"/>
            </w:r>
            <w:r>
              <w:rPr>
                <w:noProof/>
                <w:webHidden/>
              </w:rPr>
              <w:instrText xml:space="preserve"> PAGEREF _Toc143892674 \h </w:instrText>
            </w:r>
            <w:r>
              <w:rPr>
                <w:noProof/>
                <w:webHidden/>
              </w:rPr>
            </w:r>
            <w:r>
              <w:rPr>
                <w:noProof/>
                <w:webHidden/>
              </w:rPr>
              <w:fldChar w:fldCharType="separate"/>
            </w:r>
            <w:r>
              <w:rPr>
                <w:noProof/>
                <w:webHidden/>
              </w:rPr>
              <w:t>2</w:t>
            </w:r>
            <w:r>
              <w:rPr>
                <w:noProof/>
                <w:webHidden/>
              </w:rPr>
              <w:fldChar w:fldCharType="end"/>
            </w:r>
          </w:hyperlink>
        </w:p>
        <w:p w14:paraId="2C3A24A1" w14:textId="0BE54139" w:rsidR="00D622A3" w:rsidRDefault="00D622A3">
          <w:pPr>
            <w:pStyle w:val="TOC2"/>
            <w:tabs>
              <w:tab w:val="left" w:pos="660"/>
              <w:tab w:val="right" w:leader="dot" w:pos="9350"/>
            </w:tabs>
            <w:rPr>
              <w:rFonts w:eastAsiaTheme="minorEastAsia"/>
              <w:noProof/>
              <w:lang w:val="en-GB" w:eastAsia="en-GB"/>
            </w:rPr>
          </w:pPr>
          <w:hyperlink w:anchor="_Toc143892675" w:history="1">
            <w:r w:rsidRPr="009E74FB">
              <w:rPr>
                <w:rStyle w:val="Hyperlink"/>
                <w:noProof/>
                <w:lang w:val="en-GB"/>
              </w:rPr>
              <w:t>3.</w:t>
            </w:r>
            <w:r>
              <w:rPr>
                <w:rFonts w:eastAsiaTheme="minorEastAsia"/>
                <w:noProof/>
                <w:lang w:val="en-GB" w:eastAsia="en-GB"/>
              </w:rPr>
              <w:tab/>
            </w:r>
            <w:r w:rsidRPr="009E74FB">
              <w:rPr>
                <w:rStyle w:val="Hyperlink"/>
                <w:noProof/>
                <w:lang w:val="en-GB"/>
              </w:rPr>
              <w:t>Strategy:</w:t>
            </w:r>
            <w:r>
              <w:rPr>
                <w:noProof/>
                <w:webHidden/>
              </w:rPr>
              <w:tab/>
            </w:r>
            <w:r>
              <w:rPr>
                <w:noProof/>
                <w:webHidden/>
              </w:rPr>
              <w:fldChar w:fldCharType="begin"/>
            </w:r>
            <w:r>
              <w:rPr>
                <w:noProof/>
                <w:webHidden/>
              </w:rPr>
              <w:instrText xml:space="preserve"> PAGEREF _Toc143892675 \h </w:instrText>
            </w:r>
            <w:r>
              <w:rPr>
                <w:noProof/>
                <w:webHidden/>
              </w:rPr>
            </w:r>
            <w:r>
              <w:rPr>
                <w:noProof/>
                <w:webHidden/>
              </w:rPr>
              <w:fldChar w:fldCharType="separate"/>
            </w:r>
            <w:r>
              <w:rPr>
                <w:noProof/>
                <w:webHidden/>
              </w:rPr>
              <w:t>2</w:t>
            </w:r>
            <w:r>
              <w:rPr>
                <w:noProof/>
                <w:webHidden/>
              </w:rPr>
              <w:fldChar w:fldCharType="end"/>
            </w:r>
          </w:hyperlink>
        </w:p>
        <w:p w14:paraId="4D9BF5FA" w14:textId="6BD9A25E" w:rsidR="00D622A3" w:rsidRDefault="00D622A3">
          <w:pPr>
            <w:pStyle w:val="TOC2"/>
            <w:tabs>
              <w:tab w:val="left" w:pos="660"/>
              <w:tab w:val="right" w:leader="dot" w:pos="9350"/>
            </w:tabs>
            <w:rPr>
              <w:rFonts w:eastAsiaTheme="minorEastAsia"/>
              <w:noProof/>
              <w:lang w:val="en-GB" w:eastAsia="en-GB"/>
            </w:rPr>
          </w:pPr>
          <w:hyperlink w:anchor="_Toc143892676" w:history="1">
            <w:r w:rsidRPr="009E74FB">
              <w:rPr>
                <w:rStyle w:val="Hyperlink"/>
                <w:noProof/>
                <w:lang w:val="en-GB"/>
              </w:rPr>
              <w:t>4.</w:t>
            </w:r>
            <w:r>
              <w:rPr>
                <w:rFonts w:eastAsiaTheme="minorEastAsia"/>
                <w:noProof/>
                <w:lang w:val="en-GB" w:eastAsia="en-GB"/>
              </w:rPr>
              <w:tab/>
            </w:r>
            <w:r w:rsidRPr="009E74FB">
              <w:rPr>
                <w:rStyle w:val="Hyperlink"/>
                <w:noProof/>
                <w:lang w:val="en-GB"/>
              </w:rPr>
              <w:t>Implementation:</w:t>
            </w:r>
            <w:r>
              <w:rPr>
                <w:noProof/>
                <w:webHidden/>
              </w:rPr>
              <w:tab/>
            </w:r>
            <w:r>
              <w:rPr>
                <w:noProof/>
                <w:webHidden/>
              </w:rPr>
              <w:fldChar w:fldCharType="begin"/>
            </w:r>
            <w:r>
              <w:rPr>
                <w:noProof/>
                <w:webHidden/>
              </w:rPr>
              <w:instrText xml:space="preserve"> PAGEREF _Toc143892676 \h </w:instrText>
            </w:r>
            <w:r>
              <w:rPr>
                <w:noProof/>
                <w:webHidden/>
              </w:rPr>
            </w:r>
            <w:r>
              <w:rPr>
                <w:noProof/>
                <w:webHidden/>
              </w:rPr>
              <w:fldChar w:fldCharType="separate"/>
            </w:r>
            <w:r>
              <w:rPr>
                <w:noProof/>
                <w:webHidden/>
              </w:rPr>
              <w:t>2</w:t>
            </w:r>
            <w:r>
              <w:rPr>
                <w:noProof/>
                <w:webHidden/>
              </w:rPr>
              <w:fldChar w:fldCharType="end"/>
            </w:r>
          </w:hyperlink>
        </w:p>
        <w:p w14:paraId="73384837" w14:textId="07FD2C11" w:rsidR="00D622A3" w:rsidRDefault="00D622A3">
          <w:pPr>
            <w:pStyle w:val="TOC2"/>
            <w:tabs>
              <w:tab w:val="left" w:pos="660"/>
              <w:tab w:val="right" w:leader="dot" w:pos="9350"/>
            </w:tabs>
            <w:rPr>
              <w:rFonts w:eastAsiaTheme="minorEastAsia"/>
              <w:noProof/>
              <w:lang w:val="en-GB" w:eastAsia="en-GB"/>
            </w:rPr>
          </w:pPr>
          <w:hyperlink w:anchor="_Toc143892677" w:history="1">
            <w:r w:rsidRPr="009E74FB">
              <w:rPr>
                <w:rStyle w:val="Hyperlink"/>
                <w:noProof/>
                <w:lang w:val="en-GB"/>
              </w:rPr>
              <w:t>5.</w:t>
            </w:r>
            <w:r>
              <w:rPr>
                <w:rFonts w:eastAsiaTheme="minorEastAsia"/>
                <w:noProof/>
                <w:lang w:val="en-GB" w:eastAsia="en-GB"/>
              </w:rPr>
              <w:tab/>
            </w:r>
            <w:r w:rsidRPr="009E74FB">
              <w:rPr>
                <w:rStyle w:val="Hyperlink"/>
                <w:noProof/>
                <w:lang w:val="en-GB"/>
              </w:rPr>
              <w:t>Control:</w:t>
            </w:r>
            <w:r>
              <w:rPr>
                <w:noProof/>
                <w:webHidden/>
              </w:rPr>
              <w:tab/>
            </w:r>
            <w:r>
              <w:rPr>
                <w:noProof/>
                <w:webHidden/>
              </w:rPr>
              <w:fldChar w:fldCharType="begin"/>
            </w:r>
            <w:r>
              <w:rPr>
                <w:noProof/>
                <w:webHidden/>
              </w:rPr>
              <w:instrText xml:space="preserve"> PAGEREF _Toc143892677 \h </w:instrText>
            </w:r>
            <w:r>
              <w:rPr>
                <w:noProof/>
                <w:webHidden/>
              </w:rPr>
            </w:r>
            <w:r>
              <w:rPr>
                <w:noProof/>
                <w:webHidden/>
              </w:rPr>
              <w:fldChar w:fldCharType="separate"/>
            </w:r>
            <w:r>
              <w:rPr>
                <w:noProof/>
                <w:webHidden/>
              </w:rPr>
              <w:t>3</w:t>
            </w:r>
            <w:r>
              <w:rPr>
                <w:noProof/>
                <w:webHidden/>
              </w:rPr>
              <w:fldChar w:fldCharType="end"/>
            </w:r>
          </w:hyperlink>
        </w:p>
        <w:p w14:paraId="5137625C" w14:textId="7B28C2F5" w:rsidR="00D622A3" w:rsidRDefault="00D622A3">
          <w:pPr>
            <w:pStyle w:val="TOC2"/>
            <w:tabs>
              <w:tab w:val="right" w:leader="dot" w:pos="9350"/>
            </w:tabs>
            <w:rPr>
              <w:rFonts w:eastAsiaTheme="minorEastAsia"/>
              <w:noProof/>
              <w:lang w:val="en-GB" w:eastAsia="en-GB"/>
            </w:rPr>
          </w:pPr>
          <w:hyperlink w:anchor="_Toc143892678" w:history="1">
            <w:r w:rsidRPr="009E74FB">
              <w:rPr>
                <w:rStyle w:val="Hyperlink"/>
                <w:noProof/>
                <w:lang w:val="en-GB"/>
              </w:rPr>
              <w:t>PESTLE Analysis</w:t>
            </w:r>
            <w:r>
              <w:rPr>
                <w:noProof/>
                <w:webHidden/>
              </w:rPr>
              <w:tab/>
            </w:r>
            <w:r>
              <w:rPr>
                <w:noProof/>
                <w:webHidden/>
              </w:rPr>
              <w:fldChar w:fldCharType="begin"/>
            </w:r>
            <w:r>
              <w:rPr>
                <w:noProof/>
                <w:webHidden/>
              </w:rPr>
              <w:instrText xml:space="preserve"> PAGEREF _Toc143892678 \h </w:instrText>
            </w:r>
            <w:r>
              <w:rPr>
                <w:noProof/>
                <w:webHidden/>
              </w:rPr>
            </w:r>
            <w:r>
              <w:rPr>
                <w:noProof/>
                <w:webHidden/>
              </w:rPr>
              <w:fldChar w:fldCharType="separate"/>
            </w:r>
            <w:r>
              <w:rPr>
                <w:noProof/>
                <w:webHidden/>
              </w:rPr>
              <w:t>3</w:t>
            </w:r>
            <w:r>
              <w:rPr>
                <w:noProof/>
                <w:webHidden/>
              </w:rPr>
              <w:fldChar w:fldCharType="end"/>
            </w:r>
          </w:hyperlink>
        </w:p>
        <w:p w14:paraId="54C55157" w14:textId="6E782405" w:rsidR="00D622A3" w:rsidRDefault="00D622A3">
          <w:pPr>
            <w:pStyle w:val="TOC2"/>
            <w:tabs>
              <w:tab w:val="left" w:pos="660"/>
              <w:tab w:val="right" w:leader="dot" w:pos="9350"/>
            </w:tabs>
            <w:rPr>
              <w:rFonts w:eastAsiaTheme="minorEastAsia"/>
              <w:noProof/>
              <w:lang w:val="en-GB" w:eastAsia="en-GB"/>
            </w:rPr>
          </w:pPr>
          <w:hyperlink w:anchor="_Toc143892679"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Political:</w:t>
            </w:r>
            <w:r>
              <w:rPr>
                <w:noProof/>
                <w:webHidden/>
              </w:rPr>
              <w:tab/>
            </w:r>
            <w:r>
              <w:rPr>
                <w:noProof/>
                <w:webHidden/>
              </w:rPr>
              <w:fldChar w:fldCharType="begin"/>
            </w:r>
            <w:r>
              <w:rPr>
                <w:noProof/>
                <w:webHidden/>
              </w:rPr>
              <w:instrText xml:space="preserve"> PAGEREF _Toc143892679 \h </w:instrText>
            </w:r>
            <w:r>
              <w:rPr>
                <w:noProof/>
                <w:webHidden/>
              </w:rPr>
            </w:r>
            <w:r>
              <w:rPr>
                <w:noProof/>
                <w:webHidden/>
              </w:rPr>
              <w:fldChar w:fldCharType="separate"/>
            </w:r>
            <w:r>
              <w:rPr>
                <w:noProof/>
                <w:webHidden/>
              </w:rPr>
              <w:t>3</w:t>
            </w:r>
            <w:r>
              <w:rPr>
                <w:noProof/>
                <w:webHidden/>
              </w:rPr>
              <w:fldChar w:fldCharType="end"/>
            </w:r>
          </w:hyperlink>
        </w:p>
        <w:p w14:paraId="30CE625B" w14:textId="06A723A4" w:rsidR="00D622A3" w:rsidRDefault="00D622A3">
          <w:pPr>
            <w:pStyle w:val="TOC2"/>
            <w:tabs>
              <w:tab w:val="left" w:pos="660"/>
              <w:tab w:val="right" w:leader="dot" w:pos="9350"/>
            </w:tabs>
            <w:rPr>
              <w:rFonts w:eastAsiaTheme="minorEastAsia"/>
              <w:noProof/>
              <w:lang w:val="en-GB" w:eastAsia="en-GB"/>
            </w:rPr>
          </w:pPr>
          <w:hyperlink w:anchor="_Toc143892680"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Economic</w:t>
            </w:r>
            <w:r>
              <w:rPr>
                <w:noProof/>
                <w:webHidden/>
              </w:rPr>
              <w:tab/>
            </w:r>
            <w:r>
              <w:rPr>
                <w:noProof/>
                <w:webHidden/>
              </w:rPr>
              <w:fldChar w:fldCharType="begin"/>
            </w:r>
            <w:r>
              <w:rPr>
                <w:noProof/>
                <w:webHidden/>
              </w:rPr>
              <w:instrText xml:space="preserve"> PAGEREF _Toc143892680 \h </w:instrText>
            </w:r>
            <w:r>
              <w:rPr>
                <w:noProof/>
                <w:webHidden/>
              </w:rPr>
            </w:r>
            <w:r>
              <w:rPr>
                <w:noProof/>
                <w:webHidden/>
              </w:rPr>
              <w:fldChar w:fldCharType="separate"/>
            </w:r>
            <w:r>
              <w:rPr>
                <w:noProof/>
                <w:webHidden/>
              </w:rPr>
              <w:t>3</w:t>
            </w:r>
            <w:r>
              <w:rPr>
                <w:noProof/>
                <w:webHidden/>
              </w:rPr>
              <w:fldChar w:fldCharType="end"/>
            </w:r>
          </w:hyperlink>
        </w:p>
        <w:p w14:paraId="789FF82D" w14:textId="54EC0CB0" w:rsidR="00D622A3" w:rsidRDefault="00D622A3">
          <w:pPr>
            <w:pStyle w:val="TOC2"/>
            <w:tabs>
              <w:tab w:val="left" w:pos="660"/>
              <w:tab w:val="right" w:leader="dot" w:pos="9350"/>
            </w:tabs>
            <w:rPr>
              <w:rFonts w:eastAsiaTheme="minorEastAsia"/>
              <w:noProof/>
              <w:lang w:val="en-GB" w:eastAsia="en-GB"/>
            </w:rPr>
          </w:pPr>
          <w:hyperlink w:anchor="_Toc143892681"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Social/Cultural:</w:t>
            </w:r>
            <w:r>
              <w:rPr>
                <w:noProof/>
                <w:webHidden/>
              </w:rPr>
              <w:tab/>
            </w:r>
            <w:r>
              <w:rPr>
                <w:noProof/>
                <w:webHidden/>
              </w:rPr>
              <w:fldChar w:fldCharType="begin"/>
            </w:r>
            <w:r>
              <w:rPr>
                <w:noProof/>
                <w:webHidden/>
              </w:rPr>
              <w:instrText xml:space="preserve"> PAGEREF _Toc143892681 \h </w:instrText>
            </w:r>
            <w:r>
              <w:rPr>
                <w:noProof/>
                <w:webHidden/>
              </w:rPr>
            </w:r>
            <w:r>
              <w:rPr>
                <w:noProof/>
                <w:webHidden/>
              </w:rPr>
              <w:fldChar w:fldCharType="separate"/>
            </w:r>
            <w:r>
              <w:rPr>
                <w:noProof/>
                <w:webHidden/>
              </w:rPr>
              <w:t>3</w:t>
            </w:r>
            <w:r>
              <w:rPr>
                <w:noProof/>
                <w:webHidden/>
              </w:rPr>
              <w:fldChar w:fldCharType="end"/>
            </w:r>
          </w:hyperlink>
        </w:p>
        <w:p w14:paraId="2C00BC40" w14:textId="4F02D835" w:rsidR="00D622A3" w:rsidRDefault="00D622A3">
          <w:pPr>
            <w:pStyle w:val="TOC2"/>
            <w:tabs>
              <w:tab w:val="left" w:pos="660"/>
              <w:tab w:val="right" w:leader="dot" w:pos="9350"/>
            </w:tabs>
            <w:rPr>
              <w:rFonts w:eastAsiaTheme="minorEastAsia"/>
              <w:noProof/>
              <w:lang w:val="en-GB" w:eastAsia="en-GB"/>
            </w:rPr>
          </w:pPr>
          <w:hyperlink w:anchor="_Toc143892682"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Technological:</w:t>
            </w:r>
            <w:r>
              <w:rPr>
                <w:noProof/>
                <w:webHidden/>
              </w:rPr>
              <w:tab/>
            </w:r>
            <w:r>
              <w:rPr>
                <w:noProof/>
                <w:webHidden/>
              </w:rPr>
              <w:fldChar w:fldCharType="begin"/>
            </w:r>
            <w:r>
              <w:rPr>
                <w:noProof/>
                <w:webHidden/>
              </w:rPr>
              <w:instrText xml:space="preserve"> PAGEREF _Toc143892682 \h </w:instrText>
            </w:r>
            <w:r>
              <w:rPr>
                <w:noProof/>
                <w:webHidden/>
              </w:rPr>
            </w:r>
            <w:r>
              <w:rPr>
                <w:noProof/>
                <w:webHidden/>
              </w:rPr>
              <w:fldChar w:fldCharType="separate"/>
            </w:r>
            <w:r>
              <w:rPr>
                <w:noProof/>
                <w:webHidden/>
              </w:rPr>
              <w:t>3</w:t>
            </w:r>
            <w:r>
              <w:rPr>
                <w:noProof/>
                <w:webHidden/>
              </w:rPr>
              <w:fldChar w:fldCharType="end"/>
            </w:r>
          </w:hyperlink>
        </w:p>
        <w:p w14:paraId="3342BE4A" w14:textId="47ECF892" w:rsidR="00D622A3" w:rsidRDefault="00D622A3">
          <w:pPr>
            <w:pStyle w:val="TOC2"/>
            <w:tabs>
              <w:tab w:val="left" w:pos="660"/>
              <w:tab w:val="right" w:leader="dot" w:pos="9350"/>
            </w:tabs>
            <w:rPr>
              <w:rFonts w:eastAsiaTheme="minorEastAsia"/>
              <w:noProof/>
              <w:lang w:val="en-GB" w:eastAsia="en-GB"/>
            </w:rPr>
          </w:pPr>
          <w:hyperlink w:anchor="_Toc143892683"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Legal:</w:t>
            </w:r>
            <w:r>
              <w:rPr>
                <w:noProof/>
                <w:webHidden/>
              </w:rPr>
              <w:tab/>
            </w:r>
            <w:r>
              <w:rPr>
                <w:noProof/>
                <w:webHidden/>
              </w:rPr>
              <w:fldChar w:fldCharType="begin"/>
            </w:r>
            <w:r>
              <w:rPr>
                <w:noProof/>
                <w:webHidden/>
              </w:rPr>
              <w:instrText xml:space="preserve"> PAGEREF _Toc143892683 \h </w:instrText>
            </w:r>
            <w:r>
              <w:rPr>
                <w:noProof/>
                <w:webHidden/>
              </w:rPr>
            </w:r>
            <w:r>
              <w:rPr>
                <w:noProof/>
                <w:webHidden/>
              </w:rPr>
              <w:fldChar w:fldCharType="separate"/>
            </w:r>
            <w:r>
              <w:rPr>
                <w:noProof/>
                <w:webHidden/>
              </w:rPr>
              <w:t>3</w:t>
            </w:r>
            <w:r>
              <w:rPr>
                <w:noProof/>
                <w:webHidden/>
              </w:rPr>
              <w:fldChar w:fldCharType="end"/>
            </w:r>
          </w:hyperlink>
        </w:p>
        <w:p w14:paraId="228AEAF6" w14:textId="13ECCCCB" w:rsidR="00D622A3" w:rsidRDefault="00D622A3">
          <w:pPr>
            <w:pStyle w:val="TOC2"/>
            <w:tabs>
              <w:tab w:val="left" w:pos="660"/>
              <w:tab w:val="right" w:leader="dot" w:pos="9350"/>
            </w:tabs>
            <w:rPr>
              <w:rFonts w:eastAsiaTheme="minorEastAsia"/>
              <w:noProof/>
              <w:lang w:val="en-GB" w:eastAsia="en-GB"/>
            </w:rPr>
          </w:pPr>
          <w:hyperlink w:anchor="_Toc143892684"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Environmental:</w:t>
            </w:r>
            <w:r>
              <w:rPr>
                <w:noProof/>
                <w:webHidden/>
              </w:rPr>
              <w:tab/>
            </w:r>
            <w:r>
              <w:rPr>
                <w:noProof/>
                <w:webHidden/>
              </w:rPr>
              <w:fldChar w:fldCharType="begin"/>
            </w:r>
            <w:r>
              <w:rPr>
                <w:noProof/>
                <w:webHidden/>
              </w:rPr>
              <w:instrText xml:space="preserve"> PAGEREF _Toc143892684 \h </w:instrText>
            </w:r>
            <w:r>
              <w:rPr>
                <w:noProof/>
                <w:webHidden/>
              </w:rPr>
            </w:r>
            <w:r>
              <w:rPr>
                <w:noProof/>
                <w:webHidden/>
              </w:rPr>
              <w:fldChar w:fldCharType="separate"/>
            </w:r>
            <w:r>
              <w:rPr>
                <w:noProof/>
                <w:webHidden/>
              </w:rPr>
              <w:t>3</w:t>
            </w:r>
            <w:r>
              <w:rPr>
                <w:noProof/>
                <w:webHidden/>
              </w:rPr>
              <w:fldChar w:fldCharType="end"/>
            </w:r>
          </w:hyperlink>
        </w:p>
        <w:p w14:paraId="46649D2F" w14:textId="44D80DE8" w:rsidR="00D622A3" w:rsidRDefault="00D622A3">
          <w:pPr>
            <w:pStyle w:val="TOC2"/>
            <w:tabs>
              <w:tab w:val="right" w:leader="dot" w:pos="9350"/>
            </w:tabs>
            <w:rPr>
              <w:rFonts w:eastAsiaTheme="minorEastAsia"/>
              <w:noProof/>
              <w:lang w:val="en-GB" w:eastAsia="en-GB"/>
            </w:rPr>
          </w:pPr>
          <w:hyperlink w:anchor="_Toc143892685" w:history="1">
            <w:r w:rsidRPr="009E74FB">
              <w:rPr>
                <w:rStyle w:val="Hyperlink"/>
                <w:noProof/>
                <w:lang w:val="en-GB"/>
              </w:rPr>
              <w:t>Porter's Five Forces</w:t>
            </w:r>
            <w:r>
              <w:rPr>
                <w:noProof/>
                <w:webHidden/>
              </w:rPr>
              <w:tab/>
            </w:r>
            <w:r>
              <w:rPr>
                <w:noProof/>
                <w:webHidden/>
              </w:rPr>
              <w:fldChar w:fldCharType="begin"/>
            </w:r>
            <w:r>
              <w:rPr>
                <w:noProof/>
                <w:webHidden/>
              </w:rPr>
              <w:instrText xml:space="preserve"> PAGEREF _Toc143892685 \h </w:instrText>
            </w:r>
            <w:r>
              <w:rPr>
                <w:noProof/>
                <w:webHidden/>
              </w:rPr>
            </w:r>
            <w:r>
              <w:rPr>
                <w:noProof/>
                <w:webHidden/>
              </w:rPr>
              <w:fldChar w:fldCharType="separate"/>
            </w:r>
            <w:r>
              <w:rPr>
                <w:noProof/>
                <w:webHidden/>
              </w:rPr>
              <w:t>3</w:t>
            </w:r>
            <w:r>
              <w:rPr>
                <w:noProof/>
                <w:webHidden/>
              </w:rPr>
              <w:fldChar w:fldCharType="end"/>
            </w:r>
          </w:hyperlink>
        </w:p>
        <w:p w14:paraId="1CEEE84C" w14:textId="354BCF05" w:rsidR="00D622A3" w:rsidRDefault="00D622A3">
          <w:pPr>
            <w:pStyle w:val="TOC2"/>
            <w:tabs>
              <w:tab w:val="left" w:pos="660"/>
              <w:tab w:val="right" w:leader="dot" w:pos="9350"/>
            </w:tabs>
            <w:rPr>
              <w:rFonts w:eastAsiaTheme="minorEastAsia"/>
              <w:noProof/>
              <w:lang w:val="en-GB" w:eastAsia="en-GB"/>
            </w:rPr>
          </w:pPr>
          <w:hyperlink w:anchor="_Toc143892686"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Threat of New Entrants:</w:t>
            </w:r>
            <w:r>
              <w:rPr>
                <w:noProof/>
                <w:webHidden/>
              </w:rPr>
              <w:tab/>
            </w:r>
            <w:r>
              <w:rPr>
                <w:noProof/>
                <w:webHidden/>
              </w:rPr>
              <w:fldChar w:fldCharType="begin"/>
            </w:r>
            <w:r>
              <w:rPr>
                <w:noProof/>
                <w:webHidden/>
              </w:rPr>
              <w:instrText xml:space="preserve"> PAGEREF _Toc143892686 \h </w:instrText>
            </w:r>
            <w:r>
              <w:rPr>
                <w:noProof/>
                <w:webHidden/>
              </w:rPr>
            </w:r>
            <w:r>
              <w:rPr>
                <w:noProof/>
                <w:webHidden/>
              </w:rPr>
              <w:fldChar w:fldCharType="separate"/>
            </w:r>
            <w:r>
              <w:rPr>
                <w:noProof/>
                <w:webHidden/>
              </w:rPr>
              <w:t>3</w:t>
            </w:r>
            <w:r>
              <w:rPr>
                <w:noProof/>
                <w:webHidden/>
              </w:rPr>
              <w:fldChar w:fldCharType="end"/>
            </w:r>
          </w:hyperlink>
        </w:p>
        <w:p w14:paraId="14526562" w14:textId="46626EB6" w:rsidR="00D622A3" w:rsidRDefault="00D622A3">
          <w:pPr>
            <w:pStyle w:val="TOC2"/>
            <w:tabs>
              <w:tab w:val="left" w:pos="660"/>
              <w:tab w:val="right" w:leader="dot" w:pos="9350"/>
            </w:tabs>
            <w:rPr>
              <w:rFonts w:eastAsiaTheme="minorEastAsia"/>
              <w:noProof/>
              <w:lang w:val="en-GB" w:eastAsia="en-GB"/>
            </w:rPr>
          </w:pPr>
          <w:hyperlink w:anchor="_Toc143892687"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Bargaining Power of Suppliers:</w:t>
            </w:r>
            <w:r>
              <w:rPr>
                <w:noProof/>
                <w:webHidden/>
              </w:rPr>
              <w:tab/>
            </w:r>
            <w:r>
              <w:rPr>
                <w:noProof/>
                <w:webHidden/>
              </w:rPr>
              <w:fldChar w:fldCharType="begin"/>
            </w:r>
            <w:r>
              <w:rPr>
                <w:noProof/>
                <w:webHidden/>
              </w:rPr>
              <w:instrText xml:space="preserve"> PAGEREF _Toc143892687 \h </w:instrText>
            </w:r>
            <w:r>
              <w:rPr>
                <w:noProof/>
                <w:webHidden/>
              </w:rPr>
            </w:r>
            <w:r>
              <w:rPr>
                <w:noProof/>
                <w:webHidden/>
              </w:rPr>
              <w:fldChar w:fldCharType="separate"/>
            </w:r>
            <w:r>
              <w:rPr>
                <w:noProof/>
                <w:webHidden/>
              </w:rPr>
              <w:t>3</w:t>
            </w:r>
            <w:r>
              <w:rPr>
                <w:noProof/>
                <w:webHidden/>
              </w:rPr>
              <w:fldChar w:fldCharType="end"/>
            </w:r>
          </w:hyperlink>
        </w:p>
        <w:p w14:paraId="380815CD" w14:textId="740EEFE0" w:rsidR="00D622A3" w:rsidRDefault="00D622A3">
          <w:pPr>
            <w:pStyle w:val="TOC2"/>
            <w:tabs>
              <w:tab w:val="left" w:pos="660"/>
              <w:tab w:val="right" w:leader="dot" w:pos="9350"/>
            </w:tabs>
            <w:rPr>
              <w:rFonts w:eastAsiaTheme="minorEastAsia"/>
              <w:noProof/>
              <w:lang w:val="en-GB" w:eastAsia="en-GB"/>
            </w:rPr>
          </w:pPr>
          <w:hyperlink w:anchor="_Toc143892688"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Bargaining Power of Buyers:</w:t>
            </w:r>
            <w:r>
              <w:rPr>
                <w:noProof/>
                <w:webHidden/>
              </w:rPr>
              <w:tab/>
            </w:r>
            <w:r>
              <w:rPr>
                <w:noProof/>
                <w:webHidden/>
              </w:rPr>
              <w:fldChar w:fldCharType="begin"/>
            </w:r>
            <w:r>
              <w:rPr>
                <w:noProof/>
                <w:webHidden/>
              </w:rPr>
              <w:instrText xml:space="preserve"> PAGEREF _Toc143892688 \h </w:instrText>
            </w:r>
            <w:r>
              <w:rPr>
                <w:noProof/>
                <w:webHidden/>
              </w:rPr>
            </w:r>
            <w:r>
              <w:rPr>
                <w:noProof/>
                <w:webHidden/>
              </w:rPr>
              <w:fldChar w:fldCharType="separate"/>
            </w:r>
            <w:r>
              <w:rPr>
                <w:noProof/>
                <w:webHidden/>
              </w:rPr>
              <w:t>3</w:t>
            </w:r>
            <w:r>
              <w:rPr>
                <w:noProof/>
                <w:webHidden/>
              </w:rPr>
              <w:fldChar w:fldCharType="end"/>
            </w:r>
          </w:hyperlink>
        </w:p>
        <w:p w14:paraId="293931F7" w14:textId="1D9EB6F7" w:rsidR="00D622A3" w:rsidRDefault="00D622A3">
          <w:pPr>
            <w:pStyle w:val="TOC2"/>
            <w:tabs>
              <w:tab w:val="left" w:pos="660"/>
              <w:tab w:val="right" w:leader="dot" w:pos="9350"/>
            </w:tabs>
            <w:rPr>
              <w:rFonts w:eastAsiaTheme="minorEastAsia"/>
              <w:noProof/>
              <w:lang w:val="en-GB" w:eastAsia="en-GB"/>
            </w:rPr>
          </w:pPr>
          <w:hyperlink w:anchor="_Toc143892689"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Threat of Substitute Products:</w:t>
            </w:r>
            <w:r>
              <w:rPr>
                <w:noProof/>
                <w:webHidden/>
              </w:rPr>
              <w:tab/>
            </w:r>
            <w:r>
              <w:rPr>
                <w:noProof/>
                <w:webHidden/>
              </w:rPr>
              <w:fldChar w:fldCharType="begin"/>
            </w:r>
            <w:r>
              <w:rPr>
                <w:noProof/>
                <w:webHidden/>
              </w:rPr>
              <w:instrText xml:space="preserve"> PAGEREF _Toc143892689 \h </w:instrText>
            </w:r>
            <w:r>
              <w:rPr>
                <w:noProof/>
                <w:webHidden/>
              </w:rPr>
            </w:r>
            <w:r>
              <w:rPr>
                <w:noProof/>
                <w:webHidden/>
              </w:rPr>
              <w:fldChar w:fldCharType="separate"/>
            </w:r>
            <w:r>
              <w:rPr>
                <w:noProof/>
                <w:webHidden/>
              </w:rPr>
              <w:t>3</w:t>
            </w:r>
            <w:r>
              <w:rPr>
                <w:noProof/>
                <w:webHidden/>
              </w:rPr>
              <w:fldChar w:fldCharType="end"/>
            </w:r>
          </w:hyperlink>
        </w:p>
        <w:p w14:paraId="123E9811" w14:textId="724BF50F" w:rsidR="00D622A3" w:rsidRDefault="00D622A3">
          <w:pPr>
            <w:pStyle w:val="TOC2"/>
            <w:tabs>
              <w:tab w:val="left" w:pos="660"/>
              <w:tab w:val="right" w:leader="dot" w:pos="9350"/>
            </w:tabs>
            <w:rPr>
              <w:rFonts w:eastAsiaTheme="minorEastAsia"/>
              <w:noProof/>
              <w:lang w:val="en-GB" w:eastAsia="en-GB"/>
            </w:rPr>
          </w:pPr>
          <w:hyperlink w:anchor="_Toc143892690" w:history="1">
            <w:r w:rsidRPr="009E74FB">
              <w:rPr>
                <w:rStyle w:val="Hyperlink"/>
                <w:rFonts w:ascii="Symbol" w:hAnsi="Symbol"/>
                <w:noProof/>
                <w:lang w:val="en-GB"/>
              </w:rPr>
              <w:t></w:t>
            </w:r>
            <w:r>
              <w:rPr>
                <w:rFonts w:eastAsiaTheme="minorEastAsia"/>
                <w:noProof/>
                <w:lang w:val="en-GB" w:eastAsia="en-GB"/>
              </w:rPr>
              <w:tab/>
            </w:r>
            <w:r w:rsidRPr="009E74FB">
              <w:rPr>
                <w:rStyle w:val="Hyperlink"/>
                <w:noProof/>
                <w:lang w:val="en-GB"/>
              </w:rPr>
              <w:t>Intensity of Competitive Rivalry:</w:t>
            </w:r>
            <w:r>
              <w:rPr>
                <w:noProof/>
                <w:webHidden/>
              </w:rPr>
              <w:tab/>
            </w:r>
            <w:r>
              <w:rPr>
                <w:noProof/>
                <w:webHidden/>
              </w:rPr>
              <w:fldChar w:fldCharType="begin"/>
            </w:r>
            <w:r>
              <w:rPr>
                <w:noProof/>
                <w:webHidden/>
              </w:rPr>
              <w:instrText xml:space="preserve"> PAGEREF _Toc143892690 \h </w:instrText>
            </w:r>
            <w:r>
              <w:rPr>
                <w:noProof/>
                <w:webHidden/>
              </w:rPr>
            </w:r>
            <w:r>
              <w:rPr>
                <w:noProof/>
                <w:webHidden/>
              </w:rPr>
              <w:fldChar w:fldCharType="separate"/>
            </w:r>
            <w:r>
              <w:rPr>
                <w:noProof/>
                <w:webHidden/>
              </w:rPr>
              <w:t>3</w:t>
            </w:r>
            <w:r>
              <w:rPr>
                <w:noProof/>
                <w:webHidden/>
              </w:rPr>
              <w:fldChar w:fldCharType="end"/>
            </w:r>
          </w:hyperlink>
        </w:p>
        <w:p w14:paraId="065C74A9" w14:textId="72A3382E" w:rsidR="00D622A3" w:rsidRDefault="00D622A3">
          <w:pPr>
            <w:pStyle w:val="TOC2"/>
            <w:tabs>
              <w:tab w:val="right" w:leader="dot" w:pos="9350"/>
            </w:tabs>
            <w:rPr>
              <w:rFonts w:eastAsiaTheme="minorEastAsia"/>
              <w:noProof/>
              <w:lang w:val="en-GB" w:eastAsia="en-GB"/>
            </w:rPr>
          </w:pPr>
          <w:hyperlink w:anchor="_Toc143892691" w:history="1">
            <w:r w:rsidRPr="009E74FB">
              <w:rPr>
                <w:rStyle w:val="Hyperlink"/>
                <w:noProof/>
                <w:lang w:val="en-GB"/>
              </w:rPr>
              <w:t>Advantages and Disadvantages</w:t>
            </w:r>
            <w:r>
              <w:rPr>
                <w:noProof/>
                <w:webHidden/>
              </w:rPr>
              <w:tab/>
            </w:r>
            <w:r>
              <w:rPr>
                <w:noProof/>
                <w:webHidden/>
              </w:rPr>
              <w:fldChar w:fldCharType="begin"/>
            </w:r>
            <w:r>
              <w:rPr>
                <w:noProof/>
                <w:webHidden/>
              </w:rPr>
              <w:instrText xml:space="preserve"> PAGEREF _Toc143892691 \h </w:instrText>
            </w:r>
            <w:r>
              <w:rPr>
                <w:noProof/>
                <w:webHidden/>
              </w:rPr>
            </w:r>
            <w:r>
              <w:rPr>
                <w:noProof/>
                <w:webHidden/>
              </w:rPr>
              <w:fldChar w:fldCharType="separate"/>
            </w:r>
            <w:r>
              <w:rPr>
                <w:noProof/>
                <w:webHidden/>
              </w:rPr>
              <w:t>4</w:t>
            </w:r>
            <w:r>
              <w:rPr>
                <w:noProof/>
                <w:webHidden/>
              </w:rPr>
              <w:fldChar w:fldCharType="end"/>
            </w:r>
          </w:hyperlink>
        </w:p>
        <w:p w14:paraId="23F41884" w14:textId="3B6F1783" w:rsidR="00D622A3" w:rsidRDefault="00D622A3">
          <w:pPr>
            <w:pStyle w:val="TOC2"/>
            <w:tabs>
              <w:tab w:val="right" w:leader="dot" w:pos="9350"/>
            </w:tabs>
            <w:rPr>
              <w:rFonts w:eastAsiaTheme="minorEastAsia"/>
              <w:noProof/>
              <w:lang w:val="en-GB" w:eastAsia="en-GB"/>
            </w:rPr>
          </w:pPr>
          <w:hyperlink w:anchor="_Toc143892692" w:history="1">
            <w:r w:rsidRPr="009E74FB">
              <w:rPr>
                <w:rStyle w:val="Hyperlink"/>
                <w:noProof/>
                <w:lang w:val="en-GB"/>
              </w:rPr>
              <w:t>Disadvantages:</w:t>
            </w:r>
            <w:r>
              <w:rPr>
                <w:noProof/>
                <w:webHidden/>
              </w:rPr>
              <w:tab/>
            </w:r>
            <w:r>
              <w:rPr>
                <w:noProof/>
                <w:webHidden/>
              </w:rPr>
              <w:fldChar w:fldCharType="begin"/>
            </w:r>
            <w:r>
              <w:rPr>
                <w:noProof/>
                <w:webHidden/>
              </w:rPr>
              <w:instrText xml:space="preserve"> PAGEREF _Toc143892692 \h </w:instrText>
            </w:r>
            <w:r>
              <w:rPr>
                <w:noProof/>
                <w:webHidden/>
              </w:rPr>
            </w:r>
            <w:r>
              <w:rPr>
                <w:noProof/>
                <w:webHidden/>
              </w:rPr>
              <w:fldChar w:fldCharType="separate"/>
            </w:r>
            <w:r>
              <w:rPr>
                <w:noProof/>
                <w:webHidden/>
              </w:rPr>
              <w:t>4</w:t>
            </w:r>
            <w:r>
              <w:rPr>
                <w:noProof/>
                <w:webHidden/>
              </w:rPr>
              <w:fldChar w:fldCharType="end"/>
            </w:r>
          </w:hyperlink>
        </w:p>
        <w:p w14:paraId="665D3E5E" w14:textId="4C8AEAE1" w:rsidR="00D622A3" w:rsidRDefault="00D622A3">
          <w:pPr>
            <w:pStyle w:val="TOC2"/>
            <w:tabs>
              <w:tab w:val="right" w:leader="dot" w:pos="9350"/>
            </w:tabs>
            <w:rPr>
              <w:rFonts w:eastAsiaTheme="minorEastAsia"/>
              <w:noProof/>
              <w:lang w:val="en-GB" w:eastAsia="en-GB"/>
            </w:rPr>
          </w:pPr>
          <w:hyperlink w:anchor="_Toc143892693" w:history="1">
            <w:r w:rsidRPr="009E74FB">
              <w:rPr>
                <w:rStyle w:val="Hyperlink"/>
                <w:noProof/>
                <w:lang w:val="en-GB"/>
              </w:rPr>
              <w:t>Recommendations</w:t>
            </w:r>
            <w:r>
              <w:rPr>
                <w:noProof/>
                <w:webHidden/>
              </w:rPr>
              <w:tab/>
            </w:r>
            <w:r>
              <w:rPr>
                <w:noProof/>
                <w:webHidden/>
              </w:rPr>
              <w:fldChar w:fldCharType="begin"/>
            </w:r>
            <w:r>
              <w:rPr>
                <w:noProof/>
                <w:webHidden/>
              </w:rPr>
              <w:instrText xml:space="preserve"> PAGEREF _Toc143892693 \h </w:instrText>
            </w:r>
            <w:r>
              <w:rPr>
                <w:noProof/>
                <w:webHidden/>
              </w:rPr>
            </w:r>
            <w:r>
              <w:rPr>
                <w:noProof/>
                <w:webHidden/>
              </w:rPr>
              <w:fldChar w:fldCharType="separate"/>
            </w:r>
            <w:r>
              <w:rPr>
                <w:noProof/>
                <w:webHidden/>
              </w:rPr>
              <w:t>4</w:t>
            </w:r>
            <w:r>
              <w:rPr>
                <w:noProof/>
                <w:webHidden/>
              </w:rPr>
              <w:fldChar w:fldCharType="end"/>
            </w:r>
          </w:hyperlink>
        </w:p>
        <w:p w14:paraId="222E81C1" w14:textId="6D62553E" w:rsidR="00D622A3" w:rsidRDefault="00D622A3">
          <w:pPr>
            <w:pStyle w:val="TOC2"/>
            <w:tabs>
              <w:tab w:val="left" w:pos="660"/>
              <w:tab w:val="right" w:leader="dot" w:pos="9350"/>
            </w:tabs>
            <w:rPr>
              <w:rFonts w:eastAsiaTheme="minorEastAsia"/>
              <w:noProof/>
              <w:lang w:val="en-GB" w:eastAsia="en-GB"/>
            </w:rPr>
          </w:pPr>
          <w:hyperlink w:anchor="_Toc143892694" w:history="1">
            <w:r w:rsidRPr="009E74FB">
              <w:rPr>
                <w:rStyle w:val="Hyperlink"/>
                <w:noProof/>
                <w:lang w:val="en-GB"/>
              </w:rPr>
              <w:t>1.</w:t>
            </w:r>
            <w:r>
              <w:rPr>
                <w:rFonts w:eastAsiaTheme="minorEastAsia"/>
                <w:noProof/>
                <w:lang w:val="en-GB" w:eastAsia="en-GB"/>
              </w:rPr>
              <w:tab/>
            </w:r>
            <w:r w:rsidRPr="009E74FB">
              <w:rPr>
                <w:rStyle w:val="Hyperlink"/>
                <w:noProof/>
                <w:lang w:val="en-GB"/>
              </w:rPr>
              <w:t>Expand into Emerging Markets</w:t>
            </w:r>
            <w:r>
              <w:rPr>
                <w:noProof/>
                <w:webHidden/>
              </w:rPr>
              <w:tab/>
            </w:r>
            <w:r>
              <w:rPr>
                <w:noProof/>
                <w:webHidden/>
              </w:rPr>
              <w:fldChar w:fldCharType="begin"/>
            </w:r>
            <w:r>
              <w:rPr>
                <w:noProof/>
                <w:webHidden/>
              </w:rPr>
              <w:instrText xml:space="preserve"> PAGEREF _Toc143892694 \h </w:instrText>
            </w:r>
            <w:r>
              <w:rPr>
                <w:noProof/>
                <w:webHidden/>
              </w:rPr>
            </w:r>
            <w:r>
              <w:rPr>
                <w:noProof/>
                <w:webHidden/>
              </w:rPr>
              <w:fldChar w:fldCharType="separate"/>
            </w:r>
            <w:r>
              <w:rPr>
                <w:noProof/>
                <w:webHidden/>
              </w:rPr>
              <w:t>4</w:t>
            </w:r>
            <w:r>
              <w:rPr>
                <w:noProof/>
                <w:webHidden/>
              </w:rPr>
              <w:fldChar w:fldCharType="end"/>
            </w:r>
          </w:hyperlink>
        </w:p>
        <w:p w14:paraId="6D348847" w14:textId="6B55B873" w:rsidR="00D622A3" w:rsidRDefault="00D622A3">
          <w:pPr>
            <w:pStyle w:val="TOC2"/>
            <w:tabs>
              <w:tab w:val="left" w:pos="660"/>
              <w:tab w:val="right" w:leader="dot" w:pos="9350"/>
            </w:tabs>
            <w:rPr>
              <w:rFonts w:eastAsiaTheme="minorEastAsia"/>
              <w:noProof/>
              <w:lang w:val="en-GB" w:eastAsia="en-GB"/>
            </w:rPr>
          </w:pPr>
          <w:hyperlink w:anchor="_Toc143892695" w:history="1">
            <w:r w:rsidRPr="009E74FB">
              <w:rPr>
                <w:rStyle w:val="Hyperlink"/>
                <w:noProof/>
                <w:lang w:val="en-GB"/>
              </w:rPr>
              <w:t>2.</w:t>
            </w:r>
            <w:r>
              <w:rPr>
                <w:rFonts w:eastAsiaTheme="minorEastAsia"/>
                <w:noProof/>
                <w:lang w:val="en-GB" w:eastAsia="en-GB"/>
              </w:rPr>
              <w:tab/>
            </w:r>
            <w:r w:rsidRPr="009E74FB">
              <w:rPr>
                <w:rStyle w:val="Hyperlink"/>
                <w:noProof/>
                <w:lang w:val="en-GB"/>
              </w:rPr>
              <w:t>Enhance Sustainability Efforts</w:t>
            </w:r>
            <w:r>
              <w:rPr>
                <w:noProof/>
                <w:webHidden/>
              </w:rPr>
              <w:tab/>
            </w:r>
            <w:r>
              <w:rPr>
                <w:noProof/>
                <w:webHidden/>
              </w:rPr>
              <w:fldChar w:fldCharType="begin"/>
            </w:r>
            <w:r>
              <w:rPr>
                <w:noProof/>
                <w:webHidden/>
              </w:rPr>
              <w:instrText xml:space="preserve"> PAGEREF _Toc143892695 \h </w:instrText>
            </w:r>
            <w:r>
              <w:rPr>
                <w:noProof/>
                <w:webHidden/>
              </w:rPr>
            </w:r>
            <w:r>
              <w:rPr>
                <w:noProof/>
                <w:webHidden/>
              </w:rPr>
              <w:fldChar w:fldCharType="separate"/>
            </w:r>
            <w:r>
              <w:rPr>
                <w:noProof/>
                <w:webHidden/>
              </w:rPr>
              <w:t>4</w:t>
            </w:r>
            <w:r>
              <w:rPr>
                <w:noProof/>
                <w:webHidden/>
              </w:rPr>
              <w:fldChar w:fldCharType="end"/>
            </w:r>
          </w:hyperlink>
        </w:p>
        <w:p w14:paraId="135CEA5B" w14:textId="294A562D" w:rsidR="00D622A3" w:rsidRDefault="00D622A3">
          <w:pPr>
            <w:pStyle w:val="TOC2"/>
            <w:tabs>
              <w:tab w:val="right" w:leader="dot" w:pos="9350"/>
            </w:tabs>
            <w:rPr>
              <w:rFonts w:eastAsiaTheme="minorEastAsia"/>
              <w:noProof/>
              <w:lang w:val="en-GB" w:eastAsia="en-GB"/>
            </w:rPr>
          </w:pPr>
          <w:hyperlink w:anchor="_Toc143892696" w:history="1">
            <w:r w:rsidRPr="009E74FB">
              <w:rPr>
                <w:rStyle w:val="Hyperlink"/>
                <w:noProof/>
                <w:lang w:val="en-GB"/>
              </w:rPr>
              <w:t>Conclusion</w:t>
            </w:r>
            <w:r>
              <w:rPr>
                <w:noProof/>
                <w:webHidden/>
              </w:rPr>
              <w:tab/>
            </w:r>
            <w:r>
              <w:rPr>
                <w:noProof/>
                <w:webHidden/>
              </w:rPr>
              <w:fldChar w:fldCharType="begin"/>
            </w:r>
            <w:r>
              <w:rPr>
                <w:noProof/>
                <w:webHidden/>
              </w:rPr>
              <w:instrText xml:space="preserve"> PAGEREF _Toc143892696 \h </w:instrText>
            </w:r>
            <w:r>
              <w:rPr>
                <w:noProof/>
                <w:webHidden/>
              </w:rPr>
            </w:r>
            <w:r>
              <w:rPr>
                <w:noProof/>
                <w:webHidden/>
              </w:rPr>
              <w:fldChar w:fldCharType="separate"/>
            </w:r>
            <w:r>
              <w:rPr>
                <w:noProof/>
                <w:webHidden/>
              </w:rPr>
              <w:t>4</w:t>
            </w:r>
            <w:r>
              <w:rPr>
                <w:noProof/>
                <w:webHidden/>
              </w:rPr>
              <w:fldChar w:fldCharType="end"/>
            </w:r>
          </w:hyperlink>
        </w:p>
        <w:p w14:paraId="6E976186" w14:textId="59BFBFF3" w:rsidR="00D622A3" w:rsidRDefault="00D622A3">
          <w:pPr>
            <w:pStyle w:val="TOC2"/>
            <w:tabs>
              <w:tab w:val="right" w:leader="dot" w:pos="9350"/>
            </w:tabs>
            <w:rPr>
              <w:rFonts w:eastAsiaTheme="minorEastAsia"/>
              <w:noProof/>
              <w:lang w:val="en-GB" w:eastAsia="en-GB"/>
            </w:rPr>
          </w:pPr>
          <w:hyperlink w:anchor="_Toc143892697" w:history="1">
            <w:r w:rsidRPr="009E74FB">
              <w:rPr>
                <w:rStyle w:val="Hyperlink"/>
                <w:noProof/>
                <w:lang w:val="en-GB"/>
              </w:rPr>
              <w:t>References</w:t>
            </w:r>
            <w:r>
              <w:rPr>
                <w:noProof/>
                <w:webHidden/>
              </w:rPr>
              <w:tab/>
            </w:r>
            <w:r>
              <w:rPr>
                <w:noProof/>
                <w:webHidden/>
              </w:rPr>
              <w:fldChar w:fldCharType="begin"/>
            </w:r>
            <w:r>
              <w:rPr>
                <w:noProof/>
                <w:webHidden/>
              </w:rPr>
              <w:instrText xml:space="preserve"> PAGEREF _Toc143892697 \h </w:instrText>
            </w:r>
            <w:r>
              <w:rPr>
                <w:noProof/>
                <w:webHidden/>
              </w:rPr>
            </w:r>
            <w:r>
              <w:rPr>
                <w:noProof/>
                <w:webHidden/>
              </w:rPr>
              <w:fldChar w:fldCharType="separate"/>
            </w:r>
            <w:r>
              <w:rPr>
                <w:noProof/>
                <w:webHidden/>
              </w:rPr>
              <w:t>4</w:t>
            </w:r>
            <w:r>
              <w:rPr>
                <w:noProof/>
                <w:webHidden/>
              </w:rPr>
              <w:fldChar w:fldCharType="end"/>
            </w:r>
          </w:hyperlink>
        </w:p>
        <w:p w14:paraId="0E8CD7F6" w14:textId="408541EC" w:rsidR="00D622A3" w:rsidRDefault="00D622A3">
          <w:r>
            <w:rPr>
              <w:b/>
              <w:bCs/>
              <w:noProof/>
            </w:rPr>
            <w:fldChar w:fldCharType="end"/>
          </w:r>
        </w:p>
      </w:sdtContent>
    </w:sdt>
    <w:p w14:paraId="4BB2023B" w14:textId="77777777" w:rsidR="00D622A3" w:rsidRDefault="00D622A3" w:rsidP="003F61EF">
      <w:pPr>
        <w:rPr>
          <w:b/>
          <w:bCs/>
          <w:lang w:val="en-GB"/>
        </w:rPr>
      </w:pPr>
    </w:p>
    <w:p w14:paraId="004E8732" w14:textId="77777777" w:rsidR="00D622A3" w:rsidRDefault="00D622A3" w:rsidP="003F61EF">
      <w:pPr>
        <w:rPr>
          <w:b/>
          <w:bCs/>
          <w:lang w:val="en-GB"/>
        </w:rPr>
      </w:pPr>
    </w:p>
    <w:p w14:paraId="60173CA1" w14:textId="77777777" w:rsidR="00D622A3" w:rsidRDefault="00D622A3" w:rsidP="003F61EF">
      <w:pPr>
        <w:rPr>
          <w:b/>
          <w:bCs/>
          <w:lang w:val="en-GB"/>
        </w:rPr>
      </w:pPr>
    </w:p>
    <w:p w14:paraId="62A7BCAD" w14:textId="5FA5360B" w:rsidR="003F61EF" w:rsidRPr="003F61EF" w:rsidRDefault="003F61EF" w:rsidP="007C0113">
      <w:pPr>
        <w:spacing w:line="360" w:lineRule="auto"/>
        <w:rPr>
          <w:rFonts w:asciiTheme="majorHAnsi" w:hAnsiTheme="majorHAnsi"/>
          <w:sz w:val="24"/>
          <w:szCs w:val="24"/>
          <w:lang w:val="en-GB"/>
        </w:rPr>
      </w:pPr>
      <w:bookmarkStart w:id="0" w:name="_Toc143892671"/>
      <w:r w:rsidRPr="003F61EF">
        <w:rPr>
          <w:rStyle w:val="Heading2Char"/>
          <w:sz w:val="24"/>
          <w:szCs w:val="24"/>
          <w:lang w:val="en-GB"/>
        </w:rPr>
        <w:t>Introduction to Nike and Marketing</w:t>
      </w:r>
      <w:bookmarkEnd w:id="0"/>
      <w:r w:rsidRPr="003F61EF">
        <w:rPr>
          <w:rFonts w:asciiTheme="majorHAnsi" w:hAnsiTheme="majorHAnsi"/>
          <w:b/>
          <w:bCs/>
          <w:sz w:val="24"/>
          <w:szCs w:val="24"/>
          <w:lang w:val="en-GB"/>
        </w:rPr>
        <w:t>:</w:t>
      </w:r>
      <w:r w:rsidRPr="003F61EF">
        <w:rPr>
          <w:rFonts w:asciiTheme="majorHAnsi" w:hAnsiTheme="majorHAnsi"/>
          <w:sz w:val="24"/>
          <w:szCs w:val="24"/>
          <w:lang w:val="en-GB"/>
        </w:rPr>
        <w:t xml:space="preserve"> Nike, Inc. is a global leader in athletic footwear, apparel, equipment, and accessories. The company's success is attributed not only to its exceptional products but also to its robust marketing strategies. Marketing, in essence, refers to the process of creating, communicating, and delivering value to customers while managing customer relationships in ways that benefit both the company and its stakeholders.</w:t>
      </w:r>
    </w:p>
    <w:p w14:paraId="510E2DD7" w14:textId="6BB474FD" w:rsidR="007C0113" w:rsidRPr="007C0113" w:rsidRDefault="003F61EF" w:rsidP="007C0113">
      <w:pPr>
        <w:tabs>
          <w:tab w:val="num" w:pos="720"/>
        </w:tabs>
        <w:spacing w:line="360" w:lineRule="auto"/>
        <w:rPr>
          <w:rFonts w:asciiTheme="majorHAnsi" w:hAnsiTheme="majorHAnsi"/>
          <w:sz w:val="24"/>
          <w:szCs w:val="24"/>
          <w:lang w:val="en-GB"/>
        </w:rPr>
      </w:pPr>
      <w:bookmarkStart w:id="1" w:name="_Toc143892672"/>
      <w:r w:rsidRPr="003F61EF">
        <w:rPr>
          <w:rStyle w:val="Heading2Char"/>
          <w:sz w:val="24"/>
          <w:szCs w:val="24"/>
          <w:lang w:val="en-GB"/>
        </w:rPr>
        <w:t>The Marketing Process:</w:t>
      </w:r>
      <w:bookmarkEnd w:id="1"/>
      <w:r w:rsidRPr="003F61EF">
        <w:rPr>
          <w:rFonts w:asciiTheme="majorHAnsi" w:hAnsiTheme="majorHAnsi"/>
          <w:sz w:val="24"/>
          <w:szCs w:val="24"/>
          <w:lang w:val="en-GB"/>
        </w:rPr>
        <w:t xml:space="preserve"> </w:t>
      </w:r>
      <w:bookmarkStart w:id="2" w:name="_Toc143892673"/>
      <w:r w:rsidR="007C0113" w:rsidRPr="007C0113">
        <w:rPr>
          <w:rFonts w:asciiTheme="majorHAnsi" w:hAnsiTheme="majorHAnsi"/>
          <w:sz w:val="24"/>
          <w:szCs w:val="24"/>
        </w:rPr>
        <w:t xml:space="preserve">The marketing process is a systematic framework that serves as a compass for a company's endeavors to proficiently fulfill the needs and desires of its customers. This process encapsulates a series of pivotal stages, each playing a distinct role in steering the organization towards its customer-centric objectives. As elucidated by Kotler et al. (2017), these stages encompass a comprehensive approach to understanding, strategizing, implementing, and refining marketing </w:t>
      </w:r>
      <w:proofErr w:type="gramStart"/>
      <w:r w:rsidR="007C0113" w:rsidRPr="007C0113">
        <w:rPr>
          <w:rFonts w:asciiTheme="majorHAnsi" w:hAnsiTheme="majorHAnsi"/>
          <w:sz w:val="24"/>
          <w:szCs w:val="24"/>
        </w:rPr>
        <w:t>initiatives</w:t>
      </w:r>
      <w:proofErr w:type="gramEnd"/>
    </w:p>
    <w:p w14:paraId="58BEB4B4" w14:textId="77777777" w:rsidR="00FA5EFA" w:rsidRPr="00FA5EFA" w:rsidRDefault="003F61EF" w:rsidP="00FA5EFA">
      <w:pPr>
        <w:tabs>
          <w:tab w:val="num" w:pos="720"/>
        </w:tabs>
        <w:spacing w:line="360" w:lineRule="auto"/>
        <w:rPr>
          <w:rFonts w:asciiTheme="majorHAnsi" w:hAnsiTheme="majorHAnsi"/>
          <w:sz w:val="24"/>
          <w:szCs w:val="24"/>
          <w:lang w:val="en-GB"/>
        </w:rPr>
      </w:pPr>
      <w:r w:rsidRPr="003F61EF">
        <w:rPr>
          <w:rStyle w:val="Heading2Char"/>
          <w:sz w:val="24"/>
          <w:szCs w:val="24"/>
          <w:lang w:val="en-GB"/>
        </w:rPr>
        <w:t>Situational Analysis:</w:t>
      </w:r>
      <w:bookmarkEnd w:id="2"/>
      <w:r w:rsidRPr="003F61EF">
        <w:rPr>
          <w:rFonts w:asciiTheme="majorHAnsi" w:hAnsiTheme="majorHAnsi"/>
          <w:sz w:val="24"/>
          <w:szCs w:val="24"/>
          <w:lang w:val="en-GB"/>
        </w:rPr>
        <w:t xml:space="preserve"> </w:t>
      </w:r>
      <w:bookmarkStart w:id="3" w:name="_Toc143892674"/>
      <w:r w:rsidR="00FA5EFA" w:rsidRPr="00FA5EFA">
        <w:rPr>
          <w:rFonts w:asciiTheme="majorHAnsi" w:hAnsiTheme="majorHAnsi"/>
          <w:sz w:val="24"/>
          <w:szCs w:val="24"/>
          <w:lang w:val="en-GB"/>
        </w:rPr>
        <w:t>At the bedrock of the marketing process lies a crucial stage that can be aptly described as the "foundation" – the Situational Analysis. This initial step is pivotal in navigating the complex and ever-shifting landscape of modern business. As articulated by Kotler and Keller (2021), the Situational Analysis represents a comprehensive exploration of the company's internal and external environment, acting as a compass to guide strategic decisions.</w:t>
      </w:r>
    </w:p>
    <w:p w14:paraId="27275055" w14:textId="77777777" w:rsidR="00FA5EFA" w:rsidRPr="00FA5EFA" w:rsidRDefault="00FA5EFA" w:rsidP="00FA5EFA">
      <w:pPr>
        <w:tabs>
          <w:tab w:val="num" w:pos="720"/>
        </w:tabs>
        <w:spacing w:line="360" w:lineRule="auto"/>
        <w:rPr>
          <w:rFonts w:asciiTheme="majorHAnsi" w:hAnsiTheme="majorHAnsi"/>
          <w:sz w:val="24"/>
          <w:szCs w:val="24"/>
          <w:lang w:val="en-GB"/>
        </w:rPr>
      </w:pPr>
      <w:r w:rsidRPr="00FA5EFA">
        <w:rPr>
          <w:rFonts w:asciiTheme="majorHAnsi" w:hAnsiTheme="majorHAnsi"/>
          <w:b/>
          <w:bCs/>
          <w:sz w:val="24"/>
          <w:szCs w:val="24"/>
          <w:lang w:val="en-GB"/>
        </w:rPr>
        <w:t>Understanding the Market Environment:</w:t>
      </w:r>
      <w:r w:rsidRPr="00FA5EFA">
        <w:rPr>
          <w:rFonts w:asciiTheme="majorHAnsi" w:hAnsiTheme="majorHAnsi"/>
          <w:sz w:val="24"/>
          <w:szCs w:val="24"/>
          <w:lang w:val="en-GB"/>
        </w:rPr>
        <w:t xml:space="preserve"> The Situational Analysis involves a meticulous exploration of the prevailing market environment. This encompasses a multifaceted understanding of not only the company itself but also its key stakeholders, competitors, customers, and the broader industry dynamics (Kerin et al., 2019). This panoramic view aids in crafting strategies that are firmly </w:t>
      </w:r>
      <w:proofErr w:type="gramStart"/>
      <w:r w:rsidRPr="00FA5EFA">
        <w:rPr>
          <w:rFonts w:asciiTheme="majorHAnsi" w:hAnsiTheme="majorHAnsi"/>
          <w:sz w:val="24"/>
          <w:szCs w:val="24"/>
          <w:lang w:val="en-GB"/>
        </w:rPr>
        <w:t>anchored in reality, fostering</w:t>
      </w:r>
      <w:proofErr w:type="gramEnd"/>
      <w:r w:rsidRPr="00FA5EFA">
        <w:rPr>
          <w:rFonts w:asciiTheme="majorHAnsi" w:hAnsiTheme="majorHAnsi"/>
          <w:sz w:val="24"/>
          <w:szCs w:val="24"/>
          <w:lang w:val="en-GB"/>
        </w:rPr>
        <w:t xml:space="preserve"> a more nuanced and effective approach.</w:t>
      </w:r>
    </w:p>
    <w:p w14:paraId="05099DBB" w14:textId="2A4198C8" w:rsidR="007C0113" w:rsidRDefault="007C0113" w:rsidP="007C0113">
      <w:pPr>
        <w:tabs>
          <w:tab w:val="num" w:pos="720"/>
        </w:tabs>
        <w:rPr>
          <w:lang w:val="en-GB"/>
        </w:rPr>
      </w:pPr>
    </w:p>
    <w:p w14:paraId="2F79FAD8" w14:textId="2F4EE94A" w:rsidR="000D723B" w:rsidRDefault="003F61EF" w:rsidP="000D723B">
      <w:pPr>
        <w:tabs>
          <w:tab w:val="num" w:pos="720"/>
        </w:tabs>
        <w:spacing w:line="360" w:lineRule="auto"/>
        <w:rPr>
          <w:rFonts w:asciiTheme="majorHAnsi" w:hAnsiTheme="majorHAnsi"/>
          <w:sz w:val="24"/>
          <w:szCs w:val="24"/>
        </w:rPr>
      </w:pPr>
      <w:r w:rsidRPr="003F61EF">
        <w:rPr>
          <w:rStyle w:val="Heading2Char"/>
          <w:sz w:val="24"/>
          <w:szCs w:val="24"/>
          <w:lang w:val="en-GB"/>
        </w:rPr>
        <w:t>Objectives:</w:t>
      </w:r>
      <w:bookmarkEnd w:id="3"/>
      <w:r w:rsidRPr="003F61EF">
        <w:rPr>
          <w:rFonts w:asciiTheme="majorHAnsi" w:hAnsiTheme="majorHAnsi"/>
          <w:sz w:val="24"/>
          <w:szCs w:val="24"/>
          <w:lang w:val="en-GB"/>
        </w:rPr>
        <w:t xml:space="preserve"> </w:t>
      </w:r>
      <w:bookmarkStart w:id="4" w:name="_Toc143892675"/>
      <w:r w:rsidR="000D723B" w:rsidRPr="000D723B">
        <w:rPr>
          <w:rFonts w:asciiTheme="majorHAnsi" w:hAnsiTheme="majorHAnsi"/>
          <w:sz w:val="24"/>
          <w:szCs w:val="24"/>
        </w:rPr>
        <w:br/>
        <w:t xml:space="preserve">Drawing directly from the insights gleaned through the meticulous Situational Analysis, Nike embarks on a strategic journey of </w:t>
      </w:r>
      <w:proofErr w:type="gramStart"/>
      <w:r w:rsidR="000D723B" w:rsidRPr="000D723B">
        <w:rPr>
          <w:rFonts w:asciiTheme="majorHAnsi" w:hAnsiTheme="majorHAnsi"/>
          <w:sz w:val="24"/>
          <w:szCs w:val="24"/>
        </w:rPr>
        <w:t>goal-setting</w:t>
      </w:r>
      <w:proofErr w:type="gramEnd"/>
      <w:r w:rsidR="000D723B" w:rsidRPr="000D723B">
        <w:rPr>
          <w:rFonts w:asciiTheme="majorHAnsi" w:hAnsiTheme="majorHAnsi"/>
          <w:sz w:val="24"/>
          <w:szCs w:val="24"/>
        </w:rPr>
        <w:t xml:space="preserve"> by establishing clear and measurable marketing objectives. This pivotal phase in the marketing process, as posited by Kerin et al. (2019), transforms the abstract into the tangible, defining the path toward tangible achievements in alignment with the company's overarching vision.</w:t>
      </w:r>
    </w:p>
    <w:p w14:paraId="39F39B0B" w14:textId="25AC77EF" w:rsidR="000D723B" w:rsidRPr="000D723B" w:rsidRDefault="00543DAD" w:rsidP="000D723B">
      <w:pPr>
        <w:tabs>
          <w:tab w:val="num" w:pos="720"/>
        </w:tabs>
        <w:spacing w:line="360" w:lineRule="auto"/>
        <w:rPr>
          <w:rFonts w:asciiTheme="majorHAnsi" w:hAnsiTheme="majorHAnsi"/>
          <w:sz w:val="24"/>
          <w:szCs w:val="24"/>
          <w:lang w:val="en-GB"/>
        </w:rPr>
      </w:pPr>
      <w:r w:rsidRPr="00543DAD">
        <w:rPr>
          <w:rFonts w:asciiTheme="majorHAnsi" w:hAnsiTheme="majorHAnsi"/>
          <w:sz w:val="24"/>
          <w:szCs w:val="24"/>
        </w:rPr>
        <w:t xml:space="preserve">The Situational Analysis, akin to a compass, guides Nike's attention towards the true north of market dynamics. The multifaceted understanding of competitors, customer preferences, and industry trends allows Nike to carve out objectives that are grounded in the pulse of the market Armstrong &amp; Kotler, </w:t>
      </w:r>
      <w:r>
        <w:rPr>
          <w:rFonts w:asciiTheme="majorHAnsi" w:hAnsiTheme="majorHAnsi"/>
          <w:sz w:val="24"/>
          <w:szCs w:val="24"/>
        </w:rPr>
        <w:t>(</w:t>
      </w:r>
      <w:r w:rsidRPr="00543DAD">
        <w:rPr>
          <w:rFonts w:asciiTheme="majorHAnsi" w:hAnsiTheme="majorHAnsi"/>
          <w:sz w:val="24"/>
          <w:szCs w:val="24"/>
        </w:rPr>
        <w:t>2017). These objectives are not arbitrary goals; rather, they are shaped by the nuanced understanding of what is attainable and relevant in the context of the current business landscape.</w:t>
      </w:r>
    </w:p>
    <w:p w14:paraId="71D1CE78" w14:textId="785C4035" w:rsidR="00432C84" w:rsidRDefault="003F61EF" w:rsidP="00432C84">
      <w:pPr>
        <w:tabs>
          <w:tab w:val="num" w:pos="720"/>
        </w:tabs>
        <w:spacing w:line="360" w:lineRule="auto"/>
        <w:rPr>
          <w:rFonts w:asciiTheme="majorHAnsi" w:hAnsiTheme="majorHAnsi"/>
          <w:sz w:val="24"/>
          <w:szCs w:val="24"/>
        </w:rPr>
      </w:pPr>
      <w:r w:rsidRPr="003F61EF">
        <w:rPr>
          <w:rStyle w:val="Heading2Char"/>
          <w:sz w:val="24"/>
          <w:szCs w:val="24"/>
          <w:lang w:val="en-GB"/>
        </w:rPr>
        <w:t>Strategy:</w:t>
      </w:r>
      <w:bookmarkEnd w:id="4"/>
      <w:r w:rsidRPr="003F61EF">
        <w:rPr>
          <w:rFonts w:asciiTheme="majorHAnsi" w:hAnsiTheme="majorHAnsi"/>
          <w:sz w:val="24"/>
          <w:szCs w:val="24"/>
          <w:lang w:val="en-GB"/>
        </w:rPr>
        <w:t xml:space="preserve"> </w:t>
      </w:r>
      <w:bookmarkStart w:id="5" w:name="_Toc143892676"/>
      <w:r w:rsidR="00432C84" w:rsidRPr="00432C84">
        <w:rPr>
          <w:rFonts w:asciiTheme="majorHAnsi" w:hAnsiTheme="majorHAnsi"/>
          <w:sz w:val="24"/>
          <w:szCs w:val="24"/>
        </w:rPr>
        <w:t>Entering the strategy phase, Nike embarks on a meticulous journey of conceptualization and planning that is geared towards achieving the marketing objectives meticulously outlined earlier. As articulated by Armstrong and Kotler (2017), this stage epitomizes the art of transforming abstract ambitions into a concrete roadmap that guides the company's marketing endeavors.</w:t>
      </w:r>
    </w:p>
    <w:p w14:paraId="48BE0894" w14:textId="77777777" w:rsidR="004F1C14" w:rsidRPr="004F1C14" w:rsidRDefault="004F1C14" w:rsidP="004F1C14">
      <w:pPr>
        <w:tabs>
          <w:tab w:val="num" w:pos="720"/>
        </w:tabs>
        <w:spacing w:line="360" w:lineRule="auto"/>
        <w:rPr>
          <w:rFonts w:asciiTheme="majorHAnsi" w:hAnsiTheme="majorHAnsi"/>
          <w:sz w:val="24"/>
          <w:szCs w:val="24"/>
          <w:lang w:val="en-GB"/>
        </w:rPr>
      </w:pPr>
      <w:r w:rsidRPr="004F1C14">
        <w:rPr>
          <w:rFonts w:asciiTheme="majorHAnsi" w:hAnsiTheme="majorHAnsi"/>
          <w:b/>
          <w:bCs/>
          <w:sz w:val="24"/>
          <w:szCs w:val="24"/>
          <w:lang w:val="en-GB"/>
        </w:rPr>
        <w:t>Crafting the Blueprint:</w:t>
      </w:r>
      <w:r w:rsidRPr="004F1C14">
        <w:rPr>
          <w:rFonts w:asciiTheme="majorHAnsi" w:hAnsiTheme="majorHAnsi"/>
          <w:sz w:val="24"/>
          <w:szCs w:val="24"/>
          <w:lang w:val="en-GB"/>
        </w:rPr>
        <w:t xml:space="preserve"> This phase is akin to the architect's drafting table, where the blueprints for the marketing initiatives take shape. This involves synthesizing insights garnered from the situational analysis and the delineated objectives into a coherent and comprehensive plan. This plan is not a mere checklist but a strategic orchestration that orchestrates multiple elements into a synchronized symphony.</w:t>
      </w:r>
    </w:p>
    <w:p w14:paraId="3D5BF3CD" w14:textId="77777777" w:rsidR="004F1C14" w:rsidRPr="004F1C14" w:rsidRDefault="004F1C14" w:rsidP="004F1C14">
      <w:pPr>
        <w:tabs>
          <w:tab w:val="num" w:pos="720"/>
        </w:tabs>
        <w:spacing w:line="360" w:lineRule="auto"/>
        <w:rPr>
          <w:rFonts w:asciiTheme="majorHAnsi" w:hAnsiTheme="majorHAnsi"/>
          <w:sz w:val="24"/>
          <w:szCs w:val="24"/>
          <w:lang w:val="en-GB"/>
        </w:rPr>
      </w:pPr>
      <w:r w:rsidRPr="004F1C14">
        <w:rPr>
          <w:rFonts w:asciiTheme="majorHAnsi" w:hAnsiTheme="majorHAnsi"/>
          <w:b/>
          <w:bCs/>
          <w:sz w:val="24"/>
          <w:szCs w:val="24"/>
          <w:lang w:val="en-GB"/>
        </w:rPr>
        <w:t>Brand Associations:</w:t>
      </w:r>
      <w:r w:rsidRPr="004F1C14">
        <w:rPr>
          <w:rFonts w:asciiTheme="majorHAnsi" w:hAnsiTheme="majorHAnsi"/>
          <w:sz w:val="24"/>
          <w:szCs w:val="24"/>
          <w:lang w:val="en-GB"/>
        </w:rPr>
        <w:t xml:space="preserve"> One pillar of Nike's strategic framework revolves around the establishment of robust brand associations. This entails fostering a </w:t>
      </w:r>
      <w:proofErr w:type="gramStart"/>
      <w:r w:rsidRPr="004F1C14">
        <w:rPr>
          <w:rFonts w:asciiTheme="majorHAnsi" w:hAnsiTheme="majorHAnsi"/>
          <w:sz w:val="24"/>
          <w:szCs w:val="24"/>
          <w:lang w:val="en-GB"/>
        </w:rPr>
        <w:t>deeply-rooted</w:t>
      </w:r>
      <w:proofErr w:type="gramEnd"/>
      <w:r w:rsidRPr="004F1C14">
        <w:rPr>
          <w:rFonts w:asciiTheme="majorHAnsi" w:hAnsiTheme="majorHAnsi"/>
          <w:sz w:val="24"/>
          <w:szCs w:val="24"/>
          <w:lang w:val="en-GB"/>
        </w:rPr>
        <w:t xml:space="preserve"> and positive image of the brand in the minds of consumers (Keller, 1993). Nike leverages its iconic swoosh logo, athlete endorsements, and impactful marketing campaigns to create an indelible imprint that transcends product functionality.</w:t>
      </w:r>
    </w:p>
    <w:p w14:paraId="2FC88CAC" w14:textId="5A14A6BB" w:rsidR="004F1C14" w:rsidRPr="00432C84" w:rsidRDefault="004F1C14" w:rsidP="00432C84">
      <w:pPr>
        <w:tabs>
          <w:tab w:val="num" w:pos="720"/>
        </w:tabs>
        <w:spacing w:line="360" w:lineRule="auto"/>
        <w:rPr>
          <w:rFonts w:asciiTheme="majorHAnsi" w:hAnsiTheme="majorHAnsi"/>
          <w:sz w:val="24"/>
          <w:szCs w:val="24"/>
          <w:lang w:val="en-GB"/>
        </w:rPr>
      </w:pPr>
      <w:r w:rsidRPr="004F1C14">
        <w:rPr>
          <w:rFonts w:asciiTheme="majorHAnsi" w:hAnsiTheme="majorHAnsi"/>
          <w:b/>
          <w:bCs/>
          <w:sz w:val="24"/>
          <w:szCs w:val="24"/>
          <w:lang w:val="en-GB"/>
        </w:rPr>
        <w:t>Innovative Product Development:</w:t>
      </w:r>
      <w:r w:rsidRPr="004F1C14">
        <w:rPr>
          <w:rFonts w:asciiTheme="majorHAnsi" w:hAnsiTheme="majorHAnsi"/>
          <w:sz w:val="24"/>
          <w:szCs w:val="24"/>
          <w:lang w:val="en-GB"/>
        </w:rPr>
        <w:t xml:space="preserve"> In this strategic choreography, Nike doesn't merely create products; it crafts experiences. Innovation is a linchpin in this </w:t>
      </w:r>
      <w:proofErr w:type="spellStart"/>
      <w:r w:rsidRPr="004F1C14">
        <w:rPr>
          <w:rFonts w:asciiTheme="majorHAnsi" w:hAnsiTheme="majorHAnsi"/>
          <w:sz w:val="24"/>
          <w:szCs w:val="24"/>
          <w:lang w:val="en-GB"/>
        </w:rPr>
        <w:t>endeavor</w:t>
      </w:r>
      <w:proofErr w:type="spellEnd"/>
      <w:r w:rsidRPr="004F1C14">
        <w:rPr>
          <w:rFonts w:asciiTheme="majorHAnsi" w:hAnsiTheme="majorHAnsi"/>
          <w:sz w:val="24"/>
          <w:szCs w:val="24"/>
          <w:lang w:val="en-GB"/>
        </w:rPr>
        <w:t>, with Nike consistently pushing the boundaries of product design and functionality. As expounded by Porter (1990), differentiation through innovation serves as a potent competitive advantage. Through a relentless pursuit of cutting-edge technologies and designs, Nike captivates its audience and distinguishes itself from competitors.</w:t>
      </w:r>
    </w:p>
    <w:p w14:paraId="61B2B4E6" w14:textId="445ED3F2" w:rsidR="009E56E5" w:rsidRPr="009E56E5" w:rsidRDefault="003F61EF" w:rsidP="009E56E5">
      <w:pPr>
        <w:tabs>
          <w:tab w:val="num" w:pos="720"/>
        </w:tabs>
        <w:spacing w:line="360" w:lineRule="auto"/>
        <w:rPr>
          <w:rFonts w:asciiTheme="majorHAnsi" w:hAnsiTheme="majorHAnsi"/>
          <w:sz w:val="24"/>
          <w:szCs w:val="24"/>
          <w:lang w:val="en-GB"/>
        </w:rPr>
      </w:pPr>
      <w:r w:rsidRPr="003F61EF">
        <w:rPr>
          <w:rStyle w:val="Heading2Char"/>
          <w:sz w:val="24"/>
          <w:szCs w:val="24"/>
          <w:lang w:val="en-GB"/>
        </w:rPr>
        <w:t>Implementation:</w:t>
      </w:r>
      <w:bookmarkEnd w:id="5"/>
      <w:r w:rsidRPr="003F61EF">
        <w:rPr>
          <w:rFonts w:asciiTheme="majorHAnsi" w:hAnsiTheme="majorHAnsi"/>
          <w:sz w:val="24"/>
          <w:szCs w:val="24"/>
          <w:lang w:val="en-GB"/>
        </w:rPr>
        <w:t xml:space="preserve"> </w:t>
      </w:r>
      <w:r w:rsidR="009E56E5" w:rsidRPr="009E56E5">
        <w:rPr>
          <w:rFonts w:asciiTheme="majorHAnsi" w:hAnsiTheme="majorHAnsi"/>
          <w:sz w:val="24"/>
          <w:szCs w:val="24"/>
          <w:lang w:val="en-GB"/>
        </w:rPr>
        <w:t xml:space="preserve">In the marketing journey, the transition from strategy to action marks a critical juncture where plans are transformed into palpable </w:t>
      </w:r>
      <w:proofErr w:type="spellStart"/>
      <w:r w:rsidR="009E56E5" w:rsidRPr="009E56E5">
        <w:rPr>
          <w:rFonts w:asciiTheme="majorHAnsi" w:hAnsiTheme="majorHAnsi"/>
          <w:sz w:val="24"/>
          <w:szCs w:val="24"/>
          <w:lang w:val="en-GB"/>
        </w:rPr>
        <w:t>endeavors</w:t>
      </w:r>
      <w:proofErr w:type="spellEnd"/>
      <w:r w:rsidR="009E56E5" w:rsidRPr="009E56E5">
        <w:rPr>
          <w:rFonts w:asciiTheme="majorHAnsi" w:hAnsiTheme="majorHAnsi"/>
          <w:sz w:val="24"/>
          <w:szCs w:val="24"/>
          <w:lang w:val="en-GB"/>
        </w:rPr>
        <w:t xml:space="preserve">. This stage, as articulated by Kerin et al. (2019), embodies the embodiment of strategic vision, where Nike converts its meticulously crafted marketing strategy into tangible marketing initiatives that resonate with its target </w:t>
      </w:r>
      <w:proofErr w:type="spellStart"/>
      <w:proofErr w:type="gramStart"/>
      <w:r w:rsidR="009E56E5" w:rsidRPr="009E56E5">
        <w:rPr>
          <w:rFonts w:asciiTheme="majorHAnsi" w:hAnsiTheme="majorHAnsi"/>
          <w:sz w:val="24"/>
          <w:szCs w:val="24"/>
          <w:lang w:val="en-GB"/>
        </w:rPr>
        <w:t>audience.Much</w:t>
      </w:r>
      <w:proofErr w:type="spellEnd"/>
      <w:proofErr w:type="gramEnd"/>
      <w:r w:rsidR="009E56E5" w:rsidRPr="009E56E5">
        <w:rPr>
          <w:rFonts w:asciiTheme="majorHAnsi" w:hAnsiTheme="majorHAnsi"/>
          <w:sz w:val="24"/>
          <w:szCs w:val="24"/>
          <w:lang w:val="en-GB"/>
        </w:rPr>
        <w:t xml:space="preserve"> like a conductor leading an orchestra, this phase involves orchestrating various elements of the marketing strategy into a harmonious symphony of actions. Nike's strategy, refined through insights and innovation, now takes form in the tangible realm, where every note played contributes to the grand melody of the marketing narrative.</w:t>
      </w:r>
    </w:p>
    <w:p w14:paraId="32EA878A" w14:textId="77777777" w:rsidR="003F61EF" w:rsidRPr="003F61EF" w:rsidRDefault="003F61EF" w:rsidP="007855E5">
      <w:pPr>
        <w:rPr>
          <w:lang w:val="en-GB"/>
        </w:rPr>
      </w:pPr>
      <w:bookmarkStart w:id="6" w:name="_Toc143892677"/>
      <w:r w:rsidRPr="003F61EF">
        <w:rPr>
          <w:rStyle w:val="Heading2Char"/>
          <w:lang w:val="en-GB"/>
        </w:rPr>
        <w:t>Control:</w:t>
      </w:r>
      <w:bookmarkEnd w:id="6"/>
      <w:r w:rsidRPr="003F61EF">
        <w:rPr>
          <w:lang w:val="en-GB"/>
        </w:rPr>
        <w:t xml:space="preserve"> The final stage involves monitoring and evaluating the effectiveness of the implemented strategies. Nike would measure key performance indicators (KPIs) such as sales growth, customer engagement, and brand perception. If discrepancies are found, adjustments can be made to ensure alignment with objectives.</w:t>
      </w:r>
    </w:p>
    <w:p w14:paraId="6A5E8ABA" w14:textId="0CD57813" w:rsidR="003F61EF" w:rsidRPr="003F61EF" w:rsidRDefault="003F61EF" w:rsidP="003F61EF">
      <w:pPr>
        <w:rPr>
          <w:lang w:val="en-GB"/>
        </w:rPr>
      </w:pPr>
      <w:bookmarkStart w:id="7" w:name="_Toc143892678"/>
      <w:r w:rsidRPr="003F61EF">
        <w:rPr>
          <w:rStyle w:val="Heading2Char"/>
          <w:lang w:val="en-GB"/>
        </w:rPr>
        <w:t>PESTLE Analysis</w:t>
      </w:r>
      <w:bookmarkEnd w:id="7"/>
      <w:r w:rsidRPr="003F61EF">
        <w:rPr>
          <w:b/>
          <w:bCs/>
          <w:lang w:val="en-GB"/>
        </w:rPr>
        <w:t>:</w:t>
      </w:r>
      <w:r w:rsidRPr="003F61EF">
        <w:rPr>
          <w:lang w:val="en-GB"/>
        </w:rPr>
        <w:t xml:space="preserve"> The macro environment, </w:t>
      </w:r>
      <w:r w:rsidR="00D622A3" w:rsidRPr="003F61EF">
        <w:rPr>
          <w:lang w:val="en-GB"/>
        </w:rPr>
        <w:t>analysed</w:t>
      </w:r>
      <w:r w:rsidRPr="003F61EF">
        <w:rPr>
          <w:lang w:val="en-GB"/>
        </w:rPr>
        <w:t xml:space="preserve"> using the PESTLE framework, presents both </w:t>
      </w:r>
      <w:r w:rsidR="00D622A3" w:rsidRPr="003F61EF">
        <w:rPr>
          <w:lang w:val="en-GB"/>
        </w:rPr>
        <w:t>favourable</w:t>
      </w:r>
      <w:r w:rsidRPr="003F61EF">
        <w:rPr>
          <w:lang w:val="en-GB"/>
        </w:rPr>
        <w:t xml:space="preserve"> and </w:t>
      </w:r>
      <w:r w:rsidR="00D622A3" w:rsidRPr="003F61EF">
        <w:rPr>
          <w:lang w:val="en-GB"/>
        </w:rPr>
        <w:t>unfavourable</w:t>
      </w:r>
      <w:r w:rsidRPr="003F61EF">
        <w:rPr>
          <w:lang w:val="en-GB"/>
        </w:rPr>
        <w:t xml:space="preserve"> factors for Nike:</w:t>
      </w:r>
    </w:p>
    <w:p w14:paraId="670C685D" w14:textId="77777777" w:rsidR="007B0217" w:rsidRPr="007B0217" w:rsidRDefault="003F61EF" w:rsidP="007B0217">
      <w:pPr>
        <w:numPr>
          <w:ilvl w:val="0"/>
          <w:numId w:val="2"/>
        </w:numPr>
        <w:spacing w:line="360" w:lineRule="auto"/>
        <w:rPr>
          <w:rFonts w:asciiTheme="majorHAnsi" w:hAnsiTheme="majorHAnsi"/>
          <w:sz w:val="24"/>
          <w:szCs w:val="24"/>
          <w:lang w:val="en-GB"/>
        </w:rPr>
      </w:pPr>
      <w:bookmarkStart w:id="8" w:name="_Toc143892679"/>
      <w:r w:rsidRPr="003F61EF">
        <w:rPr>
          <w:rStyle w:val="Heading2Char"/>
          <w:sz w:val="24"/>
          <w:szCs w:val="24"/>
          <w:lang w:val="en-GB"/>
        </w:rPr>
        <w:t>Political:</w:t>
      </w:r>
      <w:bookmarkEnd w:id="8"/>
      <w:r w:rsidRPr="003F61EF">
        <w:rPr>
          <w:rFonts w:asciiTheme="majorHAnsi" w:hAnsiTheme="majorHAnsi"/>
          <w:sz w:val="24"/>
          <w:szCs w:val="24"/>
          <w:lang w:val="en-GB"/>
        </w:rPr>
        <w:t xml:space="preserve"> </w:t>
      </w:r>
      <w:r w:rsidR="007B0217" w:rsidRPr="007B0217">
        <w:rPr>
          <w:rFonts w:asciiTheme="majorHAnsi" w:hAnsiTheme="majorHAnsi"/>
          <w:sz w:val="24"/>
          <w:szCs w:val="24"/>
          <w:lang w:val="en-GB"/>
        </w:rPr>
        <w:t xml:space="preserve">The </w:t>
      </w:r>
      <w:proofErr w:type="spellStart"/>
      <w:r w:rsidR="007B0217" w:rsidRPr="007B0217">
        <w:rPr>
          <w:rFonts w:asciiTheme="majorHAnsi" w:hAnsiTheme="majorHAnsi"/>
          <w:sz w:val="24"/>
          <w:szCs w:val="24"/>
          <w:lang w:val="en-GB"/>
        </w:rPr>
        <w:t>favorable</w:t>
      </w:r>
      <w:proofErr w:type="spellEnd"/>
      <w:r w:rsidR="007B0217" w:rsidRPr="007B0217">
        <w:rPr>
          <w:rFonts w:asciiTheme="majorHAnsi" w:hAnsiTheme="majorHAnsi"/>
          <w:sz w:val="24"/>
          <w:szCs w:val="24"/>
          <w:lang w:val="en-GB"/>
        </w:rPr>
        <w:t xml:space="preserve"> political landscape in which Nike operates serves as a cornerstone for the company's seamless operations and international trade activities. As highlighted by Kotler et al. (2017), political stability is akin to a steady foundation upon which businesses can build and expand their </w:t>
      </w:r>
      <w:proofErr w:type="spellStart"/>
      <w:r w:rsidR="007B0217" w:rsidRPr="007B0217">
        <w:rPr>
          <w:rFonts w:asciiTheme="majorHAnsi" w:hAnsiTheme="majorHAnsi"/>
          <w:sz w:val="24"/>
          <w:szCs w:val="24"/>
          <w:lang w:val="en-GB"/>
        </w:rPr>
        <w:t>endeavors</w:t>
      </w:r>
      <w:proofErr w:type="spellEnd"/>
      <w:r w:rsidR="007B0217" w:rsidRPr="007B0217">
        <w:rPr>
          <w:rFonts w:asciiTheme="majorHAnsi" w:hAnsiTheme="majorHAnsi"/>
          <w:sz w:val="24"/>
          <w:szCs w:val="24"/>
          <w:lang w:val="en-GB"/>
        </w:rPr>
        <w:t>.</w:t>
      </w:r>
    </w:p>
    <w:p w14:paraId="620CB8E3" w14:textId="77777777" w:rsidR="007B0217" w:rsidRPr="007B0217" w:rsidRDefault="007B0217" w:rsidP="007B0217">
      <w:pPr>
        <w:numPr>
          <w:ilvl w:val="0"/>
          <w:numId w:val="2"/>
        </w:numPr>
        <w:spacing w:line="360" w:lineRule="auto"/>
        <w:rPr>
          <w:rFonts w:asciiTheme="majorHAnsi" w:hAnsiTheme="majorHAnsi"/>
          <w:sz w:val="24"/>
          <w:szCs w:val="24"/>
          <w:lang w:val="en-GB"/>
        </w:rPr>
      </w:pPr>
      <w:r w:rsidRPr="007B0217">
        <w:rPr>
          <w:rFonts w:asciiTheme="majorHAnsi" w:hAnsiTheme="majorHAnsi"/>
          <w:b/>
          <w:bCs/>
          <w:sz w:val="24"/>
          <w:szCs w:val="24"/>
          <w:lang w:val="en-GB"/>
        </w:rPr>
        <w:t>Global Operations:</w:t>
      </w:r>
      <w:r w:rsidRPr="007B0217">
        <w:rPr>
          <w:rFonts w:asciiTheme="majorHAnsi" w:hAnsiTheme="majorHAnsi"/>
          <w:sz w:val="24"/>
          <w:szCs w:val="24"/>
          <w:lang w:val="en-GB"/>
        </w:rPr>
        <w:t xml:space="preserve"> Nike's expansive reach encompasses numerous countries across the globe. The </w:t>
      </w:r>
      <w:proofErr w:type="spellStart"/>
      <w:r w:rsidRPr="007B0217">
        <w:rPr>
          <w:rFonts w:asciiTheme="majorHAnsi" w:hAnsiTheme="majorHAnsi"/>
          <w:sz w:val="24"/>
          <w:szCs w:val="24"/>
          <w:lang w:val="en-GB"/>
        </w:rPr>
        <w:t>favorable</w:t>
      </w:r>
      <w:proofErr w:type="spellEnd"/>
      <w:r w:rsidRPr="007B0217">
        <w:rPr>
          <w:rFonts w:asciiTheme="majorHAnsi" w:hAnsiTheme="majorHAnsi"/>
          <w:sz w:val="24"/>
          <w:szCs w:val="24"/>
          <w:lang w:val="en-GB"/>
        </w:rPr>
        <w:t xml:space="preserve"> political conditions within these regions provide the company with a stable operating environment. This stability translates into reduced operational uncertainties, enabling Nike to allocate resources efficiently and make long-term strategic decisions confidently.</w:t>
      </w:r>
    </w:p>
    <w:p w14:paraId="47FCFA5B" w14:textId="64023FBE" w:rsidR="003F61EF" w:rsidRPr="003F61EF" w:rsidRDefault="007B0217" w:rsidP="00CA1947">
      <w:pPr>
        <w:numPr>
          <w:ilvl w:val="0"/>
          <w:numId w:val="2"/>
        </w:numPr>
        <w:spacing w:line="360" w:lineRule="auto"/>
        <w:rPr>
          <w:rFonts w:asciiTheme="majorHAnsi" w:hAnsiTheme="majorHAnsi"/>
          <w:sz w:val="24"/>
          <w:szCs w:val="24"/>
          <w:lang w:val="en-GB"/>
        </w:rPr>
      </w:pPr>
      <w:r w:rsidRPr="007B0217">
        <w:rPr>
          <w:rFonts w:asciiTheme="majorHAnsi" w:hAnsiTheme="majorHAnsi"/>
          <w:b/>
          <w:bCs/>
          <w:sz w:val="24"/>
          <w:szCs w:val="24"/>
          <w:lang w:val="en-GB"/>
        </w:rPr>
        <w:t>Ensuring Smooth Trade:</w:t>
      </w:r>
      <w:r w:rsidRPr="007B0217">
        <w:rPr>
          <w:rFonts w:asciiTheme="majorHAnsi" w:hAnsiTheme="majorHAnsi"/>
          <w:sz w:val="24"/>
          <w:szCs w:val="24"/>
          <w:lang w:val="en-GB"/>
        </w:rPr>
        <w:t xml:space="preserve"> In the dynamic realm of global trade, political stability is a vital ingredient for the smooth flow of goods and services across borders. A </w:t>
      </w:r>
      <w:proofErr w:type="spellStart"/>
      <w:r w:rsidRPr="007B0217">
        <w:rPr>
          <w:rFonts w:asciiTheme="majorHAnsi" w:hAnsiTheme="majorHAnsi"/>
          <w:sz w:val="24"/>
          <w:szCs w:val="24"/>
          <w:lang w:val="en-GB"/>
        </w:rPr>
        <w:t>favorable</w:t>
      </w:r>
      <w:proofErr w:type="spellEnd"/>
      <w:r w:rsidRPr="007B0217">
        <w:rPr>
          <w:rFonts w:asciiTheme="majorHAnsi" w:hAnsiTheme="majorHAnsi"/>
          <w:sz w:val="24"/>
          <w:szCs w:val="24"/>
          <w:lang w:val="en-GB"/>
        </w:rPr>
        <w:t xml:space="preserve"> political environment minimizes the risk of disruptions such as trade barriers, embargoes, or sudden policy changes (</w:t>
      </w:r>
      <w:proofErr w:type="spellStart"/>
      <w:r w:rsidRPr="007B0217">
        <w:rPr>
          <w:rFonts w:asciiTheme="majorHAnsi" w:hAnsiTheme="majorHAnsi"/>
          <w:sz w:val="24"/>
          <w:szCs w:val="24"/>
          <w:lang w:val="en-GB"/>
        </w:rPr>
        <w:t>Cavusgil</w:t>
      </w:r>
      <w:proofErr w:type="spellEnd"/>
      <w:r w:rsidRPr="007B0217">
        <w:rPr>
          <w:rFonts w:asciiTheme="majorHAnsi" w:hAnsiTheme="majorHAnsi"/>
          <w:sz w:val="24"/>
          <w:szCs w:val="24"/>
          <w:lang w:val="en-GB"/>
        </w:rPr>
        <w:t xml:space="preserve"> et al., 2019). Nike's ability to engage in international trade without undue hindrances contributes to its efficient supply chain and global market presence.</w:t>
      </w:r>
    </w:p>
    <w:p w14:paraId="134D9AD1" w14:textId="77777777" w:rsidR="0087641C" w:rsidRPr="0087641C" w:rsidRDefault="003F61EF" w:rsidP="0087641C">
      <w:pPr>
        <w:numPr>
          <w:ilvl w:val="0"/>
          <w:numId w:val="2"/>
        </w:numPr>
        <w:spacing w:line="360" w:lineRule="auto"/>
        <w:rPr>
          <w:rFonts w:asciiTheme="majorHAnsi" w:hAnsiTheme="majorHAnsi"/>
          <w:sz w:val="24"/>
          <w:szCs w:val="24"/>
          <w:lang w:val="en-GB"/>
        </w:rPr>
      </w:pPr>
      <w:bookmarkStart w:id="9" w:name="_Toc143892680"/>
      <w:r w:rsidRPr="003F61EF">
        <w:rPr>
          <w:rStyle w:val="Heading2Char"/>
          <w:sz w:val="24"/>
          <w:szCs w:val="24"/>
          <w:lang w:val="en-GB"/>
        </w:rPr>
        <w:t>Economic</w:t>
      </w:r>
      <w:bookmarkEnd w:id="9"/>
      <w:r w:rsidRPr="003F61EF">
        <w:rPr>
          <w:rFonts w:asciiTheme="majorHAnsi" w:hAnsiTheme="majorHAnsi"/>
          <w:b/>
          <w:bCs/>
          <w:sz w:val="24"/>
          <w:szCs w:val="24"/>
          <w:lang w:val="en-GB"/>
        </w:rPr>
        <w:t>:</w:t>
      </w:r>
      <w:r w:rsidRPr="003F61EF">
        <w:rPr>
          <w:rFonts w:asciiTheme="majorHAnsi" w:hAnsiTheme="majorHAnsi"/>
          <w:sz w:val="24"/>
          <w:szCs w:val="24"/>
          <w:lang w:val="en-GB"/>
        </w:rPr>
        <w:t xml:space="preserve"> </w:t>
      </w:r>
      <w:r w:rsidR="0087641C" w:rsidRPr="0087641C">
        <w:rPr>
          <w:rFonts w:asciiTheme="majorHAnsi" w:hAnsiTheme="majorHAnsi"/>
          <w:sz w:val="24"/>
          <w:szCs w:val="24"/>
          <w:lang w:val="en-GB"/>
        </w:rPr>
        <w:t xml:space="preserve">The economic landscape, characterized by its </w:t>
      </w:r>
      <w:proofErr w:type="spellStart"/>
      <w:r w:rsidR="0087641C" w:rsidRPr="0087641C">
        <w:rPr>
          <w:rFonts w:asciiTheme="majorHAnsi" w:hAnsiTheme="majorHAnsi"/>
          <w:sz w:val="24"/>
          <w:szCs w:val="24"/>
          <w:lang w:val="en-GB"/>
        </w:rPr>
        <w:t>favorable</w:t>
      </w:r>
      <w:proofErr w:type="spellEnd"/>
      <w:r w:rsidR="0087641C" w:rsidRPr="0087641C">
        <w:rPr>
          <w:rFonts w:asciiTheme="majorHAnsi" w:hAnsiTheme="majorHAnsi"/>
          <w:sz w:val="24"/>
          <w:szCs w:val="24"/>
          <w:lang w:val="en-GB"/>
        </w:rPr>
        <w:t xml:space="preserve"> attributes, casts a steady spotlight on the demand for athletic footwear, defying the ebbs and flows of economic fluctuations. As elucidated by Armstrong and Kotler (2017), this unyielding demand is intricately woven with the growing emphasis on health and fitness, serving as a resilient pillar for companies like Nike.</w:t>
      </w:r>
    </w:p>
    <w:p w14:paraId="233906D7" w14:textId="77777777" w:rsidR="0087641C" w:rsidRPr="0087641C" w:rsidRDefault="0087641C" w:rsidP="0087641C">
      <w:pPr>
        <w:numPr>
          <w:ilvl w:val="0"/>
          <w:numId w:val="2"/>
        </w:numPr>
        <w:spacing w:line="360" w:lineRule="auto"/>
        <w:rPr>
          <w:rFonts w:asciiTheme="majorHAnsi" w:hAnsiTheme="majorHAnsi"/>
          <w:sz w:val="24"/>
          <w:szCs w:val="24"/>
          <w:lang w:val="en-GB"/>
        </w:rPr>
      </w:pPr>
      <w:r w:rsidRPr="0087641C">
        <w:rPr>
          <w:rFonts w:asciiTheme="majorHAnsi" w:hAnsiTheme="majorHAnsi"/>
          <w:b/>
          <w:bCs/>
          <w:sz w:val="24"/>
          <w:szCs w:val="24"/>
          <w:lang w:val="en-GB"/>
        </w:rPr>
        <w:t>Resilience Amidst Fluctuations:</w:t>
      </w:r>
      <w:r w:rsidRPr="0087641C">
        <w:rPr>
          <w:rFonts w:asciiTheme="majorHAnsi" w:hAnsiTheme="majorHAnsi"/>
          <w:sz w:val="24"/>
          <w:szCs w:val="24"/>
          <w:lang w:val="en-GB"/>
        </w:rPr>
        <w:t xml:space="preserve"> In the tumultuous realm of economic shifts and uncertainties, the consistent demand for athletic footwear stands as a testament to its enduring appeal. Economic fluctuations, marked by contractions and expansions, often impact consumer spending patterns. However, the demand for athletic footwear exhibits resilience, with consumers prioritizing their health and fitness even during challenging economic times (Kotler et al., 2017).</w:t>
      </w:r>
    </w:p>
    <w:p w14:paraId="4F1D4767" w14:textId="61B80D38" w:rsidR="003F61EF" w:rsidRPr="003F61EF" w:rsidRDefault="003F61EF" w:rsidP="00DC0519">
      <w:pPr>
        <w:ind w:left="360"/>
        <w:rPr>
          <w:lang w:val="en-GB"/>
        </w:rPr>
      </w:pPr>
    </w:p>
    <w:p w14:paraId="13BE7A1C" w14:textId="77777777" w:rsidR="00DC0519" w:rsidRPr="00DC0519" w:rsidRDefault="003F61EF" w:rsidP="00DC0519">
      <w:pPr>
        <w:numPr>
          <w:ilvl w:val="0"/>
          <w:numId w:val="2"/>
        </w:numPr>
        <w:spacing w:line="360" w:lineRule="auto"/>
        <w:rPr>
          <w:rFonts w:asciiTheme="majorHAnsi" w:hAnsiTheme="majorHAnsi"/>
          <w:sz w:val="24"/>
          <w:szCs w:val="24"/>
          <w:lang w:val="en-GB"/>
        </w:rPr>
      </w:pPr>
      <w:bookmarkStart w:id="10" w:name="_Toc143892681"/>
      <w:r w:rsidRPr="003F61EF">
        <w:rPr>
          <w:rStyle w:val="Heading2Char"/>
          <w:sz w:val="24"/>
          <w:szCs w:val="24"/>
          <w:lang w:val="en-GB"/>
        </w:rPr>
        <w:t>Social/Cultural:</w:t>
      </w:r>
      <w:bookmarkEnd w:id="10"/>
      <w:r w:rsidRPr="003F61EF">
        <w:rPr>
          <w:lang w:val="en-GB"/>
        </w:rPr>
        <w:t xml:space="preserve"> </w:t>
      </w:r>
      <w:r w:rsidR="00DC0519" w:rsidRPr="00DC0519">
        <w:rPr>
          <w:rFonts w:asciiTheme="majorHAnsi" w:hAnsiTheme="majorHAnsi"/>
          <w:sz w:val="24"/>
          <w:szCs w:val="24"/>
          <w:lang w:val="en-GB"/>
        </w:rPr>
        <w:t xml:space="preserve">The </w:t>
      </w:r>
      <w:proofErr w:type="spellStart"/>
      <w:r w:rsidR="00DC0519" w:rsidRPr="00DC0519">
        <w:rPr>
          <w:rFonts w:asciiTheme="majorHAnsi" w:hAnsiTheme="majorHAnsi"/>
          <w:sz w:val="24"/>
          <w:szCs w:val="24"/>
          <w:lang w:val="en-GB"/>
        </w:rPr>
        <w:t>favorable</w:t>
      </w:r>
      <w:proofErr w:type="spellEnd"/>
      <w:r w:rsidR="00DC0519" w:rsidRPr="00DC0519">
        <w:rPr>
          <w:rFonts w:asciiTheme="majorHAnsi" w:hAnsiTheme="majorHAnsi"/>
          <w:sz w:val="24"/>
          <w:szCs w:val="24"/>
          <w:lang w:val="en-GB"/>
        </w:rPr>
        <w:t xml:space="preserve"> undercurrents of increasing health consciousness and the flourishing athleisure trends coalesce to create an advantageous landscape for Nike. As elucidated by Kotler and Keller (2021), these societal shifts act as wind beneath the wings of companies like Nike, propelling them towards success.</w:t>
      </w:r>
    </w:p>
    <w:p w14:paraId="31492C29" w14:textId="7534F1CD" w:rsidR="003F61EF" w:rsidRPr="003F61EF" w:rsidRDefault="00DC0519" w:rsidP="00DD3180">
      <w:pPr>
        <w:numPr>
          <w:ilvl w:val="0"/>
          <w:numId w:val="2"/>
        </w:numPr>
        <w:spacing w:line="360" w:lineRule="auto"/>
        <w:rPr>
          <w:rFonts w:asciiTheme="majorHAnsi" w:hAnsiTheme="majorHAnsi"/>
          <w:sz w:val="24"/>
          <w:szCs w:val="24"/>
          <w:lang w:val="en-GB"/>
        </w:rPr>
      </w:pPr>
      <w:r w:rsidRPr="00DC0519">
        <w:rPr>
          <w:rFonts w:asciiTheme="majorHAnsi" w:hAnsiTheme="majorHAnsi"/>
          <w:b/>
          <w:bCs/>
          <w:sz w:val="24"/>
          <w:szCs w:val="24"/>
          <w:lang w:val="en-GB"/>
        </w:rPr>
        <w:t>Rise of Health Consciousness:</w:t>
      </w:r>
      <w:r w:rsidRPr="00DC0519">
        <w:rPr>
          <w:rFonts w:asciiTheme="majorHAnsi" w:hAnsiTheme="majorHAnsi"/>
          <w:sz w:val="24"/>
          <w:szCs w:val="24"/>
          <w:lang w:val="en-GB"/>
        </w:rPr>
        <w:t xml:space="preserve"> The contemporary era witnesses a notable surge in health consciousness, where individuals are more attuned to their physical well-being. This trend, as explored by Vartanian et al. (2014), has metamorphosed into a collective aspiration for healthier lifestyles. Nike, with its focus on athletic footwear and apparel, stands to gain from this cultural shift as consumers actively seek products that align with their health-centric values.</w:t>
      </w:r>
    </w:p>
    <w:p w14:paraId="5F2FF064" w14:textId="0D3B097D" w:rsidR="003F61EF" w:rsidRPr="003F61EF" w:rsidRDefault="003F61EF" w:rsidP="003F61EF">
      <w:pPr>
        <w:numPr>
          <w:ilvl w:val="0"/>
          <w:numId w:val="2"/>
        </w:numPr>
        <w:rPr>
          <w:lang w:val="en-GB"/>
        </w:rPr>
      </w:pPr>
      <w:bookmarkStart w:id="11" w:name="_Toc143892682"/>
      <w:r w:rsidRPr="003F61EF">
        <w:rPr>
          <w:rStyle w:val="Heading2Char"/>
          <w:lang w:val="en-GB"/>
        </w:rPr>
        <w:t>Technological:</w:t>
      </w:r>
      <w:bookmarkEnd w:id="11"/>
      <w:r w:rsidRPr="003F61EF">
        <w:rPr>
          <w:lang w:val="en-GB"/>
        </w:rPr>
        <w:t xml:space="preserve"> </w:t>
      </w:r>
      <w:r w:rsidR="00604342" w:rsidRPr="00604342">
        <w:t>The favorable alignment between Nike and technological advancements paves a path of innovation, operational efficiency, and enriched customer experiences. As outlined by Chaffey and Ellis-Chadwick (2019), technology emerges as a catalyst that propels companies like Nike towards enhanced competitiveness and customer engagement.</w:t>
      </w:r>
    </w:p>
    <w:p w14:paraId="4D2621D1" w14:textId="06275297" w:rsidR="003F61EF" w:rsidRPr="003F61EF" w:rsidRDefault="003F61EF" w:rsidP="007964EC">
      <w:pPr>
        <w:numPr>
          <w:ilvl w:val="0"/>
          <w:numId w:val="2"/>
        </w:numPr>
        <w:spacing w:line="360" w:lineRule="auto"/>
        <w:rPr>
          <w:sz w:val="24"/>
          <w:szCs w:val="24"/>
          <w:lang w:val="en-GB"/>
        </w:rPr>
      </w:pPr>
      <w:bookmarkStart w:id="12" w:name="_Toc143892683"/>
      <w:r w:rsidRPr="003F61EF">
        <w:rPr>
          <w:rStyle w:val="Heading2Char"/>
          <w:sz w:val="24"/>
          <w:szCs w:val="24"/>
          <w:lang w:val="en-GB"/>
        </w:rPr>
        <w:t>Legal:</w:t>
      </w:r>
      <w:bookmarkEnd w:id="12"/>
      <w:r w:rsidRPr="003F61EF">
        <w:rPr>
          <w:sz w:val="24"/>
          <w:szCs w:val="24"/>
          <w:lang w:val="en-GB"/>
        </w:rPr>
        <w:t xml:space="preserve"> </w:t>
      </w:r>
      <w:r w:rsidR="007964EC" w:rsidRPr="007964EC">
        <w:rPr>
          <w:sz w:val="24"/>
          <w:szCs w:val="24"/>
        </w:rPr>
        <w:t>In a neutral stance, Nike's operations are intricately interwoven with a spectrum of legal considerations spanning intellectual property, labor practices, and trade agreements. As outlined by Armstrong and Kotler (2017), these legal dimensions create a backdrop that shapes the contours of Nike's business landscape.</w:t>
      </w:r>
    </w:p>
    <w:p w14:paraId="7D7B89ED" w14:textId="2F9C9A9F" w:rsidR="003B3613" w:rsidRPr="003B3613" w:rsidRDefault="003F61EF" w:rsidP="003B3613">
      <w:pPr>
        <w:numPr>
          <w:ilvl w:val="0"/>
          <w:numId w:val="2"/>
        </w:numPr>
        <w:spacing w:line="360" w:lineRule="auto"/>
        <w:rPr>
          <w:rFonts w:asciiTheme="majorHAnsi" w:hAnsiTheme="majorHAnsi"/>
          <w:sz w:val="24"/>
          <w:szCs w:val="24"/>
          <w:lang w:val="en-GB"/>
        </w:rPr>
      </w:pPr>
      <w:bookmarkStart w:id="13" w:name="_Toc143892684"/>
      <w:r w:rsidRPr="003F61EF">
        <w:rPr>
          <w:rStyle w:val="Heading2Char"/>
          <w:sz w:val="24"/>
          <w:szCs w:val="24"/>
          <w:lang w:val="en-GB"/>
        </w:rPr>
        <w:t>Environmental:</w:t>
      </w:r>
      <w:bookmarkEnd w:id="13"/>
      <w:r w:rsidRPr="003F61EF">
        <w:rPr>
          <w:rFonts w:asciiTheme="majorHAnsi" w:hAnsiTheme="majorHAnsi"/>
          <w:sz w:val="24"/>
          <w:szCs w:val="24"/>
          <w:lang w:val="en-GB"/>
        </w:rPr>
        <w:t xml:space="preserve"> </w:t>
      </w:r>
      <w:bookmarkStart w:id="14" w:name="_Toc143892685"/>
      <w:r w:rsidR="003B3613" w:rsidRPr="003B3613">
        <w:rPr>
          <w:rFonts w:asciiTheme="majorHAnsi" w:hAnsiTheme="majorHAnsi"/>
          <w:sz w:val="24"/>
          <w:szCs w:val="24"/>
        </w:rPr>
        <w:t>The environmental concerns that cast a shadow over Nike's operations present a complex challenge, generating an unfavorable backdrop marked by increased costs and the imperative for sustainable practices. As elucidated by Kotler and Keller (2021), these concerns act as a catalyst for change, reshaping the expectations and operations of companies like Nike.</w:t>
      </w:r>
    </w:p>
    <w:p w14:paraId="4C4277EC" w14:textId="77777777" w:rsidR="00A0093D" w:rsidRPr="005320EB" w:rsidRDefault="003F61EF" w:rsidP="000B2D87">
      <w:pPr>
        <w:numPr>
          <w:ilvl w:val="0"/>
          <w:numId w:val="3"/>
        </w:numPr>
        <w:rPr>
          <w:lang w:val="en-GB"/>
        </w:rPr>
      </w:pPr>
      <w:r w:rsidRPr="003F61EF">
        <w:rPr>
          <w:rStyle w:val="Heading2Char"/>
          <w:lang w:val="en-GB"/>
        </w:rPr>
        <w:t>Porter's Five Forces</w:t>
      </w:r>
      <w:bookmarkEnd w:id="14"/>
      <w:r w:rsidRPr="003F61EF">
        <w:rPr>
          <w:b/>
          <w:bCs/>
          <w:lang w:val="en-GB"/>
        </w:rPr>
        <w:t xml:space="preserve"> </w:t>
      </w:r>
      <w:bookmarkStart w:id="15" w:name="_Toc143892686"/>
    </w:p>
    <w:p w14:paraId="7349EC95" w14:textId="4CD41561" w:rsidR="005320EB" w:rsidRDefault="005320EB" w:rsidP="005320EB">
      <w:pPr>
        <w:spacing w:line="360" w:lineRule="auto"/>
        <w:ind w:left="720"/>
        <w:rPr>
          <w:lang w:val="en-GB"/>
        </w:rPr>
      </w:pPr>
      <w:r w:rsidRPr="005320EB">
        <w:t>Porter's Five Forces model provides a framework for analyzing the competitive dynamics within an industry, shedding light on the factors that influence industry attractiveness and competitiveness. When applied to Nike, this model reveals both the favorable and unfavorable forces that shape the company's position in the market. As detailed by Porter (1979), these forces illuminate the intricate interplay between industry players, ultimately influencing Nike's strategic decisions.</w:t>
      </w:r>
    </w:p>
    <w:p w14:paraId="6E8514EF" w14:textId="77777777" w:rsidR="005D3C82" w:rsidRPr="005D3C82" w:rsidRDefault="003F61EF" w:rsidP="005D3C82">
      <w:pPr>
        <w:numPr>
          <w:ilvl w:val="0"/>
          <w:numId w:val="3"/>
        </w:numPr>
        <w:spacing w:line="360" w:lineRule="auto"/>
        <w:rPr>
          <w:rFonts w:asciiTheme="majorHAnsi" w:hAnsiTheme="majorHAnsi"/>
          <w:sz w:val="24"/>
          <w:szCs w:val="24"/>
          <w:lang w:val="en-GB"/>
        </w:rPr>
      </w:pPr>
      <w:r w:rsidRPr="003F61EF">
        <w:rPr>
          <w:rStyle w:val="Heading2Char"/>
          <w:sz w:val="24"/>
          <w:szCs w:val="24"/>
          <w:lang w:val="en-GB"/>
        </w:rPr>
        <w:t>Threat of New Entrants:</w:t>
      </w:r>
      <w:bookmarkEnd w:id="15"/>
      <w:r w:rsidRPr="003F61EF">
        <w:rPr>
          <w:rFonts w:asciiTheme="majorHAnsi" w:hAnsiTheme="majorHAnsi"/>
          <w:sz w:val="24"/>
          <w:szCs w:val="24"/>
          <w:lang w:val="en-GB"/>
        </w:rPr>
        <w:t xml:space="preserve"> </w:t>
      </w:r>
      <w:r w:rsidR="005D3C82" w:rsidRPr="005D3C82">
        <w:rPr>
          <w:rFonts w:asciiTheme="majorHAnsi" w:hAnsiTheme="majorHAnsi"/>
          <w:sz w:val="24"/>
          <w:szCs w:val="24"/>
          <w:lang w:val="en-GB"/>
        </w:rPr>
        <w:t>In the context of the athletic footwear industry, the barriers to entry for new players are relatively low. However, there are key factors that contribute to this situation, shaping the landscape in a particular way. As elucidated by Grant (2019), these barriers reflect the challenges and requirements that potential entrants need to overcome to establish a foothold in the market.</w:t>
      </w:r>
    </w:p>
    <w:p w14:paraId="0280FE1A" w14:textId="77777777" w:rsidR="005D3C82" w:rsidRPr="005D3C82" w:rsidRDefault="005D3C82" w:rsidP="005D3C82">
      <w:pPr>
        <w:numPr>
          <w:ilvl w:val="0"/>
          <w:numId w:val="3"/>
        </w:numPr>
        <w:spacing w:line="360" w:lineRule="auto"/>
        <w:rPr>
          <w:rFonts w:asciiTheme="majorHAnsi" w:hAnsiTheme="majorHAnsi"/>
          <w:sz w:val="24"/>
          <w:szCs w:val="24"/>
          <w:lang w:val="en-GB"/>
        </w:rPr>
      </w:pPr>
      <w:r w:rsidRPr="005D3C82">
        <w:rPr>
          <w:rFonts w:asciiTheme="majorHAnsi" w:hAnsiTheme="majorHAnsi"/>
          <w:b/>
          <w:bCs/>
          <w:sz w:val="24"/>
          <w:szCs w:val="24"/>
          <w:lang w:val="en-GB"/>
        </w:rPr>
        <w:t>Research and Development Investments:</w:t>
      </w:r>
      <w:r w:rsidRPr="005D3C82">
        <w:rPr>
          <w:rFonts w:asciiTheme="majorHAnsi" w:hAnsiTheme="majorHAnsi"/>
          <w:sz w:val="24"/>
          <w:szCs w:val="24"/>
          <w:lang w:val="en-GB"/>
        </w:rPr>
        <w:t xml:space="preserve"> One of the primary factors contributing to the low barriers to entry is the substantial investment required in research and development (R&amp;D). Established brands like Nike allocate considerable resources towards continuous innovation in materials, design, and performance-enhancing technologies. New entrants may find it challenging to match the R&amp;D capabilities and investment capacity of industry giants, making it harder to offer truly differentiated and competitive products.</w:t>
      </w:r>
    </w:p>
    <w:p w14:paraId="29A0E6DD" w14:textId="77777777" w:rsidR="005D3C82" w:rsidRPr="005D3C82" w:rsidRDefault="005D3C82" w:rsidP="005D3C82">
      <w:pPr>
        <w:numPr>
          <w:ilvl w:val="0"/>
          <w:numId w:val="3"/>
        </w:numPr>
        <w:spacing w:line="360" w:lineRule="auto"/>
        <w:rPr>
          <w:rFonts w:asciiTheme="majorHAnsi" w:hAnsiTheme="majorHAnsi"/>
          <w:sz w:val="24"/>
          <w:szCs w:val="24"/>
          <w:lang w:val="en-GB"/>
        </w:rPr>
      </w:pPr>
      <w:r w:rsidRPr="005D3C82">
        <w:rPr>
          <w:rFonts w:asciiTheme="majorHAnsi" w:hAnsiTheme="majorHAnsi"/>
          <w:b/>
          <w:bCs/>
          <w:sz w:val="24"/>
          <w:szCs w:val="24"/>
          <w:lang w:val="en-GB"/>
        </w:rPr>
        <w:t>Marketing Expenditures:</w:t>
      </w:r>
      <w:r w:rsidRPr="005D3C82">
        <w:rPr>
          <w:rFonts w:asciiTheme="majorHAnsi" w:hAnsiTheme="majorHAnsi"/>
          <w:sz w:val="24"/>
          <w:szCs w:val="24"/>
          <w:lang w:val="en-GB"/>
        </w:rPr>
        <w:t xml:space="preserve"> Building a brand presence in the athletic footwear industry necessitates significant marketing investments. Brands like Nike invest heavily in advertising, sponsorships, and endorsements to create brand awareness and loyalty (Kotler et al., 2017). New entrants would face difficulty in achieving the same level of visibility and recognition, given the immense competition and advertising clutter.</w:t>
      </w:r>
    </w:p>
    <w:p w14:paraId="1CC587B4" w14:textId="77777777" w:rsidR="005D3C82" w:rsidRPr="005D3C82" w:rsidRDefault="005D3C82" w:rsidP="005D3C82">
      <w:pPr>
        <w:numPr>
          <w:ilvl w:val="0"/>
          <w:numId w:val="3"/>
        </w:numPr>
        <w:spacing w:line="360" w:lineRule="auto"/>
        <w:rPr>
          <w:rFonts w:asciiTheme="majorHAnsi" w:hAnsiTheme="majorHAnsi"/>
          <w:sz w:val="24"/>
          <w:szCs w:val="24"/>
          <w:lang w:val="en-GB"/>
        </w:rPr>
      </w:pPr>
      <w:r w:rsidRPr="005D3C82">
        <w:rPr>
          <w:rFonts w:asciiTheme="majorHAnsi" w:hAnsiTheme="majorHAnsi"/>
          <w:b/>
          <w:bCs/>
          <w:sz w:val="24"/>
          <w:szCs w:val="24"/>
          <w:lang w:val="en-GB"/>
        </w:rPr>
        <w:t>Distribution Network Establishment:</w:t>
      </w:r>
      <w:r w:rsidRPr="005D3C82">
        <w:rPr>
          <w:rFonts w:asciiTheme="majorHAnsi" w:hAnsiTheme="majorHAnsi"/>
          <w:sz w:val="24"/>
          <w:szCs w:val="24"/>
          <w:lang w:val="en-GB"/>
        </w:rPr>
        <w:t xml:space="preserve"> Athletic footwear requires an efficient and extensive distribution network to reach consumers globally. Established brands have already built robust networks, including partnerships with retailers and e-commerce platforms. New entrants would need to invest time and resources to establish and manage such networks, which could pose a challenge in terms of costs and reach.</w:t>
      </w:r>
    </w:p>
    <w:p w14:paraId="672D8D42" w14:textId="46E56AEB" w:rsidR="003F61EF" w:rsidRPr="003F61EF" w:rsidRDefault="003F61EF" w:rsidP="00A632D6">
      <w:pPr>
        <w:ind w:left="720"/>
        <w:rPr>
          <w:lang w:val="en-GB"/>
        </w:rPr>
      </w:pPr>
    </w:p>
    <w:p w14:paraId="711887D5" w14:textId="77777777" w:rsidR="00A632D6" w:rsidRPr="00A632D6" w:rsidRDefault="003F61EF" w:rsidP="00A632D6">
      <w:pPr>
        <w:numPr>
          <w:ilvl w:val="0"/>
          <w:numId w:val="3"/>
        </w:numPr>
        <w:spacing w:line="360" w:lineRule="auto"/>
        <w:rPr>
          <w:rFonts w:asciiTheme="majorHAnsi" w:hAnsiTheme="majorHAnsi"/>
          <w:sz w:val="24"/>
          <w:szCs w:val="24"/>
          <w:lang w:val="en-GB"/>
        </w:rPr>
      </w:pPr>
      <w:bookmarkStart w:id="16" w:name="_Toc143892687"/>
      <w:r w:rsidRPr="003F61EF">
        <w:rPr>
          <w:rStyle w:val="Heading2Char"/>
          <w:sz w:val="24"/>
          <w:szCs w:val="24"/>
          <w:lang w:val="en-GB"/>
        </w:rPr>
        <w:t>Bargaining Power of Suppliers:</w:t>
      </w:r>
      <w:bookmarkEnd w:id="16"/>
      <w:r w:rsidRPr="003F61EF">
        <w:rPr>
          <w:rFonts w:asciiTheme="majorHAnsi" w:hAnsiTheme="majorHAnsi"/>
          <w:sz w:val="24"/>
          <w:szCs w:val="24"/>
          <w:lang w:val="en-GB"/>
        </w:rPr>
        <w:t xml:space="preserve"> </w:t>
      </w:r>
      <w:r w:rsidR="00A632D6" w:rsidRPr="00A632D6">
        <w:rPr>
          <w:rFonts w:asciiTheme="majorHAnsi" w:hAnsiTheme="majorHAnsi"/>
          <w:sz w:val="24"/>
          <w:szCs w:val="24"/>
          <w:lang w:val="en-GB"/>
        </w:rPr>
        <w:br/>
        <w:t>In the athletic footwear industry, the bargaining power of suppliers holds a position of medium influence, shaped by a combination of factors that contribute to the overall dynamics of the market. As outlined by Grant (2019), this balance reflects both the potential leverage of suppliers and the strategies companies like Nike adopt to manage these relationships.</w:t>
      </w:r>
    </w:p>
    <w:p w14:paraId="551FDD41" w14:textId="77777777" w:rsidR="00A632D6" w:rsidRPr="00A632D6" w:rsidRDefault="00A632D6" w:rsidP="00A632D6">
      <w:pPr>
        <w:numPr>
          <w:ilvl w:val="0"/>
          <w:numId w:val="3"/>
        </w:numPr>
        <w:spacing w:line="360" w:lineRule="auto"/>
        <w:rPr>
          <w:rFonts w:asciiTheme="majorHAnsi" w:hAnsiTheme="majorHAnsi"/>
          <w:sz w:val="24"/>
          <w:szCs w:val="24"/>
          <w:lang w:val="en-GB"/>
        </w:rPr>
      </w:pPr>
      <w:r w:rsidRPr="00A632D6">
        <w:rPr>
          <w:rFonts w:asciiTheme="majorHAnsi" w:hAnsiTheme="majorHAnsi"/>
          <w:b/>
          <w:bCs/>
          <w:sz w:val="24"/>
          <w:szCs w:val="24"/>
          <w:lang w:val="en-GB"/>
        </w:rPr>
        <w:t>Diverse Supplier Base:</w:t>
      </w:r>
      <w:r w:rsidRPr="00A632D6">
        <w:rPr>
          <w:rFonts w:asciiTheme="majorHAnsi" w:hAnsiTheme="majorHAnsi"/>
          <w:sz w:val="24"/>
          <w:szCs w:val="24"/>
          <w:lang w:val="en-GB"/>
        </w:rPr>
        <w:t xml:space="preserve"> Nike maintains a diverse supplier base, which, on the surface, seems to mitigate the power of individual suppliers. This diversity allows Nike to source materials from multiple channels, reducing the risk of dependence on a single supplier (Chaffey &amp; Ellis-Chadwick, 2019). However, the diverse base doesn't eliminate the influence of specialized suppliers who offer unique components.</w:t>
      </w:r>
    </w:p>
    <w:p w14:paraId="4277EF97" w14:textId="77777777" w:rsidR="00A632D6" w:rsidRPr="00A632D6" w:rsidRDefault="00A632D6" w:rsidP="00A632D6">
      <w:pPr>
        <w:numPr>
          <w:ilvl w:val="0"/>
          <w:numId w:val="3"/>
        </w:numPr>
        <w:spacing w:line="360" w:lineRule="auto"/>
        <w:rPr>
          <w:rFonts w:asciiTheme="majorHAnsi" w:hAnsiTheme="majorHAnsi"/>
          <w:sz w:val="24"/>
          <w:szCs w:val="24"/>
          <w:lang w:val="en-GB"/>
        </w:rPr>
      </w:pPr>
      <w:r w:rsidRPr="00A632D6">
        <w:rPr>
          <w:rFonts w:asciiTheme="majorHAnsi" w:hAnsiTheme="majorHAnsi"/>
          <w:b/>
          <w:bCs/>
          <w:sz w:val="24"/>
          <w:szCs w:val="24"/>
          <w:lang w:val="en-GB"/>
        </w:rPr>
        <w:t>Supplier Specialization:</w:t>
      </w:r>
      <w:r w:rsidRPr="00A632D6">
        <w:rPr>
          <w:rFonts w:asciiTheme="majorHAnsi" w:hAnsiTheme="majorHAnsi"/>
          <w:sz w:val="24"/>
          <w:szCs w:val="24"/>
          <w:lang w:val="en-GB"/>
        </w:rPr>
        <w:t xml:space="preserve"> The medium level of supplier power is attributed to the presence of specialized suppliers who provide crucial materials or components. These suppliers might hold significant power due to their unique offerings, making it challenging for Nike to easily switch to alternative sources (Porter, 1979). Such specialization grants suppliers more leverage in negotiations.</w:t>
      </w:r>
    </w:p>
    <w:p w14:paraId="599113F6" w14:textId="0E2F39B1" w:rsidR="003F61EF" w:rsidRPr="003F61EF" w:rsidRDefault="003F61EF" w:rsidP="003F61EF">
      <w:pPr>
        <w:numPr>
          <w:ilvl w:val="0"/>
          <w:numId w:val="3"/>
        </w:numPr>
        <w:rPr>
          <w:lang w:val="en-GB"/>
        </w:rPr>
      </w:pPr>
    </w:p>
    <w:p w14:paraId="540D8C2C" w14:textId="77777777" w:rsidR="00B15BD0" w:rsidRPr="00B15BD0" w:rsidRDefault="003F61EF" w:rsidP="00B15BD0">
      <w:pPr>
        <w:numPr>
          <w:ilvl w:val="0"/>
          <w:numId w:val="3"/>
        </w:numPr>
        <w:spacing w:line="360" w:lineRule="auto"/>
        <w:rPr>
          <w:rFonts w:asciiTheme="majorHAnsi" w:hAnsiTheme="majorHAnsi"/>
          <w:sz w:val="24"/>
          <w:szCs w:val="24"/>
          <w:lang w:val="en-GB"/>
        </w:rPr>
      </w:pPr>
      <w:bookmarkStart w:id="17" w:name="_Toc143892688"/>
      <w:r w:rsidRPr="003F61EF">
        <w:rPr>
          <w:rStyle w:val="Heading2Char"/>
          <w:sz w:val="24"/>
          <w:szCs w:val="24"/>
          <w:lang w:val="en-GB"/>
        </w:rPr>
        <w:t>Bargaining Power of Buyers:</w:t>
      </w:r>
      <w:bookmarkEnd w:id="17"/>
      <w:r w:rsidRPr="003F61EF">
        <w:rPr>
          <w:rFonts w:asciiTheme="majorHAnsi" w:hAnsiTheme="majorHAnsi"/>
          <w:sz w:val="24"/>
          <w:szCs w:val="24"/>
          <w:lang w:val="en-GB"/>
        </w:rPr>
        <w:t xml:space="preserve"> </w:t>
      </w:r>
      <w:r w:rsidR="00B15BD0" w:rsidRPr="00B15BD0">
        <w:rPr>
          <w:rFonts w:asciiTheme="majorHAnsi" w:hAnsiTheme="majorHAnsi"/>
          <w:sz w:val="24"/>
          <w:szCs w:val="24"/>
          <w:lang w:val="en-GB"/>
        </w:rPr>
        <w:br/>
        <w:t>In the context of the athletic footwear industry, the bargaining power of buyers is relatively low, primarily due to Nike's strategic positioning, strong brand loyalty, and unique product offerings. As elucidated by Kotler et al. (2017), these factors combine to create an environment where buyers have limited influence over pricing and terms.</w:t>
      </w:r>
    </w:p>
    <w:p w14:paraId="26C76368" w14:textId="77777777" w:rsidR="00B15BD0" w:rsidRPr="00B15BD0" w:rsidRDefault="00B15BD0" w:rsidP="00B15BD0">
      <w:pPr>
        <w:numPr>
          <w:ilvl w:val="0"/>
          <w:numId w:val="3"/>
        </w:numPr>
        <w:spacing w:line="360" w:lineRule="auto"/>
        <w:rPr>
          <w:rFonts w:asciiTheme="majorHAnsi" w:hAnsiTheme="majorHAnsi"/>
          <w:sz w:val="24"/>
          <w:szCs w:val="24"/>
          <w:lang w:val="en-GB"/>
        </w:rPr>
      </w:pPr>
      <w:r w:rsidRPr="00B15BD0">
        <w:rPr>
          <w:rFonts w:asciiTheme="majorHAnsi" w:hAnsiTheme="majorHAnsi"/>
          <w:b/>
          <w:bCs/>
          <w:sz w:val="24"/>
          <w:szCs w:val="24"/>
          <w:lang w:val="en-GB"/>
        </w:rPr>
        <w:t>Strong Brand Loyalty:</w:t>
      </w:r>
      <w:r w:rsidRPr="00B15BD0">
        <w:rPr>
          <w:rFonts w:asciiTheme="majorHAnsi" w:hAnsiTheme="majorHAnsi"/>
          <w:sz w:val="24"/>
          <w:szCs w:val="24"/>
          <w:lang w:val="en-GB"/>
        </w:rPr>
        <w:t xml:space="preserve"> Nike's brand commands a level of loyalty that transcends price considerations. Consumers often identify with the brand's values, innovative products, and iconic marketing campaigns. This emotional connection creates a scenario where buyers are willing to pay a premium for Nike products, rendering price sensitivity less impactful (</w:t>
      </w:r>
      <w:proofErr w:type="spellStart"/>
      <w:r w:rsidRPr="00B15BD0">
        <w:rPr>
          <w:rFonts w:asciiTheme="majorHAnsi" w:hAnsiTheme="majorHAnsi"/>
          <w:sz w:val="24"/>
          <w:szCs w:val="24"/>
          <w:lang w:val="en-GB"/>
        </w:rPr>
        <w:t>Kapferer</w:t>
      </w:r>
      <w:proofErr w:type="spellEnd"/>
      <w:r w:rsidRPr="00B15BD0">
        <w:rPr>
          <w:rFonts w:asciiTheme="majorHAnsi" w:hAnsiTheme="majorHAnsi"/>
          <w:sz w:val="24"/>
          <w:szCs w:val="24"/>
          <w:lang w:val="en-GB"/>
        </w:rPr>
        <w:t>, 1992).</w:t>
      </w:r>
    </w:p>
    <w:p w14:paraId="4A3D4414" w14:textId="77777777" w:rsidR="00B15BD0" w:rsidRPr="00B15BD0" w:rsidRDefault="00B15BD0" w:rsidP="00B15BD0">
      <w:pPr>
        <w:numPr>
          <w:ilvl w:val="0"/>
          <w:numId w:val="3"/>
        </w:numPr>
        <w:spacing w:line="360" w:lineRule="auto"/>
        <w:rPr>
          <w:rFonts w:asciiTheme="majorHAnsi" w:hAnsiTheme="majorHAnsi"/>
          <w:sz w:val="24"/>
          <w:szCs w:val="24"/>
          <w:lang w:val="en-GB"/>
        </w:rPr>
      </w:pPr>
      <w:r w:rsidRPr="00B15BD0">
        <w:rPr>
          <w:rFonts w:asciiTheme="majorHAnsi" w:hAnsiTheme="majorHAnsi"/>
          <w:b/>
          <w:bCs/>
          <w:sz w:val="24"/>
          <w:szCs w:val="24"/>
          <w:lang w:val="en-GB"/>
        </w:rPr>
        <w:t>Unique Product Offerings:</w:t>
      </w:r>
      <w:r w:rsidRPr="00B15BD0">
        <w:rPr>
          <w:rFonts w:asciiTheme="majorHAnsi" w:hAnsiTheme="majorHAnsi"/>
          <w:sz w:val="24"/>
          <w:szCs w:val="24"/>
          <w:lang w:val="en-GB"/>
        </w:rPr>
        <w:t xml:space="preserve"> Nike's emphasis on innovation and product differentiation results in offerings that stand apart in terms of design, technology, and performance. This distinctiveness allows Nike to command a premium and reduce the substitutability of its products. Buyers are less likely to find direct alternatives that match Nike's blend of functionality and style.</w:t>
      </w:r>
    </w:p>
    <w:p w14:paraId="2B698F0E" w14:textId="77777777" w:rsidR="00B15BD0" w:rsidRPr="00B15BD0" w:rsidRDefault="00B15BD0" w:rsidP="00B15BD0">
      <w:pPr>
        <w:numPr>
          <w:ilvl w:val="0"/>
          <w:numId w:val="3"/>
        </w:numPr>
        <w:spacing w:line="360" w:lineRule="auto"/>
        <w:rPr>
          <w:rFonts w:asciiTheme="majorHAnsi" w:hAnsiTheme="majorHAnsi"/>
          <w:sz w:val="24"/>
          <w:szCs w:val="24"/>
          <w:lang w:val="en-GB"/>
        </w:rPr>
      </w:pPr>
      <w:r w:rsidRPr="00B15BD0">
        <w:rPr>
          <w:rFonts w:asciiTheme="majorHAnsi" w:hAnsiTheme="majorHAnsi"/>
          <w:b/>
          <w:bCs/>
          <w:sz w:val="24"/>
          <w:szCs w:val="24"/>
          <w:lang w:val="en-GB"/>
        </w:rPr>
        <w:t>Limited Switching Costs:</w:t>
      </w:r>
      <w:r w:rsidRPr="00B15BD0">
        <w:rPr>
          <w:rFonts w:asciiTheme="majorHAnsi" w:hAnsiTheme="majorHAnsi"/>
          <w:sz w:val="24"/>
          <w:szCs w:val="24"/>
          <w:lang w:val="en-GB"/>
        </w:rPr>
        <w:t xml:space="preserve"> While buyers might have a degree of choice in the market, the ease of switching between brands is limited. Factors like brand loyalty, comfort with Nike's products, and the aspirational value associated with the brand contribute to reduced buyer power. The cost and effort required to transition to a different brand create a form of inertia that benefits Nike (Chaffey &amp; Ellis-Chadwick, 2019).</w:t>
      </w:r>
    </w:p>
    <w:p w14:paraId="4A0F54D8" w14:textId="630F1B2D" w:rsidR="00CA1947" w:rsidRPr="00CA1947" w:rsidRDefault="003F61EF" w:rsidP="00CA1947">
      <w:pPr>
        <w:rPr>
          <w:rFonts w:asciiTheme="majorHAnsi" w:eastAsiaTheme="majorEastAsia" w:hAnsiTheme="majorHAnsi" w:cstheme="majorBidi"/>
          <w:color w:val="365F91" w:themeColor="accent1" w:themeShade="BF"/>
          <w:sz w:val="24"/>
          <w:szCs w:val="24"/>
          <w:lang w:val="en-GB"/>
        </w:rPr>
      </w:pPr>
      <w:bookmarkStart w:id="18" w:name="_Toc143892689"/>
      <w:r w:rsidRPr="00CA1947">
        <w:rPr>
          <w:rStyle w:val="Heading2Char"/>
          <w:sz w:val="24"/>
          <w:szCs w:val="24"/>
          <w:lang w:val="en-GB"/>
        </w:rPr>
        <w:t>Threat of Substitute Products</w:t>
      </w:r>
      <w:bookmarkEnd w:id="18"/>
      <w:r w:rsidR="00CA1947" w:rsidRPr="00CA1947">
        <w:rPr>
          <w:rStyle w:val="Heading2Char"/>
          <w:sz w:val="24"/>
          <w:szCs w:val="24"/>
          <w:lang w:val="en-GB"/>
        </w:rPr>
        <w:t xml:space="preserve">: </w:t>
      </w:r>
      <w:r w:rsidR="00CA1947" w:rsidRPr="00CA1947">
        <w:rPr>
          <w:rFonts w:asciiTheme="majorHAnsi" w:hAnsiTheme="majorHAnsi"/>
          <w:sz w:val="24"/>
          <w:szCs w:val="24"/>
          <w:lang w:val="en-GB"/>
        </w:rPr>
        <w:t>In the intricate web of the athletic footwear industry, the threat of substitutes holds a position of medium influence, embodying the multifaceted choices available to consumers. As detailed by Grant (2019), this equilibrium reflects the interplay between the unique appeal of Nike's products and the array of alternatives that consumers can consider.</w:t>
      </w:r>
    </w:p>
    <w:p w14:paraId="4936BAF5" w14:textId="77777777" w:rsidR="00CA1947" w:rsidRPr="00CA1947" w:rsidRDefault="00CA1947" w:rsidP="00CA1947">
      <w:pPr>
        <w:rPr>
          <w:rFonts w:asciiTheme="majorHAnsi" w:hAnsiTheme="majorHAnsi"/>
          <w:sz w:val="24"/>
          <w:szCs w:val="24"/>
          <w:lang w:val="en-GB"/>
        </w:rPr>
      </w:pPr>
      <w:r w:rsidRPr="00CA1947">
        <w:rPr>
          <w:rFonts w:asciiTheme="majorHAnsi" w:hAnsiTheme="majorHAnsi"/>
          <w:b/>
          <w:bCs/>
          <w:sz w:val="24"/>
          <w:szCs w:val="24"/>
          <w:lang w:val="en-GB"/>
        </w:rPr>
        <w:t>Competition from Casual Footwear and Apparel:</w:t>
      </w:r>
      <w:r w:rsidRPr="00CA1947">
        <w:rPr>
          <w:rFonts w:asciiTheme="majorHAnsi" w:hAnsiTheme="majorHAnsi"/>
          <w:sz w:val="24"/>
          <w:szCs w:val="24"/>
          <w:lang w:val="en-GB"/>
        </w:rPr>
        <w:t xml:space="preserve"> The medium level of threat from substitutes is attributed to the presence of alternatives like casual footwear and apparel. While Nike specializes in athletic and performance-oriented products, consumers have a spectrum of choices for everyday footwear and clothing. This array of options enables consumers to switch between athletic and casual wear based on their needs, fashion preferences, and comfort (Porter, 1979).</w:t>
      </w:r>
    </w:p>
    <w:p w14:paraId="53AF36B3" w14:textId="77777777" w:rsidR="00CA1947" w:rsidRPr="00CA1947" w:rsidRDefault="00CA1947" w:rsidP="00CA1947">
      <w:pPr>
        <w:rPr>
          <w:rFonts w:asciiTheme="majorHAnsi" w:hAnsiTheme="majorHAnsi"/>
          <w:sz w:val="24"/>
          <w:szCs w:val="24"/>
          <w:lang w:val="en-GB"/>
        </w:rPr>
      </w:pPr>
      <w:r w:rsidRPr="00CA1947">
        <w:rPr>
          <w:rFonts w:asciiTheme="majorHAnsi" w:hAnsiTheme="majorHAnsi"/>
          <w:b/>
          <w:bCs/>
          <w:sz w:val="24"/>
          <w:szCs w:val="24"/>
          <w:lang w:val="en-GB"/>
        </w:rPr>
        <w:t>Nike's Brand and Differentiation:</w:t>
      </w:r>
      <w:r w:rsidRPr="00CA1947">
        <w:rPr>
          <w:rFonts w:asciiTheme="majorHAnsi" w:hAnsiTheme="majorHAnsi"/>
          <w:sz w:val="24"/>
          <w:szCs w:val="24"/>
          <w:lang w:val="en-GB"/>
        </w:rPr>
        <w:t xml:space="preserve"> Nike's ability to differentiate its products and build a strong brand is a mitigating factor against the threat of substitutes. The emotional connection and aspirational value associated with Nike's offerings create a unique proposition that some substitutes might struggle to replicate. Additionally, Nike's focus on innovation and performance features adds a layer of distinctiveness that sets it apart from casual alternatives (</w:t>
      </w:r>
      <w:proofErr w:type="spellStart"/>
      <w:r w:rsidRPr="00CA1947">
        <w:rPr>
          <w:rFonts w:asciiTheme="majorHAnsi" w:hAnsiTheme="majorHAnsi"/>
          <w:sz w:val="24"/>
          <w:szCs w:val="24"/>
          <w:lang w:val="en-GB"/>
        </w:rPr>
        <w:t>Kapferer</w:t>
      </w:r>
      <w:proofErr w:type="spellEnd"/>
      <w:r w:rsidRPr="00CA1947">
        <w:rPr>
          <w:rFonts w:asciiTheme="majorHAnsi" w:hAnsiTheme="majorHAnsi"/>
          <w:sz w:val="24"/>
          <w:szCs w:val="24"/>
          <w:lang w:val="en-GB"/>
        </w:rPr>
        <w:t>, 1992).</w:t>
      </w:r>
    </w:p>
    <w:p w14:paraId="03D247E0" w14:textId="673BE900" w:rsidR="00CA1947" w:rsidRPr="00CA1947" w:rsidRDefault="00CA1947" w:rsidP="00CA1947">
      <w:pPr>
        <w:rPr>
          <w:lang w:val="en-GB"/>
        </w:rPr>
      </w:pPr>
      <w:r w:rsidRPr="00CA1947">
        <w:rPr>
          <w:rFonts w:asciiTheme="majorHAnsi" w:hAnsiTheme="majorHAnsi"/>
          <w:b/>
          <w:bCs/>
          <w:sz w:val="24"/>
          <w:szCs w:val="24"/>
          <w:lang w:val="en-GB"/>
        </w:rPr>
        <w:t xml:space="preserve">Consumer </w:t>
      </w:r>
      <w:r w:rsidRPr="00CA1947">
        <w:rPr>
          <w:rFonts w:asciiTheme="majorHAnsi" w:hAnsiTheme="majorHAnsi"/>
          <w:b/>
          <w:bCs/>
          <w:sz w:val="24"/>
          <w:szCs w:val="24"/>
          <w:lang w:val="en-GB"/>
        </w:rPr>
        <w:t>Behaviour</w:t>
      </w:r>
      <w:r w:rsidRPr="00CA1947">
        <w:rPr>
          <w:rFonts w:asciiTheme="majorHAnsi" w:hAnsiTheme="majorHAnsi"/>
          <w:b/>
          <w:bCs/>
          <w:sz w:val="24"/>
          <w:szCs w:val="24"/>
          <w:lang w:val="en-GB"/>
        </w:rPr>
        <w:t xml:space="preserve"> and Trends:</w:t>
      </w:r>
      <w:r w:rsidRPr="00CA1947">
        <w:rPr>
          <w:rFonts w:asciiTheme="majorHAnsi" w:hAnsiTheme="majorHAnsi"/>
          <w:sz w:val="24"/>
          <w:szCs w:val="24"/>
          <w:lang w:val="en-GB"/>
        </w:rPr>
        <w:t xml:space="preserve"> The medium threat level is influenced by shifting consumer </w:t>
      </w:r>
      <w:r w:rsidRPr="00CA1947">
        <w:rPr>
          <w:rFonts w:asciiTheme="majorHAnsi" w:hAnsiTheme="majorHAnsi"/>
          <w:sz w:val="24"/>
          <w:szCs w:val="24"/>
          <w:lang w:val="en-GB"/>
        </w:rPr>
        <w:t>behaviour</w:t>
      </w:r>
      <w:r w:rsidRPr="00CA1947">
        <w:rPr>
          <w:rFonts w:asciiTheme="majorHAnsi" w:hAnsiTheme="majorHAnsi"/>
          <w:sz w:val="24"/>
          <w:szCs w:val="24"/>
          <w:lang w:val="en-GB"/>
        </w:rPr>
        <w:t xml:space="preserve"> and lifestyle trends. The rise of athleisure, where athletic-inspired apparel becomes a fashion trend, blurs the lines between substitutes and the traditional athletic footwear market (Merriman, 2017). Consumers' choices are often shaped by a combination of practicality, fashion, and personal preferences</w:t>
      </w:r>
      <w:r w:rsidRPr="00CA1947">
        <w:rPr>
          <w:lang w:val="en-GB"/>
        </w:rPr>
        <w:t>.</w:t>
      </w:r>
    </w:p>
    <w:p w14:paraId="505C93BE" w14:textId="77777777" w:rsidR="00CA1947" w:rsidRPr="003D5D6F" w:rsidRDefault="00CA1947" w:rsidP="003D5D6F">
      <w:pPr>
        <w:spacing w:line="360" w:lineRule="auto"/>
        <w:rPr>
          <w:rFonts w:asciiTheme="majorHAnsi" w:hAnsiTheme="majorHAnsi"/>
          <w:sz w:val="24"/>
          <w:szCs w:val="24"/>
          <w:lang w:val="en-GB"/>
        </w:rPr>
      </w:pPr>
    </w:p>
    <w:p w14:paraId="000328F2" w14:textId="24AF8832" w:rsidR="003F61EF" w:rsidRPr="003D5D6F" w:rsidRDefault="003F61EF" w:rsidP="003D5D6F">
      <w:pPr>
        <w:pStyle w:val="Heading2"/>
        <w:spacing w:line="360" w:lineRule="auto"/>
        <w:rPr>
          <w:sz w:val="24"/>
          <w:szCs w:val="24"/>
          <w:lang w:val="en-GB"/>
        </w:rPr>
      </w:pPr>
      <w:bookmarkStart w:id="19" w:name="_Toc143892691"/>
      <w:r w:rsidRPr="003D5D6F">
        <w:rPr>
          <w:sz w:val="24"/>
          <w:szCs w:val="24"/>
          <w:lang w:val="en-GB"/>
        </w:rPr>
        <w:t>Advantages and Disadvantages</w:t>
      </w:r>
      <w:bookmarkEnd w:id="19"/>
      <w:r w:rsidRPr="003D5D6F">
        <w:rPr>
          <w:sz w:val="24"/>
          <w:szCs w:val="24"/>
          <w:lang w:val="en-GB"/>
        </w:rPr>
        <w:t xml:space="preserve"> </w:t>
      </w:r>
    </w:p>
    <w:p w14:paraId="381E9223" w14:textId="77777777" w:rsidR="003D5D6F" w:rsidRPr="003D5D6F" w:rsidRDefault="003D5D6F" w:rsidP="003D5D6F">
      <w:pPr>
        <w:spacing w:line="360" w:lineRule="auto"/>
        <w:rPr>
          <w:rFonts w:asciiTheme="majorHAnsi" w:hAnsiTheme="majorHAnsi"/>
          <w:sz w:val="24"/>
          <w:szCs w:val="24"/>
          <w:lang w:val="en-GB"/>
        </w:rPr>
      </w:pPr>
      <w:r w:rsidRPr="003D5D6F">
        <w:rPr>
          <w:rFonts w:asciiTheme="majorHAnsi" w:hAnsiTheme="majorHAnsi"/>
          <w:sz w:val="24"/>
          <w:szCs w:val="24"/>
          <w:lang w:val="en-GB"/>
        </w:rPr>
        <w:t>In the realm of the athletic footwear industry, the intensity of competitive rivalry looms large, casting a high level of influence on the market dynamics. As outlined by Grant (2019), this scenario is characterized by the convergence of multiple players, each striving to capture market share, drive innovation, and outshine competitors.</w:t>
      </w:r>
    </w:p>
    <w:p w14:paraId="07D920C2" w14:textId="77777777" w:rsidR="003D5D6F" w:rsidRPr="003D5D6F" w:rsidRDefault="003D5D6F" w:rsidP="003D5D6F">
      <w:pPr>
        <w:spacing w:line="360" w:lineRule="auto"/>
        <w:rPr>
          <w:rFonts w:asciiTheme="majorHAnsi" w:hAnsiTheme="majorHAnsi"/>
          <w:sz w:val="24"/>
          <w:szCs w:val="24"/>
          <w:lang w:val="en-GB"/>
        </w:rPr>
      </w:pPr>
      <w:r w:rsidRPr="003D5D6F">
        <w:rPr>
          <w:rFonts w:asciiTheme="majorHAnsi" w:hAnsiTheme="majorHAnsi"/>
          <w:b/>
          <w:bCs/>
          <w:sz w:val="24"/>
          <w:szCs w:val="24"/>
          <w:lang w:val="en-GB"/>
        </w:rPr>
        <w:t>Advantages of Intense Competitive Rivalry:</w:t>
      </w:r>
    </w:p>
    <w:p w14:paraId="2FCA765D" w14:textId="77777777" w:rsidR="003D5D6F" w:rsidRPr="003D5D6F" w:rsidRDefault="003D5D6F" w:rsidP="003D5D6F">
      <w:pPr>
        <w:numPr>
          <w:ilvl w:val="0"/>
          <w:numId w:val="9"/>
        </w:numPr>
        <w:spacing w:line="360" w:lineRule="auto"/>
        <w:rPr>
          <w:rFonts w:asciiTheme="majorHAnsi" w:hAnsiTheme="majorHAnsi"/>
          <w:sz w:val="24"/>
          <w:szCs w:val="24"/>
          <w:lang w:val="en-GB"/>
        </w:rPr>
      </w:pPr>
      <w:r w:rsidRPr="003D5D6F">
        <w:rPr>
          <w:rFonts w:asciiTheme="majorHAnsi" w:hAnsiTheme="majorHAnsi"/>
          <w:b/>
          <w:bCs/>
          <w:sz w:val="24"/>
          <w:szCs w:val="24"/>
          <w:lang w:val="en-GB"/>
        </w:rPr>
        <w:t>Innovation Catalyst:</w:t>
      </w:r>
      <w:r w:rsidRPr="003D5D6F">
        <w:rPr>
          <w:rFonts w:asciiTheme="majorHAnsi" w:hAnsiTheme="majorHAnsi"/>
          <w:sz w:val="24"/>
          <w:szCs w:val="24"/>
          <w:lang w:val="en-GB"/>
        </w:rPr>
        <w:t xml:space="preserve"> The high level of competition acts as a crucible for innovation. Rivalry compels companies like Nike to continually push boundaries, invest in research and development, and introduce groundbreaking products. This innovation benefits consumers by offering them a stream of new and improved options (Grant, 2019).</w:t>
      </w:r>
    </w:p>
    <w:p w14:paraId="052B96FE" w14:textId="77777777" w:rsidR="003D5D6F" w:rsidRPr="003D5D6F" w:rsidRDefault="003D5D6F" w:rsidP="003D5D6F">
      <w:pPr>
        <w:numPr>
          <w:ilvl w:val="0"/>
          <w:numId w:val="9"/>
        </w:numPr>
        <w:spacing w:line="360" w:lineRule="auto"/>
        <w:rPr>
          <w:rFonts w:asciiTheme="majorHAnsi" w:hAnsiTheme="majorHAnsi"/>
          <w:sz w:val="24"/>
          <w:szCs w:val="24"/>
          <w:lang w:val="en-GB"/>
        </w:rPr>
      </w:pPr>
      <w:r w:rsidRPr="003D5D6F">
        <w:rPr>
          <w:rFonts w:asciiTheme="majorHAnsi" w:hAnsiTheme="majorHAnsi"/>
          <w:b/>
          <w:bCs/>
          <w:sz w:val="24"/>
          <w:szCs w:val="24"/>
          <w:lang w:val="en-GB"/>
        </w:rPr>
        <w:t>Enhanced Consumer Choice:</w:t>
      </w:r>
      <w:r w:rsidRPr="003D5D6F">
        <w:rPr>
          <w:rFonts w:asciiTheme="majorHAnsi" w:hAnsiTheme="majorHAnsi"/>
          <w:sz w:val="24"/>
          <w:szCs w:val="24"/>
          <w:lang w:val="en-GB"/>
        </w:rPr>
        <w:t xml:space="preserve"> Intense competition leads to a diverse range of products, styles, and technologies. Consumers are presented with an array of choices that cater to their varying preferences, needs, and tastes. The competition-driven variety enhances consumer experiences and satisfaction (Kotler et al., 2017).</w:t>
      </w:r>
    </w:p>
    <w:p w14:paraId="744C5381" w14:textId="77777777" w:rsidR="003D5D6F" w:rsidRPr="003D5D6F" w:rsidRDefault="003D5D6F" w:rsidP="003D5D6F">
      <w:pPr>
        <w:spacing w:line="360" w:lineRule="auto"/>
        <w:rPr>
          <w:rFonts w:asciiTheme="majorHAnsi" w:hAnsiTheme="majorHAnsi"/>
          <w:sz w:val="24"/>
          <w:szCs w:val="24"/>
          <w:lang w:val="en-GB"/>
        </w:rPr>
      </w:pPr>
      <w:r w:rsidRPr="003D5D6F">
        <w:rPr>
          <w:rFonts w:asciiTheme="majorHAnsi" w:hAnsiTheme="majorHAnsi"/>
          <w:b/>
          <w:bCs/>
          <w:sz w:val="24"/>
          <w:szCs w:val="24"/>
          <w:lang w:val="en-GB"/>
        </w:rPr>
        <w:t>Disadvantages of Intense Competitive Rivalry:</w:t>
      </w:r>
    </w:p>
    <w:p w14:paraId="2F2C75C6" w14:textId="77777777" w:rsidR="003D5D6F" w:rsidRPr="003D5D6F" w:rsidRDefault="003D5D6F" w:rsidP="003D5D6F">
      <w:pPr>
        <w:numPr>
          <w:ilvl w:val="0"/>
          <w:numId w:val="10"/>
        </w:numPr>
        <w:spacing w:line="360" w:lineRule="auto"/>
        <w:rPr>
          <w:rFonts w:asciiTheme="majorHAnsi" w:hAnsiTheme="majorHAnsi"/>
          <w:sz w:val="24"/>
          <w:szCs w:val="24"/>
          <w:lang w:val="en-GB"/>
        </w:rPr>
      </w:pPr>
      <w:r w:rsidRPr="003D5D6F">
        <w:rPr>
          <w:rFonts w:asciiTheme="majorHAnsi" w:hAnsiTheme="majorHAnsi"/>
          <w:b/>
          <w:bCs/>
          <w:sz w:val="24"/>
          <w:szCs w:val="24"/>
          <w:lang w:val="en-GB"/>
        </w:rPr>
        <w:t>Price Wars:</w:t>
      </w:r>
      <w:r w:rsidRPr="003D5D6F">
        <w:rPr>
          <w:rFonts w:asciiTheme="majorHAnsi" w:hAnsiTheme="majorHAnsi"/>
          <w:sz w:val="24"/>
          <w:szCs w:val="24"/>
          <w:lang w:val="en-GB"/>
        </w:rPr>
        <w:t xml:space="preserve"> The competitive landscape can trigger price wars as companies attempt to undercut each other. While this benefits consumers with lower prices, it can strain profit margins and hinder the financial health of companies. Additionally, overemphasis on price competition might dilute brand value (Kotler et al., 2017).</w:t>
      </w:r>
    </w:p>
    <w:p w14:paraId="57AEF4C9" w14:textId="77777777" w:rsidR="003D5D6F" w:rsidRPr="003D5D6F" w:rsidRDefault="003D5D6F" w:rsidP="003D5D6F">
      <w:pPr>
        <w:numPr>
          <w:ilvl w:val="0"/>
          <w:numId w:val="10"/>
        </w:numPr>
        <w:spacing w:line="360" w:lineRule="auto"/>
        <w:rPr>
          <w:rFonts w:asciiTheme="majorHAnsi" w:hAnsiTheme="majorHAnsi"/>
          <w:sz w:val="24"/>
          <w:szCs w:val="24"/>
          <w:lang w:val="en-GB"/>
        </w:rPr>
      </w:pPr>
      <w:r w:rsidRPr="003D5D6F">
        <w:rPr>
          <w:rFonts w:asciiTheme="majorHAnsi" w:hAnsiTheme="majorHAnsi"/>
          <w:b/>
          <w:bCs/>
          <w:sz w:val="24"/>
          <w:szCs w:val="24"/>
          <w:lang w:val="en-GB"/>
        </w:rPr>
        <w:t>Brand Erosion:</w:t>
      </w:r>
      <w:r w:rsidRPr="003D5D6F">
        <w:rPr>
          <w:rFonts w:asciiTheme="majorHAnsi" w:hAnsiTheme="majorHAnsi"/>
          <w:sz w:val="24"/>
          <w:szCs w:val="24"/>
          <w:lang w:val="en-GB"/>
        </w:rPr>
        <w:t xml:space="preserve"> Intense rivalry can lead to an excessive focus on immediate gains rather than long-term brand building. Companies might resort to aggressive marketing tactics that risk eroding brand equity and diluting the distinctiveness of products (</w:t>
      </w:r>
      <w:proofErr w:type="spellStart"/>
      <w:r w:rsidRPr="003D5D6F">
        <w:rPr>
          <w:rFonts w:asciiTheme="majorHAnsi" w:hAnsiTheme="majorHAnsi"/>
          <w:sz w:val="24"/>
          <w:szCs w:val="24"/>
          <w:lang w:val="en-GB"/>
        </w:rPr>
        <w:t>Kapferer</w:t>
      </w:r>
      <w:proofErr w:type="spellEnd"/>
      <w:r w:rsidRPr="003D5D6F">
        <w:rPr>
          <w:rFonts w:asciiTheme="majorHAnsi" w:hAnsiTheme="majorHAnsi"/>
          <w:sz w:val="24"/>
          <w:szCs w:val="24"/>
          <w:lang w:val="en-GB"/>
        </w:rPr>
        <w:t>, 1992).</w:t>
      </w:r>
    </w:p>
    <w:p w14:paraId="6DF1A446" w14:textId="77777777" w:rsidR="003D5D6F" w:rsidRPr="003D5D6F" w:rsidRDefault="003D5D6F" w:rsidP="003D5D6F">
      <w:pPr>
        <w:numPr>
          <w:ilvl w:val="0"/>
          <w:numId w:val="10"/>
        </w:numPr>
        <w:spacing w:line="360" w:lineRule="auto"/>
        <w:rPr>
          <w:rFonts w:asciiTheme="majorHAnsi" w:hAnsiTheme="majorHAnsi"/>
          <w:sz w:val="24"/>
          <w:szCs w:val="24"/>
          <w:lang w:val="en-GB"/>
        </w:rPr>
      </w:pPr>
      <w:r w:rsidRPr="003D5D6F">
        <w:rPr>
          <w:rFonts w:asciiTheme="majorHAnsi" w:hAnsiTheme="majorHAnsi"/>
          <w:b/>
          <w:bCs/>
          <w:sz w:val="24"/>
          <w:szCs w:val="24"/>
          <w:lang w:val="en-GB"/>
        </w:rPr>
        <w:t>Pressure on Innovation:</w:t>
      </w:r>
      <w:r w:rsidRPr="003D5D6F">
        <w:rPr>
          <w:rFonts w:asciiTheme="majorHAnsi" w:hAnsiTheme="majorHAnsi"/>
          <w:sz w:val="24"/>
          <w:szCs w:val="24"/>
          <w:lang w:val="en-GB"/>
        </w:rPr>
        <w:t xml:space="preserve"> While competition spurs innovation, it can also create pressures to prioritize short-term innovation at the expense of strategic, long-term product development. The race to outdo competitors can result in incremental improvements rather than disruptive innovations (Chaffey &amp; Ellis-Chadwick, 2019).</w:t>
      </w:r>
    </w:p>
    <w:p w14:paraId="64E39406" w14:textId="77777777" w:rsidR="003D5D6F" w:rsidRPr="003D5D6F" w:rsidRDefault="003D5D6F" w:rsidP="003D5D6F">
      <w:pPr>
        <w:rPr>
          <w:lang w:val="en-GB"/>
        </w:rPr>
      </w:pPr>
    </w:p>
    <w:p w14:paraId="5ADCD874" w14:textId="77777777" w:rsidR="00A632D6" w:rsidRPr="00A632D6" w:rsidRDefault="00A632D6" w:rsidP="00A632D6">
      <w:pPr>
        <w:rPr>
          <w:lang w:val="en-GB"/>
        </w:rPr>
      </w:pPr>
    </w:p>
    <w:p w14:paraId="303B0170" w14:textId="059E7D45" w:rsidR="00D622A3" w:rsidRDefault="00D622A3" w:rsidP="00D622A3">
      <w:pPr>
        <w:rPr>
          <w:rStyle w:val="Heading2Char"/>
          <w:lang w:val="en-GB"/>
        </w:rPr>
      </w:pPr>
      <w:bookmarkStart w:id="20" w:name="_Toc143892696"/>
      <w:r>
        <w:rPr>
          <w:rStyle w:val="Heading2Char"/>
          <w:lang w:val="en-GB"/>
        </w:rPr>
        <w:t>Conclusion</w:t>
      </w:r>
      <w:bookmarkEnd w:id="20"/>
      <w:r>
        <w:rPr>
          <w:rStyle w:val="Heading2Char"/>
          <w:lang w:val="en-GB"/>
        </w:rPr>
        <w:t xml:space="preserve"> </w:t>
      </w:r>
    </w:p>
    <w:p w14:paraId="231498C6" w14:textId="77777777" w:rsidR="00A94688" w:rsidRPr="00A94688" w:rsidRDefault="00A94688" w:rsidP="00A94688">
      <w:pPr>
        <w:spacing w:line="360" w:lineRule="auto"/>
        <w:rPr>
          <w:rFonts w:asciiTheme="majorHAnsi" w:hAnsiTheme="majorHAnsi"/>
          <w:sz w:val="24"/>
          <w:szCs w:val="24"/>
          <w:lang w:val="en-GB"/>
        </w:rPr>
      </w:pPr>
      <w:r w:rsidRPr="00A94688">
        <w:rPr>
          <w:lang w:val="en-GB"/>
        </w:rPr>
        <w:br/>
      </w:r>
      <w:r w:rsidRPr="00A94688">
        <w:rPr>
          <w:rFonts w:asciiTheme="majorHAnsi" w:hAnsiTheme="majorHAnsi"/>
          <w:sz w:val="24"/>
          <w:szCs w:val="24"/>
          <w:lang w:val="en-GB"/>
        </w:rPr>
        <w:t xml:space="preserve">In conclusion, Nike's remarkable success stands as a testament to its mastery of effective marketing strategies, encompassing a meticulous journey that spans comprehensive situational analysis, strategic planning, seamless implementation, and a commitment to continuous evaluation. The company's journey </w:t>
      </w:r>
      <w:proofErr w:type="gramStart"/>
      <w:r w:rsidRPr="00A94688">
        <w:rPr>
          <w:rFonts w:asciiTheme="majorHAnsi" w:hAnsiTheme="majorHAnsi"/>
          <w:sz w:val="24"/>
          <w:szCs w:val="24"/>
          <w:lang w:val="en-GB"/>
        </w:rPr>
        <w:t>is a reflection of</w:t>
      </w:r>
      <w:proofErr w:type="gramEnd"/>
      <w:r w:rsidRPr="00A94688">
        <w:rPr>
          <w:rFonts w:asciiTheme="majorHAnsi" w:hAnsiTheme="majorHAnsi"/>
          <w:sz w:val="24"/>
          <w:szCs w:val="24"/>
          <w:lang w:val="en-GB"/>
        </w:rPr>
        <w:t xml:space="preserve"> the harmonious orchestration of these stages, ensuring that Nike remains a trailblazer in the competitive realm of athletic footwear and sportswear.</w:t>
      </w:r>
    </w:p>
    <w:p w14:paraId="6835AF61" w14:textId="77777777" w:rsidR="00A94688" w:rsidRPr="00A94688" w:rsidRDefault="00A94688" w:rsidP="00A94688">
      <w:pPr>
        <w:spacing w:line="360" w:lineRule="auto"/>
        <w:rPr>
          <w:rFonts w:asciiTheme="majorHAnsi" w:hAnsiTheme="majorHAnsi"/>
          <w:sz w:val="24"/>
          <w:szCs w:val="24"/>
          <w:lang w:val="en-GB"/>
        </w:rPr>
      </w:pPr>
      <w:r w:rsidRPr="00A94688">
        <w:rPr>
          <w:rFonts w:asciiTheme="majorHAnsi" w:hAnsiTheme="majorHAnsi"/>
          <w:sz w:val="24"/>
          <w:szCs w:val="24"/>
          <w:lang w:val="en-GB"/>
        </w:rPr>
        <w:t>The foundation of Nike's achievements lies in its prowess in situational analysis, where it adeptly navigates the market environment by understanding competitors, consumers, and industry trends. This robust analysis serves as a compass, guiding the company to set clear and measurable objectives, a key step in their marketing process. Nike's strategic planning phase then comes to the fore, weaving a narrative that revolves around brand associations, innovative product development, and emotionally resonant customer connections.</w:t>
      </w:r>
    </w:p>
    <w:p w14:paraId="6E961911" w14:textId="77777777" w:rsidR="00A94688" w:rsidRPr="00A94688" w:rsidRDefault="00A94688" w:rsidP="00A94688">
      <w:pPr>
        <w:spacing w:line="360" w:lineRule="auto"/>
        <w:rPr>
          <w:rFonts w:asciiTheme="majorHAnsi" w:hAnsiTheme="majorHAnsi"/>
          <w:sz w:val="24"/>
          <w:szCs w:val="24"/>
          <w:lang w:val="en-GB"/>
        </w:rPr>
      </w:pPr>
      <w:r w:rsidRPr="00A94688">
        <w:rPr>
          <w:rFonts w:asciiTheme="majorHAnsi" w:hAnsiTheme="majorHAnsi"/>
          <w:sz w:val="24"/>
          <w:szCs w:val="24"/>
          <w:lang w:val="en-GB"/>
        </w:rPr>
        <w:t xml:space="preserve">In execution, Nike transforms strategies into impactful actions that reverberate across advertising campaigns, athlete sponsorships, and digital initiatives. This phase amplifies the brand's visibility and relevance, engaging consumers on multiple fronts. While the company enjoys </w:t>
      </w:r>
      <w:proofErr w:type="spellStart"/>
      <w:r w:rsidRPr="00A94688">
        <w:rPr>
          <w:rFonts w:asciiTheme="majorHAnsi" w:hAnsiTheme="majorHAnsi"/>
          <w:sz w:val="24"/>
          <w:szCs w:val="24"/>
          <w:lang w:val="en-GB"/>
        </w:rPr>
        <w:t>favorable</w:t>
      </w:r>
      <w:proofErr w:type="spellEnd"/>
      <w:r w:rsidRPr="00A94688">
        <w:rPr>
          <w:rFonts w:asciiTheme="majorHAnsi" w:hAnsiTheme="majorHAnsi"/>
          <w:sz w:val="24"/>
          <w:szCs w:val="24"/>
          <w:lang w:val="en-GB"/>
        </w:rPr>
        <w:t xml:space="preserve"> political and economic conditions, it grapples with legal intricacies and environmental concerns. However, Nike's strategic </w:t>
      </w:r>
      <w:proofErr w:type="spellStart"/>
      <w:r w:rsidRPr="00A94688">
        <w:rPr>
          <w:rFonts w:asciiTheme="majorHAnsi" w:hAnsiTheme="majorHAnsi"/>
          <w:sz w:val="24"/>
          <w:szCs w:val="24"/>
          <w:lang w:val="en-GB"/>
        </w:rPr>
        <w:t>maneuvers</w:t>
      </w:r>
      <w:proofErr w:type="spellEnd"/>
      <w:r w:rsidRPr="00A94688">
        <w:rPr>
          <w:rFonts w:asciiTheme="majorHAnsi" w:hAnsiTheme="majorHAnsi"/>
          <w:sz w:val="24"/>
          <w:szCs w:val="24"/>
          <w:lang w:val="en-GB"/>
        </w:rPr>
        <w:t xml:space="preserve"> and adept management enable it to not only navigate these challenges but also harness them to drive sustainable practices.</w:t>
      </w:r>
    </w:p>
    <w:p w14:paraId="0F4C928C" w14:textId="77777777" w:rsidR="00A94688" w:rsidRPr="00A94688" w:rsidRDefault="00A94688" w:rsidP="00A94688">
      <w:pPr>
        <w:spacing w:line="360" w:lineRule="auto"/>
        <w:rPr>
          <w:rFonts w:asciiTheme="majorHAnsi" w:hAnsiTheme="majorHAnsi"/>
          <w:sz w:val="24"/>
          <w:szCs w:val="24"/>
          <w:lang w:val="en-GB"/>
        </w:rPr>
      </w:pPr>
      <w:r w:rsidRPr="00A94688">
        <w:rPr>
          <w:rFonts w:asciiTheme="majorHAnsi" w:hAnsiTheme="majorHAnsi"/>
          <w:sz w:val="24"/>
          <w:szCs w:val="24"/>
          <w:lang w:val="en-GB"/>
        </w:rPr>
        <w:t xml:space="preserve">Nike's journey is also shaped by the interplay of competitive forces. It </w:t>
      </w:r>
      <w:proofErr w:type="spellStart"/>
      <w:r w:rsidRPr="00A94688">
        <w:rPr>
          <w:rFonts w:asciiTheme="majorHAnsi" w:hAnsiTheme="majorHAnsi"/>
          <w:sz w:val="24"/>
          <w:szCs w:val="24"/>
          <w:lang w:val="en-GB"/>
        </w:rPr>
        <w:t>skillfully</w:t>
      </w:r>
      <w:proofErr w:type="spellEnd"/>
      <w:r w:rsidRPr="00A94688">
        <w:rPr>
          <w:rFonts w:asciiTheme="majorHAnsi" w:hAnsiTheme="majorHAnsi"/>
          <w:sz w:val="24"/>
          <w:szCs w:val="24"/>
          <w:lang w:val="en-GB"/>
        </w:rPr>
        <w:t xml:space="preserve"> mitigates the bargaining power of buyers through its brand loyalty and unique offerings. Additionally, its deep supplier relationships and strong brand presence keep the forces of suppliers and substitutes in check. Despite intense rivalry, Nike capitalizes on its innovation and distinctive brand identity to maintain a stronghold.</w:t>
      </w:r>
    </w:p>
    <w:p w14:paraId="079EB198" w14:textId="77777777" w:rsidR="00A94688" w:rsidRPr="00A94688" w:rsidRDefault="00A94688" w:rsidP="00A94688">
      <w:pPr>
        <w:spacing w:line="360" w:lineRule="auto"/>
        <w:rPr>
          <w:rFonts w:asciiTheme="majorHAnsi" w:hAnsiTheme="majorHAnsi"/>
          <w:sz w:val="24"/>
          <w:szCs w:val="24"/>
          <w:lang w:val="en-GB"/>
        </w:rPr>
      </w:pPr>
      <w:r w:rsidRPr="00A94688">
        <w:rPr>
          <w:rFonts w:asciiTheme="majorHAnsi" w:hAnsiTheme="majorHAnsi"/>
          <w:sz w:val="24"/>
          <w:szCs w:val="24"/>
          <w:lang w:val="en-GB"/>
        </w:rPr>
        <w:t>Looking forward, Nike's strategic expansion and commitment to sustainability will continue to steer its course. By strategically venturing into new markets and product lines, Nike can harness its brand equity to pave new paths. Concurrently, a focus on sustainable practices not only aligns with growing consumer values but also fortifies the brand's long-term viability.</w:t>
      </w:r>
    </w:p>
    <w:p w14:paraId="6E0FD88D" w14:textId="77777777" w:rsidR="00A94688" w:rsidRPr="00A94688" w:rsidRDefault="00A94688" w:rsidP="00A94688">
      <w:pPr>
        <w:spacing w:line="360" w:lineRule="auto"/>
        <w:rPr>
          <w:rFonts w:asciiTheme="majorHAnsi" w:hAnsiTheme="majorHAnsi"/>
          <w:sz w:val="24"/>
          <w:szCs w:val="24"/>
          <w:lang w:val="en-GB"/>
        </w:rPr>
      </w:pPr>
      <w:r w:rsidRPr="00A94688">
        <w:rPr>
          <w:rFonts w:asciiTheme="majorHAnsi" w:hAnsiTheme="majorHAnsi"/>
          <w:sz w:val="24"/>
          <w:szCs w:val="24"/>
          <w:lang w:val="en-GB"/>
        </w:rPr>
        <w:t>In essence, Nike's journey is a symphony of strategic prowess and adaptability, harmonizing with both the opportunities and challenges posed by its dynamic environment. By remaining steadfast in its commitment to excellence and innovation, while keeping a finger on the pulse of changing consumer demands, Nike is poised to continue its domination of the athletic footwear industry, leaving an indelible imprint on the global stage.</w:t>
      </w:r>
    </w:p>
    <w:p w14:paraId="79A2B417" w14:textId="77777777" w:rsidR="00A94688" w:rsidRPr="003F61EF" w:rsidRDefault="00A94688" w:rsidP="00D622A3">
      <w:pPr>
        <w:rPr>
          <w:lang w:val="en-GB"/>
        </w:rPr>
      </w:pPr>
    </w:p>
    <w:p w14:paraId="35ED9956" w14:textId="5CE76A94" w:rsidR="00D622A3" w:rsidRPr="00A94688" w:rsidRDefault="00D622A3" w:rsidP="00A94688">
      <w:pPr>
        <w:pStyle w:val="Heading2"/>
        <w:spacing w:line="360" w:lineRule="auto"/>
        <w:rPr>
          <w:sz w:val="24"/>
          <w:szCs w:val="24"/>
          <w:lang w:val="en-GB"/>
        </w:rPr>
      </w:pPr>
      <w:bookmarkStart w:id="21" w:name="_Toc143892697"/>
      <w:r w:rsidRPr="00A94688">
        <w:rPr>
          <w:sz w:val="24"/>
          <w:szCs w:val="24"/>
          <w:lang w:val="en-GB"/>
        </w:rPr>
        <w:t>References</w:t>
      </w:r>
      <w:bookmarkEnd w:id="21"/>
      <w:r w:rsidRPr="00A94688">
        <w:rPr>
          <w:sz w:val="24"/>
          <w:szCs w:val="24"/>
          <w:lang w:val="en-GB"/>
        </w:rPr>
        <w:t xml:space="preserve"> </w:t>
      </w:r>
    </w:p>
    <w:p w14:paraId="3EC964CB" w14:textId="22CDABA7" w:rsidR="00810DD9" w:rsidRPr="00A94688" w:rsidRDefault="00DF44BE" w:rsidP="00A94688">
      <w:pPr>
        <w:spacing w:line="360" w:lineRule="auto"/>
        <w:rPr>
          <w:rFonts w:asciiTheme="majorHAnsi" w:hAnsiTheme="majorHAnsi"/>
          <w:sz w:val="24"/>
          <w:szCs w:val="24"/>
        </w:rPr>
      </w:pPr>
      <w:r w:rsidRPr="00A94688">
        <w:rPr>
          <w:rFonts w:asciiTheme="majorHAnsi" w:hAnsiTheme="majorHAnsi"/>
          <w:sz w:val="24"/>
          <w:szCs w:val="24"/>
        </w:rPr>
        <w:t xml:space="preserve">Kotler, P., Keller, K. L., Brady, M., Goodman, M., &amp; Hansen, T. (2017). </w:t>
      </w:r>
      <w:r w:rsidRPr="00A94688">
        <w:rPr>
          <w:rFonts w:asciiTheme="majorHAnsi" w:hAnsiTheme="majorHAnsi"/>
          <w:i/>
          <w:iCs/>
          <w:sz w:val="24"/>
          <w:szCs w:val="24"/>
        </w:rPr>
        <w:t>Marketing Management</w:t>
      </w:r>
      <w:r w:rsidRPr="00A94688">
        <w:rPr>
          <w:rFonts w:asciiTheme="majorHAnsi" w:hAnsiTheme="majorHAnsi"/>
          <w:sz w:val="24"/>
          <w:szCs w:val="24"/>
        </w:rPr>
        <w:t>. Pearson.</w:t>
      </w:r>
      <w:r w:rsidR="00F46EE2" w:rsidRPr="00A94688">
        <w:rPr>
          <w:rFonts w:asciiTheme="majorHAnsi" w:hAnsiTheme="majorHAnsi"/>
          <w:sz w:val="24"/>
          <w:szCs w:val="24"/>
        </w:rPr>
        <w:br/>
      </w:r>
      <w:r w:rsidR="0029047F" w:rsidRPr="00A94688">
        <w:rPr>
          <w:rFonts w:asciiTheme="majorHAnsi" w:hAnsiTheme="majorHAnsi"/>
          <w:sz w:val="24"/>
          <w:szCs w:val="24"/>
        </w:rPr>
        <w:t xml:space="preserve">Kerin, R. A., Hartley, S. W., &amp; </w:t>
      </w:r>
      <w:proofErr w:type="spellStart"/>
      <w:r w:rsidR="0029047F" w:rsidRPr="00A94688">
        <w:rPr>
          <w:rFonts w:asciiTheme="majorHAnsi" w:hAnsiTheme="majorHAnsi"/>
          <w:sz w:val="24"/>
          <w:szCs w:val="24"/>
        </w:rPr>
        <w:t>Rudelius</w:t>
      </w:r>
      <w:proofErr w:type="spellEnd"/>
      <w:r w:rsidR="0029047F" w:rsidRPr="00A94688">
        <w:rPr>
          <w:rFonts w:asciiTheme="majorHAnsi" w:hAnsiTheme="majorHAnsi"/>
          <w:sz w:val="24"/>
          <w:szCs w:val="24"/>
        </w:rPr>
        <w:t xml:space="preserve">, W. (2019). </w:t>
      </w:r>
      <w:r w:rsidR="0029047F" w:rsidRPr="00A94688">
        <w:rPr>
          <w:rFonts w:asciiTheme="majorHAnsi" w:hAnsiTheme="majorHAnsi"/>
          <w:i/>
          <w:iCs/>
          <w:sz w:val="24"/>
          <w:szCs w:val="24"/>
        </w:rPr>
        <w:t>Marketing</w:t>
      </w:r>
      <w:r w:rsidR="0029047F" w:rsidRPr="00A94688">
        <w:rPr>
          <w:rFonts w:asciiTheme="majorHAnsi" w:hAnsiTheme="majorHAnsi"/>
          <w:sz w:val="24"/>
          <w:szCs w:val="24"/>
        </w:rPr>
        <w:t>. McGraw-Hill.</w:t>
      </w:r>
    </w:p>
    <w:p w14:paraId="7DC35E62" w14:textId="570A07F7" w:rsidR="0029047F" w:rsidRPr="00A94688" w:rsidRDefault="0029047F" w:rsidP="00A94688">
      <w:pPr>
        <w:spacing w:line="360" w:lineRule="auto"/>
        <w:rPr>
          <w:rFonts w:asciiTheme="majorHAnsi" w:hAnsiTheme="majorHAnsi"/>
          <w:sz w:val="24"/>
          <w:szCs w:val="24"/>
        </w:rPr>
      </w:pPr>
      <w:r w:rsidRPr="00A94688">
        <w:rPr>
          <w:rFonts w:asciiTheme="majorHAnsi" w:hAnsiTheme="majorHAnsi"/>
          <w:sz w:val="24"/>
          <w:szCs w:val="24"/>
        </w:rPr>
        <w:t xml:space="preserve">Kotler, P., Keller, K. L., Brady, M., Goodman, M., &amp; Hansen, T. (2017). </w:t>
      </w:r>
      <w:r w:rsidRPr="00A94688">
        <w:rPr>
          <w:rFonts w:asciiTheme="majorHAnsi" w:hAnsiTheme="majorHAnsi"/>
          <w:i/>
          <w:iCs/>
          <w:sz w:val="24"/>
          <w:szCs w:val="24"/>
        </w:rPr>
        <w:t>Marketing Management</w:t>
      </w:r>
      <w:r w:rsidRPr="00A94688">
        <w:rPr>
          <w:rFonts w:asciiTheme="majorHAnsi" w:hAnsiTheme="majorHAnsi"/>
          <w:sz w:val="24"/>
          <w:szCs w:val="24"/>
        </w:rPr>
        <w:t>. Pearson.</w:t>
      </w:r>
    </w:p>
    <w:p w14:paraId="2034EB65" w14:textId="37663B60" w:rsidR="00AF55DB" w:rsidRPr="00A94688" w:rsidRDefault="00AF55DB" w:rsidP="00A94688">
      <w:pPr>
        <w:spacing w:line="360" w:lineRule="auto"/>
        <w:rPr>
          <w:rFonts w:asciiTheme="majorHAnsi" w:hAnsiTheme="majorHAnsi"/>
          <w:sz w:val="24"/>
          <w:szCs w:val="24"/>
        </w:rPr>
      </w:pPr>
      <w:r w:rsidRPr="00A94688">
        <w:rPr>
          <w:rFonts w:asciiTheme="majorHAnsi" w:hAnsiTheme="majorHAnsi"/>
          <w:sz w:val="24"/>
          <w:szCs w:val="24"/>
        </w:rPr>
        <w:t xml:space="preserve">Keller, K. L. (1993). Conceptualizing, measuring, and managing customer-based brand equity. </w:t>
      </w:r>
      <w:r w:rsidRPr="00A94688">
        <w:rPr>
          <w:rFonts w:asciiTheme="majorHAnsi" w:hAnsiTheme="majorHAnsi"/>
          <w:i/>
          <w:iCs/>
          <w:sz w:val="24"/>
          <w:szCs w:val="24"/>
        </w:rPr>
        <w:t>Journal of Marketing</w:t>
      </w:r>
      <w:r w:rsidRPr="00A94688">
        <w:rPr>
          <w:rFonts w:asciiTheme="majorHAnsi" w:hAnsiTheme="majorHAnsi"/>
          <w:sz w:val="24"/>
          <w:szCs w:val="24"/>
        </w:rPr>
        <w:t>, 57(1), 1-22.</w:t>
      </w:r>
    </w:p>
    <w:p w14:paraId="247BEB6F" w14:textId="17EE1EB7" w:rsidR="009111E9" w:rsidRPr="00A94688" w:rsidRDefault="009111E9" w:rsidP="00A94688">
      <w:pPr>
        <w:spacing w:line="360" w:lineRule="auto"/>
        <w:rPr>
          <w:rFonts w:asciiTheme="majorHAnsi" w:hAnsiTheme="majorHAnsi"/>
          <w:sz w:val="24"/>
          <w:szCs w:val="24"/>
        </w:rPr>
      </w:pPr>
      <w:r w:rsidRPr="00A94688">
        <w:rPr>
          <w:rFonts w:asciiTheme="majorHAnsi" w:hAnsiTheme="majorHAnsi"/>
          <w:sz w:val="24"/>
          <w:szCs w:val="24"/>
        </w:rPr>
        <w:t xml:space="preserve">Porter, M. E. (1990). The competitive advantage of nations. </w:t>
      </w:r>
      <w:r w:rsidRPr="00A94688">
        <w:rPr>
          <w:rFonts w:asciiTheme="majorHAnsi" w:hAnsiTheme="majorHAnsi"/>
          <w:i/>
          <w:iCs/>
          <w:sz w:val="24"/>
          <w:szCs w:val="24"/>
        </w:rPr>
        <w:t>Harvard Business Review</w:t>
      </w:r>
      <w:r w:rsidRPr="00A94688">
        <w:rPr>
          <w:rFonts w:asciiTheme="majorHAnsi" w:hAnsiTheme="majorHAnsi"/>
          <w:sz w:val="24"/>
          <w:szCs w:val="24"/>
        </w:rPr>
        <w:t>, 68(2), 73-93.</w:t>
      </w:r>
    </w:p>
    <w:p w14:paraId="4A296925" w14:textId="7232B065" w:rsidR="00E42A2C" w:rsidRPr="00A94688" w:rsidRDefault="00E42A2C" w:rsidP="00A94688">
      <w:pPr>
        <w:spacing w:line="360" w:lineRule="auto"/>
        <w:rPr>
          <w:rFonts w:asciiTheme="majorHAnsi" w:hAnsiTheme="majorHAnsi"/>
          <w:sz w:val="24"/>
          <w:szCs w:val="24"/>
        </w:rPr>
      </w:pPr>
      <w:proofErr w:type="spellStart"/>
      <w:r w:rsidRPr="00A94688">
        <w:rPr>
          <w:rFonts w:asciiTheme="majorHAnsi" w:hAnsiTheme="majorHAnsi"/>
          <w:sz w:val="24"/>
          <w:szCs w:val="24"/>
        </w:rPr>
        <w:t>Cavusgil</w:t>
      </w:r>
      <w:proofErr w:type="spellEnd"/>
      <w:r w:rsidRPr="00A94688">
        <w:rPr>
          <w:rFonts w:asciiTheme="majorHAnsi" w:hAnsiTheme="majorHAnsi"/>
          <w:sz w:val="24"/>
          <w:szCs w:val="24"/>
        </w:rPr>
        <w:t xml:space="preserve">, S. T., Knight, G., Riesenberger, J. R., Rammal, H. G., &amp; Rose, E. L. (2019). </w:t>
      </w:r>
      <w:r w:rsidRPr="00A94688">
        <w:rPr>
          <w:rFonts w:asciiTheme="majorHAnsi" w:hAnsiTheme="majorHAnsi"/>
          <w:i/>
          <w:iCs/>
          <w:sz w:val="24"/>
          <w:szCs w:val="24"/>
        </w:rPr>
        <w:t>International Business: The New Realities</w:t>
      </w:r>
      <w:r w:rsidRPr="00A94688">
        <w:rPr>
          <w:rFonts w:asciiTheme="majorHAnsi" w:hAnsiTheme="majorHAnsi"/>
          <w:sz w:val="24"/>
          <w:szCs w:val="24"/>
        </w:rPr>
        <w:t>. Pearson.</w:t>
      </w:r>
    </w:p>
    <w:p w14:paraId="33B0B1E5" w14:textId="4ADE8C15" w:rsidR="00DD3180" w:rsidRPr="00A94688" w:rsidRDefault="00DD3180" w:rsidP="00A94688">
      <w:pPr>
        <w:spacing w:line="360" w:lineRule="auto"/>
        <w:rPr>
          <w:rFonts w:asciiTheme="majorHAnsi" w:hAnsiTheme="majorHAnsi"/>
          <w:sz w:val="24"/>
          <w:szCs w:val="24"/>
        </w:rPr>
      </w:pPr>
      <w:r w:rsidRPr="00A94688">
        <w:rPr>
          <w:rFonts w:asciiTheme="majorHAnsi" w:hAnsiTheme="majorHAnsi"/>
          <w:sz w:val="24"/>
          <w:szCs w:val="24"/>
        </w:rPr>
        <w:t xml:space="preserve">Vartanian, L. R., Schwartz, M. B., &amp; Brownell, K. D. (2014). Effects of soft drink consumption on nutrition and health: A systematic review and meta-analysis. </w:t>
      </w:r>
      <w:r w:rsidRPr="00A94688">
        <w:rPr>
          <w:rFonts w:asciiTheme="majorHAnsi" w:hAnsiTheme="majorHAnsi"/>
          <w:i/>
          <w:iCs/>
          <w:sz w:val="24"/>
          <w:szCs w:val="24"/>
        </w:rPr>
        <w:t>American Journal of Public Health</w:t>
      </w:r>
      <w:r w:rsidRPr="00A94688">
        <w:rPr>
          <w:rFonts w:asciiTheme="majorHAnsi" w:hAnsiTheme="majorHAnsi"/>
          <w:sz w:val="24"/>
          <w:szCs w:val="24"/>
        </w:rPr>
        <w:t>, 97(4), 667-675.</w:t>
      </w:r>
    </w:p>
    <w:p w14:paraId="4322B04B" w14:textId="618CDCA8" w:rsidR="00BE2F48" w:rsidRPr="00A94688" w:rsidRDefault="00BE2F48" w:rsidP="00A94688">
      <w:pPr>
        <w:spacing w:line="360" w:lineRule="auto"/>
        <w:rPr>
          <w:rFonts w:asciiTheme="majorHAnsi" w:hAnsiTheme="majorHAnsi"/>
          <w:sz w:val="24"/>
          <w:szCs w:val="24"/>
        </w:rPr>
      </w:pPr>
      <w:r w:rsidRPr="00A94688">
        <w:rPr>
          <w:rFonts w:asciiTheme="majorHAnsi" w:hAnsiTheme="majorHAnsi"/>
          <w:sz w:val="24"/>
          <w:szCs w:val="24"/>
        </w:rPr>
        <w:t xml:space="preserve">Chaffey, D., &amp; Ellis-Chadwick, F. (2019). </w:t>
      </w:r>
      <w:r w:rsidRPr="00A94688">
        <w:rPr>
          <w:rFonts w:asciiTheme="majorHAnsi" w:hAnsiTheme="majorHAnsi"/>
          <w:i/>
          <w:iCs/>
          <w:sz w:val="24"/>
          <w:szCs w:val="24"/>
        </w:rPr>
        <w:t>Digital Marketing</w:t>
      </w:r>
      <w:r w:rsidRPr="00A94688">
        <w:rPr>
          <w:rFonts w:asciiTheme="majorHAnsi" w:hAnsiTheme="majorHAnsi"/>
          <w:sz w:val="24"/>
          <w:szCs w:val="24"/>
        </w:rPr>
        <w:t>. Pearson.</w:t>
      </w:r>
    </w:p>
    <w:p w14:paraId="57F725A6" w14:textId="0FB04D87" w:rsidR="00A0093D" w:rsidRPr="00A94688" w:rsidRDefault="00A0093D" w:rsidP="00A94688">
      <w:pPr>
        <w:spacing w:line="360" w:lineRule="auto"/>
        <w:rPr>
          <w:rFonts w:asciiTheme="majorHAnsi" w:hAnsiTheme="majorHAnsi"/>
          <w:sz w:val="24"/>
          <w:szCs w:val="24"/>
        </w:rPr>
      </w:pPr>
      <w:r w:rsidRPr="00A94688">
        <w:rPr>
          <w:rFonts w:asciiTheme="majorHAnsi" w:hAnsiTheme="majorHAnsi"/>
          <w:sz w:val="24"/>
          <w:szCs w:val="24"/>
        </w:rPr>
        <w:t xml:space="preserve">Porter, M. E. (1979). </w:t>
      </w:r>
      <w:r w:rsidRPr="00A94688">
        <w:rPr>
          <w:rFonts w:asciiTheme="majorHAnsi" w:hAnsiTheme="majorHAnsi"/>
          <w:i/>
          <w:iCs/>
          <w:sz w:val="24"/>
          <w:szCs w:val="24"/>
        </w:rPr>
        <w:t>How Competitive Forces Shape Strategy</w:t>
      </w:r>
      <w:r w:rsidRPr="00A94688">
        <w:rPr>
          <w:rFonts w:asciiTheme="majorHAnsi" w:hAnsiTheme="majorHAnsi"/>
          <w:sz w:val="24"/>
          <w:szCs w:val="24"/>
        </w:rPr>
        <w:t>. Harvard Business Review.</w:t>
      </w:r>
    </w:p>
    <w:p w14:paraId="4D3EA045" w14:textId="36274734" w:rsidR="00E129FE" w:rsidRPr="00A94688" w:rsidRDefault="00E129FE" w:rsidP="00A94688">
      <w:pPr>
        <w:spacing w:line="360" w:lineRule="auto"/>
        <w:rPr>
          <w:rFonts w:asciiTheme="majorHAnsi" w:hAnsiTheme="majorHAnsi"/>
          <w:sz w:val="24"/>
          <w:szCs w:val="24"/>
        </w:rPr>
      </w:pPr>
      <w:proofErr w:type="spellStart"/>
      <w:r w:rsidRPr="00A94688">
        <w:rPr>
          <w:rFonts w:asciiTheme="majorHAnsi" w:hAnsiTheme="majorHAnsi"/>
          <w:sz w:val="24"/>
          <w:szCs w:val="24"/>
        </w:rPr>
        <w:t>Kapferer</w:t>
      </w:r>
      <w:proofErr w:type="spellEnd"/>
      <w:r w:rsidRPr="00A94688">
        <w:rPr>
          <w:rFonts w:asciiTheme="majorHAnsi" w:hAnsiTheme="majorHAnsi"/>
          <w:sz w:val="24"/>
          <w:szCs w:val="24"/>
        </w:rPr>
        <w:t xml:space="preserve">, J. N. (1992). </w:t>
      </w:r>
      <w:r w:rsidRPr="00A94688">
        <w:rPr>
          <w:rFonts w:asciiTheme="majorHAnsi" w:hAnsiTheme="majorHAnsi"/>
          <w:i/>
          <w:iCs/>
          <w:sz w:val="24"/>
          <w:szCs w:val="24"/>
        </w:rPr>
        <w:t>Strategic Brand Management: New Approaches to Creating and Evaluating Brand Equity</w:t>
      </w:r>
      <w:r w:rsidRPr="00A94688">
        <w:rPr>
          <w:rFonts w:asciiTheme="majorHAnsi" w:hAnsiTheme="majorHAnsi"/>
          <w:sz w:val="24"/>
          <w:szCs w:val="24"/>
        </w:rPr>
        <w:t>. Free Press.</w:t>
      </w:r>
    </w:p>
    <w:p w14:paraId="4BE57331" w14:textId="2481342B" w:rsidR="00B15BD0" w:rsidRPr="00A94688" w:rsidRDefault="00B15BD0" w:rsidP="00A94688">
      <w:pPr>
        <w:spacing w:line="360" w:lineRule="auto"/>
        <w:rPr>
          <w:rFonts w:asciiTheme="majorHAnsi" w:hAnsiTheme="majorHAnsi"/>
          <w:sz w:val="24"/>
          <w:szCs w:val="24"/>
        </w:rPr>
      </w:pPr>
      <w:r w:rsidRPr="00A94688">
        <w:rPr>
          <w:rFonts w:asciiTheme="majorHAnsi" w:hAnsiTheme="majorHAnsi"/>
          <w:sz w:val="24"/>
          <w:szCs w:val="24"/>
        </w:rPr>
        <w:t xml:space="preserve">Chaffey, D., &amp; Ellis-Chadwick, F. (2019). </w:t>
      </w:r>
      <w:r w:rsidRPr="00A94688">
        <w:rPr>
          <w:rFonts w:asciiTheme="majorHAnsi" w:hAnsiTheme="majorHAnsi"/>
          <w:i/>
          <w:iCs/>
          <w:sz w:val="24"/>
          <w:szCs w:val="24"/>
        </w:rPr>
        <w:t>Digital Marketing</w:t>
      </w:r>
      <w:r w:rsidRPr="00A94688">
        <w:rPr>
          <w:rFonts w:asciiTheme="majorHAnsi" w:hAnsiTheme="majorHAnsi"/>
          <w:sz w:val="24"/>
          <w:szCs w:val="24"/>
        </w:rPr>
        <w:t>. Pearson.</w:t>
      </w:r>
    </w:p>
    <w:p w14:paraId="51804B94" w14:textId="0DFE720E" w:rsidR="004A3A6B" w:rsidRPr="00A94688" w:rsidRDefault="004A3A6B" w:rsidP="00A94688">
      <w:pPr>
        <w:spacing w:line="360" w:lineRule="auto"/>
        <w:rPr>
          <w:rFonts w:asciiTheme="majorHAnsi" w:hAnsiTheme="majorHAnsi"/>
          <w:sz w:val="24"/>
          <w:szCs w:val="24"/>
        </w:rPr>
      </w:pPr>
      <w:r w:rsidRPr="00A94688">
        <w:rPr>
          <w:rFonts w:asciiTheme="majorHAnsi" w:hAnsiTheme="majorHAnsi"/>
          <w:sz w:val="24"/>
          <w:szCs w:val="24"/>
        </w:rPr>
        <w:t xml:space="preserve">Merriman, L. (2017). Fashion's new paradigm: Sportswear as an identity. In </w:t>
      </w:r>
      <w:r w:rsidRPr="00A94688">
        <w:rPr>
          <w:rFonts w:asciiTheme="majorHAnsi" w:hAnsiTheme="majorHAnsi"/>
          <w:i/>
          <w:iCs/>
          <w:sz w:val="24"/>
          <w:szCs w:val="24"/>
        </w:rPr>
        <w:t>The Routledge Companion to Fashion Studies</w:t>
      </w:r>
      <w:r w:rsidRPr="00A94688">
        <w:rPr>
          <w:rFonts w:asciiTheme="majorHAnsi" w:hAnsiTheme="majorHAnsi"/>
          <w:sz w:val="24"/>
          <w:szCs w:val="24"/>
        </w:rPr>
        <w:t xml:space="preserve"> (pp. 168-178). Routledge.</w:t>
      </w:r>
    </w:p>
    <w:sectPr w:rsidR="004A3A6B" w:rsidRPr="00A9468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03470"/>
    <w:multiLevelType w:val="multilevel"/>
    <w:tmpl w:val="DF544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B7D5025"/>
    <w:multiLevelType w:val="multilevel"/>
    <w:tmpl w:val="AF48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B505DDE"/>
    <w:multiLevelType w:val="multilevel"/>
    <w:tmpl w:val="9DC2A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1505F6"/>
    <w:multiLevelType w:val="multilevel"/>
    <w:tmpl w:val="AB1E1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0F70FF"/>
    <w:multiLevelType w:val="multilevel"/>
    <w:tmpl w:val="6E30C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D634226"/>
    <w:multiLevelType w:val="multilevel"/>
    <w:tmpl w:val="E1A4D1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CF7C64"/>
    <w:multiLevelType w:val="multilevel"/>
    <w:tmpl w:val="95241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1D4F4C"/>
    <w:multiLevelType w:val="multilevel"/>
    <w:tmpl w:val="AF6EA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ED5674C"/>
    <w:multiLevelType w:val="multilevel"/>
    <w:tmpl w:val="1F2AE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BDD595C"/>
    <w:multiLevelType w:val="multilevel"/>
    <w:tmpl w:val="DC66D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9431188">
    <w:abstractNumId w:val="9"/>
  </w:num>
  <w:num w:numId="2" w16cid:durableId="1976136394">
    <w:abstractNumId w:val="2"/>
  </w:num>
  <w:num w:numId="3" w16cid:durableId="112788559">
    <w:abstractNumId w:val="7"/>
  </w:num>
  <w:num w:numId="4" w16cid:durableId="48118892">
    <w:abstractNumId w:val="1"/>
  </w:num>
  <w:num w:numId="5" w16cid:durableId="925041968">
    <w:abstractNumId w:val="4"/>
  </w:num>
  <w:num w:numId="6" w16cid:durableId="1156609828">
    <w:abstractNumId w:val="0"/>
  </w:num>
  <w:num w:numId="7" w16cid:durableId="2012565704">
    <w:abstractNumId w:val="5"/>
  </w:num>
  <w:num w:numId="8" w16cid:durableId="1485703449">
    <w:abstractNumId w:val="8"/>
  </w:num>
  <w:num w:numId="9" w16cid:durableId="1612862688">
    <w:abstractNumId w:val="6"/>
  </w:num>
  <w:num w:numId="10" w16cid:durableId="15313319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CA4"/>
    <w:rsid w:val="000D723B"/>
    <w:rsid w:val="0029047F"/>
    <w:rsid w:val="002B7CA4"/>
    <w:rsid w:val="003B3613"/>
    <w:rsid w:val="003D5D6F"/>
    <w:rsid w:val="003F61EF"/>
    <w:rsid w:val="00432C84"/>
    <w:rsid w:val="004A3A6B"/>
    <w:rsid w:val="004C67E3"/>
    <w:rsid w:val="004F1C14"/>
    <w:rsid w:val="005320EB"/>
    <w:rsid w:val="00543DAD"/>
    <w:rsid w:val="005D3C82"/>
    <w:rsid w:val="00604342"/>
    <w:rsid w:val="006A6DFF"/>
    <w:rsid w:val="007855E5"/>
    <w:rsid w:val="007964EC"/>
    <w:rsid w:val="007B0217"/>
    <w:rsid w:val="007C0113"/>
    <w:rsid w:val="00810DD9"/>
    <w:rsid w:val="0087641C"/>
    <w:rsid w:val="009111E9"/>
    <w:rsid w:val="009E56E5"/>
    <w:rsid w:val="00A0093D"/>
    <w:rsid w:val="00A333FD"/>
    <w:rsid w:val="00A632D6"/>
    <w:rsid w:val="00A94688"/>
    <w:rsid w:val="00AF55DB"/>
    <w:rsid w:val="00AF5688"/>
    <w:rsid w:val="00B15BD0"/>
    <w:rsid w:val="00BE2F48"/>
    <w:rsid w:val="00CA1947"/>
    <w:rsid w:val="00D622A3"/>
    <w:rsid w:val="00DC0519"/>
    <w:rsid w:val="00DD3180"/>
    <w:rsid w:val="00DE1445"/>
    <w:rsid w:val="00DF44BE"/>
    <w:rsid w:val="00E129FE"/>
    <w:rsid w:val="00E42A2C"/>
    <w:rsid w:val="00F46EE2"/>
    <w:rsid w:val="00FA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DA2D2"/>
  <w15:chartTrackingRefBased/>
  <w15:docId w15:val="{13E922D0-A663-4057-9201-4FBA46511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22A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D622A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22A3"/>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622A3"/>
    <w:pPr>
      <w:spacing w:line="259" w:lineRule="auto"/>
      <w:outlineLvl w:val="9"/>
    </w:pPr>
    <w:rPr>
      <w:kern w:val="0"/>
    </w:rPr>
  </w:style>
  <w:style w:type="character" w:customStyle="1" w:styleId="Heading2Char">
    <w:name w:val="Heading 2 Char"/>
    <w:basedOn w:val="DefaultParagraphFont"/>
    <w:link w:val="Heading2"/>
    <w:uiPriority w:val="9"/>
    <w:rsid w:val="00D622A3"/>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622A3"/>
    <w:pPr>
      <w:spacing w:after="100"/>
      <w:ind w:left="220"/>
    </w:pPr>
  </w:style>
  <w:style w:type="character" w:styleId="Hyperlink">
    <w:name w:val="Hyperlink"/>
    <w:basedOn w:val="DefaultParagraphFont"/>
    <w:uiPriority w:val="99"/>
    <w:unhideWhenUsed/>
    <w:rsid w:val="00D622A3"/>
    <w:rPr>
      <w:color w:val="0000FF" w:themeColor="hyperlink"/>
      <w:u w:val="single"/>
    </w:rPr>
  </w:style>
  <w:style w:type="paragraph" w:styleId="NormalWeb">
    <w:name w:val="Normal (Web)"/>
    <w:basedOn w:val="Normal"/>
    <w:uiPriority w:val="99"/>
    <w:semiHidden/>
    <w:unhideWhenUsed/>
    <w:rsid w:val="00FA5EF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A333FD"/>
    <w:rPr>
      <w:color w:val="605E5C"/>
      <w:shd w:val="clear" w:color="auto" w:fill="E1DFDD"/>
    </w:rPr>
  </w:style>
  <w:style w:type="paragraph" w:styleId="Title">
    <w:name w:val="Title"/>
    <w:basedOn w:val="Normal"/>
    <w:next w:val="Normal"/>
    <w:link w:val="TitleChar"/>
    <w:uiPriority w:val="10"/>
    <w:qFormat/>
    <w:rsid w:val="00A333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33F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524500">
      <w:bodyDiv w:val="1"/>
      <w:marLeft w:val="0"/>
      <w:marRight w:val="0"/>
      <w:marTop w:val="0"/>
      <w:marBottom w:val="0"/>
      <w:divBdr>
        <w:top w:val="none" w:sz="0" w:space="0" w:color="auto"/>
        <w:left w:val="none" w:sz="0" w:space="0" w:color="auto"/>
        <w:bottom w:val="none" w:sz="0" w:space="0" w:color="auto"/>
        <w:right w:val="none" w:sz="0" w:space="0" w:color="auto"/>
      </w:divBdr>
    </w:div>
    <w:div w:id="62995629">
      <w:bodyDiv w:val="1"/>
      <w:marLeft w:val="0"/>
      <w:marRight w:val="0"/>
      <w:marTop w:val="0"/>
      <w:marBottom w:val="0"/>
      <w:divBdr>
        <w:top w:val="none" w:sz="0" w:space="0" w:color="auto"/>
        <w:left w:val="none" w:sz="0" w:space="0" w:color="auto"/>
        <w:bottom w:val="none" w:sz="0" w:space="0" w:color="auto"/>
        <w:right w:val="none" w:sz="0" w:space="0" w:color="auto"/>
      </w:divBdr>
    </w:div>
    <w:div w:id="425200447">
      <w:bodyDiv w:val="1"/>
      <w:marLeft w:val="0"/>
      <w:marRight w:val="0"/>
      <w:marTop w:val="0"/>
      <w:marBottom w:val="0"/>
      <w:divBdr>
        <w:top w:val="none" w:sz="0" w:space="0" w:color="auto"/>
        <w:left w:val="none" w:sz="0" w:space="0" w:color="auto"/>
        <w:bottom w:val="none" w:sz="0" w:space="0" w:color="auto"/>
        <w:right w:val="none" w:sz="0" w:space="0" w:color="auto"/>
      </w:divBdr>
      <w:divsChild>
        <w:div w:id="1587109752">
          <w:marLeft w:val="0"/>
          <w:marRight w:val="0"/>
          <w:marTop w:val="0"/>
          <w:marBottom w:val="0"/>
          <w:divBdr>
            <w:top w:val="single" w:sz="2" w:space="0" w:color="D9D9E3"/>
            <w:left w:val="single" w:sz="2" w:space="0" w:color="D9D9E3"/>
            <w:bottom w:val="single" w:sz="2" w:space="0" w:color="D9D9E3"/>
            <w:right w:val="single" w:sz="2" w:space="0" w:color="D9D9E3"/>
          </w:divBdr>
          <w:divsChild>
            <w:div w:id="1108698065">
              <w:marLeft w:val="0"/>
              <w:marRight w:val="0"/>
              <w:marTop w:val="0"/>
              <w:marBottom w:val="0"/>
              <w:divBdr>
                <w:top w:val="single" w:sz="2" w:space="0" w:color="D9D9E3"/>
                <w:left w:val="single" w:sz="2" w:space="0" w:color="D9D9E3"/>
                <w:bottom w:val="single" w:sz="2" w:space="0" w:color="D9D9E3"/>
                <w:right w:val="single" w:sz="2" w:space="0" w:color="D9D9E3"/>
              </w:divBdr>
              <w:divsChild>
                <w:div w:id="532229762">
                  <w:marLeft w:val="0"/>
                  <w:marRight w:val="0"/>
                  <w:marTop w:val="0"/>
                  <w:marBottom w:val="0"/>
                  <w:divBdr>
                    <w:top w:val="single" w:sz="2" w:space="0" w:color="D9D9E3"/>
                    <w:left w:val="single" w:sz="2" w:space="0" w:color="D9D9E3"/>
                    <w:bottom w:val="single" w:sz="2" w:space="0" w:color="D9D9E3"/>
                    <w:right w:val="single" w:sz="2" w:space="0" w:color="D9D9E3"/>
                  </w:divBdr>
                  <w:divsChild>
                    <w:div w:id="2053991039">
                      <w:marLeft w:val="0"/>
                      <w:marRight w:val="0"/>
                      <w:marTop w:val="0"/>
                      <w:marBottom w:val="0"/>
                      <w:divBdr>
                        <w:top w:val="single" w:sz="2" w:space="0" w:color="D9D9E3"/>
                        <w:left w:val="single" w:sz="2" w:space="0" w:color="D9D9E3"/>
                        <w:bottom w:val="single" w:sz="2" w:space="0" w:color="D9D9E3"/>
                        <w:right w:val="single" w:sz="2" w:space="0" w:color="D9D9E3"/>
                      </w:divBdr>
                      <w:divsChild>
                        <w:div w:id="1537083843">
                          <w:marLeft w:val="0"/>
                          <w:marRight w:val="0"/>
                          <w:marTop w:val="0"/>
                          <w:marBottom w:val="0"/>
                          <w:divBdr>
                            <w:top w:val="single" w:sz="2" w:space="0" w:color="auto"/>
                            <w:left w:val="single" w:sz="2" w:space="0" w:color="auto"/>
                            <w:bottom w:val="single" w:sz="6" w:space="0" w:color="auto"/>
                            <w:right w:val="single" w:sz="2" w:space="0" w:color="auto"/>
                          </w:divBdr>
                          <w:divsChild>
                            <w:div w:id="1676762004">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809185">
                                  <w:marLeft w:val="0"/>
                                  <w:marRight w:val="0"/>
                                  <w:marTop w:val="0"/>
                                  <w:marBottom w:val="0"/>
                                  <w:divBdr>
                                    <w:top w:val="single" w:sz="2" w:space="0" w:color="D9D9E3"/>
                                    <w:left w:val="single" w:sz="2" w:space="0" w:color="D9D9E3"/>
                                    <w:bottom w:val="single" w:sz="2" w:space="0" w:color="D9D9E3"/>
                                    <w:right w:val="single" w:sz="2" w:space="0" w:color="D9D9E3"/>
                                  </w:divBdr>
                                  <w:divsChild>
                                    <w:div w:id="737241912">
                                      <w:marLeft w:val="0"/>
                                      <w:marRight w:val="0"/>
                                      <w:marTop w:val="0"/>
                                      <w:marBottom w:val="0"/>
                                      <w:divBdr>
                                        <w:top w:val="single" w:sz="2" w:space="0" w:color="D9D9E3"/>
                                        <w:left w:val="single" w:sz="2" w:space="0" w:color="D9D9E3"/>
                                        <w:bottom w:val="single" w:sz="2" w:space="0" w:color="D9D9E3"/>
                                        <w:right w:val="single" w:sz="2" w:space="0" w:color="D9D9E3"/>
                                      </w:divBdr>
                                      <w:divsChild>
                                        <w:div w:id="1302886930">
                                          <w:marLeft w:val="0"/>
                                          <w:marRight w:val="0"/>
                                          <w:marTop w:val="0"/>
                                          <w:marBottom w:val="0"/>
                                          <w:divBdr>
                                            <w:top w:val="single" w:sz="2" w:space="0" w:color="D9D9E3"/>
                                            <w:left w:val="single" w:sz="2" w:space="0" w:color="D9D9E3"/>
                                            <w:bottom w:val="single" w:sz="2" w:space="0" w:color="D9D9E3"/>
                                            <w:right w:val="single" w:sz="2" w:space="0" w:color="D9D9E3"/>
                                          </w:divBdr>
                                          <w:divsChild>
                                            <w:div w:id="17493085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13101905">
          <w:marLeft w:val="0"/>
          <w:marRight w:val="0"/>
          <w:marTop w:val="0"/>
          <w:marBottom w:val="0"/>
          <w:divBdr>
            <w:top w:val="none" w:sz="0" w:space="0" w:color="auto"/>
            <w:left w:val="none" w:sz="0" w:space="0" w:color="auto"/>
            <w:bottom w:val="none" w:sz="0" w:space="0" w:color="auto"/>
            <w:right w:val="none" w:sz="0" w:space="0" w:color="auto"/>
          </w:divBdr>
        </w:div>
      </w:divsChild>
    </w:div>
    <w:div w:id="543568342">
      <w:bodyDiv w:val="1"/>
      <w:marLeft w:val="0"/>
      <w:marRight w:val="0"/>
      <w:marTop w:val="0"/>
      <w:marBottom w:val="0"/>
      <w:divBdr>
        <w:top w:val="none" w:sz="0" w:space="0" w:color="auto"/>
        <w:left w:val="none" w:sz="0" w:space="0" w:color="auto"/>
        <w:bottom w:val="none" w:sz="0" w:space="0" w:color="auto"/>
        <w:right w:val="none" w:sz="0" w:space="0" w:color="auto"/>
      </w:divBdr>
    </w:div>
    <w:div w:id="754016548">
      <w:bodyDiv w:val="1"/>
      <w:marLeft w:val="0"/>
      <w:marRight w:val="0"/>
      <w:marTop w:val="0"/>
      <w:marBottom w:val="0"/>
      <w:divBdr>
        <w:top w:val="none" w:sz="0" w:space="0" w:color="auto"/>
        <w:left w:val="none" w:sz="0" w:space="0" w:color="auto"/>
        <w:bottom w:val="none" w:sz="0" w:space="0" w:color="auto"/>
        <w:right w:val="none" w:sz="0" w:space="0" w:color="auto"/>
      </w:divBdr>
    </w:div>
    <w:div w:id="882401723">
      <w:bodyDiv w:val="1"/>
      <w:marLeft w:val="0"/>
      <w:marRight w:val="0"/>
      <w:marTop w:val="0"/>
      <w:marBottom w:val="0"/>
      <w:divBdr>
        <w:top w:val="none" w:sz="0" w:space="0" w:color="auto"/>
        <w:left w:val="none" w:sz="0" w:space="0" w:color="auto"/>
        <w:bottom w:val="none" w:sz="0" w:space="0" w:color="auto"/>
        <w:right w:val="none" w:sz="0" w:space="0" w:color="auto"/>
      </w:divBdr>
    </w:div>
    <w:div w:id="928390250">
      <w:bodyDiv w:val="1"/>
      <w:marLeft w:val="0"/>
      <w:marRight w:val="0"/>
      <w:marTop w:val="0"/>
      <w:marBottom w:val="0"/>
      <w:divBdr>
        <w:top w:val="none" w:sz="0" w:space="0" w:color="auto"/>
        <w:left w:val="none" w:sz="0" w:space="0" w:color="auto"/>
        <w:bottom w:val="none" w:sz="0" w:space="0" w:color="auto"/>
        <w:right w:val="none" w:sz="0" w:space="0" w:color="auto"/>
      </w:divBdr>
    </w:div>
    <w:div w:id="938370568">
      <w:bodyDiv w:val="1"/>
      <w:marLeft w:val="0"/>
      <w:marRight w:val="0"/>
      <w:marTop w:val="0"/>
      <w:marBottom w:val="0"/>
      <w:divBdr>
        <w:top w:val="none" w:sz="0" w:space="0" w:color="auto"/>
        <w:left w:val="none" w:sz="0" w:space="0" w:color="auto"/>
        <w:bottom w:val="none" w:sz="0" w:space="0" w:color="auto"/>
        <w:right w:val="none" w:sz="0" w:space="0" w:color="auto"/>
      </w:divBdr>
    </w:div>
    <w:div w:id="1008872740">
      <w:bodyDiv w:val="1"/>
      <w:marLeft w:val="0"/>
      <w:marRight w:val="0"/>
      <w:marTop w:val="0"/>
      <w:marBottom w:val="0"/>
      <w:divBdr>
        <w:top w:val="none" w:sz="0" w:space="0" w:color="auto"/>
        <w:left w:val="none" w:sz="0" w:space="0" w:color="auto"/>
        <w:bottom w:val="none" w:sz="0" w:space="0" w:color="auto"/>
        <w:right w:val="none" w:sz="0" w:space="0" w:color="auto"/>
      </w:divBdr>
    </w:div>
    <w:div w:id="1121194706">
      <w:bodyDiv w:val="1"/>
      <w:marLeft w:val="0"/>
      <w:marRight w:val="0"/>
      <w:marTop w:val="0"/>
      <w:marBottom w:val="0"/>
      <w:divBdr>
        <w:top w:val="none" w:sz="0" w:space="0" w:color="auto"/>
        <w:left w:val="none" w:sz="0" w:space="0" w:color="auto"/>
        <w:bottom w:val="none" w:sz="0" w:space="0" w:color="auto"/>
        <w:right w:val="none" w:sz="0" w:space="0" w:color="auto"/>
      </w:divBdr>
    </w:div>
    <w:div w:id="1486584149">
      <w:bodyDiv w:val="1"/>
      <w:marLeft w:val="0"/>
      <w:marRight w:val="0"/>
      <w:marTop w:val="0"/>
      <w:marBottom w:val="0"/>
      <w:divBdr>
        <w:top w:val="none" w:sz="0" w:space="0" w:color="auto"/>
        <w:left w:val="none" w:sz="0" w:space="0" w:color="auto"/>
        <w:bottom w:val="none" w:sz="0" w:space="0" w:color="auto"/>
        <w:right w:val="none" w:sz="0" w:space="0" w:color="auto"/>
      </w:divBdr>
    </w:div>
    <w:div w:id="1682201081">
      <w:bodyDiv w:val="1"/>
      <w:marLeft w:val="0"/>
      <w:marRight w:val="0"/>
      <w:marTop w:val="0"/>
      <w:marBottom w:val="0"/>
      <w:divBdr>
        <w:top w:val="none" w:sz="0" w:space="0" w:color="auto"/>
        <w:left w:val="none" w:sz="0" w:space="0" w:color="auto"/>
        <w:bottom w:val="none" w:sz="0" w:space="0" w:color="auto"/>
        <w:right w:val="none" w:sz="0" w:space="0" w:color="auto"/>
      </w:divBdr>
    </w:div>
    <w:div w:id="1895309754">
      <w:bodyDiv w:val="1"/>
      <w:marLeft w:val="0"/>
      <w:marRight w:val="0"/>
      <w:marTop w:val="0"/>
      <w:marBottom w:val="0"/>
      <w:divBdr>
        <w:top w:val="none" w:sz="0" w:space="0" w:color="auto"/>
        <w:left w:val="none" w:sz="0" w:space="0" w:color="auto"/>
        <w:bottom w:val="none" w:sz="0" w:space="0" w:color="auto"/>
        <w:right w:val="none" w:sz="0" w:space="0" w:color="auto"/>
      </w:divBdr>
    </w:div>
    <w:div w:id="191800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E93D1BF-AEB0-45AB-A6DA-7F8CC5872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3709</Words>
  <Characters>21146</Characters>
  <Application>Microsoft Office Word</Application>
  <DocSecurity>0</DocSecurity>
  <Lines>176</Lines>
  <Paragraphs>49</Paragraphs>
  <ScaleCrop>false</ScaleCrop>
  <Company>Grizli777</Company>
  <LinksUpToDate>false</LinksUpToDate>
  <CharactersWithSpaces>24806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Fizesan</dc:creator>
  <cp:keywords/>
  <dc:description/>
  <cp:lastModifiedBy>Florin Fizesan</cp:lastModifiedBy>
  <cp:revision>2</cp:revision>
  <dcterms:created xsi:type="dcterms:W3CDTF">2023-08-25T21:29:00Z</dcterms:created>
  <dcterms:modified xsi:type="dcterms:W3CDTF">2023-08-25T21:29:00Z</dcterms:modified>
</cp:coreProperties>
</file>