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38B44" w14:textId="77777777" w:rsidR="00BF0DED" w:rsidRDefault="00BF0DED">
      <w:pPr>
        <w:rPr>
          <w:b/>
          <w:bCs/>
          <w:i/>
          <w:iCs/>
          <w:u w:val="single"/>
        </w:rPr>
      </w:pPr>
    </w:p>
    <w:p w14:paraId="7D2E415E" w14:textId="6A491095" w:rsidR="00AD4211" w:rsidRPr="00C448CC" w:rsidRDefault="00BF0DED" w:rsidP="00C448CC">
      <w:pPr>
        <w:rPr>
          <w:b/>
          <w:bCs/>
          <w:i/>
          <w:iCs/>
          <w:u w:val="single"/>
          <w:vertAlign w:val="superscript"/>
        </w:rPr>
      </w:pPr>
      <w:r w:rsidRPr="00BF0DED">
        <w:rPr>
          <w:b/>
          <w:bCs/>
          <w:i/>
          <w:iCs/>
          <w:u w:val="single"/>
        </w:rPr>
        <w:t xml:space="preserve">Worksheet for </w:t>
      </w:r>
      <w:r w:rsidR="00FE37AF">
        <w:rPr>
          <w:b/>
          <w:bCs/>
          <w:i/>
          <w:iCs/>
          <w:u w:val="single"/>
        </w:rPr>
        <w:t>Frida</w:t>
      </w:r>
      <w:r w:rsidR="00C448CC">
        <w:rPr>
          <w:b/>
          <w:bCs/>
          <w:i/>
          <w:iCs/>
          <w:u w:val="single"/>
        </w:rPr>
        <w:t>y 26</w:t>
      </w:r>
      <w:r w:rsidR="00C448CC" w:rsidRPr="00C448CC">
        <w:rPr>
          <w:b/>
          <w:bCs/>
          <w:i/>
          <w:iCs/>
          <w:u w:val="single"/>
          <w:vertAlign w:val="superscript"/>
        </w:rPr>
        <w:t>th</w:t>
      </w:r>
      <w:r w:rsidR="00FE37AF">
        <w:rPr>
          <w:b/>
          <w:bCs/>
          <w:i/>
          <w:iCs/>
          <w:u w:val="single"/>
        </w:rPr>
        <w:t xml:space="preserve"> </w:t>
      </w:r>
      <w:r w:rsidR="00A80C11">
        <w:rPr>
          <w:b/>
          <w:bCs/>
          <w:i/>
          <w:iCs/>
          <w:u w:val="single"/>
        </w:rPr>
        <w:t xml:space="preserve">May </w:t>
      </w:r>
    </w:p>
    <w:p w14:paraId="2857CBFC" w14:textId="7E6F17F5" w:rsidR="00703BB5" w:rsidRDefault="004A5B3B" w:rsidP="00512F20">
      <w:r>
        <w:t xml:space="preserve">It might be helpful to have these questions in front of you while watching the lecture. </w:t>
      </w:r>
    </w:p>
    <w:p w14:paraId="06F6FE94" w14:textId="77777777" w:rsidR="004A5B3B" w:rsidRDefault="004A5B3B" w:rsidP="00512F20"/>
    <w:p w14:paraId="30397100" w14:textId="4C2D6491" w:rsidR="009A1462" w:rsidRDefault="000E393A" w:rsidP="004A5B3B">
      <w:pPr>
        <w:pStyle w:val="ListParagraph"/>
        <w:numPr>
          <w:ilvl w:val="0"/>
          <w:numId w:val="4"/>
        </w:numPr>
      </w:pPr>
      <w:r>
        <w:t xml:space="preserve">What are the </w:t>
      </w:r>
      <w:r w:rsidR="00005A00">
        <w:t xml:space="preserve">main </w:t>
      </w:r>
      <w:r>
        <w:t>differences</w:t>
      </w:r>
      <w:r w:rsidR="001A3980">
        <w:t xml:space="preserve"> that Prof. Daniel Schwartz </w:t>
      </w:r>
      <w:r w:rsidR="00A6710A">
        <w:t>puts forward</w:t>
      </w:r>
      <w:r>
        <w:t xml:space="preserve"> between </w:t>
      </w:r>
      <w:r w:rsidR="00F91FB0">
        <w:t>1 &amp; 2 Maccabees</w:t>
      </w:r>
      <w:r w:rsidR="009A1462">
        <w:t>?</w:t>
      </w:r>
    </w:p>
    <w:p w14:paraId="1134D23C" w14:textId="77777777" w:rsidR="00021BE9" w:rsidRDefault="00021BE9" w:rsidP="00021BE9">
      <w:pPr>
        <w:pStyle w:val="ListParagraph"/>
        <w:ind w:left="1440"/>
      </w:pPr>
      <w:bookmarkStart w:id="0" w:name="_Hlk40974127"/>
    </w:p>
    <w:p w14:paraId="68335EB4" w14:textId="327205B0" w:rsidR="009A1462" w:rsidRPr="00E9640D" w:rsidRDefault="00021BE9" w:rsidP="00021BE9">
      <w:pPr>
        <w:pStyle w:val="ListParagraph"/>
        <w:numPr>
          <w:ilvl w:val="0"/>
          <w:numId w:val="5"/>
        </w:numPr>
        <w:rPr>
          <w:rFonts w:ascii="Times New Roman" w:hAnsi="Times New Roman" w:cs="Times New Roman"/>
          <w:sz w:val="24"/>
          <w:szCs w:val="24"/>
        </w:rPr>
      </w:pPr>
      <w:r w:rsidRPr="00E9640D">
        <w:rPr>
          <w:rFonts w:ascii="Times New Roman" w:hAnsi="Times New Roman" w:cs="Times New Roman"/>
          <w:sz w:val="24"/>
          <w:szCs w:val="24"/>
        </w:rPr>
        <w:t xml:space="preserve">1 Maccabees </w:t>
      </w:r>
      <w:bookmarkEnd w:id="0"/>
      <w:r w:rsidRPr="00E9640D">
        <w:rPr>
          <w:rFonts w:ascii="Times New Roman" w:hAnsi="Times New Roman" w:cs="Times New Roman"/>
          <w:sz w:val="24"/>
          <w:szCs w:val="24"/>
        </w:rPr>
        <w:t xml:space="preserve">was likely written in Judea whilst 2 was perhaps produced in Ptolemaic Egypt. </w:t>
      </w:r>
    </w:p>
    <w:p w14:paraId="5B510C20" w14:textId="00BF98C4" w:rsidR="00021BE9" w:rsidRPr="00E9640D" w:rsidRDefault="00021BE9" w:rsidP="00021BE9">
      <w:pPr>
        <w:pStyle w:val="ListParagraph"/>
        <w:numPr>
          <w:ilvl w:val="0"/>
          <w:numId w:val="5"/>
        </w:numPr>
        <w:rPr>
          <w:rFonts w:ascii="Times New Roman" w:hAnsi="Times New Roman" w:cs="Times New Roman"/>
          <w:sz w:val="24"/>
          <w:szCs w:val="24"/>
        </w:rPr>
      </w:pPr>
      <w:r w:rsidRPr="00E9640D">
        <w:rPr>
          <w:rFonts w:ascii="Times New Roman" w:hAnsi="Times New Roman" w:cs="Times New Roman"/>
          <w:sz w:val="24"/>
          <w:szCs w:val="24"/>
        </w:rPr>
        <w:t xml:space="preserve">1 </w:t>
      </w:r>
      <w:r w:rsidRPr="00E9640D">
        <w:rPr>
          <w:rFonts w:ascii="Times New Roman" w:hAnsi="Times New Roman" w:cs="Times New Roman"/>
          <w:sz w:val="24"/>
          <w:szCs w:val="24"/>
        </w:rPr>
        <w:t xml:space="preserve">Maccabees </w:t>
      </w:r>
      <w:r w:rsidRPr="00E9640D">
        <w:rPr>
          <w:rFonts w:ascii="Times New Roman" w:hAnsi="Times New Roman" w:cs="Times New Roman"/>
          <w:sz w:val="24"/>
          <w:szCs w:val="24"/>
        </w:rPr>
        <w:t>utilised biblical language without a strictly recognisable biblical focus, 2 used Greek literature and included more material typically identified as biblical (</w:t>
      </w:r>
      <w:proofErr w:type="spellStart"/>
      <w:r w:rsidRPr="00E9640D">
        <w:rPr>
          <w:rFonts w:ascii="Times New Roman" w:hAnsi="Times New Roman" w:cs="Times New Roman"/>
          <w:sz w:val="24"/>
          <w:szCs w:val="24"/>
        </w:rPr>
        <w:t>eg.</w:t>
      </w:r>
      <w:proofErr w:type="spellEnd"/>
      <w:r w:rsidRPr="00E9640D">
        <w:rPr>
          <w:rFonts w:ascii="Times New Roman" w:hAnsi="Times New Roman" w:cs="Times New Roman"/>
          <w:sz w:val="24"/>
          <w:szCs w:val="24"/>
        </w:rPr>
        <w:t xml:space="preserve"> God, morality, sin and atonement, angels).</w:t>
      </w:r>
    </w:p>
    <w:p w14:paraId="5ADDC855" w14:textId="7C1210CA" w:rsidR="00E9640D" w:rsidRPr="00E9640D" w:rsidRDefault="00021BE9" w:rsidP="00E9640D">
      <w:pPr>
        <w:pStyle w:val="ListParagraph"/>
        <w:numPr>
          <w:ilvl w:val="0"/>
          <w:numId w:val="5"/>
        </w:numPr>
        <w:rPr>
          <w:rFonts w:ascii="Times New Roman" w:hAnsi="Times New Roman" w:cs="Times New Roman"/>
          <w:sz w:val="24"/>
          <w:szCs w:val="24"/>
        </w:rPr>
      </w:pPr>
      <w:r w:rsidRPr="00E9640D">
        <w:rPr>
          <w:rFonts w:ascii="Times New Roman" w:hAnsi="Times New Roman" w:cs="Times New Roman"/>
          <w:sz w:val="24"/>
          <w:szCs w:val="24"/>
        </w:rPr>
        <w:t xml:space="preserve">1 </w:t>
      </w:r>
      <w:r w:rsidRPr="00E9640D">
        <w:rPr>
          <w:rFonts w:ascii="Times New Roman" w:hAnsi="Times New Roman" w:cs="Times New Roman"/>
          <w:sz w:val="24"/>
          <w:szCs w:val="24"/>
        </w:rPr>
        <w:t>Maccabees</w:t>
      </w:r>
      <w:r w:rsidRPr="00E9640D">
        <w:rPr>
          <w:rFonts w:ascii="Times New Roman" w:hAnsi="Times New Roman" w:cs="Times New Roman"/>
          <w:sz w:val="24"/>
          <w:szCs w:val="24"/>
        </w:rPr>
        <w:t xml:space="preserve"> is concerned primarily with a dynastic court history and the justification of Hasmonean leadership. 2 was focused upon the history of the city and legitimising the Jewish community outside of Judea. </w:t>
      </w:r>
    </w:p>
    <w:p w14:paraId="66D6C361" w14:textId="77777777" w:rsidR="004A5B3B" w:rsidRDefault="004A5B3B" w:rsidP="00512F20"/>
    <w:p w14:paraId="163B606F" w14:textId="3C520364" w:rsidR="00B17040" w:rsidRDefault="00EF0E29" w:rsidP="004A5B3B">
      <w:pPr>
        <w:pStyle w:val="ListParagraph"/>
        <w:numPr>
          <w:ilvl w:val="0"/>
          <w:numId w:val="4"/>
        </w:numPr>
      </w:pPr>
      <w:r>
        <w:t xml:space="preserve">How significant is it that 1 and 2 Maccabees were written </w:t>
      </w:r>
      <w:r w:rsidR="00B17040">
        <w:t>in different locations? It might be helpful here to think in terms of diaspora and Judea.</w:t>
      </w:r>
    </w:p>
    <w:p w14:paraId="593936CD" w14:textId="67116D8A" w:rsidR="00296E10" w:rsidRDefault="00E9640D" w:rsidP="002419C2">
      <w:pPr>
        <w:ind w:left="720"/>
        <w:rPr>
          <w:rFonts w:ascii="Times New Roman" w:hAnsi="Times New Roman" w:cs="Times New Roman"/>
          <w:sz w:val="24"/>
          <w:szCs w:val="24"/>
        </w:rPr>
      </w:pPr>
      <w:r>
        <w:rPr>
          <w:rFonts w:ascii="Times New Roman" w:hAnsi="Times New Roman" w:cs="Times New Roman"/>
          <w:sz w:val="24"/>
          <w:szCs w:val="24"/>
        </w:rPr>
        <w:t xml:space="preserve">The premise and focus of the first two Maccabees are directly impacted upon by the hypothesis of being produced in different locations. </w:t>
      </w:r>
      <w:r w:rsidR="000D51D9">
        <w:rPr>
          <w:rFonts w:ascii="Times New Roman" w:hAnsi="Times New Roman" w:cs="Times New Roman"/>
          <w:sz w:val="24"/>
          <w:szCs w:val="24"/>
        </w:rPr>
        <w:t>Context always matters when writing and reading anything, this is as true today as back then.</w:t>
      </w:r>
      <w:r w:rsidR="000D51D9">
        <w:rPr>
          <w:rFonts w:ascii="Times New Roman" w:hAnsi="Times New Roman" w:cs="Times New Roman"/>
          <w:sz w:val="24"/>
          <w:szCs w:val="24"/>
        </w:rPr>
        <w:t xml:space="preserve"> Being produced in different locations has a direct relationship to what is written, why and for whom.</w:t>
      </w:r>
      <w:r w:rsidR="000D51D9">
        <w:rPr>
          <w:rFonts w:ascii="Times New Roman" w:hAnsi="Times New Roman" w:cs="Times New Roman"/>
          <w:sz w:val="24"/>
          <w:szCs w:val="24"/>
        </w:rPr>
        <w:t xml:space="preserve"> </w:t>
      </w:r>
      <w:r>
        <w:rPr>
          <w:rFonts w:ascii="Times New Roman" w:hAnsi="Times New Roman" w:cs="Times New Roman"/>
          <w:sz w:val="24"/>
          <w:szCs w:val="24"/>
        </w:rPr>
        <w:t>1 was produced in Judea in Hebrew and deals with immediate historic and contemporary concerns for that region. Whilst we can assume that 2 was formulated in colloquial Greek by a Jew outside of Judea</w:t>
      </w:r>
      <w:r w:rsidR="000D51D9">
        <w:rPr>
          <w:rFonts w:ascii="Times New Roman" w:hAnsi="Times New Roman" w:cs="Times New Roman"/>
          <w:sz w:val="24"/>
          <w:szCs w:val="24"/>
        </w:rPr>
        <w:t>,</w:t>
      </w:r>
      <w:r>
        <w:rPr>
          <w:rFonts w:ascii="Times New Roman" w:hAnsi="Times New Roman" w:cs="Times New Roman"/>
          <w:sz w:val="24"/>
          <w:szCs w:val="24"/>
        </w:rPr>
        <w:t xml:space="preserve"> likely somewhere in Egypt, Alexandria perhaps. For this reason, the inclusions, details, and emphasis within the chapters are significantly different</w:t>
      </w:r>
      <w:r w:rsidR="000D51D9">
        <w:rPr>
          <w:rFonts w:ascii="Times New Roman" w:hAnsi="Times New Roman" w:cs="Times New Roman"/>
          <w:sz w:val="24"/>
          <w:szCs w:val="24"/>
        </w:rPr>
        <w:t xml:space="preserve"> in </w:t>
      </w:r>
      <w:r w:rsidR="002419C2">
        <w:rPr>
          <w:rFonts w:ascii="Times New Roman" w:hAnsi="Times New Roman" w:cs="Times New Roman"/>
          <w:sz w:val="24"/>
          <w:szCs w:val="24"/>
        </w:rPr>
        <w:t>both works</w:t>
      </w:r>
      <w:r>
        <w:rPr>
          <w:rFonts w:ascii="Times New Roman" w:hAnsi="Times New Roman" w:cs="Times New Roman"/>
          <w:sz w:val="24"/>
          <w:szCs w:val="24"/>
        </w:rPr>
        <w:t xml:space="preserve">. The message and meaning of both are concerned with two very different presumed audiences. </w:t>
      </w:r>
      <w:r w:rsidRPr="00E9640D">
        <w:rPr>
          <w:rFonts w:ascii="Times New Roman" w:hAnsi="Times New Roman" w:cs="Times New Roman"/>
          <w:sz w:val="24"/>
          <w:szCs w:val="24"/>
        </w:rPr>
        <w:t>1 Maccabees</w:t>
      </w:r>
      <w:r>
        <w:rPr>
          <w:rFonts w:ascii="Times New Roman" w:hAnsi="Times New Roman" w:cs="Times New Roman"/>
          <w:sz w:val="24"/>
          <w:szCs w:val="24"/>
        </w:rPr>
        <w:t xml:space="preserve"> has a specific readership in mind given its original Hebrew </w:t>
      </w:r>
      <w:r w:rsidR="000D51D9">
        <w:rPr>
          <w:rFonts w:ascii="Times New Roman" w:hAnsi="Times New Roman" w:cs="Times New Roman"/>
          <w:sz w:val="24"/>
          <w:szCs w:val="24"/>
        </w:rPr>
        <w:t xml:space="preserve">form, </w:t>
      </w:r>
      <w:r w:rsidR="000D51D9">
        <w:rPr>
          <w:rFonts w:ascii="Times New Roman" w:hAnsi="Times New Roman" w:cs="Times New Roman"/>
          <w:sz w:val="24"/>
          <w:szCs w:val="24"/>
        </w:rPr>
        <w:t>that of practicing Jewish communities still based in Judea</w:t>
      </w:r>
      <w:r w:rsidR="000D51D9">
        <w:rPr>
          <w:rFonts w:ascii="Times New Roman" w:hAnsi="Times New Roman" w:cs="Times New Roman"/>
          <w:sz w:val="24"/>
          <w:szCs w:val="24"/>
        </w:rPr>
        <w:t xml:space="preserve">. 2 Maccabees, written in Greek, has a much broader reach in terms of those able to access it. Not only can dispersed Jews become familiar, but any Greek person who wishes to. For those who are not longer based in Judea itself importance of place is decreased and emphasis on good practices and intention is prioritised. There is also a greater need to see fellow Greeks as friends not foes </w:t>
      </w:r>
      <w:r w:rsidR="002419C2">
        <w:rPr>
          <w:rFonts w:ascii="Times New Roman" w:hAnsi="Times New Roman" w:cs="Times New Roman"/>
          <w:sz w:val="24"/>
          <w:szCs w:val="24"/>
        </w:rPr>
        <w:t xml:space="preserve">given, </w:t>
      </w:r>
      <w:r w:rsidR="000D51D9">
        <w:rPr>
          <w:rFonts w:ascii="Times New Roman" w:hAnsi="Times New Roman" w:cs="Times New Roman"/>
          <w:sz w:val="24"/>
          <w:szCs w:val="24"/>
        </w:rPr>
        <w:t xml:space="preserve">they are not people from too far a field but indeed neighbours. For this reason, the “us verses them” feel of </w:t>
      </w:r>
      <w:r w:rsidR="000D51D9" w:rsidRPr="00E9640D">
        <w:rPr>
          <w:rFonts w:ascii="Times New Roman" w:hAnsi="Times New Roman" w:cs="Times New Roman"/>
          <w:sz w:val="24"/>
          <w:szCs w:val="24"/>
        </w:rPr>
        <w:t>1 Maccabees</w:t>
      </w:r>
      <w:r w:rsidR="000D51D9">
        <w:rPr>
          <w:rFonts w:ascii="Times New Roman" w:hAnsi="Times New Roman" w:cs="Times New Roman"/>
          <w:sz w:val="24"/>
          <w:szCs w:val="24"/>
        </w:rPr>
        <w:t xml:space="preserve"> is discontinued in </w:t>
      </w:r>
      <w:r w:rsidR="000D51D9">
        <w:rPr>
          <w:rFonts w:ascii="Times New Roman" w:hAnsi="Times New Roman" w:cs="Times New Roman"/>
          <w:sz w:val="24"/>
          <w:szCs w:val="24"/>
        </w:rPr>
        <w:t xml:space="preserve">2 </w:t>
      </w:r>
      <w:r w:rsidR="002419C2">
        <w:rPr>
          <w:rFonts w:ascii="Times New Roman" w:hAnsi="Times New Roman" w:cs="Times New Roman"/>
          <w:sz w:val="24"/>
          <w:szCs w:val="24"/>
        </w:rPr>
        <w:t>Maccabees,</w:t>
      </w:r>
      <w:r w:rsidR="000D51D9">
        <w:rPr>
          <w:rFonts w:ascii="Times New Roman" w:hAnsi="Times New Roman" w:cs="Times New Roman"/>
          <w:sz w:val="24"/>
          <w:szCs w:val="24"/>
        </w:rPr>
        <w:t xml:space="preserve"> which instead prefers to focus upon the absence of Godly interference </w:t>
      </w:r>
      <w:r w:rsidR="002419C2">
        <w:rPr>
          <w:rFonts w:ascii="Times New Roman" w:hAnsi="Times New Roman" w:cs="Times New Roman"/>
          <w:sz w:val="24"/>
          <w:szCs w:val="24"/>
        </w:rPr>
        <w:t xml:space="preserve">due to individual sin </w:t>
      </w:r>
      <w:r w:rsidR="000D51D9">
        <w:rPr>
          <w:rFonts w:ascii="Times New Roman" w:hAnsi="Times New Roman" w:cs="Times New Roman"/>
          <w:sz w:val="24"/>
          <w:szCs w:val="24"/>
        </w:rPr>
        <w:t xml:space="preserve">as reason for Jewish suffering.  </w:t>
      </w:r>
    </w:p>
    <w:p w14:paraId="22A43415" w14:textId="59B5942E" w:rsidR="002419C2" w:rsidRDefault="002419C2" w:rsidP="000635B9">
      <w:pPr>
        <w:rPr>
          <w:rFonts w:ascii="Times New Roman" w:hAnsi="Times New Roman" w:cs="Times New Roman"/>
          <w:sz w:val="24"/>
          <w:szCs w:val="24"/>
        </w:rPr>
      </w:pPr>
    </w:p>
    <w:p w14:paraId="26028519" w14:textId="49B8E87F" w:rsidR="000635B9" w:rsidRDefault="000635B9" w:rsidP="000635B9">
      <w:pPr>
        <w:rPr>
          <w:rFonts w:ascii="Times New Roman" w:hAnsi="Times New Roman" w:cs="Times New Roman"/>
          <w:sz w:val="24"/>
          <w:szCs w:val="24"/>
        </w:rPr>
      </w:pPr>
    </w:p>
    <w:p w14:paraId="55BC36DD" w14:textId="77777777" w:rsidR="000635B9" w:rsidRPr="002419C2" w:rsidRDefault="000635B9" w:rsidP="000635B9">
      <w:pPr>
        <w:rPr>
          <w:rFonts w:ascii="Times New Roman" w:hAnsi="Times New Roman" w:cs="Times New Roman"/>
          <w:sz w:val="24"/>
          <w:szCs w:val="24"/>
        </w:rPr>
      </w:pPr>
    </w:p>
    <w:p w14:paraId="2B055737" w14:textId="21049E20" w:rsidR="003C78AB" w:rsidRDefault="00296E10" w:rsidP="000635B9">
      <w:pPr>
        <w:pStyle w:val="ListParagraph"/>
        <w:numPr>
          <w:ilvl w:val="0"/>
          <w:numId w:val="4"/>
        </w:numPr>
      </w:pPr>
      <w:r>
        <w:lastRenderedPageBreak/>
        <w:t>What is the difference in the way 1 &amp; 2 Maccabees depict martyrdom</w:t>
      </w:r>
      <w:r w:rsidR="002D1740">
        <w:t xml:space="preserve"> and resurrection?</w:t>
      </w:r>
    </w:p>
    <w:p w14:paraId="03F4BF80" w14:textId="5F634C2B" w:rsidR="002419C2" w:rsidRDefault="002419C2" w:rsidP="002419C2">
      <w:pPr>
        <w:pStyle w:val="ListParagraph"/>
      </w:pPr>
    </w:p>
    <w:p w14:paraId="7F6DF013" w14:textId="12CCCD89" w:rsidR="002419C2" w:rsidRDefault="000635B9" w:rsidP="002419C2">
      <w:pPr>
        <w:pStyle w:val="ListParagraph"/>
        <w:rPr>
          <w:rFonts w:ascii="Times New Roman" w:hAnsi="Times New Roman" w:cs="Times New Roman"/>
          <w:sz w:val="24"/>
          <w:szCs w:val="24"/>
        </w:rPr>
      </w:pPr>
      <w:r>
        <w:rPr>
          <w:rFonts w:ascii="Times New Roman" w:hAnsi="Times New Roman" w:cs="Times New Roman"/>
          <w:sz w:val="24"/>
          <w:szCs w:val="24"/>
        </w:rPr>
        <w:t>1 Maccabees although containing martyrdom treats it very differently to that of 2 Maccabees. Examples can be found of martyrs within 1 Maccabees,</w:t>
      </w:r>
      <w:r w:rsidRPr="000635B9">
        <w:rPr>
          <w:rFonts w:ascii="Times New Roman" w:hAnsi="Times New Roman" w:cs="Times New Roman"/>
          <w:sz w:val="24"/>
          <w:szCs w:val="24"/>
        </w:rPr>
        <w:t xml:space="preserve"> </w:t>
      </w:r>
      <w:r>
        <w:rPr>
          <w:rFonts w:ascii="Times New Roman" w:hAnsi="Times New Roman" w:cs="Times New Roman"/>
          <w:sz w:val="24"/>
          <w:szCs w:val="24"/>
        </w:rPr>
        <w:t>though the</w:t>
      </w:r>
      <w:r>
        <w:rPr>
          <w:rFonts w:ascii="Times New Roman" w:hAnsi="Times New Roman" w:cs="Times New Roman"/>
          <w:sz w:val="24"/>
          <w:szCs w:val="24"/>
        </w:rPr>
        <w:t xml:space="preserve"> message attached to such inclusions is one of pointlessness. Those hiding from the Seleucid army on the sabbath without defence being one such example. The takeaway here is not the glory and heroism of a willingness to die for one’s beliefs rather the ineffectiveness of such a statement to change anything in reality. The main, arguably only, thing achieved by martyrdom is the death of a martyr. Not a notion shared by 2 Maccabees which includes multiple examples of martyrdom. In dealing with such examples 2 Maccabees </w:t>
      </w:r>
      <w:r w:rsidR="00D46743">
        <w:rPr>
          <w:rFonts w:ascii="Times New Roman" w:hAnsi="Times New Roman" w:cs="Times New Roman"/>
          <w:sz w:val="24"/>
          <w:szCs w:val="24"/>
        </w:rPr>
        <w:t xml:space="preserve">uses the death of martyrs as a momentum for challenge and change. It is the sacrifice of those willing to shed their own blood for their faith that gains for the Jewish people once more the assistance of God. </w:t>
      </w:r>
      <w:proofErr w:type="spellStart"/>
      <w:r w:rsidR="00626052">
        <w:rPr>
          <w:rFonts w:ascii="Times New Roman" w:hAnsi="Times New Roman" w:cs="Times New Roman"/>
          <w:sz w:val="24"/>
          <w:szCs w:val="24"/>
        </w:rPr>
        <w:t>Schwarez</w:t>
      </w:r>
      <w:proofErr w:type="spellEnd"/>
      <w:r w:rsidR="00626052">
        <w:rPr>
          <w:rFonts w:ascii="Times New Roman" w:hAnsi="Times New Roman" w:cs="Times New Roman"/>
          <w:sz w:val="24"/>
          <w:szCs w:val="24"/>
        </w:rPr>
        <w:t xml:space="preserve"> points out that the removed nature of Jews of the diaspora from actual fighting and threat allows a level of low risk glorification in this manner.</w:t>
      </w:r>
    </w:p>
    <w:p w14:paraId="233E4F3C" w14:textId="07794721" w:rsidR="00D46743" w:rsidRDefault="00D46743" w:rsidP="002419C2">
      <w:pPr>
        <w:pStyle w:val="ListParagraph"/>
        <w:rPr>
          <w:rFonts w:ascii="Times New Roman" w:hAnsi="Times New Roman" w:cs="Times New Roman"/>
          <w:sz w:val="24"/>
          <w:szCs w:val="24"/>
        </w:rPr>
      </w:pPr>
    </w:p>
    <w:p w14:paraId="52AA6260" w14:textId="4C206B9A" w:rsidR="00D46743" w:rsidRPr="002419C2" w:rsidRDefault="00D46743" w:rsidP="002419C2">
      <w:pPr>
        <w:pStyle w:val="ListParagraph"/>
        <w:rPr>
          <w:rFonts w:ascii="Times New Roman" w:hAnsi="Times New Roman" w:cs="Times New Roman"/>
          <w:sz w:val="24"/>
          <w:szCs w:val="24"/>
        </w:rPr>
      </w:pPr>
      <w:r>
        <w:rPr>
          <w:rFonts w:ascii="Times New Roman" w:hAnsi="Times New Roman" w:cs="Times New Roman"/>
          <w:sz w:val="24"/>
          <w:szCs w:val="24"/>
        </w:rPr>
        <w:t xml:space="preserve">Resurrection is not dealt with in 1 </w:t>
      </w:r>
      <w:r>
        <w:rPr>
          <w:rFonts w:ascii="Times New Roman" w:hAnsi="Times New Roman" w:cs="Times New Roman"/>
          <w:sz w:val="24"/>
          <w:szCs w:val="24"/>
        </w:rPr>
        <w:t>Maccabees</w:t>
      </w:r>
      <w:r>
        <w:rPr>
          <w:rFonts w:ascii="Times New Roman" w:hAnsi="Times New Roman" w:cs="Times New Roman"/>
          <w:sz w:val="24"/>
          <w:szCs w:val="24"/>
        </w:rPr>
        <w:t xml:space="preserve"> likely because it need not be. If people are not jumping at </w:t>
      </w:r>
      <w:r w:rsidR="00626052">
        <w:rPr>
          <w:rFonts w:ascii="Times New Roman" w:hAnsi="Times New Roman" w:cs="Times New Roman"/>
          <w:sz w:val="24"/>
          <w:szCs w:val="24"/>
        </w:rPr>
        <w:t xml:space="preserve">the opportunity to self-sacrifice there is no real reason to consider the benefits doing so may bring after the fact. In 2 </w:t>
      </w:r>
      <w:r w:rsidR="00626052">
        <w:rPr>
          <w:rFonts w:ascii="Times New Roman" w:hAnsi="Times New Roman" w:cs="Times New Roman"/>
          <w:sz w:val="24"/>
          <w:szCs w:val="24"/>
        </w:rPr>
        <w:t>Maccabees</w:t>
      </w:r>
      <w:r w:rsidR="00626052">
        <w:rPr>
          <w:rFonts w:ascii="Times New Roman" w:hAnsi="Times New Roman" w:cs="Times New Roman"/>
          <w:sz w:val="24"/>
          <w:szCs w:val="24"/>
        </w:rPr>
        <w:t xml:space="preserve"> however the emphasis on martyrdom must be met with an equal emphasis on an afterlife, rebirth, resurrection, making the sacrifice not only worth it but beneficial. Sacrifice requires reward and reassurance and thus resurrection surfaces. </w:t>
      </w:r>
    </w:p>
    <w:p w14:paraId="61363389" w14:textId="5A8CF5E3" w:rsidR="003C78AB" w:rsidRDefault="003C78AB" w:rsidP="003C78AB">
      <w:pPr>
        <w:ind w:left="360"/>
      </w:pPr>
    </w:p>
    <w:p w14:paraId="3D3CE520" w14:textId="77777777" w:rsidR="00B17040" w:rsidRDefault="00B17040" w:rsidP="00512F20"/>
    <w:p w14:paraId="12B10EE8" w14:textId="7EEF4BD3" w:rsidR="009E51CE" w:rsidRPr="00BF0DED" w:rsidRDefault="00D65F52" w:rsidP="00512F20">
      <w:r>
        <w:t xml:space="preserve"> </w:t>
      </w:r>
    </w:p>
    <w:sectPr w:rsidR="009E51CE" w:rsidRPr="00BF0DE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E47493" w14:textId="77777777" w:rsidR="00F54772" w:rsidRDefault="00F54772" w:rsidP="00BF0DED">
      <w:pPr>
        <w:spacing w:after="0" w:line="240" w:lineRule="auto"/>
      </w:pPr>
      <w:r>
        <w:separator/>
      </w:r>
    </w:p>
  </w:endnote>
  <w:endnote w:type="continuationSeparator" w:id="0">
    <w:p w14:paraId="3DC5FAB4" w14:textId="77777777" w:rsidR="00F54772" w:rsidRDefault="00F54772" w:rsidP="00BF0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0BC221" w14:textId="77777777" w:rsidR="00F54772" w:rsidRDefault="00F54772" w:rsidP="00BF0DED">
      <w:pPr>
        <w:spacing w:after="0" w:line="240" w:lineRule="auto"/>
      </w:pPr>
      <w:r>
        <w:separator/>
      </w:r>
    </w:p>
  </w:footnote>
  <w:footnote w:type="continuationSeparator" w:id="0">
    <w:p w14:paraId="00AEA794" w14:textId="77777777" w:rsidR="00F54772" w:rsidRDefault="00F54772" w:rsidP="00BF0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8D830" w14:textId="55E9E636" w:rsidR="00BF0DED" w:rsidRPr="00BF0DED" w:rsidRDefault="00BF0DED" w:rsidP="00BF0DED">
    <w:pPr>
      <w:pStyle w:val="Header"/>
      <w:jc w:val="right"/>
      <w:rPr>
        <w:b/>
        <w:bCs/>
      </w:rPr>
    </w:pPr>
    <w:r w:rsidRPr="00BF0DED">
      <w:rPr>
        <w:b/>
        <w:bCs/>
      </w:rPr>
      <w:t>HPRS5008 / HPRS6008</w:t>
    </w:r>
  </w:p>
  <w:p w14:paraId="0931981C" w14:textId="6D316D57" w:rsidR="00BF0DED" w:rsidRPr="00BF0DED" w:rsidRDefault="00BF0DED" w:rsidP="00BF0DED">
    <w:pPr>
      <w:pStyle w:val="Header"/>
      <w:jc w:val="right"/>
      <w:rPr>
        <w:b/>
        <w:bCs/>
      </w:rPr>
    </w:pPr>
    <w:r w:rsidRPr="00BF0DED">
      <w:rPr>
        <w:b/>
        <w:bCs/>
      </w:rPr>
      <w:t xml:space="preserve">From Maccabees to Masada: Jews, </w:t>
    </w:r>
    <w:proofErr w:type="gramStart"/>
    <w:r w:rsidRPr="00BF0DED">
      <w:rPr>
        <w:b/>
        <w:bCs/>
      </w:rPr>
      <w:t>Christians</w:t>
    </w:r>
    <w:proofErr w:type="gramEnd"/>
    <w:r w:rsidRPr="00BF0DED">
      <w:rPr>
        <w:b/>
        <w:bCs/>
      </w:rPr>
      <w:t xml:space="preserve"> and Romans (167 BCE </w:t>
    </w:r>
    <w:r>
      <w:rPr>
        <w:b/>
        <w:bCs/>
      </w:rPr>
      <w:t>-</w:t>
    </w:r>
    <w:r w:rsidRPr="00BF0DED">
      <w:rPr>
        <w:b/>
        <w:bCs/>
      </w:rPr>
      <w:t xml:space="preserve"> 74 CE)</w:t>
    </w:r>
  </w:p>
  <w:p w14:paraId="6589872B" w14:textId="77777777" w:rsidR="00BF0DED" w:rsidRDefault="00BF0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709B7"/>
    <w:multiLevelType w:val="hybridMultilevel"/>
    <w:tmpl w:val="64D0E2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C528B"/>
    <w:multiLevelType w:val="hybridMultilevel"/>
    <w:tmpl w:val="A31846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3415F7"/>
    <w:multiLevelType w:val="hybridMultilevel"/>
    <w:tmpl w:val="DB388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594A86"/>
    <w:multiLevelType w:val="hybridMultilevel"/>
    <w:tmpl w:val="CDF818DE"/>
    <w:lvl w:ilvl="0" w:tplc="1E621A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A32332"/>
    <w:multiLevelType w:val="hybridMultilevel"/>
    <w:tmpl w:val="C5EEDE6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DED"/>
    <w:rsid w:val="00004DA2"/>
    <w:rsid w:val="00005A00"/>
    <w:rsid w:val="00021BE9"/>
    <w:rsid w:val="000635B9"/>
    <w:rsid w:val="00071BC1"/>
    <w:rsid w:val="000D51D9"/>
    <w:rsid w:val="000E393A"/>
    <w:rsid w:val="001646FF"/>
    <w:rsid w:val="001A3980"/>
    <w:rsid w:val="002419C2"/>
    <w:rsid w:val="00296E10"/>
    <w:rsid w:val="002D1740"/>
    <w:rsid w:val="003C78AB"/>
    <w:rsid w:val="00443674"/>
    <w:rsid w:val="004A5B3B"/>
    <w:rsid w:val="00512F20"/>
    <w:rsid w:val="00615031"/>
    <w:rsid w:val="00626052"/>
    <w:rsid w:val="006877A7"/>
    <w:rsid w:val="00703BB5"/>
    <w:rsid w:val="00761D90"/>
    <w:rsid w:val="0082427D"/>
    <w:rsid w:val="009A1462"/>
    <w:rsid w:val="009E51CE"/>
    <w:rsid w:val="00A6710A"/>
    <w:rsid w:val="00A80C11"/>
    <w:rsid w:val="00AD4211"/>
    <w:rsid w:val="00B17040"/>
    <w:rsid w:val="00BB21C1"/>
    <w:rsid w:val="00BF0DED"/>
    <w:rsid w:val="00C448CC"/>
    <w:rsid w:val="00C73D23"/>
    <w:rsid w:val="00CC2AFE"/>
    <w:rsid w:val="00D46743"/>
    <w:rsid w:val="00D65F52"/>
    <w:rsid w:val="00DD28B3"/>
    <w:rsid w:val="00E9640D"/>
    <w:rsid w:val="00EE7FE0"/>
    <w:rsid w:val="00EF0E29"/>
    <w:rsid w:val="00F54772"/>
    <w:rsid w:val="00F91FB0"/>
    <w:rsid w:val="00FD5315"/>
    <w:rsid w:val="00FE37AF"/>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7CC1"/>
  <w15:chartTrackingRefBased/>
  <w15:docId w15:val="{5618DDE8-AA82-439B-AC42-2508EC00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DED"/>
  </w:style>
  <w:style w:type="paragraph" w:styleId="Footer">
    <w:name w:val="footer"/>
    <w:basedOn w:val="Normal"/>
    <w:link w:val="FooterChar"/>
    <w:uiPriority w:val="99"/>
    <w:unhideWhenUsed/>
    <w:rsid w:val="00BF0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DED"/>
  </w:style>
  <w:style w:type="paragraph" w:styleId="ListParagraph">
    <w:name w:val="List Paragraph"/>
    <w:basedOn w:val="Normal"/>
    <w:uiPriority w:val="34"/>
    <w:qFormat/>
    <w:rsid w:val="00BF0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2</Pages>
  <Words>613</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Sophie Sheep</cp:lastModifiedBy>
  <cp:revision>17</cp:revision>
  <dcterms:created xsi:type="dcterms:W3CDTF">2020-05-10T14:02:00Z</dcterms:created>
  <dcterms:modified xsi:type="dcterms:W3CDTF">2020-05-21T17:09:00Z</dcterms:modified>
</cp:coreProperties>
</file>