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61ACC" w14:textId="77777777" w:rsidR="00FC6DFA" w:rsidRDefault="009F1B79">
      <w:r w:rsidRPr="009D0F20">
        <w:rPr>
          <w:rFonts w:asciiTheme="minorHAnsi" w:hAnsiTheme="minorHAnsi" w:cstheme="minorHAnsi"/>
          <w:noProof/>
          <w:sz w:val="22"/>
          <w:szCs w:val="22"/>
        </w:rPr>
        <w:drawing>
          <wp:inline distT="0" distB="0" distL="0" distR="0" wp14:anchorId="074140D9" wp14:editId="6D618A96">
            <wp:extent cx="2038350" cy="704850"/>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38350" cy="704850"/>
                    </a:xfrm>
                    <a:prstGeom prst="rect">
                      <a:avLst/>
                    </a:prstGeom>
                    <a:ln/>
                  </pic:spPr>
                </pic:pic>
              </a:graphicData>
            </a:graphic>
          </wp:inline>
        </w:drawing>
      </w:r>
    </w:p>
    <w:p w14:paraId="0EDEFA6D" w14:textId="77777777" w:rsidR="00FC6DFA" w:rsidRDefault="00FC6DFA"/>
    <w:p w14:paraId="1B39D3CF" w14:textId="77777777" w:rsidR="00FC6DFA" w:rsidRPr="00DB0B67" w:rsidRDefault="009F1B79">
      <w:pPr>
        <w:rPr>
          <w:rFonts w:ascii="Arial" w:hAnsi="Arial" w:cs="Arial"/>
          <w:b/>
          <w:sz w:val="28"/>
          <w:szCs w:val="28"/>
        </w:rPr>
      </w:pPr>
      <w:r w:rsidRPr="00DB0B67">
        <w:rPr>
          <w:rFonts w:ascii="Arial" w:hAnsi="Arial" w:cs="Arial"/>
          <w:b/>
          <w:sz w:val="28"/>
          <w:szCs w:val="28"/>
        </w:rPr>
        <w:t>BSc Professional Investigation 2025/2026</w:t>
      </w:r>
    </w:p>
    <w:p w14:paraId="147F661F" w14:textId="77777777" w:rsidR="00FC6DFA" w:rsidRPr="00DB0B67" w:rsidRDefault="009F1B79">
      <w:pPr>
        <w:rPr>
          <w:rFonts w:ascii="Arial" w:hAnsi="Arial" w:cs="Arial"/>
          <w:color w:val="000000"/>
          <w:sz w:val="28"/>
          <w:szCs w:val="28"/>
        </w:rPr>
      </w:pPr>
      <w:r w:rsidRPr="00DB0B67">
        <w:rPr>
          <w:rFonts w:ascii="Arial" w:hAnsi="Arial" w:cs="Arial"/>
          <w:b/>
          <w:color w:val="000000"/>
          <w:sz w:val="28"/>
          <w:szCs w:val="28"/>
        </w:rPr>
        <w:t>LEVEL 6 - 40 Credits</w:t>
      </w:r>
    </w:p>
    <w:p w14:paraId="767D7665" w14:textId="77777777" w:rsidR="00FC6DFA" w:rsidRDefault="00FC6DFA">
      <w:pPr>
        <w:rPr>
          <w:b/>
          <w:color w:val="000000"/>
          <w:sz w:val="28"/>
          <w:szCs w:val="28"/>
        </w:rPr>
      </w:pPr>
    </w:p>
    <w:p w14:paraId="4633F74E" w14:textId="77777777" w:rsidR="00FC6DFA" w:rsidRDefault="00FC6DFA">
      <w:pPr>
        <w:rPr>
          <w:b/>
          <w:color w:val="000000"/>
          <w:sz w:val="28"/>
          <w:szCs w:val="28"/>
        </w:rPr>
      </w:pPr>
    </w:p>
    <w:p w14:paraId="52A3337E" w14:textId="77777777" w:rsidR="00FC6DFA" w:rsidRDefault="00FC6DFA">
      <w:pPr>
        <w:rPr>
          <w:b/>
          <w:color w:val="000000"/>
          <w:sz w:val="28"/>
          <w:szCs w:val="28"/>
        </w:rPr>
      </w:pPr>
    </w:p>
    <w:p w14:paraId="59FB3F8A" w14:textId="4D8688F7" w:rsidR="00FC6DFA" w:rsidRPr="008A0605" w:rsidRDefault="009F1B79">
      <w:pPr>
        <w:pBdr>
          <w:top w:val="single" w:sz="4" w:space="4" w:color="000000"/>
          <w:left w:val="single" w:sz="4" w:space="4" w:color="000000"/>
          <w:bottom w:val="single" w:sz="4" w:space="4" w:color="000000"/>
          <w:right w:val="single" w:sz="4" w:space="4" w:color="000000"/>
        </w:pBdr>
        <w:ind w:right="237"/>
        <w:jc w:val="center"/>
        <w:rPr>
          <w:rFonts w:ascii="Arial" w:hAnsi="Arial" w:cs="Arial"/>
          <w:b/>
          <w:color w:val="000000"/>
          <w:sz w:val="28"/>
          <w:szCs w:val="28"/>
        </w:rPr>
      </w:pPr>
      <w:r w:rsidRPr="008A0605">
        <w:rPr>
          <w:rFonts w:ascii="Arial" w:hAnsi="Arial" w:cs="Arial"/>
          <w:b/>
          <w:color w:val="000000"/>
          <w:sz w:val="28"/>
          <w:szCs w:val="28"/>
        </w:rPr>
        <w:t xml:space="preserve">Submission Deadline: 23:59hrs Friday </w:t>
      </w:r>
      <w:r w:rsidRPr="008A0605">
        <w:rPr>
          <w:rFonts w:ascii="Arial" w:hAnsi="Arial" w:cs="Arial"/>
          <w:b/>
          <w:sz w:val="28"/>
          <w:szCs w:val="28"/>
        </w:rPr>
        <w:t>8</w:t>
      </w:r>
      <w:r w:rsidRPr="008A0605">
        <w:rPr>
          <w:rFonts w:ascii="Arial" w:hAnsi="Arial" w:cs="Arial"/>
          <w:b/>
          <w:color w:val="000000"/>
          <w:sz w:val="28"/>
          <w:szCs w:val="28"/>
          <w:vertAlign w:val="superscript"/>
        </w:rPr>
        <w:t>th</w:t>
      </w:r>
      <w:r w:rsidRPr="008A0605">
        <w:rPr>
          <w:rFonts w:ascii="Arial" w:hAnsi="Arial" w:cs="Arial"/>
          <w:b/>
          <w:color w:val="000000"/>
          <w:sz w:val="28"/>
          <w:szCs w:val="28"/>
        </w:rPr>
        <w:t xml:space="preserve"> May 202</w:t>
      </w:r>
      <w:r w:rsidRPr="008A0605">
        <w:rPr>
          <w:rFonts w:ascii="Arial" w:hAnsi="Arial" w:cs="Arial"/>
          <w:b/>
          <w:sz w:val="28"/>
          <w:szCs w:val="28"/>
        </w:rPr>
        <w:t>6</w:t>
      </w:r>
    </w:p>
    <w:p w14:paraId="16C17803" w14:textId="77777777" w:rsidR="00FC6DFA" w:rsidRDefault="00FC6DFA">
      <w:pPr>
        <w:ind w:right="237"/>
        <w:jc w:val="center"/>
        <w:rPr>
          <w:b/>
          <w:color w:val="000000"/>
          <w:sz w:val="28"/>
          <w:szCs w:val="28"/>
        </w:rPr>
      </w:pPr>
    </w:p>
    <w:p w14:paraId="1725CDA1" w14:textId="77777777" w:rsidR="00FC6DFA" w:rsidRDefault="00FC6DFA">
      <w:pPr>
        <w:ind w:right="237"/>
        <w:jc w:val="center"/>
        <w:rPr>
          <w:b/>
          <w:color w:val="000000"/>
          <w:sz w:val="28"/>
          <w:szCs w:val="28"/>
        </w:rPr>
      </w:pPr>
    </w:p>
    <w:p w14:paraId="204E585B" w14:textId="77777777" w:rsidR="00FC6DFA" w:rsidRPr="008B2440" w:rsidRDefault="009F1B79">
      <w:pPr>
        <w:ind w:right="237"/>
        <w:jc w:val="center"/>
        <w:rPr>
          <w:rFonts w:ascii="Arial" w:hAnsi="Arial" w:cs="Arial"/>
          <w:b/>
          <w:color w:val="000000"/>
          <w:sz w:val="28"/>
          <w:szCs w:val="28"/>
        </w:rPr>
      </w:pPr>
      <w:r w:rsidRPr="008B2440">
        <w:rPr>
          <w:rFonts w:ascii="Arial" w:hAnsi="Arial" w:cs="Arial"/>
          <w:b/>
          <w:color w:val="000000"/>
          <w:sz w:val="28"/>
          <w:szCs w:val="28"/>
        </w:rPr>
        <w:t>Workbook title: Competency Based Workbook 2</w:t>
      </w:r>
    </w:p>
    <w:p w14:paraId="78A05DBE" w14:textId="77777777" w:rsidR="00FC6DFA" w:rsidRPr="00275352" w:rsidRDefault="009F1B79">
      <w:pPr>
        <w:ind w:right="237"/>
        <w:jc w:val="center"/>
        <w:rPr>
          <w:rFonts w:ascii="Arial" w:hAnsi="Arial" w:cs="Arial"/>
          <w:b/>
          <w:i/>
          <w:color w:val="0070C0"/>
          <w:sz w:val="32"/>
          <w:szCs w:val="32"/>
        </w:rPr>
      </w:pPr>
      <w:r w:rsidRPr="00275352">
        <w:rPr>
          <w:rFonts w:ascii="Arial" w:hAnsi="Arial" w:cs="Arial"/>
          <w:b/>
          <w:i/>
          <w:color w:val="0070C0"/>
          <w:sz w:val="32"/>
          <w:szCs w:val="32"/>
        </w:rPr>
        <w:t>Module BMPI6002D – Professional Investigative Practice</w:t>
      </w:r>
    </w:p>
    <w:p w14:paraId="3B393530" w14:textId="77777777" w:rsidR="00FC6DFA" w:rsidRDefault="00FC6DFA">
      <w:pPr>
        <w:ind w:right="237"/>
        <w:rPr>
          <w:b/>
          <w:color w:val="000000"/>
          <w:sz w:val="32"/>
          <w:szCs w:val="32"/>
        </w:rPr>
      </w:pPr>
    </w:p>
    <w:p w14:paraId="1CBA5352" w14:textId="77777777" w:rsidR="00FC6DFA" w:rsidRDefault="00FC6DFA">
      <w:pPr>
        <w:rPr>
          <w:sz w:val="36"/>
          <w:szCs w:val="36"/>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3AA747F1" w14:textId="77777777">
        <w:trPr>
          <w:trHeight w:val="1980"/>
        </w:trPr>
        <w:tc>
          <w:tcPr>
            <w:tcW w:w="9015" w:type="dxa"/>
          </w:tcPr>
          <w:p w14:paraId="331B454F" w14:textId="3D13B1BB" w:rsidR="00FC6DFA" w:rsidRPr="0050387A" w:rsidRDefault="009F1B79">
            <w:pPr>
              <w:ind w:right="237"/>
              <w:rPr>
                <w:rFonts w:ascii="Arial" w:hAnsi="Arial" w:cs="Arial"/>
                <w:color w:val="000000"/>
                <w:sz w:val="28"/>
                <w:szCs w:val="28"/>
              </w:rPr>
            </w:pPr>
            <w:r w:rsidRPr="0050387A">
              <w:rPr>
                <w:rFonts w:ascii="Arial" w:hAnsi="Arial" w:cs="Arial"/>
                <w:b/>
                <w:color w:val="000000"/>
                <w:sz w:val="28"/>
                <w:szCs w:val="28"/>
              </w:rPr>
              <w:t>Student name: Kate Fraser Gunn</w:t>
            </w:r>
          </w:p>
          <w:p w14:paraId="383EBD58" w14:textId="77777777" w:rsidR="00FC6DFA" w:rsidRPr="0050387A" w:rsidRDefault="00FC6DFA">
            <w:pPr>
              <w:ind w:right="237"/>
              <w:rPr>
                <w:rFonts w:ascii="Arial" w:hAnsi="Arial" w:cs="Arial"/>
                <w:color w:val="000000"/>
                <w:sz w:val="28"/>
                <w:szCs w:val="28"/>
              </w:rPr>
            </w:pPr>
          </w:p>
          <w:p w14:paraId="4C8C3A59" w14:textId="4D23CC33" w:rsidR="00FC6DFA" w:rsidRDefault="009F1B79" w:rsidP="00C72BC0">
            <w:pPr>
              <w:ind w:right="237"/>
              <w:rPr>
                <w:color w:val="000000"/>
                <w:sz w:val="28"/>
                <w:szCs w:val="28"/>
              </w:rPr>
            </w:pPr>
            <w:r w:rsidRPr="0050387A">
              <w:rPr>
                <w:rFonts w:ascii="Arial" w:hAnsi="Arial" w:cs="Arial"/>
                <w:b/>
                <w:color w:val="000000"/>
                <w:sz w:val="28"/>
                <w:szCs w:val="28"/>
              </w:rPr>
              <w:t>Student’s University Registration Number: 2518545</w:t>
            </w:r>
          </w:p>
        </w:tc>
      </w:tr>
    </w:tbl>
    <w:p w14:paraId="3E7FB9B3" w14:textId="77777777" w:rsidR="00FC6DFA" w:rsidRDefault="00FC6DFA">
      <w:pPr>
        <w:ind w:right="237"/>
        <w:rPr>
          <w:color w:val="000000"/>
          <w:sz w:val="32"/>
          <w:szCs w:val="32"/>
        </w:rPr>
      </w:pPr>
    </w:p>
    <w:p w14:paraId="4503D700" w14:textId="77777777" w:rsidR="00FC6DFA" w:rsidRDefault="00FC6DFA">
      <w:pPr>
        <w:ind w:right="237"/>
        <w:rPr>
          <w:color w:val="000000"/>
          <w:sz w:val="32"/>
          <w:szCs w:val="32"/>
        </w:rPr>
      </w:pPr>
    </w:p>
    <w:p w14:paraId="7CCB323E" w14:textId="1543F7CF" w:rsidR="00FC6DFA" w:rsidRPr="00182167" w:rsidRDefault="00CD5F95">
      <w:pPr>
        <w:ind w:right="237"/>
        <w:rPr>
          <w:rFonts w:ascii="Arial" w:hAnsi="Arial" w:cs="Arial"/>
          <w:b/>
          <w:i/>
          <w:color w:val="000000"/>
        </w:rPr>
      </w:pPr>
      <w:r w:rsidRPr="00182167">
        <w:rPr>
          <w:rFonts w:ascii="Arial" w:hAnsi="Arial" w:cs="Arial"/>
          <w:b/>
          <w:i/>
          <w:color w:val="000000"/>
          <w:sz w:val="28"/>
          <w:szCs w:val="28"/>
        </w:rPr>
        <w:t>Swansea Law School</w:t>
      </w:r>
    </w:p>
    <w:p w14:paraId="1A536046" w14:textId="77777777" w:rsidR="00FC6DFA" w:rsidRDefault="00FC6DFA">
      <w:pPr>
        <w:ind w:right="237"/>
        <w:jc w:val="center"/>
        <w:rPr>
          <w:b/>
          <w:color w:val="000000"/>
          <w:sz w:val="28"/>
          <w:szCs w:val="28"/>
        </w:rPr>
      </w:pPr>
    </w:p>
    <w:p w14:paraId="0BA118B4" w14:textId="77777777" w:rsidR="00FC6DFA" w:rsidRPr="006230EE" w:rsidRDefault="009F1B79">
      <w:pPr>
        <w:ind w:right="237"/>
        <w:jc w:val="center"/>
        <w:rPr>
          <w:rFonts w:ascii="Arial" w:hAnsi="Arial" w:cs="Arial"/>
          <w:color w:val="000000"/>
          <w:sz w:val="28"/>
          <w:szCs w:val="28"/>
        </w:rPr>
      </w:pPr>
      <w:r w:rsidRPr="006230EE">
        <w:rPr>
          <w:rFonts w:ascii="Arial" w:hAnsi="Arial" w:cs="Arial"/>
          <w:b/>
          <w:color w:val="000000"/>
          <w:sz w:val="28"/>
          <w:szCs w:val="28"/>
        </w:rPr>
        <w:t>Workbook Guidance</w:t>
      </w:r>
    </w:p>
    <w:p w14:paraId="3E3D5881" w14:textId="77777777" w:rsidR="00FC6DFA" w:rsidRDefault="00FC6DFA">
      <w:pPr>
        <w:ind w:right="237"/>
        <w:jc w:val="center"/>
        <w:rPr>
          <w:b/>
          <w:color w:val="000000"/>
          <w:sz w:val="28"/>
          <w:szCs w:val="28"/>
        </w:rPr>
      </w:pPr>
    </w:p>
    <w:p w14:paraId="52791FA9" w14:textId="77777777" w:rsidR="00FC6DFA" w:rsidRPr="006230EE" w:rsidRDefault="009F1B79">
      <w:pPr>
        <w:ind w:right="237"/>
        <w:jc w:val="both"/>
        <w:rPr>
          <w:rFonts w:ascii="Arial" w:hAnsi="Arial" w:cs="Arial"/>
          <w:color w:val="000000"/>
        </w:rPr>
      </w:pPr>
      <w:r w:rsidRPr="006230EE">
        <w:rPr>
          <w:rFonts w:ascii="Arial" w:hAnsi="Arial" w:cs="Arial"/>
          <w:color w:val="000000"/>
        </w:rPr>
        <w:t>Please read these notes carefully. They provide essential information in relation to your assessment. The documents you will use in developing your workbook are on the following pages.</w:t>
      </w:r>
    </w:p>
    <w:p w14:paraId="0BC06539" w14:textId="77777777" w:rsidR="00FC6DFA" w:rsidRPr="006230EE" w:rsidRDefault="009F1B79">
      <w:pPr>
        <w:ind w:right="237"/>
        <w:jc w:val="both"/>
        <w:rPr>
          <w:rFonts w:ascii="Arial" w:hAnsi="Arial" w:cs="Arial"/>
          <w:color w:val="000000"/>
        </w:rPr>
      </w:pPr>
      <w:r w:rsidRPr="006230EE">
        <w:rPr>
          <w:rFonts w:ascii="Arial" w:hAnsi="Arial" w:cs="Arial"/>
          <w:b/>
          <w:color w:val="000000"/>
        </w:rPr>
        <w:t>What is the workbook for?</w:t>
      </w:r>
    </w:p>
    <w:p w14:paraId="6EF7F27A" w14:textId="77777777" w:rsidR="00FC6DFA" w:rsidRPr="006230EE" w:rsidRDefault="009F1B79">
      <w:pPr>
        <w:ind w:right="237"/>
        <w:jc w:val="both"/>
        <w:rPr>
          <w:rFonts w:ascii="Arial" w:hAnsi="Arial" w:cs="Arial"/>
          <w:color w:val="000000"/>
        </w:rPr>
      </w:pPr>
      <w:r w:rsidRPr="006230EE">
        <w:rPr>
          <w:rFonts w:ascii="Arial" w:hAnsi="Arial" w:cs="Arial"/>
          <w:color w:val="000000"/>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14:paraId="391E2A0E" w14:textId="77777777" w:rsidR="00FC6DFA" w:rsidRPr="006230EE" w:rsidRDefault="009F1B79">
      <w:pPr>
        <w:ind w:right="237"/>
        <w:jc w:val="both"/>
        <w:rPr>
          <w:rFonts w:ascii="Arial" w:hAnsi="Arial" w:cs="Arial"/>
          <w:color w:val="000000"/>
        </w:rPr>
      </w:pPr>
      <w:r w:rsidRPr="006230EE">
        <w:rPr>
          <w:rFonts w:ascii="Arial" w:hAnsi="Arial" w:cs="Arial"/>
          <w:b/>
          <w:color w:val="000000"/>
        </w:rPr>
        <w:t>How should the workbook be presented?</w:t>
      </w:r>
    </w:p>
    <w:p w14:paraId="55403F1D" w14:textId="77777777" w:rsidR="00FC6DFA" w:rsidRPr="006230EE" w:rsidRDefault="009F1B79">
      <w:pPr>
        <w:jc w:val="both"/>
        <w:rPr>
          <w:rFonts w:ascii="Arial" w:hAnsi="Arial" w:cs="Arial"/>
          <w:color w:val="000000"/>
        </w:rPr>
      </w:pPr>
      <w:r w:rsidRPr="006230EE">
        <w:rPr>
          <w:rFonts w:ascii="Arial" w:hAnsi="Arial" w:cs="Arial"/>
          <w:color w:val="000000"/>
        </w:rPr>
        <w:t>Blank electronic copies of this workbook can be found on Moodle. You must submit your assessment document electronically once completed, therefore it is important that you save your work regularly and upload the final typed version through Turnitin on Moodle. Further guidance will be provided by your tutor.</w:t>
      </w:r>
    </w:p>
    <w:p w14:paraId="1CC2282F" w14:textId="77777777" w:rsidR="00FC6DFA" w:rsidRPr="006230EE" w:rsidRDefault="009F1B79">
      <w:pPr>
        <w:jc w:val="both"/>
        <w:rPr>
          <w:rFonts w:ascii="Arial" w:hAnsi="Arial" w:cs="Arial"/>
          <w:color w:val="000000"/>
        </w:rPr>
      </w:pPr>
      <w:r w:rsidRPr="006230EE">
        <w:rPr>
          <w:rFonts w:ascii="Arial" w:hAnsi="Arial" w:cs="Arial"/>
          <w:b/>
          <w:color w:val="000000"/>
        </w:rPr>
        <w:t>The word count policy</w:t>
      </w:r>
      <w:r w:rsidRPr="006230EE">
        <w:rPr>
          <w:rFonts w:ascii="Arial" w:hAnsi="Arial" w:cs="Arial"/>
          <w:color w:val="000000"/>
        </w:rPr>
        <w:t xml:space="preserve"> can be found in chapter 7 of the Academic Quality Handbook under section 7.7 (this applies to presenting work above and under the specified word count). </w:t>
      </w:r>
    </w:p>
    <w:p w14:paraId="5F8C5516" w14:textId="77777777" w:rsidR="00FC6DFA" w:rsidRPr="006230EE" w:rsidRDefault="009F1B79">
      <w:pPr>
        <w:jc w:val="both"/>
        <w:rPr>
          <w:rFonts w:ascii="Arial" w:hAnsi="Arial" w:cs="Arial"/>
          <w:color w:val="0000FF"/>
        </w:rPr>
      </w:pPr>
      <w:r w:rsidRPr="006230EE">
        <w:rPr>
          <w:rFonts w:ascii="Arial" w:hAnsi="Arial" w:cs="Arial"/>
          <w:color w:val="000000"/>
        </w:rPr>
        <w:t>(</w:t>
      </w:r>
      <w:hyperlink r:id="rId7">
        <w:r w:rsidRPr="006230EE">
          <w:rPr>
            <w:rFonts w:ascii="Arial" w:hAnsi="Arial" w:cs="Arial"/>
            <w:color w:val="0563C1"/>
            <w:u w:val="single"/>
          </w:rPr>
          <w:t>https://www.uwtsd.ac.uk/media/uwtsd-website/content-assets/documents/academic-office/aqh-chapters/chapters---en/Chapter_07_Assessment_Taught_Programmes_Pages_72-79-UPDATED-05-11-2019.pdf</w:t>
        </w:r>
      </w:hyperlink>
      <w:r w:rsidRPr="006230EE">
        <w:rPr>
          <w:rFonts w:ascii="Arial" w:hAnsi="Arial" w:cs="Arial"/>
          <w:color w:val="0000FF"/>
          <w:u w:val="single"/>
        </w:rPr>
        <w:t xml:space="preserve">) </w:t>
      </w:r>
    </w:p>
    <w:p w14:paraId="25A907CF" w14:textId="77777777" w:rsidR="00FC6DFA" w:rsidRPr="006230EE" w:rsidRDefault="009F1B79">
      <w:pPr>
        <w:jc w:val="both"/>
        <w:rPr>
          <w:rFonts w:ascii="Arial" w:hAnsi="Arial" w:cs="Arial"/>
          <w:color w:val="000000"/>
        </w:rPr>
      </w:pPr>
      <w:r w:rsidRPr="006230EE">
        <w:rPr>
          <w:rFonts w:ascii="Arial" w:hAnsi="Arial" w:cs="Arial"/>
          <w:b/>
          <w:color w:val="000000"/>
        </w:rPr>
        <w:t>Reflective practice</w:t>
      </w:r>
      <w:r w:rsidRPr="006230EE">
        <w:rPr>
          <w:rFonts w:ascii="Arial" w:hAnsi="Arial" w:cs="Arial"/>
          <w:color w:val="000000"/>
        </w:rPr>
        <w:t xml:space="preserve"> is a core aspect for your workbooks and although there is a variety of useful resources on Moodle, there is one book, that is specifically based on reflective practice in policing, here is a link to one chapter from Selina Copley’s Reflective Practice for Policing Students: </w:t>
      </w:r>
    </w:p>
    <w:p w14:paraId="609D495E" w14:textId="77777777" w:rsidR="00FC6DFA" w:rsidRPr="006230EE" w:rsidRDefault="009F1B79">
      <w:pPr>
        <w:jc w:val="both"/>
        <w:rPr>
          <w:rFonts w:ascii="Arial" w:hAnsi="Arial" w:cs="Arial"/>
          <w:color w:val="000000"/>
        </w:rPr>
      </w:pPr>
      <w:hyperlink r:id="rId8">
        <w:r w:rsidRPr="006230EE">
          <w:rPr>
            <w:rFonts w:ascii="Arial" w:hAnsi="Arial" w:cs="Arial"/>
            <w:color w:val="0563C1"/>
            <w:u w:val="single"/>
          </w:rPr>
          <w:t>https://moodle.uwtsd.ac.uk/pluginfile.php/298870/mod_resource/content/1/Reflective%20Practice%20for%20Policing%20Students%20-%20Selina%20Copley%20Chapter5.pdf</w:t>
        </w:r>
      </w:hyperlink>
    </w:p>
    <w:p w14:paraId="0D148BB2" w14:textId="77777777" w:rsidR="00FC6DFA" w:rsidRPr="006230EE" w:rsidRDefault="009F1B79">
      <w:pPr>
        <w:jc w:val="both"/>
        <w:rPr>
          <w:rFonts w:ascii="Arial" w:hAnsi="Arial" w:cs="Arial"/>
          <w:color w:val="000000"/>
        </w:rPr>
      </w:pPr>
      <w:r w:rsidRPr="006230EE">
        <w:rPr>
          <w:rFonts w:ascii="Arial" w:hAnsi="Arial" w:cs="Arial"/>
          <w:b/>
          <w:color w:val="000000"/>
        </w:rPr>
        <w:t>How is the workbook assessed?</w:t>
      </w:r>
    </w:p>
    <w:p w14:paraId="683FD865" w14:textId="77777777" w:rsidR="00FC6DFA" w:rsidRPr="006230EE" w:rsidRDefault="009F1B79">
      <w:pPr>
        <w:jc w:val="both"/>
        <w:rPr>
          <w:rFonts w:ascii="Arial" w:hAnsi="Arial" w:cs="Arial"/>
          <w:color w:val="000000"/>
        </w:rPr>
      </w:pPr>
      <w:r w:rsidRPr="006230EE">
        <w:rPr>
          <w:rFonts w:ascii="Arial" w:hAnsi="Arial" w:cs="Arial"/>
          <w:color w:val="000000"/>
        </w:rPr>
        <w:t xml:space="preserve">Advice and support about the completion of this workbook is available to you. Please contact your tutor with any questions or queries you may have if you are unsure. </w:t>
      </w:r>
    </w:p>
    <w:p w14:paraId="745D8563" w14:textId="77777777" w:rsidR="00FC6DFA" w:rsidRPr="006230EE" w:rsidRDefault="009F1B79">
      <w:pPr>
        <w:jc w:val="both"/>
        <w:rPr>
          <w:rFonts w:ascii="Arial" w:hAnsi="Arial" w:cs="Arial"/>
          <w:color w:val="000000"/>
        </w:rPr>
      </w:pPr>
      <w:r w:rsidRPr="006230EE">
        <w:rPr>
          <w:rFonts w:ascii="Arial" w:hAnsi="Arial" w:cs="Arial"/>
          <w:color w:val="000000"/>
        </w:rPr>
        <w:t xml:space="preserve">Once submitted your workbook will be assessed and marked independently. You will be provided with individual feedback once the work has been marked. </w:t>
      </w:r>
    </w:p>
    <w:p w14:paraId="42D319FB" w14:textId="77777777" w:rsidR="00FC6DFA" w:rsidRPr="006230EE" w:rsidRDefault="009F1B79">
      <w:pPr>
        <w:ind w:right="237"/>
        <w:jc w:val="both"/>
        <w:rPr>
          <w:rFonts w:ascii="Arial" w:hAnsi="Arial" w:cs="Arial"/>
          <w:color w:val="000000"/>
        </w:rPr>
      </w:pPr>
      <w:r w:rsidRPr="006230EE">
        <w:rPr>
          <w:rFonts w:ascii="Arial" w:hAnsi="Arial" w:cs="Arial"/>
          <w:b/>
          <w:color w:val="000000"/>
        </w:rPr>
        <w:t>Confidentiality</w:t>
      </w:r>
    </w:p>
    <w:p w14:paraId="37988521" w14:textId="77777777" w:rsidR="00FC6DFA" w:rsidRPr="006230EE" w:rsidRDefault="009F1B79">
      <w:pPr>
        <w:ind w:right="237"/>
        <w:jc w:val="both"/>
        <w:rPr>
          <w:rFonts w:ascii="Arial" w:hAnsi="Arial" w:cs="Arial"/>
          <w:color w:val="000000"/>
        </w:rPr>
      </w:pPr>
      <w:r w:rsidRPr="006230EE">
        <w:rPr>
          <w:rFonts w:ascii="Arial" w:hAnsi="Arial" w:cs="Arial"/>
          <w:color w:val="000000"/>
        </w:rPr>
        <w:t>It is important that no individual can be identified either directly or indirectly from the information in the workbook. You must therefore:</w:t>
      </w:r>
    </w:p>
    <w:p w14:paraId="71381FBF" w14:textId="77777777" w:rsidR="00FC6DFA" w:rsidRPr="006230EE" w:rsidRDefault="009F1B79">
      <w:pPr>
        <w:numPr>
          <w:ilvl w:val="0"/>
          <w:numId w:val="3"/>
        </w:numPr>
        <w:pBdr>
          <w:top w:val="nil"/>
          <w:left w:val="nil"/>
          <w:bottom w:val="nil"/>
          <w:right w:val="nil"/>
          <w:between w:val="nil"/>
        </w:pBdr>
        <w:spacing w:after="0"/>
        <w:ind w:right="237"/>
        <w:jc w:val="both"/>
        <w:rPr>
          <w:rFonts w:ascii="Arial" w:hAnsi="Arial" w:cs="Arial"/>
          <w:color w:val="000000"/>
        </w:rPr>
      </w:pPr>
      <w:r w:rsidRPr="006230EE">
        <w:rPr>
          <w:rFonts w:ascii="Arial" w:hAnsi="Arial" w:cs="Arial"/>
          <w:color w:val="000000"/>
        </w:rPr>
        <w:t>Adhere to guidance in the Candidate Handbook about confidentiality.</w:t>
      </w:r>
    </w:p>
    <w:p w14:paraId="1126DDA6" w14:textId="77777777" w:rsidR="00FC6DFA" w:rsidRPr="006230EE" w:rsidRDefault="009F1B79">
      <w:pPr>
        <w:numPr>
          <w:ilvl w:val="0"/>
          <w:numId w:val="3"/>
        </w:numPr>
        <w:pBdr>
          <w:top w:val="nil"/>
          <w:left w:val="nil"/>
          <w:bottom w:val="nil"/>
          <w:right w:val="nil"/>
          <w:between w:val="nil"/>
        </w:pBdr>
        <w:spacing w:after="0"/>
        <w:ind w:right="237"/>
        <w:jc w:val="both"/>
        <w:rPr>
          <w:rFonts w:ascii="Arial" w:hAnsi="Arial" w:cs="Arial"/>
          <w:color w:val="000000"/>
        </w:rPr>
      </w:pPr>
      <w:r w:rsidRPr="006230EE">
        <w:rPr>
          <w:rFonts w:ascii="Arial" w:hAnsi="Arial" w:cs="Arial"/>
          <w:color w:val="000000"/>
        </w:rPr>
        <w:t>Not identify individuals including witnesses, victims, or offenders by name.</w:t>
      </w:r>
    </w:p>
    <w:p w14:paraId="1B11D524" w14:textId="77777777" w:rsidR="00FC6DFA" w:rsidRPr="006230EE" w:rsidRDefault="009F1B79">
      <w:pPr>
        <w:numPr>
          <w:ilvl w:val="0"/>
          <w:numId w:val="2"/>
        </w:numPr>
        <w:pBdr>
          <w:top w:val="nil"/>
          <w:left w:val="nil"/>
          <w:bottom w:val="nil"/>
          <w:right w:val="nil"/>
          <w:between w:val="nil"/>
        </w:pBdr>
        <w:spacing w:after="0"/>
        <w:ind w:right="237"/>
        <w:jc w:val="both"/>
        <w:rPr>
          <w:rFonts w:ascii="Arial" w:hAnsi="Arial" w:cs="Arial"/>
          <w:color w:val="000000"/>
        </w:rPr>
      </w:pPr>
      <w:r w:rsidRPr="006230EE">
        <w:rPr>
          <w:rFonts w:ascii="Arial" w:hAnsi="Arial" w:cs="Arial"/>
          <w:color w:val="000000"/>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2A8386" w14:textId="77777777" w:rsidR="00FC6DFA" w:rsidRPr="006230EE" w:rsidRDefault="009F1B79">
      <w:pPr>
        <w:numPr>
          <w:ilvl w:val="0"/>
          <w:numId w:val="2"/>
        </w:numPr>
        <w:pBdr>
          <w:top w:val="nil"/>
          <w:left w:val="nil"/>
          <w:bottom w:val="nil"/>
          <w:right w:val="nil"/>
          <w:between w:val="nil"/>
        </w:pBdr>
        <w:spacing w:after="0"/>
        <w:ind w:right="237"/>
        <w:jc w:val="both"/>
        <w:rPr>
          <w:rFonts w:ascii="Arial" w:hAnsi="Arial" w:cs="Arial"/>
          <w:color w:val="000000"/>
        </w:rPr>
      </w:pPr>
      <w:r w:rsidRPr="006230EE">
        <w:rPr>
          <w:rFonts w:ascii="Arial" w:hAnsi="Arial" w:cs="Arial"/>
          <w:color w:val="000000"/>
        </w:rPr>
        <w:t xml:space="preserve">Take personal responsibility for adhering to confidentiality rules. </w:t>
      </w:r>
    </w:p>
    <w:p w14:paraId="78045D0E" w14:textId="77777777" w:rsidR="00FC6DFA" w:rsidRPr="006230EE" w:rsidRDefault="009F1B79">
      <w:pPr>
        <w:numPr>
          <w:ilvl w:val="0"/>
          <w:numId w:val="2"/>
        </w:numPr>
        <w:pBdr>
          <w:top w:val="nil"/>
          <w:left w:val="nil"/>
          <w:bottom w:val="nil"/>
          <w:right w:val="nil"/>
          <w:between w:val="nil"/>
        </w:pBdr>
        <w:ind w:right="237"/>
        <w:jc w:val="both"/>
        <w:rPr>
          <w:rFonts w:ascii="Arial" w:hAnsi="Arial" w:cs="Arial"/>
          <w:color w:val="000000"/>
        </w:rPr>
      </w:pPr>
      <w:r w:rsidRPr="006230EE">
        <w:rPr>
          <w:rFonts w:ascii="Arial" w:hAnsi="Arial" w:cs="Arial"/>
          <w:color w:val="000000"/>
        </w:rPr>
        <w:t>Not include any dates of any incidents or anything that specifically identifies an actual incident.</w:t>
      </w:r>
    </w:p>
    <w:p w14:paraId="5A72D6D3" w14:textId="77777777" w:rsidR="00FC6DFA" w:rsidRPr="006230EE" w:rsidRDefault="009F1B79">
      <w:pPr>
        <w:ind w:right="237"/>
        <w:jc w:val="both"/>
        <w:rPr>
          <w:rFonts w:ascii="Arial" w:hAnsi="Arial" w:cs="Arial"/>
          <w:color w:val="000000"/>
        </w:rPr>
      </w:pPr>
      <w:r w:rsidRPr="006230EE">
        <w:rPr>
          <w:rFonts w:ascii="Arial" w:hAnsi="Arial" w:cs="Arial"/>
          <w:b/>
          <w:color w:val="000000"/>
        </w:rPr>
        <w:t>NOTE:</w:t>
      </w:r>
    </w:p>
    <w:p w14:paraId="02A8367F" w14:textId="77777777" w:rsidR="00FC6DFA" w:rsidRPr="006230EE" w:rsidRDefault="009F1B79">
      <w:pPr>
        <w:ind w:right="237"/>
        <w:jc w:val="both"/>
        <w:rPr>
          <w:rFonts w:ascii="Arial" w:hAnsi="Arial" w:cs="Arial"/>
          <w:color w:val="000000"/>
        </w:rPr>
      </w:pPr>
      <w:r w:rsidRPr="006230EE">
        <w:rPr>
          <w:rFonts w:ascii="Arial" w:hAnsi="Arial" w:cs="Arial"/>
          <w:color w:val="000000"/>
        </w:rPr>
        <w:t xml:space="preserve">Your workbook will be submitted electronically via Turnitin on Moodle. Guidance on this is in the student handbook and within Moodle. </w:t>
      </w:r>
    </w:p>
    <w:p w14:paraId="0A3F5173" w14:textId="77777777" w:rsidR="00FC6DFA" w:rsidRPr="006230EE" w:rsidRDefault="009F1B79">
      <w:pPr>
        <w:ind w:right="237"/>
        <w:jc w:val="both"/>
        <w:rPr>
          <w:rFonts w:ascii="Arial" w:hAnsi="Arial" w:cs="Arial"/>
          <w:color w:val="000000"/>
        </w:rPr>
      </w:pPr>
      <w:r w:rsidRPr="006230EE">
        <w:rPr>
          <w:rFonts w:ascii="Arial" w:hAnsi="Arial" w:cs="Arial"/>
          <w:b/>
          <w:i/>
          <w:color w:val="000000"/>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0292453D" w14:textId="77777777" w:rsidR="00FC6DFA" w:rsidRPr="006230EE" w:rsidRDefault="00FC6DFA">
      <w:pPr>
        <w:spacing w:before="120" w:after="0" w:line="240" w:lineRule="auto"/>
        <w:rPr>
          <w:rFonts w:ascii="Arial" w:hAnsi="Arial" w:cs="Arial"/>
          <w:b/>
          <w:color w:val="000000"/>
        </w:rPr>
      </w:pPr>
    </w:p>
    <w:p w14:paraId="4076DAB3" w14:textId="77777777" w:rsidR="00FC6DFA" w:rsidRPr="0051119F" w:rsidRDefault="009F1B79">
      <w:pPr>
        <w:spacing w:before="120" w:after="0" w:line="240" w:lineRule="auto"/>
        <w:rPr>
          <w:rFonts w:ascii="Arial" w:hAnsi="Arial" w:cs="Arial"/>
          <w:b/>
          <w:color w:val="000000"/>
          <w:sz w:val="22"/>
          <w:szCs w:val="22"/>
        </w:rPr>
      </w:pPr>
      <w:r w:rsidRPr="0051119F">
        <w:rPr>
          <w:rFonts w:ascii="Arial" w:hAnsi="Arial" w:cs="Arial"/>
          <w:b/>
          <w:color w:val="000000"/>
          <w:sz w:val="22"/>
          <w:szCs w:val="22"/>
        </w:rPr>
        <w:lastRenderedPageBreak/>
        <w:t>Module Aim(s):</w:t>
      </w:r>
    </w:p>
    <w:p w14:paraId="2AB0DEF2" w14:textId="77777777" w:rsidR="00FC6DFA" w:rsidRPr="0051119F" w:rsidRDefault="00FC6DFA">
      <w:pPr>
        <w:spacing w:before="120" w:after="0" w:line="240" w:lineRule="auto"/>
        <w:rPr>
          <w:rFonts w:ascii="Arial" w:hAnsi="Arial" w:cs="Arial"/>
          <w:b/>
          <w:color w:val="000000"/>
          <w:sz w:val="22"/>
          <w:szCs w:val="22"/>
        </w:rPr>
      </w:pPr>
    </w:p>
    <w:p w14:paraId="5E65B331" w14:textId="77777777" w:rsidR="00FC6DFA" w:rsidRPr="0051119F" w:rsidRDefault="009F1B79">
      <w:pPr>
        <w:numPr>
          <w:ilvl w:val="0"/>
          <w:numId w:val="3"/>
        </w:numPr>
        <w:pBdr>
          <w:top w:val="nil"/>
          <w:left w:val="nil"/>
          <w:bottom w:val="nil"/>
          <w:right w:val="nil"/>
          <w:between w:val="nil"/>
        </w:pBdr>
        <w:rPr>
          <w:rFonts w:ascii="Arial" w:hAnsi="Arial" w:cs="Arial"/>
          <w:color w:val="000000"/>
          <w:sz w:val="22"/>
          <w:szCs w:val="22"/>
        </w:rPr>
      </w:pPr>
      <w:r w:rsidRPr="0051119F">
        <w:rPr>
          <w:rFonts w:ascii="Arial" w:hAnsi="Arial" w:cs="Arial"/>
          <w:color w:val="000000"/>
          <w:sz w:val="22"/>
          <w:szCs w:val="22"/>
        </w:rPr>
        <w:t>To provide learners with an opportunity to gain credit for their workplace practice by reflecting on National Occupational Standards (NOS) and other competencies related to their professional role as an investigator.</w:t>
      </w:r>
    </w:p>
    <w:p w14:paraId="7E98515D" w14:textId="77777777" w:rsidR="00FC6DFA" w:rsidRPr="006230EE" w:rsidRDefault="00FC6DFA">
      <w:pPr>
        <w:spacing w:before="120" w:after="0" w:line="240" w:lineRule="auto"/>
        <w:rPr>
          <w:rFonts w:ascii="Arial" w:hAnsi="Arial" w:cs="Arial"/>
          <w:b/>
          <w:color w:val="000000"/>
        </w:rPr>
      </w:pPr>
    </w:p>
    <w:p w14:paraId="34765293" w14:textId="77777777" w:rsidR="00FC6DFA" w:rsidRPr="006230EE" w:rsidRDefault="00FC6DFA">
      <w:pPr>
        <w:spacing w:before="120" w:after="0" w:line="240" w:lineRule="auto"/>
        <w:ind w:left="720"/>
        <w:jc w:val="center"/>
        <w:rPr>
          <w:rFonts w:ascii="Arial" w:hAnsi="Arial" w:cs="Arial"/>
          <w:color w:val="000000"/>
        </w:rPr>
      </w:pPr>
    </w:p>
    <w:p w14:paraId="3A4A998F" w14:textId="77777777" w:rsidR="00FC6DFA" w:rsidRPr="006230EE" w:rsidRDefault="009F1B79">
      <w:pPr>
        <w:rPr>
          <w:rFonts w:ascii="Arial" w:hAnsi="Arial" w:cs="Arial"/>
          <w:b/>
        </w:rPr>
      </w:pPr>
      <w:r w:rsidRPr="006230EE">
        <w:rPr>
          <w:rFonts w:ascii="Arial" w:hAnsi="Arial" w:cs="Arial"/>
          <w:b/>
        </w:rPr>
        <w:t>Content of Workbook:</w:t>
      </w:r>
    </w:p>
    <w:p w14:paraId="5AF1D9B7" w14:textId="77777777" w:rsidR="00FC6DFA" w:rsidRPr="006230EE" w:rsidRDefault="00FC6DFA">
      <w:pPr>
        <w:rPr>
          <w:rFonts w:ascii="Arial" w:hAnsi="Arial" w:cs="Arial"/>
          <w:b/>
        </w:rPr>
      </w:pP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FC6DFA" w:rsidRPr="006230EE" w14:paraId="0E1C577D" w14:textId="77777777">
        <w:tc>
          <w:tcPr>
            <w:tcW w:w="3005" w:type="dxa"/>
            <w:shd w:val="clear" w:color="auto" w:fill="5B9BD5"/>
          </w:tcPr>
          <w:p w14:paraId="0B3A285C" w14:textId="77777777" w:rsidR="00FC6DFA" w:rsidRPr="006230EE" w:rsidRDefault="009F1B79">
            <w:pPr>
              <w:rPr>
                <w:rFonts w:ascii="Arial" w:hAnsi="Arial" w:cs="Arial"/>
                <w:b/>
              </w:rPr>
            </w:pPr>
            <w:r w:rsidRPr="006230EE">
              <w:rPr>
                <w:rFonts w:ascii="Arial" w:hAnsi="Arial" w:cs="Arial"/>
                <w:b/>
              </w:rPr>
              <w:t>Task</w:t>
            </w:r>
          </w:p>
        </w:tc>
        <w:tc>
          <w:tcPr>
            <w:tcW w:w="3005" w:type="dxa"/>
            <w:shd w:val="clear" w:color="auto" w:fill="5B9BD5"/>
          </w:tcPr>
          <w:p w14:paraId="512B13F5" w14:textId="77777777" w:rsidR="00FC6DFA" w:rsidRPr="006230EE" w:rsidRDefault="009F1B79">
            <w:pPr>
              <w:rPr>
                <w:rFonts w:ascii="Arial" w:hAnsi="Arial" w:cs="Arial"/>
                <w:b/>
              </w:rPr>
            </w:pPr>
            <w:r w:rsidRPr="006230EE">
              <w:rPr>
                <w:rFonts w:ascii="Arial" w:hAnsi="Arial" w:cs="Arial"/>
                <w:b/>
              </w:rPr>
              <w:t>Relevant Investigative Area</w:t>
            </w:r>
          </w:p>
        </w:tc>
        <w:tc>
          <w:tcPr>
            <w:tcW w:w="3005" w:type="dxa"/>
            <w:shd w:val="clear" w:color="auto" w:fill="5B9BD5"/>
          </w:tcPr>
          <w:p w14:paraId="7CA9833B" w14:textId="77777777" w:rsidR="00FC6DFA" w:rsidRPr="006230EE" w:rsidRDefault="009F1B79">
            <w:pPr>
              <w:jc w:val="center"/>
              <w:rPr>
                <w:rFonts w:ascii="Arial" w:hAnsi="Arial" w:cs="Arial"/>
                <w:b/>
              </w:rPr>
            </w:pPr>
            <w:r w:rsidRPr="006230EE">
              <w:rPr>
                <w:rFonts w:ascii="Arial" w:hAnsi="Arial" w:cs="Arial"/>
                <w:b/>
              </w:rPr>
              <w:t>Word Count</w:t>
            </w:r>
          </w:p>
        </w:tc>
      </w:tr>
      <w:tr w:rsidR="00FC6DFA" w:rsidRPr="006230EE" w14:paraId="0A68A1E7" w14:textId="77777777">
        <w:tc>
          <w:tcPr>
            <w:tcW w:w="3005" w:type="dxa"/>
          </w:tcPr>
          <w:p w14:paraId="7054FCFF" w14:textId="77777777" w:rsidR="00FC6DFA" w:rsidRPr="006230EE" w:rsidRDefault="009F1B79">
            <w:pPr>
              <w:rPr>
                <w:rFonts w:ascii="Arial" w:hAnsi="Arial" w:cs="Arial"/>
              </w:rPr>
            </w:pPr>
            <w:r w:rsidRPr="006230EE">
              <w:rPr>
                <w:rFonts w:ascii="Arial" w:hAnsi="Arial" w:cs="Arial"/>
              </w:rPr>
              <w:t>Task 1</w:t>
            </w:r>
          </w:p>
        </w:tc>
        <w:tc>
          <w:tcPr>
            <w:tcW w:w="3005" w:type="dxa"/>
          </w:tcPr>
          <w:p w14:paraId="077AB162" w14:textId="77777777" w:rsidR="00FC6DFA" w:rsidRPr="006230EE" w:rsidRDefault="009F1B79">
            <w:pPr>
              <w:rPr>
                <w:rFonts w:ascii="Arial" w:hAnsi="Arial" w:cs="Arial"/>
                <w:b/>
              </w:rPr>
            </w:pPr>
            <w:r w:rsidRPr="006230EE">
              <w:rPr>
                <w:rFonts w:ascii="Arial" w:hAnsi="Arial" w:cs="Arial"/>
                <w:b/>
              </w:rPr>
              <w:t xml:space="preserve">Information, intelligence &amp; evidence gathering </w:t>
            </w:r>
          </w:p>
        </w:tc>
        <w:tc>
          <w:tcPr>
            <w:tcW w:w="3005" w:type="dxa"/>
          </w:tcPr>
          <w:p w14:paraId="08F3C210" w14:textId="77777777" w:rsidR="00FC6DFA" w:rsidRPr="006230EE" w:rsidRDefault="009F1B79">
            <w:pPr>
              <w:jc w:val="center"/>
              <w:rPr>
                <w:rFonts w:ascii="Arial" w:hAnsi="Arial" w:cs="Arial"/>
              </w:rPr>
            </w:pPr>
            <w:r w:rsidRPr="006230EE">
              <w:rPr>
                <w:rFonts w:ascii="Arial" w:hAnsi="Arial" w:cs="Arial"/>
              </w:rPr>
              <w:t>2000</w:t>
            </w:r>
          </w:p>
        </w:tc>
      </w:tr>
      <w:tr w:rsidR="00FC6DFA" w:rsidRPr="006230EE" w14:paraId="3DBB6111" w14:textId="77777777">
        <w:tc>
          <w:tcPr>
            <w:tcW w:w="3005" w:type="dxa"/>
          </w:tcPr>
          <w:p w14:paraId="6B17D655" w14:textId="77777777" w:rsidR="00FC6DFA" w:rsidRPr="006230EE" w:rsidRDefault="009F1B79">
            <w:pPr>
              <w:rPr>
                <w:rFonts w:ascii="Arial" w:hAnsi="Arial" w:cs="Arial"/>
              </w:rPr>
            </w:pPr>
            <w:r w:rsidRPr="006230EE">
              <w:rPr>
                <w:rFonts w:ascii="Arial" w:hAnsi="Arial" w:cs="Arial"/>
              </w:rPr>
              <w:t>Task 2</w:t>
            </w:r>
          </w:p>
        </w:tc>
        <w:tc>
          <w:tcPr>
            <w:tcW w:w="3005" w:type="dxa"/>
          </w:tcPr>
          <w:p w14:paraId="0C867CA8" w14:textId="77777777" w:rsidR="00FC6DFA" w:rsidRPr="006230EE" w:rsidRDefault="009F1B79">
            <w:pPr>
              <w:rPr>
                <w:rFonts w:ascii="Arial" w:hAnsi="Arial" w:cs="Arial"/>
                <w:b/>
              </w:rPr>
            </w:pPr>
            <w:r w:rsidRPr="006230EE">
              <w:rPr>
                <w:rFonts w:ascii="Arial" w:hAnsi="Arial" w:cs="Arial"/>
                <w:b/>
              </w:rPr>
              <w:t>Safeguarding and Risk assessment</w:t>
            </w:r>
          </w:p>
        </w:tc>
        <w:tc>
          <w:tcPr>
            <w:tcW w:w="3005" w:type="dxa"/>
          </w:tcPr>
          <w:p w14:paraId="1E690396" w14:textId="77777777" w:rsidR="00FC6DFA" w:rsidRPr="006230EE" w:rsidRDefault="009F1B79">
            <w:pPr>
              <w:jc w:val="center"/>
              <w:rPr>
                <w:rFonts w:ascii="Arial" w:hAnsi="Arial" w:cs="Arial"/>
              </w:rPr>
            </w:pPr>
            <w:r w:rsidRPr="006230EE">
              <w:rPr>
                <w:rFonts w:ascii="Arial" w:hAnsi="Arial" w:cs="Arial"/>
              </w:rPr>
              <w:t>2000</w:t>
            </w:r>
          </w:p>
        </w:tc>
      </w:tr>
      <w:tr w:rsidR="00FC6DFA" w:rsidRPr="006230EE" w14:paraId="6F92E08A" w14:textId="77777777">
        <w:tc>
          <w:tcPr>
            <w:tcW w:w="3005" w:type="dxa"/>
          </w:tcPr>
          <w:p w14:paraId="58879F44" w14:textId="77777777" w:rsidR="00FC6DFA" w:rsidRPr="006230EE" w:rsidRDefault="009F1B79">
            <w:pPr>
              <w:rPr>
                <w:rFonts w:ascii="Arial" w:hAnsi="Arial" w:cs="Arial"/>
              </w:rPr>
            </w:pPr>
            <w:r w:rsidRPr="006230EE">
              <w:rPr>
                <w:rFonts w:ascii="Arial" w:hAnsi="Arial" w:cs="Arial"/>
              </w:rPr>
              <w:t>Task 3</w:t>
            </w:r>
          </w:p>
        </w:tc>
        <w:tc>
          <w:tcPr>
            <w:tcW w:w="3005" w:type="dxa"/>
          </w:tcPr>
          <w:p w14:paraId="65F5E897" w14:textId="77777777" w:rsidR="00FC6DFA" w:rsidRPr="006230EE" w:rsidRDefault="009F1B79">
            <w:pPr>
              <w:rPr>
                <w:rFonts w:ascii="Arial" w:hAnsi="Arial" w:cs="Arial"/>
                <w:b/>
              </w:rPr>
            </w:pPr>
            <w:r w:rsidRPr="006230EE">
              <w:rPr>
                <w:rFonts w:ascii="Arial" w:hAnsi="Arial" w:cs="Arial"/>
                <w:b/>
              </w:rPr>
              <w:t>Interview and custody processes</w:t>
            </w:r>
          </w:p>
        </w:tc>
        <w:tc>
          <w:tcPr>
            <w:tcW w:w="3005" w:type="dxa"/>
          </w:tcPr>
          <w:p w14:paraId="25E8D07C" w14:textId="77777777" w:rsidR="00FC6DFA" w:rsidRPr="006230EE" w:rsidRDefault="009F1B79">
            <w:pPr>
              <w:jc w:val="center"/>
              <w:rPr>
                <w:rFonts w:ascii="Arial" w:hAnsi="Arial" w:cs="Arial"/>
              </w:rPr>
            </w:pPr>
            <w:r w:rsidRPr="006230EE">
              <w:rPr>
                <w:rFonts w:ascii="Arial" w:hAnsi="Arial" w:cs="Arial"/>
              </w:rPr>
              <w:t>2000</w:t>
            </w:r>
          </w:p>
        </w:tc>
      </w:tr>
      <w:tr w:rsidR="00FC6DFA" w:rsidRPr="006230EE" w14:paraId="63984C57" w14:textId="77777777">
        <w:tc>
          <w:tcPr>
            <w:tcW w:w="3005" w:type="dxa"/>
          </w:tcPr>
          <w:p w14:paraId="70BCF083" w14:textId="77777777" w:rsidR="00FC6DFA" w:rsidRPr="006230EE" w:rsidRDefault="009F1B79">
            <w:pPr>
              <w:rPr>
                <w:rFonts w:ascii="Arial" w:hAnsi="Arial" w:cs="Arial"/>
              </w:rPr>
            </w:pPr>
            <w:r w:rsidRPr="006230EE">
              <w:rPr>
                <w:rFonts w:ascii="Arial" w:hAnsi="Arial" w:cs="Arial"/>
              </w:rPr>
              <w:t>Task 4</w:t>
            </w:r>
          </w:p>
        </w:tc>
        <w:tc>
          <w:tcPr>
            <w:tcW w:w="3005" w:type="dxa"/>
          </w:tcPr>
          <w:p w14:paraId="1B63BE77" w14:textId="77777777" w:rsidR="00FC6DFA" w:rsidRPr="006230EE" w:rsidRDefault="009F1B79">
            <w:pPr>
              <w:rPr>
                <w:rFonts w:ascii="Arial" w:hAnsi="Arial" w:cs="Arial"/>
                <w:b/>
              </w:rPr>
            </w:pPr>
            <w:r w:rsidRPr="006230EE">
              <w:rPr>
                <w:rFonts w:ascii="Arial" w:hAnsi="Arial" w:cs="Arial"/>
                <w:b/>
              </w:rPr>
              <w:t xml:space="preserve">Investigation documentation processes. </w:t>
            </w:r>
          </w:p>
        </w:tc>
        <w:tc>
          <w:tcPr>
            <w:tcW w:w="3005" w:type="dxa"/>
          </w:tcPr>
          <w:p w14:paraId="5C8E8BDC" w14:textId="77777777" w:rsidR="00FC6DFA" w:rsidRPr="006230EE" w:rsidRDefault="009F1B79">
            <w:pPr>
              <w:spacing w:after="160" w:line="360" w:lineRule="auto"/>
              <w:jc w:val="center"/>
              <w:rPr>
                <w:rFonts w:ascii="Arial" w:hAnsi="Arial" w:cs="Arial"/>
              </w:rPr>
            </w:pPr>
            <w:r w:rsidRPr="006230EE">
              <w:rPr>
                <w:rFonts w:ascii="Arial" w:hAnsi="Arial" w:cs="Arial"/>
              </w:rPr>
              <w:t>2000</w:t>
            </w:r>
          </w:p>
        </w:tc>
      </w:tr>
      <w:tr w:rsidR="00FC6DFA" w:rsidRPr="006230EE" w14:paraId="24A6820E" w14:textId="77777777">
        <w:trPr>
          <w:trHeight w:val="1020"/>
        </w:trPr>
        <w:tc>
          <w:tcPr>
            <w:tcW w:w="3005" w:type="dxa"/>
          </w:tcPr>
          <w:p w14:paraId="64B58224" w14:textId="77777777" w:rsidR="00FC6DFA" w:rsidRPr="006230EE" w:rsidRDefault="009F1B79">
            <w:pPr>
              <w:rPr>
                <w:rFonts w:ascii="Arial" w:hAnsi="Arial" w:cs="Arial"/>
              </w:rPr>
            </w:pPr>
            <w:r w:rsidRPr="006230EE">
              <w:rPr>
                <w:rFonts w:ascii="Arial" w:hAnsi="Arial" w:cs="Arial"/>
              </w:rPr>
              <w:t>Task 5</w:t>
            </w:r>
          </w:p>
          <w:p w14:paraId="224E856F" w14:textId="77777777" w:rsidR="00FC6DFA" w:rsidRPr="006230EE" w:rsidRDefault="00FC6DFA">
            <w:pPr>
              <w:rPr>
                <w:rFonts w:ascii="Arial" w:hAnsi="Arial" w:cs="Arial"/>
              </w:rPr>
            </w:pPr>
          </w:p>
        </w:tc>
        <w:tc>
          <w:tcPr>
            <w:tcW w:w="3005" w:type="dxa"/>
          </w:tcPr>
          <w:p w14:paraId="3961AB72" w14:textId="77777777" w:rsidR="00FC6DFA" w:rsidRPr="006230EE" w:rsidRDefault="009F1B79">
            <w:pPr>
              <w:jc w:val="both"/>
              <w:rPr>
                <w:rFonts w:ascii="Arial" w:hAnsi="Arial" w:cs="Arial"/>
              </w:rPr>
            </w:pPr>
            <w:r w:rsidRPr="006230EE">
              <w:rPr>
                <w:rFonts w:ascii="Arial" w:hAnsi="Arial" w:cs="Arial"/>
                <w:b/>
                <w:color w:val="000000"/>
              </w:rPr>
              <w:t>Personal study/learning plan</w:t>
            </w:r>
          </w:p>
        </w:tc>
        <w:tc>
          <w:tcPr>
            <w:tcW w:w="3005" w:type="dxa"/>
          </w:tcPr>
          <w:p w14:paraId="72FB1020" w14:textId="77777777" w:rsidR="00FC6DFA" w:rsidRPr="006230EE" w:rsidRDefault="009F1B79">
            <w:pPr>
              <w:jc w:val="center"/>
              <w:rPr>
                <w:rFonts w:ascii="Arial" w:hAnsi="Arial" w:cs="Arial"/>
              </w:rPr>
            </w:pPr>
            <w:r w:rsidRPr="006230EE">
              <w:rPr>
                <w:rFonts w:ascii="Arial" w:hAnsi="Arial" w:cs="Arial"/>
              </w:rPr>
              <w:t>2000</w:t>
            </w:r>
          </w:p>
        </w:tc>
      </w:tr>
      <w:tr w:rsidR="00FC6DFA" w:rsidRPr="006230EE" w14:paraId="2158D7D3" w14:textId="77777777">
        <w:tc>
          <w:tcPr>
            <w:tcW w:w="3005" w:type="dxa"/>
          </w:tcPr>
          <w:p w14:paraId="22D81241" w14:textId="77777777" w:rsidR="00FC6DFA" w:rsidRPr="006230EE" w:rsidRDefault="00FC6DFA">
            <w:pPr>
              <w:rPr>
                <w:rFonts w:ascii="Arial" w:hAnsi="Arial" w:cs="Arial"/>
                <w:b/>
              </w:rPr>
            </w:pPr>
          </w:p>
        </w:tc>
        <w:tc>
          <w:tcPr>
            <w:tcW w:w="3005" w:type="dxa"/>
          </w:tcPr>
          <w:p w14:paraId="5640FFCF" w14:textId="77777777" w:rsidR="00FC6DFA" w:rsidRPr="006230EE" w:rsidRDefault="009F1B79">
            <w:pPr>
              <w:rPr>
                <w:rFonts w:ascii="Arial" w:hAnsi="Arial" w:cs="Arial"/>
                <w:b/>
                <w:color w:val="000000"/>
              </w:rPr>
            </w:pPr>
            <w:r w:rsidRPr="006230EE">
              <w:rPr>
                <w:rFonts w:ascii="Arial" w:hAnsi="Arial" w:cs="Arial"/>
                <w:b/>
                <w:color w:val="000000"/>
              </w:rPr>
              <w:t>Reference list</w:t>
            </w:r>
          </w:p>
          <w:p w14:paraId="16A28AE2" w14:textId="77777777" w:rsidR="00FC6DFA" w:rsidRPr="006230EE" w:rsidRDefault="00FC6DFA">
            <w:pPr>
              <w:jc w:val="center"/>
              <w:rPr>
                <w:rFonts w:ascii="Arial" w:hAnsi="Arial" w:cs="Arial"/>
                <w:b/>
                <w:color w:val="000000"/>
              </w:rPr>
            </w:pPr>
          </w:p>
        </w:tc>
        <w:tc>
          <w:tcPr>
            <w:tcW w:w="3005" w:type="dxa"/>
          </w:tcPr>
          <w:p w14:paraId="74B6BC0B" w14:textId="77777777" w:rsidR="00FC6DFA" w:rsidRPr="006230EE" w:rsidRDefault="00FC6DFA">
            <w:pPr>
              <w:rPr>
                <w:rFonts w:ascii="Arial" w:hAnsi="Arial" w:cs="Arial"/>
                <w:b/>
              </w:rPr>
            </w:pPr>
          </w:p>
        </w:tc>
      </w:tr>
    </w:tbl>
    <w:p w14:paraId="685C8DCB" w14:textId="77777777" w:rsidR="00FC6DFA" w:rsidRPr="006230EE" w:rsidRDefault="00FC6DFA">
      <w:pPr>
        <w:rPr>
          <w:rFonts w:ascii="Arial" w:hAnsi="Arial" w:cs="Arial"/>
        </w:rPr>
      </w:pPr>
    </w:p>
    <w:p w14:paraId="2035E3D7" w14:textId="77777777" w:rsidR="00CD5F95" w:rsidRPr="006230EE" w:rsidRDefault="00CD5F95">
      <w:pPr>
        <w:rPr>
          <w:rFonts w:ascii="Arial" w:hAnsi="Arial" w:cs="Arial"/>
          <w:b/>
        </w:rPr>
      </w:pPr>
    </w:p>
    <w:p w14:paraId="67428CDE" w14:textId="77777777" w:rsidR="00FC6DFA" w:rsidRPr="006230EE" w:rsidRDefault="009F1B79">
      <w:pPr>
        <w:rPr>
          <w:rFonts w:ascii="Arial" w:hAnsi="Arial" w:cs="Arial"/>
          <w:b/>
          <w:i/>
          <w:color w:val="000000"/>
        </w:rPr>
      </w:pPr>
      <w:r w:rsidRPr="006230EE">
        <w:rPr>
          <w:rFonts w:ascii="Arial" w:hAnsi="Arial" w:cs="Arial"/>
          <w:b/>
          <w:i/>
        </w:rPr>
        <w:t xml:space="preserve">Task </w:t>
      </w:r>
      <w:r w:rsidRPr="006230EE">
        <w:rPr>
          <w:rFonts w:ascii="Arial" w:hAnsi="Arial" w:cs="Arial"/>
          <w:b/>
          <w:i/>
          <w:color w:val="000000"/>
        </w:rPr>
        <w:t>1: Information, Intelligence &amp; Evidence Gathering</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rsidRPr="006230EE" w14:paraId="6123E3C6" w14:textId="77777777">
        <w:tc>
          <w:tcPr>
            <w:tcW w:w="9015" w:type="dxa"/>
          </w:tcPr>
          <w:p w14:paraId="7F230EDD" w14:textId="77777777" w:rsidR="00FC6DFA" w:rsidRPr="006230EE" w:rsidRDefault="00FC6DFA">
            <w:pPr>
              <w:rPr>
                <w:rFonts w:ascii="Arial" w:hAnsi="Arial" w:cs="Arial"/>
                <w:color w:val="000000"/>
              </w:rPr>
            </w:pPr>
          </w:p>
          <w:p w14:paraId="7EFE3BE7" w14:textId="77777777" w:rsidR="00FC6DFA" w:rsidRPr="006230EE" w:rsidRDefault="009F1B79">
            <w:pPr>
              <w:rPr>
                <w:rFonts w:ascii="Arial" w:hAnsi="Arial" w:cs="Arial"/>
                <w:color w:val="000000"/>
              </w:rPr>
            </w:pPr>
            <w:bookmarkStart w:id="0" w:name="_Hlk221096283"/>
            <w:r w:rsidRPr="006230EE">
              <w:rPr>
                <w:rFonts w:ascii="Arial" w:hAnsi="Arial" w:cs="Arial"/>
                <w:color w:val="000000"/>
              </w:rPr>
              <w:t xml:space="preserve">a. Choose one of the below areas and </w:t>
            </w:r>
            <w:r w:rsidRPr="006230EE">
              <w:rPr>
                <w:rFonts w:ascii="Arial" w:hAnsi="Arial" w:cs="Arial"/>
                <w:b/>
                <w:color w:val="000000"/>
              </w:rPr>
              <w:t>outline</w:t>
            </w:r>
            <w:r w:rsidRPr="006230EE">
              <w:rPr>
                <w:rFonts w:ascii="Arial" w:hAnsi="Arial" w:cs="Arial"/>
                <w:color w:val="000000"/>
              </w:rPr>
              <w:t xml:space="preserve"> its relevance to your current role and investigative practice</w:t>
            </w:r>
          </w:p>
          <w:p w14:paraId="7A4D046D" w14:textId="77777777" w:rsidR="00FC6DFA" w:rsidRPr="006230EE" w:rsidRDefault="009F1B79">
            <w:pPr>
              <w:numPr>
                <w:ilvl w:val="0"/>
                <w:numId w:val="6"/>
              </w:numPr>
              <w:pBdr>
                <w:top w:val="nil"/>
                <w:left w:val="nil"/>
                <w:bottom w:val="nil"/>
                <w:right w:val="nil"/>
                <w:between w:val="nil"/>
              </w:pBdr>
              <w:spacing w:line="360" w:lineRule="auto"/>
              <w:rPr>
                <w:rFonts w:ascii="Arial" w:hAnsi="Arial" w:cs="Arial"/>
                <w:b/>
                <w:color w:val="000000"/>
              </w:rPr>
            </w:pPr>
            <w:r w:rsidRPr="006230EE">
              <w:rPr>
                <w:rFonts w:ascii="Arial" w:hAnsi="Arial" w:cs="Arial"/>
                <w:b/>
                <w:color w:val="000000"/>
              </w:rPr>
              <w:t xml:space="preserve">Information </w:t>
            </w:r>
          </w:p>
          <w:p w14:paraId="77AFBF02" w14:textId="77777777" w:rsidR="00FC6DFA" w:rsidRPr="006230EE" w:rsidRDefault="009F1B79">
            <w:pPr>
              <w:numPr>
                <w:ilvl w:val="0"/>
                <w:numId w:val="6"/>
              </w:numPr>
              <w:pBdr>
                <w:top w:val="nil"/>
                <w:left w:val="nil"/>
                <w:bottom w:val="nil"/>
                <w:right w:val="nil"/>
                <w:between w:val="nil"/>
              </w:pBdr>
              <w:spacing w:line="360" w:lineRule="auto"/>
              <w:rPr>
                <w:rFonts w:ascii="Arial" w:hAnsi="Arial" w:cs="Arial"/>
                <w:b/>
                <w:color w:val="000000"/>
              </w:rPr>
            </w:pPr>
            <w:r w:rsidRPr="006230EE">
              <w:rPr>
                <w:rFonts w:ascii="Arial" w:hAnsi="Arial" w:cs="Arial"/>
                <w:b/>
                <w:color w:val="000000"/>
              </w:rPr>
              <w:t>Intelligence</w:t>
            </w:r>
          </w:p>
          <w:p w14:paraId="2C3FA1D8" w14:textId="77777777" w:rsidR="00FC6DFA" w:rsidRPr="006230EE" w:rsidRDefault="009F1B79">
            <w:pPr>
              <w:numPr>
                <w:ilvl w:val="0"/>
                <w:numId w:val="6"/>
              </w:numPr>
              <w:pBdr>
                <w:top w:val="nil"/>
                <w:left w:val="nil"/>
                <w:bottom w:val="nil"/>
                <w:right w:val="nil"/>
                <w:between w:val="nil"/>
              </w:pBdr>
              <w:spacing w:after="160" w:line="360" w:lineRule="auto"/>
              <w:rPr>
                <w:rFonts w:ascii="Arial" w:hAnsi="Arial" w:cs="Arial"/>
                <w:b/>
                <w:color w:val="000000"/>
              </w:rPr>
            </w:pPr>
            <w:r w:rsidRPr="006230EE">
              <w:rPr>
                <w:rFonts w:ascii="Arial" w:hAnsi="Arial" w:cs="Arial"/>
                <w:b/>
                <w:color w:val="000000"/>
              </w:rPr>
              <w:t>Evidence gathering</w:t>
            </w:r>
          </w:p>
          <w:bookmarkEnd w:id="0"/>
          <w:p w14:paraId="2030A786" w14:textId="77777777" w:rsidR="00FC6DFA" w:rsidRPr="006230EE" w:rsidRDefault="00FC6DFA">
            <w:pPr>
              <w:rPr>
                <w:rFonts w:ascii="Arial" w:hAnsi="Arial" w:cs="Arial"/>
                <w:color w:val="000000"/>
              </w:rPr>
            </w:pPr>
          </w:p>
          <w:p w14:paraId="0597812C" w14:textId="77777777" w:rsidR="00FC6DFA" w:rsidRPr="006230EE" w:rsidRDefault="009F1B79">
            <w:pPr>
              <w:rPr>
                <w:rFonts w:ascii="Arial" w:hAnsi="Arial" w:cs="Arial"/>
                <w:color w:val="000000"/>
              </w:rPr>
            </w:pPr>
            <w:bookmarkStart w:id="1" w:name="_Hlk221096326"/>
            <w:r w:rsidRPr="006230EE">
              <w:rPr>
                <w:rFonts w:ascii="Arial" w:hAnsi="Arial" w:cs="Arial"/>
                <w:color w:val="000000"/>
              </w:rPr>
              <w:t xml:space="preserve">b. </w:t>
            </w:r>
            <w:r w:rsidRPr="006230EE">
              <w:rPr>
                <w:rFonts w:ascii="Arial" w:hAnsi="Arial" w:cs="Arial"/>
                <w:b/>
                <w:color w:val="000000"/>
              </w:rPr>
              <w:t>Critically discuss</w:t>
            </w:r>
            <w:r w:rsidRPr="006230EE">
              <w:rPr>
                <w:rFonts w:ascii="Arial" w:hAnsi="Arial" w:cs="Arial"/>
                <w:color w:val="000000"/>
              </w:rPr>
              <w:t xml:space="preserve"> the challenges and obstacles that the chosen area presents to you as an investigator and how it impacts upon investigative practice.</w:t>
            </w:r>
          </w:p>
          <w:p w14:paraId="20431F05" w14:textId="77777777" w:rsidR="00FC6DFA" w:rsidRPr="006230EE" w:rsidRDefault="00FC6DFA">
            <w:pPr>
              <w:rPr>
                <w:rFonts w:ascii="Arial" w:hAnsi="Arial" w:cs="Arial"/>
              </w:rPr>
            </w:pPr>
          </w:p>
          <w:p w14:paraId="4A09D8D5" w14:textId="77777777" w:rsidR="00FC6DFA" w:rsidRPr="006230EE" w:rsidRDefault="009F1B79">
            <w:pPr>
              <w:rPr>
                <w:rFonts w:ascii="Arial" w:hAnsi="Arial" w:cs="Arial"/>
              </w:rPr>
            </w:pPr>
            <w:r w:rsidRPr="006230EE">
              <w:rPr>
                <w:rFonts w:ascii="Arial" w:hAnsi="Arial" w:cs="Arial"/>
              </w:rPr>
              <w:lastRenderedPageBreak/>
              <w:t>(You may draw upon examples from your own investigative experience to support your discussion).</w:t>
            </w:r>
          </w:p>
          <w:bookmarkEnd w:id="1"/>
          <w:p w14:paraId="76D0514C" w14:textId="77777777" w:rsidR="00FC6DFA" w:rsidRPr="006230EE" w:rsidRDefault="00FC6DFA">
            <w:pPr>
              <w:rPr>
                <w:rFonts w:ascii="Arial" w:hAnsi="Arial" w:cs="Arial"/>
              </w:rPr>
            </w:pPr>
          </w:p>
          <w:p w14:paraId="30CBBC5C" w14:textId="77777777" w:rsidR="00FC6DFA" w:rsidRPr="006230EE" w:rsidRDefault="009F1B79">
            <w:pPr>
              <w:ind w:right="237"/>
              <w:jc w:val="both"/>
              <w:rPr>
                <w:rFonts w:ascii="Arial" w:hAnsi="Arial" w:cs="Arial"/>
              </w:rPr>
            </w:pPr>
            <w:r w:rsidRPr="006230EE">
              <w:rPr>
                <w:rFonts w:ascii="Arial" w:hAnsi="Arial" w:cs="Arial"/>
                <w:b/>
                <w:color w:val="000000"/>
              </w:rPr>
              <w:t>2000 words</w:t>
            </w:r>
            <w:r w:rsidRPr="006230EE">
              <w:rPr>
                <w:rFonts w:ascii="Arial" w:hAnsi="Arial" w:cs="Arial"/>
                <w:color w:val="000000"/>
              </w:rPr>
              <w:t xml:space="preserve"> </w:t>
            </w:r>
            <w:r w:rsidRPr="006230EE">
              <w:rPr>
                <w:rFonts w:ascii="Arial" w:hAnsi="Arial" w:cs="Arial"/>
                <w:i/>
                <w:color w:val="000000"/>
              </w:rPr>
              <w:t>(+/- 10%: include your actual word count at the end of each section)</w:t>
            </w:r>
          </w:p>
          <w:p w14:paraId="1305D0B1" w14:textId="77777777" w:rsidR="00FC6DFA" w:rsidRPr="006230EE" w:rsidRDefault="00FC6DFA">
            <w:pPr>
              <w:ind w:right="237"/>
              <w:jc w:val="both"/>
              <w:rPr>
                <w:rFonts w:ascii="Arial" w:hAnsi="Arial" w:cs="Arial"/>
                <w:i/>
                <w:color w:val="000000"/>
              </w:rPr>
            </w:pPr>
          </w:p>
        </w:tc>
      </w:tr>
    </w:tbl>
    <w:p w14:paraId="2AE9941D" w14:textId="77777777" w:rsidR="005E4FEA" w:rsidRPr="005E455C" w:rsidRDefault="005E4FEA" w:rsidP="00E76F36">
      <w:pPr>
        <w:pStyle w:val="NormalWeb"/>
        <w:spacing w:line="360" w:lineRule="auto"/>
        <w:jc w:val="both"/>
      </w:pPr>
      <w:r>
        <w:lastRenderedPageBreak/>
        <w:t xml:space="preserve">Answer </w:t>
      </w:r>
    </w:p>
    <w:p w14:paraId="3F775A65" w14:textId="77777777" w:rsidR="00632803" w:rsidRPr="005E455C" w:rsidRDefault="00632803" w:rsidP="00E76F36">
      <w:pPr>
        <w:pStyle w:val="NormalWeb"/>
        <w:spacing w:line="360" w:lineRule="auto"/>
        <w:jc w:val="both"/>
      </w:pPr>
      <w:r>
        <w:t>1a.</w:t>
      </w:r>
    </w:p>
    <w:p w14:paraId="60D3BDF7" w14:textId="77777777" w:rsidR="00632803" w:rsidRPr="004A6DB5" w:rsidRDefault="00632803" w:rsidP="00E76F36">
      <w:pPr>
        <w:pStyle w:val="NormalWeb"/>
        <w:spacing w:line="360" w:lineRule="auto"/>
        <w:jc w:val="both"/>
      </w:pPr>
      <w:r>
        <w:t xml:space="preserve">Evidence gathering constitutes the structural foundation of criminal investigation in England and Wales, operating within a clearly defined statutory and professional framework. Investigative activity is regulated principally by the </w:t>
      </w:r>
      <w:r>
        <w:rPr>
          <w:rStyle w:val="Emphasis"/>
          <w:rFonts w:eastAsiaTheme="majorEastAsia"/>
          <w:i w:val="0"/>
          <w:iCs w:val="0"/>
        </w:rPr>
        <w:t>Police and Criminal Evidence Act 1984</w:t>
      </w:r>
      <w:r>
        <w:t xml:space="preserve">, (hereafter PACE) which governs arrest, detention, search, seizure and interview procedures, and the </w:t>
      </w:r>
      <w:r>
        <w:rPr>
          <w:rStyle w:val="Emphasis"/>
          <w:rFonts w:eastAsiaTheme="majorEastAsia"/>
          <w:i w:val="0"/>
          <w:iCs w:val="0"/>
        </w:rPr>
        <w:t>Criminal Procedure and Investigations Act 1996</w:t>
      </w:r>
      <w:r>
        <w:t xml:space="preserve"> (hereafter CPIA) which imposes a continuing duty to pursue reasonable lines of enquiry and to record, retain and reveal relevant material. Admissibility is further shaped by the </w:t>
      </w:r>
      <w:r>
        <w:rPr>
          <w:rStyle w:val="Emphasis"/>
          <w:rFonts w:eastAsiaTheme="majorEastAsia"/>
          <w:i w:val="0"/>
          <w:iCs w:val="0"/>
        </w:rPr>
        <w:t>Criminal Justice Act 2003</w:t>
      </w:r>
      <w:r>
        <w:t>, particularly in relation to hearsay and bad character evidence.</w:t>
      </w:r>
    </w:p>
    <w:p w14:paraId="362B8E70" w14:textId="77777777" w:rsidR="00632803" w:rsidRPr="004A6DB5" w:rsidRDefault="00632803" w:rsidP="00E76F36">
      <w:pPr>
        <w:pStyle w:val="NormalWeb"/>
        <w:spacing w:line="360" w:lineRule="auto"/>
        <w:jc w:val="both"/>
      </w:pPr>
      <w:r>
        <w:t xml:space="preserve">Professional guidance reinforces this statutory framework. The College of Policing’s </w:t>
      </w:r>
      <w:r>
        <w:rPr>
          <w:rStyle w:val="Emphasis"/>
          <w:rFonts w:eastAsiaTheme="majorEastAsia"/>
          <w:i w:val="0"/>
          <w:iCs w:val="0"/>
        </w:rPr>
        <w:t>Authorised Professional Practice on Investigation (2023a)</w:t>
      </w:r>
      <w:r>
        <w:t xml:space="preserve"> identifies evidence-led enquiry, proportionality, and supervisory oversight as central components of effective investigative practice. Academic literature similarly conceptualises criminal investigation as a structured process of evidential construction, whereby cases are built through the systematic gathering, testing and evaluation of material (Innes, 2003; Tong, Bryant and Horvath, 2009).</w:t>
      </w:r>
    </w:p>
    <w:p w14:paraId="40043322" w14:textId="77777777" w:rsidR="00632803" w:rsidRPr="004A6DB5" w:rsidRDefault="00632803" w:rsidP="00E76F36">
      <w:pPr>
        <w:pStyle w:val="NormalWeb"/>
        <w:spacing w:line="360" w:lineRule="auto"/>
        <w:jc w:val="both"/>
      </w:pPr>
      <w:r>
        <w:t>Historically, criminal investigations relied primarily upon witness testimony and physical forensic evidence. Over the past three decades, however, investigative practice has shifted toward digital and disclosure-intensive enquiry, driven by legislative reform, technological development and heightened scrutiny of evidential integrity (McCartney, 2011; Tong, Bryant and Horvath, 2009), broadening both the scope and complexity of evidence gathering.</w:t>
      </w:r>
    </w:p>
    <w:p w14:paraId="7C2A6E06" w14:textId="77777777" w:rsidR="00632803" w:rsidRPr="004A6DB5" w:rsidRDefault="00632803" w:rsidP="00E76F36">
      <w:pPr>
        <w:pStyle w:val="NormalWeb"/>
        <w:spacing w:line="360" w:lineRule="auto"/>
        <w:jc w:val="both"/>
      </w:pPr>
      <w:r>
        <w:t xml:space="preserve">In operational terms, evidence gathering informs each investigative phase: initial scene management and preservation; identification of witnesses and suspects; development of reasonable lines of enquiry; suspect interviewing using the PEACE framework; and the acquisition of forensic and digital material (College of Policing (CoP), 2023a). CPIA 1996 </w:t>
      </w:r>
      <w:r>
        <w:lastRenderedPageBreak/>
        <w:t>explicitly requires investigators to pursue both inculpatory and exculpatory lines of enquiry, placing evidential balance at the centre of investigative responsibility.</w:t>
      </w:r>
    </w:p>
    <w:p w14:paraId="02CBD1BF" w14:textId="77777777" w:rsidR="00632803" w:rsidRPr="004A6DB5" w:rsidRDefault="00632803" w:rsidP="00E76F36">
      <w:pPr>
        <w:pStyle w:val="NormalWeb"/>
        <w:spacing w:line="360" w:lineRule="auto"/>
        <w:jc w:val="both"/>
      </w:pPr>
      <w:r>
        <w:t>As a Detective Sergeant, my role is both operational and supervisory, requiring the direction of investigative strategy, scrutiny of evidential quality, and assurance of compliance with disclosure obligations (CoP, 2023a; Innes, 2003; Stelfox, 2009). In practice, this has meant making real-time decisions about whether to authorise further lines of enquiry, challenge assumptions made by investigating officers, and prioritise evidential action under time pressure. One area where this judgement is most consistently tested is in digital evidence: determining which devices to submit for forensic examination, and when sufficient material has been gathered to support a charging decision in the absence of a full download. From this experience, I have learned that evidential sufficiency is rarely absolute; it demands ongoing assessment against shifting case circumstances.</w:t>
      </w:r>
    </w:p>
    <w:p w14:paraId="603A3FB6" w14:textId="77777777" w:rsidR="00632803" w:rsidRPr="004A6DB5" w:rsidRDefault="00632803" w:rsidP="00E76F36">
      <w:pPr>
        <w:spacing w:before="100" w:beforeAutospacing="1" w:after="100" w:afterAutospacing="1"/>
        <w:jc w:val="both"/>
      </w:pPr>
      <w:r>
        <w:t>Evidence gathering directly informs decisions relating to arrest necessity under PACE</w:t>
      </w:r>
      <w:r>
        <w:rPr>
          <w:rStyle w:val="Emphasis"/>
          <w:rFonts w:eastAsiaTheme="majorEastAsia"/>
        </w:rPr>
        <w:t xml:space="preserve"> </w:t>
      </w:r>
      <w:r>
        <w:rPr>
          <w:rStyle w:val="Emphasis"/>
          <w:rFonts w:eastAsiaTheme="majorEastAsia"/>
          <w:i w:val="0"/>
          <w:iCs w:val="0"/>
        </w:rPr>
        <w:t>1984</w:t>
      </w:r>
      <w:r>
        <w:t>, bail and remand considerations, and whether the evidential threshold for charge has been satisfied under the Full Code Test (Crown Prosecution Service (CPS), 2023b). Evidence gathering also carries ethical weight. Findley and Scott (2006) demonstrate how confirmation bias can emerge when early investigative hypotheses shape the selective collection and interpretation of evidence, underscoring the need for disciplined and objective enquiry.</w:t>
      </w:r>
    </w:p>
    <w:p w14:paraId="35AB1338" w14:textId="77777777" w:rsidR="00632803" w:rsidRPr="004A6DB5" w:rsidRDefault="00632803" w:rsidP="00E76F36">
      <w:pPr>
        <w:pStyle w:val="NormalWeb"/>
        <w:spacing w:line="360" w:lineRule="auto"/>
        <w:jc w:val="both"/>
      </w:pPr>
      <w:r>
        <w:t>In summary, Innes (2003) observes, evidence gathering is not a discrete task but the organising principle of investigative practice. Within my role as Detective Sergeant, it determines investigative direction, evidential sufficiency, compliance with statutory obligations, and ultimately whether a case can progress to charge (CPS, 2023b). Its relevance is therefore both procedural and strategic, shaping operational decisions and judicial outcomes alike.</w:t>
      </w:r>
    </w:p>
    <w:p w14:paraId="7F0D1D9D" w14:textId="77777777" w:rsidR="00632803" w:rsidRPr="004A6DB5" w:rsidRDefault="00632803" w:rsidP="00E76F36">
      <w:pPr>
        <w:spacing w:before="100" w:beforeAutospacing="1" w:after="100" w:afterAutospacing="1"/>
        <w:jc w:val="both"/>
      </w:pPr>
      <w:r>
        <w:t>Word Count 535</w:t>
      </w:r>
    </w:p>
    <w:p w14:paraId="3535FACF" w14:textId="77777777" w:rsidR="00632803" w:rsidRPr="004A6DB5" w:rsidRDefault="00632803" w:rsidP="00E76F36">
      <w:pPr>
        <w:jc w:val="both"/>
      </w:pPr>
      <w:r>
        <w:t>1b.</w:t>
      </w:r>
    </w:p>
    <w:p w14:paraId="72E3AAE4" w14:textId="77777777" w:rsidR="00632803" w:rsidRPr="004A6DB5" w:rsidRDefault="00632803" w:rsidP="00E76F36">
      <w:pPr>
        <w:jc w:val="both"/>
      </w:pPr>
      <w:r>
        <w:t xml:space="preserve">Evidence gathering, while the organising principle of criminal investigation, presents complex operational, legal, organisational and cognitive challenges. As Innes (2003) and Stelfox (2009) observe, contemporary investigative practice operates within an increasingly digital, procedurally regulated and resource-constrained environment, a position reinforced in the CoP’s Authorised Professional Practice (2023a). Although the CPS (2023b) emphasises that </w:t>
      </w:r>
      <w:r>
        <w:lastRenderedPageBreak/>
        <w:t>evidential robustness is central to satisfying the Full Code Test, the process of obtaining, managing and evaluating evidence remains neither linear nor unproblematic. This section critically discusses principal obstacles encountered in evidence gathering and evaluates their impact upon investigative practice, drawing on relevant academic literature and reflective examples from professional experience.</w:t>
      </w:r>
    </w:p>
    <w:p w14:paraId="231FE8E9" w14:textId="77777777" w:rsidR="00632803" w:rsidRPr="004A6DB5" w:rsidRDefault="00632803" w:rsidP="00E76F36">
      <w:pPr>
        <w:spacing w:before="100" w:beforeAutospacing="1" w:after="100" w:afterAutospacing="1"/>
        <w:jc w:val="both"/>
        <w:outlineLvl w:val="1"/>
      </w:pPr>
      <w:r>
        <w:t>Volume and Complexity of Digital Evidence</w:t>
      </w:r>
    </w:p>
    <w:p w14:paraId="1A3704B2" w14:textId="791784F0" w:rsidR="00632803" w:rsidRPr="004A6DB5" w:rsidRDefault="00632803" w:rsidP="00E76F36">
      <w:pPr>
        <w:spacing w:before="100" w:beforeAutospacing="1" w:after="100" w:afterAutospacing="1"/>
        <w:jc w:val="both"/>
      </w:pPr>
      <w:r>
        <w:t>The digitalisation of society has fundamentally altered the evidential landscape. HM Inspectorate of Constabulary and Fire and Rescue Services (2019) recognise digital material as a routine feature of modern investigations, often forming the central evidential strand. Mobile telephones, social media platforms, CCTV systems and cloud-based storage generate vast quantities of potentially relevant data. As McCartney (2011) notes, the expansion of forensic and digital technologies has increased both evidential opportunities and investigative complexity.</w:t>
      </w:r>
    </w:p>
    <w:p w14:paraId="4BBBD02B" w14:textId="77777777" w:rsidR="00632803" w:rsidRPr="004A6DB5" w:rsidRDefault="00632803" w:rsidP="00E76F36">
      <w:pPr>
        <w:spacing w:before="100" w:beforeAutospacing="1" w:after="100" w:afterAutospacing="1"/>
        <w:jc w:val="both"/>
      </w:pPr>
      <w:r>
        <w:t>In practice, a single mobile device may contain thousands of messages, images and metadata entries, all potentially disclosable under CPIA 1996. This creates significant review burdens. Digital forensic units often operate at capacity, resulting in delays that directly affect case progression. The National Police Chiefs’ Council (2019a) (hereafter NPCC) has acknowledged systemic pressures in digital forensics, including backlogs and technological limitations.</w:t>
      </w:r>
    </w:p>
    <w:p w14:paraId="7F2DE19A" w14:textId="77777777" w:rsidR="00632803" w:rsidRPr="004A6DB5" w:rsidRDefault="00632803" w:rsidP="00E76F36">
      <w:pPr>
        <w:pStyle w:val="NormalWeb"/>
        <w:spacing w:line="360" w:lineRule="auto"/>
        <w:jc w:val="both"/>
      </w:pPr>
      <w:r>
        <w:t>From my own experience, forensic extraction of devices presents a recurring operational obstacle. Certain handset models cannot be fully extracted due to encryption protocols or software incompatibility. Wilson-Kovacs and Wilcox (2023) observe that escalating demand and prioritisation pressures within digital forensics can impede investigative progression, while Jones and Brookman (2024) highlight the operational risks associated with reliance on mobile data in complex cases. Investigations involving multiple devices, partial or delayed downloads may therefore create evidential gaps at critical decision points, particularly where backlogs and technical constraints disrupt timely analysis.</w:t>
      </w:r>
    </w:p>
    <w:p w14:paraId="1E34C4F0" w14:textId="4B5784F0" w:rsidR="00632803" w:rsidRPr="004A6DB5" w:rsidRDefault="00632803" w:rsidP="00E76F36">
      <w:pPr>
        <w:pStyle w:val="NormalWeb"/>
        <w:spacing w:line="360" w:lineRule="auto"/>
        <w:jc w:val="both"/>
      </w:pPr>
      <w:r>
        <w:t>This is particularly problematic when suspects are on pre-charge bail, as statutory time limits under the Police and Crime Act 2017 create pressure to progress investigations within defined periods. Delays in digital returns can therefore impact charging decisions, prolong bail management and undermine victim confidence (HMICFRS, 2019; NPCC, 2022).</w:t>
      </w:r>
    </w:p>
    <w:p w14:paraId="6973E58E" w14:textId="77777777" w:rsidR="00632803" w:rsidRPr="004A6DB5" w:rsidRDefault="00632803" w:rsidP="00E76F36">
      <w:pPr>
        <w:spacing w:before="100" w:beforeAutospacing="1" w:after="100" w:afterAutospacing="1"/>
        <w:jc w:val="both"/>
        <w:outlineLvl w:val="1"/>
      </w:pPr>
      <w:r>
        <w:lastRenderedPageBreak/>
        <w:t>Disclosure Obligations and CPIA Compliance</w:t>
      </w:r>
    </w:p>
    <w:p w14:paraId="1E3A6589" w14:textId="77777777" w:rsidR="00632803" w:rsidRPr="004A6DB5" w:rsidRDefault="00632803" w:rsidP="00E76F36">
      <w:pPr>
        <w:jc w:val="both"/>
        <w:rPr>
          <w:color w:val="000000"/>
        </w:rPr>
      </w:pPr>
      <w:r>
        <w:t>The CPIA 1996 imposes a continuing duty to pursue reasonable lines of enquiry, record relevant material and disclose unused material capable of undermining the prosecution case or assisting the defence. Repeated disclosure failures demonstrate the consequences of non-compliance. T</w:t>
      </w:r>
      <w:r>
        <w:rPr>
          <w:color w:val="000000"/>
        </w:rPr>
        <w:t xml:space="preserve">he Independent Review of Disclosure and Fraud Offences identified that failures in disclosure practice have the potential to undermine the integrity of criminal proceedings, resulting in cases collapsing or, in more serious instances, miscarriages of justice (Attorney General’s Office, 2025). </w:t>
      </w:r>
      <w:r>
        <w:t>Parliamentary scrutiny has likewise identified a rise in cases discontinued due to disclosure failings, indicating systemic weaknesses in adherence to statutory obligations (Justice Committee, 2018; CPS, 2025). The Daniel Morgan Independent Panel (2021) further found investigative shortcomings, including disclosure failures, contributed to prosecutorial collapse and institutional damage. Surveys of legal practitioners confirm disclosure errors remain prevalent in practice (Law Gazette, 2018). Collectively, these findings suggest statutory safeguards alone are insufficient to guarantee evidential integrity. It should be noted, however, that inspection reports such as those produced by HMICFRS and the Attorney General’s Office, while operationally grounded and authoritative, are institutionally framed: they reflect the perspectives of oversight bodies with defined mandates and may therefore emphasise systemic failure over practitioner-level complexity. They are nonetheless valuable for identifying structural patterns that scholarship alone cannot capture.</w:t>
      </w:r>
    </w:p>
    <w:p w14:paraId="4155F04B" w14:textId="77777777" w:rsidR="00632803" w:rsidRPr="004A6DB5" w:rsidRDefault="00632803" w:rsidP="00E76F36">
      <w:pPr>
        <w:pStyle w:val="NormalWeb"/>
        <w:spacing w:line="360" w:lineRule="auto"/>
        <w:jc w:val="both"/>
      </w:pPr>
      <w:r>
        <w:t>This produces a structural tension between investigative efficiency and procedural precision. As Stelfox (2009) notes, contemporary investigation requires administrative exactitude alongside evidential judgement. As a Detective Sergeant, supervising CPIA compliance involves scrutinising MG6 schedules, ensuring balanced enquiry and verifying that unused material, particularly digital evidence, has been properly examined. In practice, I have had to make judgement calls about the extent and depth of digital review when case timescales are constrained, determining whether the volume of material reviewed is proportionate and whether any residual risk of disclosure failure is acceptable. This is not a straightforward calculation; it requires weighing procedural obligation against investigative capacity, and I have learned that transparency in that decision-making process, documented and communicated clearly to the officer in charge, is essential to maintaining evidential integrity and professional accountability.</w:t>
      </w:r>
    </w:p>
    <w:p w14:paraId="18F03794" w14:textId="77777777" w:rsidR="00632803" w:rsidRPr="004A6DB5" w:rsidRDefault="00632803" w:rsidP="00E76F36">
      <w:pPr>
        <w:spacing w:before="100" w:beforeAutospacing="1" w:after="100" w:afterAutospacing="1"/>
        <w:jc w:val="both"/>
        <w:outlineLvl w:val="1"/>
        <w:rPr>
          <w:b/>
          <w:bCs/>
        </w:rPr>
      </w:pPr>
      <w:r>
        <w:t>Witness Reliability and Victim Attrition</w:t>
      </w:r>
    </w:p>
    <w:p w14:paraId="5290E36F" w14:textId="045045E4" w:rsidR="00632803" w:rsidRPr="004A6DB5" w:rsidRDefault="00632803" w:rsidP="00E76F36">
      <w:pPr>
        <w:spacing w:before="100" w:beforeAutospacing="1" w:after="100" w:afterAutospacing="1"/>
        <w:jc w:val="both"/>
      </w:pPr>
      <w:r>
        <w:lastRenderedPageBreak/>
        <w:t xml:space="preserve">Despite technological advances, much evidence remains testimonial in character (Sanders, Young and Burton, 2010), rendering issues of memory reliability and witness vulnerability central to evidential assessment. Psychological research consistently demonstrates the fragility of human memory. Loftus (2005) highlights how memory can be distorted by suggestion, trauma and delay. Milne and Bull (1999) emphasise the importance of structured interviewing to maximise reliability and minimise contamination. Although both sources predate recent legislative developments, their findings on the mechanisms of memory distortion and contamination remain foundational to investigative interviewing theory and continue to inform current CoP guidance. </w:t>
      </w:r>
    </w:p>
    <w:p w14:paraId="1B71FBC8" w14:textId="77777777" w:rsidR="00632803" w:rsidRPr="004A6DB5" w:rsidRDefault="00632803" w:rsidP="00E76F36">
      <w:pPr>
        <w:spacing w:before="100" w:beforeAutospacing="1" w:after="100" w:afterAutospacing="1"/>
        <w:jc w:val="both"/>
      </w:pPr>
      <w:r>
        <w:t>In practice, victim attrition presents a significant evidential challenge, particularly in domestic abuse and sexual offence investigations. HMICFRS (2021) identifies withdrawal of victim support as a recurring factor in case attrition, a concern echoed in CPS (2023c) reporting and in Hester’s (2013) analysis of rape case progression, all of which demonstrate how withdrawal can undermine prosecutorial viability and evidential sufficiency.</w:t>
      </w:r>
    </w:p>
    <w:p w14:paraId="7ED4F50E" w14:textId="77777777" w:rsidR="00632803" w:rsidRPr="004A6DB5" w:rsidRDefault="00632803" w:rsidP="00E76F36">
      <w:pPr>
        <w:spacing w:before="100" w:beforeAutospacing="1" w:after="100" w:afterAutospacing="1"/>
        <w:jc w:val="both"/>
      </w:pPr>
      <w:r>
        <w:t>When complainants withdraw support, evidential sufficiency may depend on third-party evidence, body-worn video footage, 999 recordings or medical documentation. This shift toward evidence-led prosecution reflects both policy and necessity (CoP, 2023a).</w:t>
      </w:r>
    </w:p>
    <w:p w14:paraId="4ACA0C47" w14:textId="77777777" w:rsidR="00632803" w:rsidRPr="004A6DB5" w:rsidRDefault="00632803" w:rsidP="00E76F36">
      <w:pPr>
        <w:pStyle w:val="NormalWeb"/>
        <w:spacing w:line="360" w:lineRule="auto"/>
        <w:jc w:val="both"/>
      </w:pPr>
      <w:r>
        <w:t>However, evidence-led approaches raise ethical tensions: proceeding without victim support may protect the public interest but can strain victim trust and places heightened responsibility on first responders, since failures at the initial evidential stage may irreparably weaken a case (CPS, 2023a; HMICFRS, 2021; Hester and Lilley, 2017). The challenge lies in balancing victim-centred practice with evidential robustness.</w:t>
      </w:r>
    </w:p>
    <w:p w14:paraId="4445D2BD" w14:textId="77777777" w:rsidR="00632803" w:rsidRPr="004A6DB5" w:rsidRDefault="00632803" w:rsidP="00E76F36">
      <w:pPr>
        <w:spacing w:before="100" w:beforeAutospacing="1" w:after="100" w:afterAutospacing="1"/>
        <w:jc w:val="both"/>
        <w:outlineLvl w:val="1"/>
        <w:rPr>
          <w:b/>
          <w:bCs/>
        </w:rPr>
      </w:pPr>
      <w:r>
        <w:t>Forensic Limitations and Overreliance</w:t>
      </w:r>
    </w:p>
    <w:p w14:paraId="45B2796C" w14:textId="77777777" w:rsidR="00632803" w:rsidRPr="004A6DB5" w:rsidRDefault="00632803" w:rsidP="00E76F36">
      <w:pPr>
        <w:spacing w:before="100" w:beforeAutospacing="1" w:after="100" w:afterAutospacing="1"/>
        <w:jc w:val="both"/>
      </w:pPr>
      <w:r>
        <w:t>McCartney (2011) warns against “forensic fetishism,” cautioning that scientific evidence can be afforded undue authority despite its vulnerability to delay, contamination and interpretative judgement. The House of Lords Science and Technology Committee (2019) and the Forensic Science Regulator (2023) both acknowledge these limitations, noting that forensic practice remains subject to resource constraints and quality inconsistencies.</w:t>
      </w:r>
    </w:p>
    <w:p w14:paraId="6AE8F920" w14:textId="77777777" w:rsidR="00632803" w:rsidRPr="004A6DB5" w:rsidRDefault="00632803" w:rsidP="00E76F36">
      <w:pPr>
        <w:spacing w:before="100" w:beforeAutospacing="1" w:after="100" w:afterAutospacing="1"/>
        <w:jc w:val="both"/>
      </w:pPr>
      <w:r>
        <w:lastRenderedPageBreak/>
        <w:t>In operational terms, forensic submissions can create investigative dependency. As Innes, Alder and Roberts (2010) and Stelfox (2009) note, investigators frequently await DNA or fingerprint results before progressing charging decisions, while Lee, Palmbach and Meister (2011) acknowledge that such reliance can delay case advancement in high-demand environments. The House of Lords Science and Technology Committee (2019) further observes that negative forensic findings do not necessarily exculpate suspects, although they may still shape investigative perception. Supervisory judgement must therefore balance scientific expectation with investigative pragmatism, avoiding the narrowing of enquiry that overreliance on forensic outcomes can produce.</w:t>
      </w:r>
    </w:p>
    <w:p w14:paraId="06AA391D" w14:textId="77777777" w:rsidR="00632803" w:rsidRPr="004A6DB5" w:rsidRDefault="00632803" w:rsidP="00E76F36">
      <w:pPr>
        <w:spacing w:before="100" w:beforeAutospacing="1" w:after="100" w:afterAutospacing="1"/>
        <w:jc w:val="both"/>
        <w:outlineLvl w:val="1"/>
        <w:rPr>
          <w:b/>
          <w:bCs/>
        </w:rPr>
      </w:pPr>
      <w:r>
        <w:t>Cognitive Bias and Investigative Mindset</w:t>
      </w:r>
    </w:p>
    <w:p w14:paraId="4B5DC402" w14:textId="77777777" w:rsidR="00632803" w:rsidRPr="004A6DB5" w:rsidRDefault="00632803" w:rsidP="00E76F36">
      <w:pPr>
        <w:spacing w:before="100" w:beforeAutospacing="1" w:after="100" w:afterAutospacing="1"/>
        <w:jc w:val="both"/>
      </w:pPr>
      <w:r>
        <w:t>Evidence gathering is not purely technical; it is cognitively mediated. Findley and Scott (2006) identify confirmation bias and tunnel vision as recurrent risks in criminal investigations.</w:t>
      </w:r>
    </w:p>
    <w:p w14:paraId="67355C96" w14:textId="77777777" w:rsidR="00632803" w:rsidRPr="004A6DB5" w:rsidRDefault="00632803" w:rsidP="00E76F36">
      <w:pPr>
        <w:spacing w:before="100" w:beforeAutospacing="1" w:after="100" w:afterAutospacing="1"/>
        <w:jc w:val="both"/>
      </w:pPr>
      <w:r>
        <w:t>Innes (2003) conceptualises investigation as narrative construction, whereby an emerging story can inadvertently privilege certain interpretations, and supervisory review processes, such as second-tier case assessments and MG6 quality assurance checks, are essential to challenge assumptions and ensure balanced enquiry at the Detective Sergeant level (Stelfox, 2009; HMICFRS, 2021).</w:t>
      </w:r>
    </w:p>
    <w:p w14:paraId="052DDADC" w14:textId="77777777" w:rsidR="00632803" w:rsidRPr="004A6DB5" w:rsidRDefault="00632803" w:rsidP="00E76F36">
      <w:pPr>
        <w:spacing w:before="100" w:beforeAutospacing="1" w:after="100" w:afterAutospacing="1"/>
        <w:jc w:val="both"/>
      </w:pPr>
      <w:r>
        <w:t>However, high workloads and performance pressures may reduce reflective space. The risk is not deliberate misconduct but unconscious bias. In my own supervisory practice, I have encountered situations where an initial evidential narrative had begun to shape the direction of enquiry in ways that risked excluding alternative explanations. Intervening at that point, redirecting the investigation toward unexplored lines and requiring formal documentation of the reasoning behind strategic decisions, was a practical application of the cognitive discipline that Findley and Scott (2006) describe. This experience reinforced that bias mitigation is not a passive outcome of procedural compliance; it requires active supervisory intervention. Critically, evidential integrity depends not only on procedural compliance but on cognitive discipline.</w:t>
      </w:r>
    </w:p>
    <w:p w14:paraId="4B31E0C5" w14:textId="77777777" w:rsidR="00632803" w:rsidRPr="004A6DB5" w:rsidRDefault="00632803" w:rsidP="00E76F36">
      <w:pPr>
        <w:spacing w:before="100" w:beforeAutospacing="1" w:after="100" w:afterAutospacing="1"/>
        <w:jc w:val="both"/>
        <w:outlineLvl w:val="1"/>
      </w:pPr>
      <w:r>
        <w:t>Resource Constraints and Organisational Pressures</w:t>
      </w:r>
    </w:p>
    <w:p w14:paraId="5388BDE8" w14:textId="76BFE906" w:rsidR="00632803" w:rsidRPr="004A6DB5" w:rsidRDefault="00632803" w:rsidP="00E76F36">
      <w:pPr>
        <w:spacing w:before="100" w:beforeAutospacing="1" w:after="100" w:afterAutospacing="1"/>
        <w:jc w:val="both"/>
      </w:pPr>
      <w:r>
        <w:lastRenderedPageBreak/>
        <w:t>Reiner (2010) notes that policing operates within political and fiscal constraints that shape operational capacity. High caseloads may reduce time for meticulous evidential review, increasing reliance on reactive rather than strategic investigation. In practice, I have experienced the pressure this creates managing a caseload, where the volume of files requiring supervisory review can result in a reliance on file quality checks at the point of submission rather than earlier and more proactive oversight. I have learned that embedding review earlier in the investigative cycle, even informally, produces better evidential outcomes and reduces the risk of late-stage failures.</w:t>
      </w:r>
    </w:p>
    <w:p w14:paraId="3FEA4D0A" w14:textId="77777777" w:rsidR="00632803" w:rsidRPr="004A6DB5" w:rsidRDefault="00632803" w:rsidP="00E76F36">
      <w:pPr>
        <w:pStyle w:val="NormalWeb"/>
        <w:spacing w:line="360" w:lineRule="auto"/>
        <w:jc w:val="both"/>
      </w:pPr>
      <w:r>
        <w:t>Organisational performance metrics, including charge rates and timeliness benchmarks, exert a normative influence over supervisory decision-making at Detective Sergeant level. Loveday (2000b) cautions that performance indicators, while designed to enhance accountability, can distort operational priorities by privileging quantifiable outputs over qualitative investigative rigour. Butterfield, Edwards and Woodall (2005) further argue that managerial reforms have repositioned the police sergeant as a performance intermediary, accountable upwards for target delivery as much as downwards for investigative quality. Contemporary inspection findings reinforce this concern: HMICFRS (2018) identified variability in investigative quality where performance pressures emphasised timeliness and case throughput. Within this framework, responsibility for evidential sufficiency coexists with institutional pressure to demonstrate measurable progress, creating subtle incentives toward risk-averse charging decisions or narrowed lines of enquiry.</w:t>
      </w:r>
    </w:p>
    <w:p w14:paraId="1A9A57B8" w14:textId="77777777" w:rsidR="00632803" w:rsidRPr="004A6DB5" w:rsidRDefault="00632803" w:rsidP="00E76F36">
      <w:pPr>
        <w:pStyle w:val="NormalWeb"/>
        <w:spacing w:line="360" w:lineRule="auto"/>
        <w:jc w:val="both"/>
      </w:pPr>
      <w:r>
        <w:t>In conclusion, evidence gathering is both the most essential and the most vulnerable dimension of investigative practice (Stelfox, 2009). While statutory frameworks such as PACE and CPIA establish procedural safeguards, the realities of digital expansion, disclosure burden, forensic limitation and organisational constraint create persistent structural tension. Critically, these challenges reveal that evidential sufficiency is not achieved solely through legal compliance, but through reflective supervisory judgement, cognitive discipline and strategic prioritisation. Evidence gathering therefore operates at the intersection of law, technology, organisational culture and professional discretion; it is not merely a technical function but a leadership responsibility, shaping investigative legitimacy, prosecutorial outcomes and public confidence in criminal justice.</w:t>
      </w:r>
    </w:p>
    <w:p w14:paraId="2E23F494" w14:textId="4BD6F3D7" w:rsidR="00632803" w:rsidRPr="004A6DB5" w:rsidRDefault="00632803" w:rsidP="00E76F36">
      <w:pPr>
        <w:jc w:val="both"/>
      </w:pPr>
      <w:r>
        <w:t>Word Count 1,655</w:t>
      </w:r>
    </w:p>
    <w:p w14:paraId="346A973A" w14:textId="01DEB96B" w:rsidR="00632803" w:rsidRPr="004A6DB5" w:rsidRDefault="00632803" w:rsidP="00E76F36">
      <w:pPr>
        <w:jc w:val="both"/>
      </w:pPr>
      <w:r>
        <w:lastRenderedPageBreak/>
        <w:t>Total 2,190</w:t>
      </w:r>
    </w:p>
    <w:p w14:paraId="15FBC027" w14:textId="3258515B" w:rsidR="005E4FEA" w:rsidRPr="004A6DB5" w:rsidRDefault="005E4FEA" w:rsidP="004A6DB5"/>
    <w:p w14:paraId="18A6987D" w14:textId="77777777" w:rsidR="00CD5F95" w:rsidRPr="005E455C" w:rsidRDefault="00CD5F95" w:rsidP="005E455C">
      <w:pPr>
        <w:rPr>
          <w:bCs/>
          <w:iCs/>
        </w:rPr>
      </w:pPr>
    </w:p>
    <w:p w14:paraId="62DBCE26" w14:textId="77777777" w:rsidR="00CD5F95" w:rsidRDefault="00CD5F95">
      <w:pPr>
        <w:rPr>
          <w:b/>
          <w:i/>
        </w:rPr>
      </w:pPr>
    </w:p>
    <w:p w14:paraId="4CF95AD9" w14:textId="11F56FC8" w:rsidR="00FC6DFA" w:rsidRPr="00D774CE" w:rsidRDefault="009F1B79">
      <w:pPr>
        <w:rPr>
          <w:rFonts w:ascii="Arial" w:hAnsi="Arial" w:cs="Arial"/>
          <w:b/>
          <w:i/>
        </w:rPr>
      </w:pPr>
      <w:bookmarkStart w:id="2" w:name="_Hlk221096465"/>
      <w:r w:rsidRPr="00D774CE">
        <w:rPr>
          <w:rFonts w:ascii="Arial" w:hAnsi="Arial" w:cs="Arial"/>
          <w:b/>
          <w:i/>
        </w:rPr>
        <w:t>Task 2: Safeguarding and Risk Assessment</w:t>
      </w:r>
    </w:p>
    <w:bookmarkEnd w:id="2"/>
    <w:p w14:paraId="151F0848" w14:textId="77777777" w:rsidR="00FC6DFA" w:rsidRDefault="00FC6DFA"/>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63CCD73D" w14:textId="77777777">
        <w:tc>
          <w:tcPr>
            <w:tcW w:w="9015" w:type="dxa"/>
          </w:tcPr>
          <w:p w14:paraId="628D76A4" w14:textId="77777777" w:rsidR="00FC6DFA" w:rsidRPr="0064613A" w:rsidRDefault="009F1B79">
            <w:pPr>
              <w:spacing w:line="360" w:lineRule="auto"/>
              <w:rPr>
                <w:rFonts w:ascii="Arial" w:hAnsi="Arial" w:cs="Arial"/>
                <w:b/>
                <w:color w:val="000000"/>
              </w:rPr>
            </w:pPr>
            <w:bookmarkStart w:id="3" w:name="_Hlk221096542"/>
            <w:r w:rsidRPr="0064613A">
              <w:rPr>
                <w:rFonts w:ascii="Arial" w:hAnsi="Arial" w:cs="Arial"/>
              </w:rPr>
              <w:t>Choose an investigation from your practice in which you played a significant part where vulnerable people were exploited (either as victims, witnesses or both) and provide brief details of the incident.</w:t>
            </w:r>
          </w:p>
          <w:bookmarkEnd w:id="3"/>
          <w:p w14:paraId="680D4C2A" w14:textId="77777777" w:rsidR="00FC6DFA" w:rsidRPr="0064613A" w:rsidRDefault="00FC6DFA">
            <w:pPr>
              <w:spacing w:line="360" w:lineRule="auto"/>
              <w:rPr>
                <w:rFonts w:ascii="Arial" w:hAnsi="Arial" w:cs="Arial"/>
              </w:rPr>
            </w:pPr>
          </w:p>
          <w:p w14:paraId="612FD83F" w14:textId="77777777" w:rsidR="00FC6DFA" w:rsidRPr="0064613A" w:rsidRDefault="009F1B79">
            <w:pPr>
              <w:numPr>
                <w:ilvl w:val="0"/>
                <w:numId w:val="5"/>
              </w:numPr>
              <w:pBdr>
                <w:top w:val="nil"/>
                <w:left w:val="nil"/>
                <w:bottom w:val="nil"/>
                <w:right w:val="nil"/>
                <w:between w:val="nil"/>
              </w:pBdr>
              <w:spacing w:line="360" w:lineRule="auto"/>
              <w:rPr>
                <w:rFonts w:ascii="Arial" w:hAnsi="Arial" w:cs="Arial"/>
                <w:color w:val="000000"/>
              </w:rPr>
            </w:pPr>
            <w:bookmarkStart w:id="4" w:name="_Hlk221097139"/>
            <w:r w:rsidRPr="0064613A">
              <w:rPr>
                <w:rFonts w:ascii="Arial" w:hAnsi="Arial" w:cs="Arial"/>
                <w:b/>
                <w:color w:val="000000"/>
              </w:rPr>
              <w:t>Describe</w:t>
            </w:r>
            <w:r w:rsidRPr="0064613A">
              <w:rPr>
                <w:rFonts w:ascii="Arial" w:hAnsi="Arial" w:cs="Arial"/>
                <w:color w:val="000000"/>
              </w:rPr>
              <w:t xml:space="preserve"> the crime types involved and </w:t>
            </w:r>
            <w:r w:rsidRPr="0064613A">
              <w:rPr>
                <w:rFonts w:ascii="Arial" w:hAnsi="Arial" w:cs="Arial"/>
                <w:b/>
                <w:color w:val="000000"/>
              </w:rPr>
              <w:t>discuss</w:t>
            </w:r>
            <w:r w:rsidRPr="0064613A">
              <w:rPr>
                <w:rFonts w:ascii="Arial" w:hAnsi="Arial" w:cs="Arial"/>
                <w:color w:val="000000"/>
              </w:rPr>
              <w:t xml:space="preserve"> the difficulties and obstacles that you faced in identifying and investigating these crimes. </w:t>
            </w:r>
          </w:p>
          <w:p w14:paraId="0387E5CC" w14:textId="77777777" w:rsidR="00FC6DFA" w:rsidRPr="0064613A" w:rsidRDefault="009F1B79">
            <w:pPr>
              <w:numPr>
                <w:ilvl w:val="0"/>
                <w:numId w:val="5"/>
              </w:numPr>
              <w:pBdr>
                <w:top w:val="nil"/>
                <w:left w:val="nil"/>
                <w:bottom w:val="nil"/>
                <w:right w:val="nil"/>
                <w:between w:val="nil"/>
              </w:pBdr>
              <w:spacing w:after="160" w:line="360" w:lineRule="auto"/>
              <w:rPr>
                <w:rFonts w:ascii="Arial" w:hAnsi="Arial" w:cs="Arial"/>
                <w:color w:val="000000"/>
              </w:rPr>
            </w:pPr>
            <w:bookmarkStart w:id="5" w:name="_Hlk221097651"/>
            <w:bookmarkEnd w:id="4"/>
            <w:r w:rsidRPr="0064613A">
              <w:rPr>
                <w:rFonts w:ascii="Arial" w:hAnsi="Arial" w:cs="Arial"/>
                <w:b/>
                <w:color w:val="000000"/>
              </w:rPr>
              <w:t xml:space="preserve">Critically evaluate </w:t>
            </w:r>
            <w:r w:rsidRPr="0064613A">
              <w:rPr>
                <w:rFonts w:ascii="Arial" w:hAnsi="Arial" w:cs="Arial"/>
                <w:color w:val="000000"/>
              </w:rPr>
              <w:t>the effectiveness of the investigative methods and legal processes that can be used to overcome these obstacles in order to successfully support vulnerable victims and witnesses.</w:t>
            </w:r>
          </w:p>
          <w:bookmarkEnd w:id="5"/>
          <w:p w14:paraId="0F876EB9" w14:textId="77777777" w:rsidR="00FC6DFA" w:rsidRPr="0064613A" w:rsidRDefault="00FC6DFA">
            <w:pPr>
              <w:rPr>
                <w:rFonts w:ascii="Arial" w:hAnsi="Arial" w:cs="Arial"/>
                <w:color w:val="000000"/>
              </w:rPr>
            </w:pPr>
          </w:p>
          <w:p w14:paraId="59AF57BE" w14:textId="77777777" w:rsidR="00FC6DFA" w:rsidRPr="0064613A" w:rsidRDefault="009F1B79">
            <w:pPr>
              <w:ind w:right="237"/>
              <w:jc w:val="both"/>
              <w:rPr>
                <w:rFonts w:ascii="Arial" w:hAnsi="Arial" w:cs="Arial"/>
              </w:rPr>
            </w:pPr>
            <w:r w:rsidRPr="0064613A">
              <w:rPr>
                <w:rFonts w:ascii="Arial" w:hAnsi="Arial" w:cs="Arial"/>
                <w:b/>
                <w:color w:val="000000"/>
              </w:rPr>
              <w:t>2000 words</w:t>
            </w:r>
            <w:r w:rsidRPr="0064613A">
              <w:rPr>
                <w:rFonts w:ascii="Arial" w:hAnsi="Arial" w:cs="Arial"/>
                <w:color w:val="000000"/>
              </w:rPr>
              <w:t xml:space="preserve"> </w:t>
            </w:r>
            <w:r w:rsidRPr="0064613A">
              <w:rPr>
                <w:rFonts w:ascii="Arial" w:hAnsi="Arial" w:cs="Arial"/>
                <w:i/>
                <w:color w:val="000000"/>
              </w:rPr>
              <w:t>(+/- 10%: include your actual word count at the end of each section)</w:t>
            </w:r>
          </w:p>
          <w:p w14:paraId="36C5F821" w14:textId="77777777" w:rsidR="00FC6DFA" w:rsidRDefault="00FC6DFA">
            <w:pPr>
              <w:ind w:right="237"/>
              <w:jc w:val="both"/>
              <w:rPr>
                <w:i/>
                <w:color w:val="000000"/>
              </w:rPr>
            </w:pPr>
          </w:p>
        </w:tc>
      </w:tr>
    </w:tbl>
    <w:p w14:paraId="446A236A" w14:textId="77777777" w:rsidR="00FC6DFA" w:rsidRDefault="00FC6DFA">
      <w:pPr>
        <w:ind w:left="3600" w:right="107"/>
        <w:jc w:val="both"/>
        <w:rPr>
          <w:b/>
          <w:color w:val="000000"/>
        </w:rPr>
      </w:pPr>
    </w:p>
    <w:p w14:paraId="6C901716" w14:textId="77777777" w:rsidR="00CF493D" w:rsidRPr="00CF493D" w:rsidRDefault="00CF493D" w:rsidP="003D51B9">
      <w:r>
        <w:t xml:space="preserve">Answer </w:t>
      </w:r>
    </w:p>
    <w:p w14:paraId="1E76E82D" w14:textId="77777777" w:rsidR="00CF493D" w:rsidRPr="00CF493D" w:rsidRDefault="00CF493D" w:rsidP="003D51B9">
      <w:r>
        <w:t>2a.</w:t>
      </w:r>
    </w:p>
    <w:p w14:paraId="7A8CA966" w14:textId="77777777" w:rsidR="00282542" w:rsidRPr="008126DE" w:rsidRDefault="00282542" w:rsidP="003D51B9">
      <w:pPr>
        <w:spacing w:before="120" w:after="240"/>
        <w:jc w:val="both"/>
      </w:pPr>
      <w:r>
        <w:t>Investigation into Malicious Communications Involving a Vulnerable Victim: A Critical Evaluation of Investigative Practice</w:t>
      </w:r>
    </w:p>
    <w:p w14:paraId="014B9D8D" w14:textId="77777777" w:rsidR="00282542" w:rsidRPr="008126DE" w:rsidRDefault="00282542" w:rsidP="003D51B9">
      <w:pPr>
        <w:spacing w:after="200"/>
        <w:jc w:val="both"/>
      </w:pPr>
      <w:r>
        <w:t>Gillespie (2016) argues that policing malicious communications in digital environments presents increasing complexity, particularly where vulnerable individuals are involved. This essay critically examines an investigation in which I played a significant role, involving members of a professional training environment communicating via a private encrypted messaging platform over approximately one year. Within this group, persistent anti-Semitic messages were shared, ultimately impacting one member who was experiencing significant mental health difficulties and was identified as a vulnerable victim.</w:t>
      </w:r>
    </w:p>
    <w:p w14:paraId="4CE7E87D" w14:textId="77777777" w:rsidR="00282542" w:rsidRPr="008126DE" w:rsidRDefault="00282542" w:rsidP="003D51B9">
      <w:pPr>
        <w:spacing w:after="200"/>
        <w:jc w:val="both"/>
      </w:pPr>
      <w:r>
        <w:lastRenderedPageBreak/>
        <w:t>The victim was placed in a position of disadvantage due to both their psychological vulnerability and the closed nature of the group environment, where repeated discriminatory communications normalised harmful behaviour and limited the victim's ability to challenge or disengage from the conduct. The prolonged exposure to these communications contributed to emotional distress and heightened vulnerability, demonstrating how individuals may be exploited within digitally mediated group dynamics.</w:t>
      </w:r>
    </w:p>
    <w:p w14:paraId="77CEDB13" w14:textId="77777777" w:rsidR="00282542" w:rsidRPr="008126DE" w:rsidRDefault="00282542" w:rsidP="003D51B9">
      <w:pPr>
        <w:spacing w:after="200"/>
        <w:jc w:val="both"/>
      </w:pPr>
      <w:r>
        <w:t>The case engaged legal frameworks under the Malicious Communications Act 1988 and raised evidential and procedural challenges relating to intent, thresholds of offensiveness, and digital communication. This essay will analyse the crime types involved and the investigative obstacles encountered, before critically evaluating the effectiveness of investigative strategies, including Achieving Best Evidence (ABE) interviews, legal processes, safeguarding measures, and multi-agency approaches.</w:t>
      </w:r>
    </w:p>
    <w:p w14:paraId="55B76123" w14:textId="77777777" w:rsidR="00282542" w:rsidRPr="008126DE" w:rsidRDefault="00282542" w:rsidP="003D51B9">
      <w:pPr>
        <w:spacing w:after="200"/>
        <w:jc w:val="both"/>
      </w:pPr>
      <w:r>
        <w:t>The primary offence under investigation fell under Section 1 of the Malicious Communications Act 1988, which criminalises the sending of communications that are indecent or grossly offensive, with intent to cause distress or anxiety. Consideration was also given to Section 127 of the Communications Act 2003, although its applicability was complicated by the private nature of the encrypted messaging platform. A key issue in such cases is the balance between criminal liability and freedom of expression. Article 10 of the Human Rights Act 1998 protects freedom of speech, meaning only communications reaching a sufficiently serious threshold will justify criminal sanction (Fenwick and Phillipson, 2006). This creates an inherently high evidential bar.</w:t>
      </w:r>
    </w:p>
    <w:p w14:paraId="77165181" w14:textId="77777777" w:rsidR="00282542" w:rsidRPr="008126DE" w:rsidRDefault="00282542" w:rsidP="003D51B9">
      <w:pPr>
        <w:spacing w:after="200"/>
        <w:jc w:val="both"/>
      </w:pPr>
      <w:r>
        <w:t>One of the central challenges was determining whether the content met the legal threshold of being "grossly offensive." The leading authority, DPP v Collins (2006), establishes that offensiveness must be judged according to the standards of an open and just society. However, this standard is inherently subjective. As Walters (2014) argues, offensiveness is socially constructed and context-dependent. In this case, the prolonged and repeated anti-Semitic nature of the messages strengthened the argument that they exceeded mere offensiveness and entered criminal territory. Nonetheless, ambiguity remained, particularly given that the messages were exchanged within a closed group rather than broadcast publicly. This reflects a broader issue in digital policing; Brown (2018) observes that private online spaces blur traditional distinctions between public and private harm, complicating both legal interpretation and evidential thresholds.</w:t>
      </w:r>
    </w:p>
    <w:p w14:paraId="2E41C13E" w14:textId="77777777" w:rsidR="00282542" w:rsidRPr="008126DE" w:rsidRDefault="00282542" w:rsidP="003D51B9">
      <w:pPr>
        <w:spacing w:after="200"/>
        <w:jc w:val="both"/>
      </w:pPr>
      <w:r>
        <w:lastRenderedPageBreak/>
        <w:t>A further significant obstacle was proving intent to cause distress or anxiety. Malicious communications require a subjective mental element, which is particularly difficult in group messaging environments where communications may be framed as humour, banter, or non-directed commentary. Gillespie (2016) highlights that online disinhibition often leads individuals to communicate in ways they would not offline, frequently without conscious intention to cause harm, creating evidential challenges in establishing the mens rea required under the legislation. In this investigation, suspects could plausibly argue they lacked awareness of the victim's vulnerability, that comments were not directly targeted, and that such exchanges reflected normalised group behaviour. However, DPP v Collins (2006) emphasises that whether a communication is grossly offensive is judged by the standards of an open and just society, rather than the sender's subjective intentions. It was therefore necessary to undertake an objective assessment by analysing the persistence and cumulative nature of the communications, confirming the victim's presence within the group, and identifying any escalation in tone or content. These factors are key in challenging claims of benign intent and supporting an inference that the suspects were, at minimum, reckless as to the distress caused. Nevertheless, as Ashworth (2013) notes, proving subjective intent remains one of the most challenging aspects of criminal law, often relying on inference rather than direct evidence.</w:t>
      </w:r>
    </w:p>
    <w:p w14:paraId="2B9F3946" w14:textId="77777777" w:rsidR="00282542" w:rsidRPr="008126DE" w:rsidRDefault="00282542" w:rsidP="003D51B9">
      <w:pPr>
        <w:spacing w:after="200"/>
        <w:jc w:val="both"/>
      </w:pPr>
      <w:r>
        <w:t>A further obstacle related to digital evidence and attribution. Taylor, Fritsch and Liederbach (2015) argue that encrypted messaging systems hinder investigations by restricting data access and complicating user identification, undermining the ability to meet evidential requirements in court. Digital material must satisfy strict requirements of continuity and integrity for admissibility under the Police and Criminal Evidence Act 1984 (PACE), while also complying with digital forensic principles set out by the National Police Chiefs' Council (2019b). Jewkes and Yar (2013) argue cyber-related investigations frequently expose gaps between technological capability and existing legal frameworks. In this case, these challenges manifested in difficulty securing complete message histories, accurately attributing specific messages to individual suspects, and demonstrating the timeline and frequency of communications. Collectively, these issues illustrate the evolving nature of digital investigations, where traditional evidential models are increasingly insufficient, and highlight a broader gap between legal doctrine and operational policing realities.</w:t>
      </w:r>
    </w:p>
    <w:p w14:paraId="1664EC6D" w14:textId="77777777" w:rsidR="00282542" w:rsidRPr="008126DE" w:rsidRDefault="00282542" w:rsidP="003D51B9">
      <w:pPr>
        <w:spacing w:after="200"/>
        <w:jc w:val="both"/>
      </w:pPr>
      <w:r>
        <w:t xml:space="preserve">Operational and procedural constraints represented a sensitive aspect of this investigation, requiring a carefully managed, multi-agency approach. Close coordination and transparency were essential when liaising with internal disciplinary authorities and senior management of </w:t>
      </w:r>
      <w:r>
        <w:lastRenderedPageBreak/>
        <w:t>the organisation in which the suspects were based. Strategic consideration was given to the timing and execution of arrests to ensure proportionality, minimise harm to wider personnel, and avoid undue disruption to operational effectiveness. This reflects the broader policing requirement to balance investigative necessity with organisational and public interest considerations. The requirements of PACE were central, as any arrest must be necessary and justified. Given the ambiguity surrounding intent and whether the communications met the threshold of being "grossly offensive," establishing necessity was not straightforward. This aligns with what Sanders et al. (2010) describe as threshold decision-making, whereby officers must weigh legal sufficiency, public interest, and resource implications.</w:t>
      </w:r>
    </w:p>
    <w:p w14:paraId="38CEDBB4" w14:textId="77777777" w:rsidR="00282542" w:rsidRPr="008126DE" w:rsidRDefault="00282542" w:rsidP="003D51B9">
      <w:pPr>
        <w:spacing w:after="200"/>
        <w:jc w:val="both"/>
      </w:pPr>
      <w:r>
        <w:t>The victim's mental health condition significantly shaped the investigative approach. The College of Policing defines vulnerability as a condition that may impair an individual's ability to cope with or recover from harm (College of Policing, 2021). Brewin (2014) argues trauma-related conditions can disrupt memory processes, emotional regulation, and communication, with implications for evidential consistency. In this case, this created several challenges, including the risk of retraumatisation during interviews, difficulties in obtaining coherent accounts, and an increased safeguarding requirement throughout the investigation. The victim's vulnerability also heightened the seriousness of the offending, as the repeated communications exploited an individual already experiencing psychological difficulties and placed them at greater emotional risk. This influenced both investigative decision-making and public interest considerations (Crown Prosecution Service, 2022). This highlights a tension within the criminal justice process whereby vulnerability necessitates enhanced support and adapted investigative approaches, while simultaneously creating potential challenges regarding evidential consistency and perceived credibility within adversarial proceedings.</w:t>
      </w:r>
    </w:p>
    <w:p w14:paraId="72CF5484" w14:textId="73D6F95E" w:rsidR="00282542" w:rsidRDefault="00282542" w:rsidP="003D51B9">
      <w:pPr>
        <w:spacing w:after="200"/>
        <w:jc w:val="both"/>
      </w:pPr>
      <w:r>
        <w:t>Word count 111</w:t>
      </w:r>
      <w:r w:rsidR="007607F3">
        <w:t>7</w:t>
      </w:r>
    </w:p>
    <w:p w14:paraId="16EA3AC6" w14:textId="77777777" w:rsidR="00282542" w:rsidRDefault="00282542" w:rsidP="003D51B9">
      <w:pPr>
        <w:spacing w:after="200"/>
        <w:jc w:val="both"/>
      </w:pPr>
    </w:p>
    <w:p w14:paraId="32DD8A48" w14:textId="77777777" w:rsidR="00282542" w:rsidRPr="008126DE" w:rsidRDefault="00282542" w:rsidP="003D51B9">
      <w:pPr>
        <w:spacing w:after="200"/>
        <w:jc w:val="both"/>
      </w:pPr>
    </w:p>
    <w:p w14:paraId="780EC984" w14:textId="77777777" w:rsidR="00282542" w:rsidRPr="004C7D7D" w:rsidRDefault="00282542" w:rsidP="003D51B9">
      <w:pPr>
        <w:spacing w:before="240" w:after="120"/>
      </w:pPr>
      <w:r>
        <w:t>2b.</w:t>
      </w:r>
    </w:p>
    <w:p w14:paraId="6A55B33A" w14:textId="77777777" w:rsidR="00282542" w:rsidRPr="008126DE" w:rsidRDefault="00282542" w:rsidP="003D51B9">
      <w:pPr>
        <w:spacing w:after="200"/>
        <w:jc w:val="both"/>
      </w:pPr>
      <w:r>
        <w:t xml:space="preserve">Following initial contact, it became evident that due to the victim's vulnerability a specialist interview approach was required. An ABE interview was conducted in accordance with Achieving Best Evidence in Criminal Proceedings (Ministry of Justice, 2022). ABE interviews are grounded in psychological research emphasising the importance of free recall and minimal </w:t>
      </w:r>
      <w:r>
        <w:lastRenderedPageBreak/>
        <w:t>interviewer interference in obtaining accurate and reliable evidence (Milne and Bull, 1999). The structured format enabled the victim to provide a detailed and coherent narrative, capturing the cumulative emotional impact of the communications. Rapport-building techniques and appropriate pacing supported a trauma-informed approach, reducing distress and aligning with best practice when engaging vulnerable individuals (Ministry of Justice, 2022). The interview was video-recorded, allowing it to be used as evidence-in-chief and reducing the need for the victim to give live testimony, thereby minimising the risk of retraumatisation. The ABE interview was therefore instrumental in evidencing the impact of the communications, a key element in establishing distress under the Malicious Communications Act 1988.</w:t>
      </w:r>
    </w:p>
    <w:p w14:paraId="74C9B606" w14:textId="77777777" w:rsidR="00282542" w:rsidRPr="008126DE" w:rsidRDefault="00282542" w:rsidP="003D51B9">
      <w:pPr>
        <w:spacing w:after="200"/>
        <w:jc w:val="both"/>
      </w:pPr>
      <w:r>
        <w:t>Despite these strengths, the ABE approach has limitations. Brewin (2014) suggests it is reliant on the victim's memory, which in cases involving trauma may be affected in accuracy and consistency, potentially undermining perceived credibility. ABE interviews are also resource intensive, requiring specially trained officers and appropriate facilities, which may not always be readily available. Crucially, while the ABE process is effective in evidencing harm and victim impact, it does not directly establish the suspect's intent. As Bull (2010) argues, even high-quality investigative interviews cannot compensate for a lack of corroborative evidence. ABE interviews must therefore be considered as part of a wider evidential framework rather than a standalone solution.</w:t>
      </w:r>
    </w:p>
    <w:p w14:paraId="7958EAFA" w14:textId="77777777" w:rsidR="00282542" w:rsidRPr="008126DE" w:rsidRDefault="00282542" w:rsidP="003D51B9">
      <w:pPr>
        <w:spacing w:after="200"/>
        <w:jc w:val="both"/>
      </w:pPr>
      <w:r>
        <w:t>The application of case law, particularly DPP v Collins (2006), was central to interpreting what constitutes "grossly offensive" communication. Case law provided an essential framework for decision-making where the threshold for criminality was not immediately clear, offering legal clarity and justification for investigative action in a case involving prolonged communications within a closed digital group. However, reliance on case law presents limitations, as judicial decisions are typically grounded in specific factual circumstances, restricting their applicability to rapidly evolving technological contexts (Ashworth, 2013). As Ormerod and Laird (2018) argue, rapid technological developments frequently outpace judicial interpretation, resulting in uncertainty when applying established legal precedents to modern forms of communication. While case law remains a vital interpretative tool, its effectiveness may be constrained in addressing the complexities of contemporary digital investigations.</w:t>
      </w:r>
    </w:p>
    <w:p w14:paraId="633B811D" w14:textId="77777777" w:rsidR="00282542" w:rsidRPr="008126DE" w:rsidRDefault="00282542" w:rsidP="003D51B9">
      <w:pPr>
        <w:spacing w:after="200"/>
        <w:jc w:val="both"/>
      </w:pPr>
      <w:r>
        <w:t xml:space="preserve">Safeguarding and multi-agency working formed a key component of the investigative response. Referrals were made to appropriate welfare and support services to ensure the victim received support beyond the immediate criminal investigation. Consideration was also given to ongoing </w:t>
      </w:r>
      <w:r>
        <w:lastRenderedPageBreak/>
        <w:t>risk management, including monitoring the victim's welfare, maintaining regular contact, and assessing the need for special measures should court proceedings become necessary. The use of special measures, including video-recorded evidence and screening arrangements, was particularly important in reducing the risk of retraumatisation and supporting the victim's ability to provide best evidence (Ministry of Justice, 2022). The potential use of a registered intermediary was also considered to facilitate effective communication should the victim's symptoms impede testimony, and a Victim Personal Statement was offered to ensure the wider impact of the offending could be conveyed to the court. This reflected a victim-centred and trauma-informed approach, prioritising both evidential quality and the victim's wellbeing.</w:t>
      </w:r>
    </w:p>
    <w:p w14:paraId="7CD51EF5" w14:textId="77777777" w:rsidR="00282542" w:rsidRPr="008126DE" w:rsidRDefault="00282542" w:rsidP="003D51B9">
      <w:pPr>
        <w:spacing w:after="200"/>
        <w:jc w:val="both"/>
      </w:pPr>
      <w:r>
        <w:t>From a critical standpoint, safeguarding arrangements also expose broader structural limitations within policing. Randall and Haskell (2013) argue that law enforcement alone is not equipped to address the complex and long-term needs of vulnerable individuals experiencing psychological trauma. Consequently, multi-agency collaboration is essential in providing holistic support. While its practical strengths include the delivery of wraparound support and reduced reliance on any single agency, its limitations include duplication of effort, accountability gaps, and inconsistent information-sharing, often affected by resource constraints, differing organisational priorities, and communication barriers (Robinson et al., 2016). Witness care and safeguarding measures can effectively support victim engagement but may prolong dependency on criminal justice processes and cannot fully mitigate the emotional impact of proceedings. Although multi-agency safeguarding represented effective practice in this investigation, its success remained dependent on the consistency of inter-agency cooperation and available resources.</w:t>
      </w:r>
    </w:p>
    <w:p w14:paraId="17118CA6" w14:textId="77777777" w:rsidR="00282542" w:rsidRPr="008126DE" w:rsidRDefault="00282542" w:rsidP="003D51B9">
      <w:pPr>
        <w:spacing w:after="200"/>
        <w:jc w:val="both"/>
      </w:pPr>
      <w:r>
        <w:t>The decision to arrest suspects was carefully considered in line with the PACE necessity criteria. Arrest enabled the timely seizure of digital devices and early suspect interviews, strengthening evidence preservation given the risk of loss or alteration of digital material. However, where evidential thresholds, particularly regarding intent and gross offensiveness, were unclear, the justification for arrest could be challenged. As Zedner (2007) notes, risk-based policing, which prioritises early intervention, can conflict with traditional evidential standards and due process. While the arrest strategy was operationally effective, it required careful justification to ensure proportionality and compliance with legal principles.</w:t>
      </w:r>
    </w:p>
    <w:p w14:paraId="174D8882" w14:textId="77777777" w:rsidR="00282542" w:rsidRPr="008126DE" w:rsidRDefault="00282542" w:rsidP="003D51B9">
      <w:pPr>
        <w:spacing w:after="200"/>
        <w:jc w:val="both"/>
      </w:pPr>
      <w:r>
        <w:t xml:space="preserve">In conclusion, the experiences of vulnerable victims highlight the complexities of prosecuting malicious communications within private digital environments, particularly in relation to </w:t>
      </w:r>
      <w:r>
        <w:lastRenderedPageBreak/>
        <w:t>psychological harm and persistent evidential challenges. While the Malicious Communications Act 1988 provides a legal basis for action, its reliance on subjective thresholds, such as what constitutes "grossly offensive" communication, and the requirement to prove intent create significant evidential challenges. These issues are further compounded by encrypted platforms, where attribution and evidential reliability are difficult to establish. Despite these challenges, the investigation demonstrated effective practice. The ABE interview enhanced evidential quality and supported the victim, illustrating the importance of trauma-informed approaches, while the use of special measures and a victim-centred multi-agency response ensured safeguarding remained a priority. However, limitations in proving intent and interpreting offensive communication emphasise the constraints of current investigative and legal frameworks. As McGlynn and Rackley (2017) note, the law often lags behind technological developments, creating gaps in protection. Addressing these issues will require improved investigative practices, particularly in digital evidence, alongside potential legislative reform and stronger multi-agency collaboration.</w:t>
      </w:r>
    </w:p>
    <w:p w14:paraId="422478D3" w14:textId="77777777" w:rsidR="00282542" w:rsidRDefault="00282542" w:rsidP="003D51B9">
      <w:pPr>
        <w:spacing w:after="200"/>
        <w:jc w:val="both"/>
      </w:pPr>
      <w:r>
        <w:t>Word Count 958</w:t>
      </w:r>
    </w:p>
    <w:p w14:paraId="0C3C0D6C" w14:textId="68B94B2F" w:rsidR="00282542" w:rsidRDefault="00282542" w:rsidP="003D51B9">
      <w:pPr>
        <w:spacing w:after="200"/>
        <w:jc w:val="both"/>
      </w:pPr>
      <w:r>
        <w:t>Total 207</w:t>
      </w:r>
      <w:r w:rsidR="00FB15A0">
        <w:t>5</w:t>
      </w:r>
    </w:p>
    <w:p w14:paraId="1B784A5B" w14:textId="77777777" w:rsidR="00CF493D" w:rsidRPr="00CF493D" w:rsidRDefault="00CF493D" w:rsidP="003D51B9">
      <w:pPr>
        <w:pStyle w:val="NormalWeb"/>
        <w:spacing w:line="360" w:lineRule="auto"/>
      </w:pPr>
    </w:p>
    <w:p w14:paraId="36DD74B2" w14:textId="77777777" w:rsidR="00FC6DFA" w:rsidRPr="000A0A9B" w:rsidRDefault="00FC6DFA">
      <w:pPr>
        <w:ind w:right="107"/>
        <w:rPr>
          <w:bCs/>
          <w:iCs/>
          <w:color w:val="000000"/>
        </w:rPr>
      </w:pPr>
    </w:p>
    <w:p w14:paraId="6BEBA378" w14:textId="76909A6C" w:rsidR="00FC6DFA" w:rsidRPr="005962AD" w:rsidRDefault="009F1B79">
      <w:pPr>
        <w:ind w:right="107"/>
        <w:rPr>
          <w:rFonts w:ascii="Arial" w:hAnsi="Arial" w:cs="Arial"/>
          <w:b/>
          <w:i/>
          <w:color w:val="000000"/>
        </w:rPr>
      </w:pPr>
      <w:bookmarkStart w:id="6" w:name="_Hlk221098117"/>
      <w:r w:rsidRPr="005962AD">
        <w:rPr>
          <w:rFonts w:ascii="Arial" w:hAnsi="Arial" w:cs="Arial"/>
          <w:b/>
          <w:i/>
          <w:color w:val="000000"/>
        </w:rPr>
        <w:t>Task 3: Interview and Custody Processes</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3605C4AA" w14:textId="77777777">
        <w:tc>
          <w:tcPr>
            <w:tcW w:w="9015" w:type="dxa"/>
          </w:tcPr>
          <w:p w14:paraId="49EB1247" w14:textId="77777777" w:rsidR="00FC6DFA" w:rsidRPr="0064613A" w:rsidRDefault="009F1B79">
            <w:pPr>
              <w:spacing w:line="360" w:lineRule="auto"/>
              <w:rPr>
                <w:rFonts w:ascii="Arial" w:hAnsi="Arial" w:cs="Arial"/>
                <w:b/>
                <w:color w:val="000000"/>
              </w:rPr>
            </w:pPr>
            <w:bookmarkStart w:id="7" w:name="_Hlk221096485"/>
            <w:bookmarkStart w:id="8" w:name="_Hlk221098129"/>
            <w:bookmarkEnd w:id="6"/>
            <w:r w:rsidRPr="0064613A">
              <w:rPr>
                <w:rFonts w:ascii="Arial" w:hAnsi="Arial" w:cs="Arial"/>
                <w:color w:val="000000"/>
              </w:rPr>
              <w:t>Choose a serious and complex investigation in which you played a significant role with</w:t>
            </w:r>
            <w:r w:rsidRPr="0064613A">
              <w:rPr>
                <w:rFonts w:ascii="Arial" w:hAnsi="Arial" w:cs="Arial"/>
                <w:b/>
                <w:color w:val="000000"/>
              </w:rPr>
              <w:t xml:space="preserve"> witnesses, victims and suspects. </w:t>
            </w:r>
            <w:r w:rsidRPr="0064613A">
              <w:rPr>
                <w:rFonts w:ascii="Arial" w:hAnsi="Arial" w:cs="Arial"/>
                <w:color w:val="000000"/>
              </w:rPr>
              <w:t xml:space="preserve">Give a brief description of the investigation. </w:t>
            </w:r>
            <w:r w:rsidRPr="0064613A">
              <w:rPr>
                <w:rFonts w:ascii="Arial" w:hAnsi="Arial" w:cs="Arial"/>
              </w:rPr>
              <w:t xml:space="preserve"> </w:t>
            </w:r>
          </w:p>
          <w:bookmarkEnd w:id="7"/>
          <w:p w14:paraId="5A2905FB" w14:textId="77777777" w:rsidR="00FC6DFA" w:rsidRPr="0064613A" w:rsidRDefault="00FC6DFA">
            <w:pPr>
              <w:spacing w:line="360" w:lineRule="auto"/>
              <w:ind w:right="237"/>
              <w:jc w:val="both"/>
              <w:rPr>
                <w:rFonts w:ascii="Arial" w:hAnsi="Arial" w:cs="Arial"/>
              </w:rPr>
            </w:pPr>
          </w:p>
          <w:p w14:paraId="72D7665E" w14:textId="77777777" w:rsidR="00FC6DFA" w:rsidRPr="0064613A" w:rsidRDefault="009F1B79">
            <w:pPr>
              <w:numPr>
                <w:ilvl w:val="0"/>
                <w:numId w:val="1"/>
              </w:numPr>
              <w:pBdr>
                <w:top w:val="nil"/>
                <w:left w:val="nil"/>
                <w:bottom w:val="nil"/>
                <w:right w:val="nil"/>
                <w:between w:val="nil"/>
              </w:pBdr>
              <w:spacing w:after="160" w:line="360" w:lineRule="auto"/>
              <w:rPr>
                <w:rFonts w:ascii="Arial" w:hAnsi="Arial" w:cs="Arial"/>
                <w:color w:val="000000"/>
              </w:rPr>
            </w:pPr>
            <w:r w:rsidRPr="0064613A">
              <w:rPr>
                <w:rFonts w:ascii="Arial" w:hAnsi="Arial" w:cs="Arial"/>
                <w:b/>
                <w:color w:val="000000"/>
              </w:rPr>
              <w:t xml:space="preserve">Critically evaluate </w:t>
            </w:r>
            <w:r w:rsidRPr="0064613A">
              <w:rPr>
                <w:rFonts w:ascii="Arial" w:hAnsi="Arial" w:cs="Arial"/>
                <w:color w:val="000000"/>
              </w:rPr>
              <w:t>the interview process of the witnesses and suspects in the case highlighting how professionalism and maintaining standards impacts upon the process.</w:t>
            </w:r>
          </w:p>
          <w:bookmarkEnd w:id="8"/>
          <w:p w14:paraId="4C7F0B79" w14:textId="77777777" w:rsidR="00FC6DFA" w:rsidRPr="0064613A" w:rsidRDefault="00FC6DFA">
            <w:pPr>
              <w:rPr>
                <w:rFonts w:ascii="Arial" w:hAnsi="Arial" w:cs="Arial"/>
                <w:color w:val="000000"/>
              </w:rPr>
            </w:pPr>
          </w:p>
          <w:p w14:paraId="40E80D61" w14:textId="77777777" w:rsidR="00FC6DFA" w:rsidRPr="0064613A" w:rsidRDefault="009F1B79">
            <w:pPr>
              <w:numPr>
                <w:ilvl w:val="0"/>
                <w:numId w:val="1"/>
              </w:numPr>
              <w:pBdr>
                <w:top w:val="nil"/>
                <w:left w:val="nil"/>
                <w:bottom w:val="nil"/>
                <w:right w:val="nil"/>
                <w:between w:val="nil"/>
              </w:pBdr>
              <w:spacing w:after="160" w:line="360" w:lineRule="auto"/>
              <w:rPr>
                <w:rFonts w:ascii="Arial" w:hAnsi="Arial" w:cs="Arial"/>
                <w:color w:val="000000"/>
              </w:rPr>
            </w:pPr>
            <w:bookmarkStart w:id="9" w:name="_Hlk221098418"/>
            <w:r w:rsidRPr="0064613A">
              <w:rPr>
                <w:rFonts w:ascii="Arial" w:hAnsi="Arial" w:cs="Arial"/>
                <w:b/>
                <w:color w:val="000000"/>
              </w:rPr>
              <w:t xml:space="preserve">Critically reflect </w:t>
            </w:r>
            <w:r w:rsidRPr="0064613A">
              <w:rPr>
                <w:rFonts w:ascii="Arial" w:hAnsi="Arial" w:cs="Arial"/>
                <w:color w:val="000000"/>
              </w:rPr>
              <w:t>upon the planning that you undertook for the interviews and consider the benefits and challenges of doing so.</w:t>
            </w:r>
          </w:p>
          <w:bookmarkEnd w:id="9"/>
          <w:p w14:paraId="215615B6" w14:textId="77777777" w:rsidR="00FC6DFA" w:rsidRPr="0064613A" w:rsidRDefault="00FC6DFA">
            <w:pPr>
              <w:rPr>
                <w:rFonts w:ascii="Arial" w:hAnsi="Arial" w:cs="Arial"/>
                <w:b/>
                <w:color w:val="000000"/>
              </w:rPr>
            </w:pPr>
          </w:p>
          <w:p w14:paraId="7E8BA7ED" w14:textId="77777777" w:rsidR="00FC6DFA" w:rsidRPr="0064613A" w:rsidRDefault="00FC6DFA">
            <w:pPr>
              <w:rPr>
                <w:rFonts w:ascii="Arial" w:hAnsi="Arial" w:cs="Arial"/>
                <w:color w:val="000000"/>
              </w:rPr>
            </w:pPr>
          </w:p>
          <w:p w14:paraId="4EB633DF" w14:textId="77777777" w:rsidR="00FC6DFA" w:rsidRPr="0064613A" w:rsidRDefault="009F1B79">
            <w:pPr>
              <w:ind w:right="237"/>
              <w:jc w:val="both"/>
              <w:rPr>
                <w:rFonts w:ascii="Arial" w:hAnsi="Arial" w:cs="Arial"/>
              </w:rPr>
            </w:pPr>
            <w:r w:rsidRPr="0064613A">
              <w:rPr>
                <w:rFonts w:ascii="Arial" w:hAnsi="Arial" w:cs="Arial"/>
                <w:b/>
                <w:color w:val="000000"/>
              </w:rPr>
              <w:t xml:space="preserve">2000 words </w:t>
            </w:r>
            <w:r w:rsidRPr="0064613A">
              <w:rPr>
                <w:rFonts w:ascii="Arial" w:hAnsi="Arial" w:cs="Arial"/>
                <w:i/>
                <w:color w:val="000000"/>
              </w:rPr>
              <w:t>(+/- 10%: include your actual word count at the end of each section)</w:t>
            </w:r>
          </w:p>
          <w:p w14:paraId="3EF0C6C2" w14:textId="77777777" w:rsidR="00FC6DFA" w:rsidRDefault="00FC6DFA">
            <w:pPr>
              <w:ind w:right="237"/>
              <w:jc w:val="both"/>
              <w:rPr>
                <w:i/>
                <w:color w:val="000000"/>
              </w:rPr>
            </w:pPr>
          </w:p>
        </w:tc>
      </w:tr>
    </w:tbl>
    <w:p w14:paraId="16566C7A" w14:textId="77777777" w:rsidR="00FC6DFA" w:rsidRDefault="00FC6DFA">
      <w:pPr>
        <w:ind w:left="3600" w:right="107" w:firstLine="720"/>
        <w:jc w:val="both"/>
        <w:rPr>
          <w:b/>
          <w:color w:val="000000"/>
        </w:rPr>
      </w:pPr>
    </w:p>
    <w:p w14:paraId="4A893BDF" w14:textId="77777777" w:rsidR="0023232F" w:rsidRDefault="0046015C" w:rsidP="0023232F">
      <w:pPr>
        <w:spacing w:after="200"/>
        <w:jc w:val="both"/>
      </w:pPr>
      <w:r>
        <w:t>Answer</w:t>
      </w:r>
    </w:p>
    <w:p w14:paraId="62BC779F" w14:textId="4D477CBD" w:rsidR="0023232F" w:rsidRPr="00DB5B6A" w:rsidRDefault="0023232F" w:rsidP="0023232F">
      <w:pPr>
        <w:spacing w:after="200"/>
        <w:jc w:val="both"/>
      </w:pPr>
      <w:r>
        <w:t>This essay examines a serious and complex investigation in which I played a significant role, involving theft and fraud of military items deemed attractive to criminals and terrorist organisations (ACTO). The investigation centred on a civilian operating within a military camp. The complexity of the case arose from the number of individuals involved, the varying levels of knowledge among buyers, and the need to secure reliable evidence while maintaining ethical and professional standards.</w:t>
      </w:r>
    </w:p>
    <w:p w14:paraId="7346006D" w14:textId="77777777" w:rsidR="0023232F" w:rsidRPr="0023232F" w:rsidRDefault="0023232F" w:rsidP="0023232F">
      <w:pPr>
        <w:spacing w:before="240" w:after="120"/>
        <w:jc w:val="both"/>
      </w:pPr>
      <w:r>
        <w:t>3a.</w:t>
      </w:r>
    </w:p>
    <w:p w14:paraId="5F8B447D" w14:textId="77777777" w:rsidR="0023232F" w:rsidRPr="00DB5B6A" w:rsidRDefault="0023232F" w:rsidP="0023232F">
      <w:pPr>
        <w:spacing w:after="200"/>
        <w:jc w:val="both"/>
      </w:pPr>
      <w:r>
        <w:t>Milne and Bull (1999) emphasise that investigative interviewing is a critical component of criminal investigations, providing a structured mechanism through which evidence is obtained from witnesses, victims, and suspects. A key feature of this investigation was the diversity of witnesses, particularly buyers who had purchased stolen ACTO items. Some individuals were unaware that goods were stolen, which required a flexible and ethically grounded approach to interviewing. The PEACE model, as outlined by the College of Policing (2023b), emphasises the importance of information gathering over accusation, making it particularly suited to such scenarios.</w:t>
      </w:r>
    </w:p>
    <w:p w14:paraId="7CCF6904" w14:textId="77777777" w:rsidR="0023232F" w:rsidRPr="00DB5B6A" w:rsidRDefault="0023232F" w:rsidP="0023232F">
      <w:pPr>
        <w:spacing w:after="200"/>
        <w:jc w:val="both"/>
      </w:pPr>
      <w:r>
        <w:t>In practice, adapting the interview approach was essential to avoid alienating cooperative witnesses or inadvertently treating them as suspects. This aligns with the principles of ethical interviewing, which prioritise fairness, respect, and openness (Bull and Milne, 2004). By maintaining a neutral and non-judgemental stance, witnesses were more willing to provide full and accurate accounts.</w:t>
      </w:r>
    </w:p>
    <w:p w14:paraId="3BFCB717" w14:textId="77777777" w:rsidR="0023232F" w:rsidRPr="00DB5B6A" w:rsidRDefault="0023232F" w:rsidP="0023232F">
      <w:pPr>
        <w:spacing w:after="200"/>
        <w:jc w:val="both"/>
      </w:pPr>
      <w:r>
        <w:t>Research by Fisher and Geiselman (1992) highlights the effectiveness of rapport-building and open-ended questioning in improving the quality of witness recall. In this investigation, allowing witnesses to provide uninterrupted narratives enabled the capture of detailed accounts regarding how items were obtained, communication with the suspect, and their understanding of the transactions.</w:t>
      </w:r>
    </w:p>
    <w:p w14:paraId="6908B1C3" w14:textId="77777777" w:rsidR="0023232F" w:rsidRPr="00DB5B6A" w:rsidRDefault="0023232F" w:rsidP="0023232F">
      <w:pPr>
        <w:spacing w:after="200"/>
        <w:jc w:val="both"/>
      </w:pPr>
      <w:r>
        <w:lastRenderedPageBreak/>
        <w:t>Throughout the interview process, maintaining professionalism in accordance with the Code of Ethics was central, encompassing principles such as integrity, impartiality, and accountability. Importantly, I avoided making assumptions regarding witness culpability, recognising that premature judgement could undermine both the integrity of the investigation and the reliability of evidence obtained. This approach reflects the concept of procedural justice advocated by Tyler (2006), whereby individuals are more likely to cooperate when they perceive the process to be fair and respectful.</w:t>
      </w:r>
    </w:p>
    <w:p w14:paraId="0D987FD4" w14:textId="77777777" w:rsidR="0023232F" w:rsidRPr="00DB5B6A" w:rsidRDefault="0023232F" w:rsidP="0023232F">
      <w:pPr>
        <w:spacing w:after="200"/>
        <w:jc w:val="both"/>
      </w:pPr>
      <w:r>
        <w:t>In practice, professionalism contributed to increased witness cooperation, enabled the provision of more comprehensive and detailed statements, and enhanced the overall credibility of the evidence obtained. Walsh and Bull (2012) demonstrate that the development and maintenance of rapport within investigative interviews can significantly improve the quality and quantity of information provided by individuals. Abbe and Brandon (2014) and Brouillard, Gabbert and Scott (2024) similarly emphasise the importance of professional communication in facilitating effective engagement.</w:t>
      </w:r>
    </w:p>
    <w:p w14:paraId="2E6C9067" w14:textId="77777777" w:rsidR="0023232F" w:rsidRPr="00DB5B6A" w:rsidRDefault="0023232F" w:rsidP="0023232F">
      <w:pPr>
        <w:spacing w:after="200"/>
        <w:jc w:val="both"/>
      </w:pPr>
      <w:r>
        <w:t>A significant challenge in this investigation was avoiding cognitive bias, particularly where patterns of offending began to emerge. As Findley and Scott (2006) argue, confirmation bias can lead investigators to focus on evidence supporting an initial hypothesis while overlooking alternative explanations. The risk in this case related to the premature categorisation of buyers as complicit in the offence; I therefore ensured each interview was conducted independently, allowing individuals to present their account without influence. This aligns with best practice in investigative interviewing, which emphasises objectivity and the avoidance of leading questions (Milne and Bull, 1999).</w:t>
      </w:r>
    </w:p>
    <w:p w14:paraId="15EC9597" w14:textId="77777777" w:rsidR="0023232F" w:rsidRPr="00DB5B6A" w:rsidRDefault="0023232F" w:rsidP="0023232F">
      <w:pPr>
        <w:spacing w:after="200"/>
        <w:jc w:val="both"/>
      </w:pPr>
      <w:r>
        <w:t>The suspect interview was conducted using the PEACE framework, which remains the cornerstone of ethical and effective investigative interviewing in England and Wales (College of Policing, 2023b). The structured nature of PEACE enabled clear planning of interview objectives, facilitated the strategic presentation of evidence, and provided opportunities for the suspect to give their account in a controlled and transparent manner. Unlike more accusatory approaches such as the Reid Technique examined by Inbau et al. (2013), PEACE prioritises information gathering over confession-seeking, thereby reducing the risk of false admissions (Gudjonsson, 2003). In this investigation, this approach proved effective in identifying inconsistencies within the suspect's account, testing explanations against available evidence, and ultimately strengthening the reliability of the evidential material obtained.</w:t>
      </w:r>
    </w:p>
    <w:p w14:paraId="303370FD" w14:textId="77777777" w:rsidR="0023232F" w:rsidRPr="00DB5B6A" w:rsidRDefault="0023232F" w:rsidP="0023232F">
      <w:pPr>
        <w:spacing w:after="200"/>
        <w:jc w:val="both"/>
      </w:pPr>
      <w:r>
        <w:lastRenderedPageBreak/>
        <w:t>However, while the PEACE model was effective in this context, it is important to critically evaluate its application alongside alternative approaches. A key strength of PEACE lies in its promotion of ethical and lawful interviewing practices, its contribution to the reliability of evidence, and its support for evidential admissibility in court proceedings. Nevertheless, the model is not without limitations: it can be time-intensive, particularly in complex investigations, relies heavily on the skill and experience of the interviewer, and may be less effective when dealing with experienced or deceptive suspects who are able to manipulate the non-confrontational nature of the approach. Oxburgh et al. (2010) further support this, suggesting interviewer competence is a critical determinant of interview success and highlighting the importance of ongoing training and professional development.</w:t>
      </w:r>
    </w:p>
    <w:p w14:paraId="4082570D" w14:textId="77777777" w:rsidR="0023232F" w:rsidRPr="00DB5B6A" w:rsidRDefault="0023232F" w:rsidP="0023232F">
      <w:pPr>
        <w:spacing w:after="200"/>
        <w:jc w:val="both"/>
      </w:pPr>
      <w:r>
        <w:t>In addition to PEACE, alternative interviewing techniques can enhance investigative outcomes. The Strategic Use of Evidence (SUE) involves the deliberate withholding of evidence to test the consistency and credibility of a suspect's account (Hartwig et al., 2006). While elements of this technique were applied, a more structured use may have increased cognitive load on the suspect and improved the detection of deception. Its application must, however, remain ethically grounded, as inappropriate use risks becoming coercive and undermining evidential reliability and admissibility. Granhag and Hartwig (2015) indicate that the effectiveness of SUE is contingent not only on strategy, but on the interviewer's ability to apply it in a controlled and professional manner.</w:t>
      </w:r>
    </w:p>
    <w:p w14:paraId="63526FF4" w14:textId="77777777" w:rsidR="0023232F" w:rsidRPr="00DB5B6A" w:rsidRDefault="0023232F" w:rsidP="0023232F">
      <w:pPr>
        <w:spacing w:after="200"/>
        <w:jc w:val="both"/>
      </w:pPr>
      <w:r>
        <w:t>Similarly, although aspects of the Cognitive Interview were utilised with witnesses, a more systematic application could have further enhanced evidential quality. The Cognitive Interview emphasises techniques such as context reinstatement and free recall to improve memory retrieval (Fisher and Geiselman, 1992). However, its success is closely linked to the interviewer's ability to establish rapport and maintain professionalism throughout. Empirical research demonstrates rapport-based interviewing significantly improves both the accuracy and completeness of witness accounts (Abbe and Brandon, 2014; Walsh and Bull, 2012). In this investigation, professionalism was instrumental in encouraging cooperation and reducing anxiety, thereby facilitating more detailed and reliable statements. This reinforces the view that even well-established techniques are only as effective as the professional standards underpinning their delivery.</w:t>
      </w:r>
    </w:p>
    <w:p w14:paraId="6C9DC27F" w14:textId="77777777" w:rsidR="0023232F" w:rsidRPr="00DB5B6A" w:rsidRDefault="0023232F" w:rsidP="0023232F">
      <w:pPr>
        <w:spacing w:after="200"/>
        <w:jc w:val="both"/>
      </w:pPr>
      <w:r>
        <w:t xml:space="preserve">Overall, while the interview process was effective in securing reliable witness statements and robust suspect evidence, its success was primarily driven by professionalism, adaptability, and </w:t>
      </w:r>
      <w:r>
        <w:lastRenderedPageBreak/>
        <w:t>awareness of cognitive bias. From a critical perspective, the effectiveness of investigative interviewing cannot be attributed solely to adherence to frameworks such as PEACE, but to the ability to apply them ethically and flexibly within complex contexts. As Oxburgh et al. (2010) highlight, interviewer competence is a key determinant of success, particularly in balancing rapport-building with effective evidential probing. Although more confrontational techniques may appear advantageous when dealing with deceptive suspects (Inbau et al., 2013), abandoning professional standards risks compromising both investigative integrity and evidential admissibility, illustrating a fundamental tension between evidential robustness and ethical compliance in which professionalism serves as the critical balancing factor. Investigative interviewing should therefore be understood not as a purely procedural exercise, but as a dynamic and reflexive practice in which professionalism is a central determinant of evidential quality and investigative success (College of Policing, 2022).</w:t>
      </w:r>
    </w:p>
    <w:p w14:paraId="7B3B80B0" w14:textId="77777777" w:rsidR="0023232F" w:rsidRDefault="0023232F" w:rsidP="0023232F">
      <w:pPr>
        <w:spacing w:after="200"/>
        <w:jc w:val="both"/>
      </w:pPr>
      <w:r>
        <w:t>Word Count 1159</w:t>
      </w:r>
    </w:p>
    <w:p w14:paraId="7A4AB4FE" w14:textId="77777777" w:rsidR="007D42A1" w:rsidRDefault="007D42A1" w:rsidP="0023232F">
      <w:pPr>
        <w:spacing w:after="200"/>
        <w:jc w:val="both"/>
      </w:pPr>
    </w:p>
    <w:p w14:paraId="639A2499" w14:textId="77777777" w:rsidR="0023232F" w:rsidRPr="00D508CC" w:rsidRDefault="0023232F" w:rsidP="0023232F">
      <w:pPr>
        <w:spacing w:before="240" w:after="120"/>
        <w:jc w:val="both"/>
      </w:pPr>
      <w:r>
        <w:t>3b.</w:t>
      </w:r>
    </w:p>
    <w:p w14:paraId="2B7AF0B4" w14:textId="3052A2B2" w:rsidR="0023232F" w:rsidRPr="00E6310E" w:rsidRDefault="0023232F" w:rsidP="0023232F">
      <w:pPr>
        <w:pStyle w:val="font-claude-response-body"/>
        <w:spacing w:line="360" w:lineRule="auto"/>
        <w:jc w:val="both"/>
      </w:pPr>
      <w:r>
        <w:t>To critically reflect on the planning of interviews undertaken within this investigation, Gibbs' (1988) Reflective Cycle provided a structured framework through which the effectiveness, limitations, and future development of practice could be evaluated. Working through Gibbs' six stages: description, feelings, evaluation, analysis, conclusion, and action plan, enabled deeper critical analysis of decision-making rather than a purely descriptive account. This aligns with Schön's (1983) concept of the reflective practitioner, which emphasises the importance of adapting professional judgement within dynamic and uncertain environments.</w:t>
      </w:r>
    </w:p>
    <w:p w14:paraId="2670EB2E" w14:textId="77777777" w:rsidR="0023232F" w:rsidRDefault="0023232F" w:rsidP="0023232F">
      <w:pPr>
        <w:pStyle w:val="font-claude-response-body"/>
        <w:spacing w:line="360" w:lineRule="auto"/>
        <w:jc w:val="both"/>
        <w:rPr>
          <w:rStyle w:val="Strong"/>
          <w:b w:val="0"/>
          <w:bCs w:val="0"/>
        </w:rPr>
      </w:pPr>
      <w:r>
        <w:rPr>
          <w:rStyle w:val="Strong"/>
          <w:b w:val="0"/>
          <w:bCs w:val="0"/>
        </w:rPr>
        <w:t>Description</w:t>
      </w:r>
    </w:p>
    <w:p w14:paraId="54FB099E" w14:textId="77777777" w:rsidR="0023232F" w:rsidRPr="00E6310E" w:rsidRDefault="0023232F" w:rsidP="0023232F">
      <w:pPr>
        <w:pStyle w:val="font-claude-response-body"/>
        <w:spacing w:line="360" w:lineRule="auto"/>
        <w:jc w:val="both"/>
      </w:pPr>
      <w:r>
        <w:t xml:space="preserve"> The investigation required interviews with a number of buyer-witnesses, several of whom may have been unaware that the ACTO items they had purchased were stolen, alongside a structured suspect interview conducted under the PEACE framework. Planning involved reviewing the evidential picture, sequencing each interview, identifying core objectives, and anticipating likely accounts, particularly where there was a risk of cross-contamination between interviewees. The planning phase of the PEACE framework therefore formed the foundation </w:t>
      </w:r>
      <w:r>
        <w:lastRenderedPageBreak/>
        <w:t>of the interview strategy, ensuring interviews remained evidentially focused and appropriately structured.</w:t>
      </w:r>
    </w:p>
    <w:p w14:paraId="3DACDE4C" w14:textId="77777777" w:rsidR="0023232F" w:rsidRDefault="0023232F" w:rsidP="0023232F">
      <w:pPr>
        <w:pStyle w:val="font-claude-response-body"/>
        <w:spacing w:line="360" w:lineRule="auto"/>
        <w:jc w:val="both"/>
      </w:pPr>
      <w:r>
        <w:rPr>
          <w:rStyle w:val="Strong"/>
          <w:b w:val="0"/>
          <w:bCs w:val="0"/>
        </w:rPr>
        <w:t>Feelings</w:t>
      </w:r>
    </w:p>
    <w:p w14:paraId="2BD8D2AB" w14:textId="77777777" w:rsidR="0023232F" w:rsidRPr="00E6310E" w:rsidRDefault="0023232F" w:rsidP="0023232F">
      <w:pPr>
        <w:pStyle w:val="font-claude-response-body"/>
        <w:spacing w:line="360" w:lineRule="auto"/>
        <w:jc w:val="both"/>
      </w:pPr>
      <w:r>
        <w:t>Approaching the interviews, I felt confident in the structure provided by the PEACE model, but conscious of the pressure created by the volume and diversity of witnesses involved. I was particularly aware of the risk of confirmation bias as patterns of offending began to emerge and remained concerned to avoid prematurely categorising cooperative buyers as complicit in criminality. Thorough preparation reduced anxiety and provided a sense of professional control; however, I was also mindful that an over-rehearsed approach risked narrowing lines of enquiry or limiting responsiveness to unexpected information. This reflects the tension identified by Schön (1983) between technical rationality and the need for adaptable professional judgement in practice.</w:t>
      </w:r>
    </w:p>
    <w:p w14:paraId="3816A16B" w14:textId="77777777" w:rsidR="0023232F" w:rsidRDefault="0023232F" w:rsidP="0023232F">
      <w:pPr>
        <w:pStyle w:val="font-claude-response-body"/>
        <w:spacing w:line="360" w:lineRule="auto"/>
        <w:jc w:val="both"/>
        <w:rPr>
          <w:rStyle w:val="Strong"/>
        </w:rPr>
      </w:pPr>
      <w:r>
        <w:rPr>
          <w:rStyle w:val="Strong"/>
          <w:b w:val="0"/>
          <w:bCs w:val="0"/>
        </w:rPr>
        <w:t>Evaluation</w:t>
      </w:r>
    </w:p>
    <w:p w14:paraId="573B61A8" w14:textId="77777777" w:rsidR="0023232F" w:rsidRPr="00E6310E" w:rsidRDefault="0023232F" w:rsidP="0023232F">
      <w:pPr>
        <w:pStyle w:val="font-claude-response-body"/>
        <w:spacing w:line="360" w:lineRule="auto"/>
        <w:jc w:val="both"/>
      </w:pPr>
      <w:r>
        <w:t>Several aspects of the planning process proved effective. Reviewing evidence in advance and establishing clear interview objectives ensured interviews were focused, logically sequenced, and evidentially grounded. Key evidential points were addressed systematically, reducing the likelihood of omissions and improving interview structure. Preparation also enhanced professional confidence, enabling greater control of interview dynamics and more effective questioning, which is consistent with research indicating well-prepared interviewers obtain more reliable and detailed information (Oxburgh et al., 2010).</w:t>
      </w:r>
    </w:p>
    <w:p w14:paraId="1C1E576E" w14:textId="77777777" w:rsidR="0023232F" w:rsidRPr="00E6310E" w:rsidRDefault="0023232F" w:rsidP="0023232F">
      <w:pPr>
        <w:pStyle w:val="font-claude-response-body"/>
        <w:spacing w:line="360" w:lineRule="auto"/>
        <w:jc w:val="both"/>
      </w:pPr>
      <w:r>
        <w:t xml:space="preserve">However, the process was not without limitation. The planning stage was resource-intensive and required significant time investment, particularly given the complexity of managing multiple witnesses and suspects simultaneously. This created tension between the need for thorough preparation and the operational demands of progressing the investigation efficiently, reflecting broader organisational pressures identified by Reiner (2010). Additionally, despite careful preparation, some witnesses provided unexpected accounts that challenged evidential assumptions and required deviation from the planned structure. On occasion, I recognised a tendency to adhere too closely to the planned sequence of questioning, which risked limiting exploration of emerging lines of enquiry. This highlighted the danger that structured planning, </w:t>
      </w:r>
      <w:r>
        <w:lastRenderedPageBreak/>
        <w:t>if applied too rigidly, can constrain flexibility and responsiveness during live investigative encounters.</w:t>
      </w:r>
    </w:p>
    <w:p w14:paraId="530CD1EE" w14:textId="77777777" w:rsidR="0023232F" w:rsidRDefault="0023232F" w:rsidP="0023232F">
      <w:pPr>
        <w:pStyle w:val="font-claude-response-body"/>
        <w:spacing w:line="360" w:lineRule="auto"/>
        <w:jc w:val="both"/>
        <w:rPr>
          <w:rStyle w:val="Strong"/>
          <w:b w:val="0"/>
          <w:bCs w:val="0"/>
        </w:rPr>
      </w:pPr>
      <w:r>
        <w:rPr>
          <w:rStyle w:val="Strong"/>
          <w:b w:val="0"/>
          <w:bCs w:val="0"/>
        </w:rPr>
        <w:t>Analysis</w:t>
      </w:r>
    </w:p>
    <w:p w14:paraId="2DDE6F6E" w14:textId="77777777" w:rsidR="0023232F" w:rsidRPr="00E6310E" w:rsidRDefault="0023232F" w:rsidP="0023232F">
      <w:pPr>
        <w:pStyle w:val="font-claude-response-body"/>
        <w:spacing w:line="360" w:lineRule="auto"/>
        <w:jc w:val="both"/>
      </w:pPr>
      <w:r>
        <w:t xml:space="preserve"> As Milne and Bull (1999) argue, effective planning is central to the quality of investigative interviewing, and the structured approach adopted within this investigation clearly improved evidential reliability and completeness. From a critical perspective, the reflective process highlights that planning should not be understood as a static or purely procedural stage; rather, it is an iterative and adaptive process requiring continuous reassessment in response to emerging information and the dynamic nature of investigative encounters.</w:t>
      </w:r>
    </w:p>
    <w:p w14:paraId="49658BE1" w14:textId="77777777" w:rsidR="0023232F" w:rsidRPr="00E6310E" w:rsidRDefault="0023232F" w:rsidP="0023232F">
      <w:pPr>
        <w:pStyle w:val="font-claude-response-body"/>
        <w:spacing w:line="360" w:lineRule="auto"/>
        <w:jc w:val="both"/>
      </w:pPr>
      <w:r>
        <w:t>While structured preparation enhanced evidential robustness, it also increased the risk of over-reliance on pre-determined strategies. As Stelfox (2009) notes, complex investigations require both structured planning and strategic oversight; however, excessive adherence to predetermined plans may reduce investigative flexibility. Reflecting on this investigation, my own difficulty was not necessarily the planning model itself, but the extent to which I occasionally applied it too rigidly in the face of unpredictable witness responses. This reinforces the argument that investigative interviewing cannot be fully scripted and that professional competence lies in the ability to adapt in real time (Oxburgh et al., 2010). Ask and Granhag (2005) further argue that investigative decision-making is inherently influenced by cognitive processes, reinforcing the need for continual reflection and professional judgement to mitigate bias and protect evidential integrity.</w:t>
      </w:r>
    </w:p>
    <w:p w14:paraId="57B40410" w14:textId="77777777" w:rsidR="0023232F" w:rsidRPr="00E6310E" w:rsidRDefault="0023232F" w:rsidP="0023232F">
      <w:pPr>
        <w:pStyle w:val="font-claude-response-body"/>
        <w:spacing w:line="360" w:lineRule="auto"/>
        <w:jc w:val="both"/>
      </w:pPr>
      <w:r>
        <w:t>Reiner (2010), Innes (2003), and Boulton and Cole (2016) further identify the increasing demands placed upon investigators operating within resource-constrained policing environments, and balancing detailed preparation against investigative timescales raised practical questions regarding sustainability within high-demand operational contexts.</w:t>
      </w:r>
    </w:p>
    <w:p w14:paraId="300CC509" w14:textId="77777777" w:rsidR="0023232F" w:rsidRDefault="0023232F" w:rsidP="0023232F">
      <w:pPr>
        <w:pStyle w:val="font-claude-response-body"/>
        <w:spacing w:line="360" w:lineRule="auto"/>
        <w:jc w:val="both"/>
        <w:rPr>
          <w:rStyle w:val="Strong"/>
          <w:b w:val="0"/>
          <w:bCs w:val="0"/>
        </w:rPr>
      </w:pPr>
      <w:r>
        <w:rPr>
          <w:rStyle w:val="Strong"/>
          <w:b w:val="0"/>
          <w:bCs w:val="0"/>
        </w:rPr>
        <w:t>Conclusion</w:t>
      </w:r>
    </w:p>
    <w:p w14:paraId="74EFC155" w14:textId="77777777" w:rsidR="0023232F" w:rsidRPr="00E6310E" w:rsidRDefault="0023232F" w:rsidP="0023232F">
      <w:pPr>
        <w:pStyle w:val="font-claude-response-body"/>
        <w:spacing w:line="360" w:lineRule="auto"/>
        <w:jc w:val="both"/>
      </w:pPr>
      <w:r>
        <w:t xml:space="preserve"> Overall, this reflection demonstrates that while planning is a fundamental component of investigative interviewing, its effectiveness is contingent upon the ability to balance structured preparation with adaptability in practice. The application of the PEACE framework provided a clear and systematic foundation for interviews, contributing to improved evidential quality and </w:t>
      </w:r>
      <w:r>
        <w:lastRenderedPageBreak/>
        <w:t>increased professional confidence. These findings are consistent with research by Milne and Bull (1999) and Oxburgh et al. (2010), which suggests structured preparation enhances the reliability and completeness of information obtained during investigative interviews. However, the reflective process also demonstrated that effective investigative practice is not defined solely by compliance with structured frameworks, but by the practitioner's ability to apply these frameworks critically and flexibly within complex operational contexts. This aligns with Schön's (1983) concept of reflection-in-action and Mann, Gordon and MacLeod's (2009) argument that effective professional practice is underpinned by ongoing reflection and adjustment rather than rigid adherence to predetermined strategies. With hindsight, I recognise that interview plans should function as a scaffold for professional judgement rather than a rigid script, enabling responsiveness to emerging information while maintaining evidential focus.</w:t>
      </w:r>
    </w:p>
    <w:p w14:paraId="2CD8DCA1" w14:textId="77777777" w:rsidR="0023232F" w:rsidRDefault="0023232F" w:rsidP="0023232F">
      <w:pPr>
        <w:pStyle w:val="font-claude-response-body"/>
        <w:spacing w:line="360" w:lineRule="auto"/>
        <w:jc w:val="both"/>
        <w:rPr>
          <w:rStyle w:val="Strong"/>
          <w:b w:val="0"/>
          <w:bCs w:val="0"/>
        </w:rPr>
      </w:pPr>
      <w:r>
        <w:rPr>
          <w:rStyle w:val="Strong"/>
          <w:b w:val="0"/>
          <w:bCs w:val="0"/>
        </w:rPr>
        <w:t>Action Plan</w:t>
      </w:r>
    </w:p>
    <w:p w14:paraId="1694E4FB" w14:textId="77777777" w:rsidR="0023232F" w:rsidRPr="00E6310E" w:rsidRDefault="0023232F" w:rsidP="0023232F">
      <w:pPr>
        <w:pStyle w:val="font-claude-response-body"/>
        <w:spacing w:line="360" w:lineRule="auto"/>
        <w:jc w:val="both"/>
      </w:pPr>
      <w:r>
        <w:t xml:space="preserve"> In future investigations of comparable complexity, I would incorporate more explicit contingency and scenario-based preparation alongside the PEACE planning stage, identifying credible alternative accounts and the questioning strategies each may require. I would also build structured reflective pauses into longer interviews to reassess emerging information, challenge assumptions, and recalibrate interview strategies where necessary. In addition, I would seek greater peer and supervisory review of interview plans in complex multi-witness investigations to help identify potential unconscious bias and strengthen objectivity in decision-making. Furthermore, I would make more systematic use of Cognitive Interview techniques with cooperative witnesses, particularly free recall and context reinstatement, to maximise evidential detail while maintaining rapport. These adjustments would support greater flexibility whilst preserving evidential structure, ensuring interviews remain both professionally controlled and responsive to unpredictability (Stelfox, 2009; Oxburgh et al., 2010).</w:t>
      </w:r>
    </w:p>
    <w:p w14:paraId="3A81F6CC" w14:textId="77777777" w:rsidR="0023232F" w:rsidRDefault="0023232F" w:rsidP="0023232F">
      <w:pPr>
        <w:spacing w:before="400" w:after="100"/>
        <w:jc w:val="both"/>
      </w:pPr>
      <w:r>
        <w:t>Word count 1030</w:t>
      </w:r>
    </w:p>
    <w:p w14:paraId="0377C1FD" w14:textId="24797745" w:rsidR="0046015C" w:rsidRDefault="0023232F" w:rsidP="00B67F50">
      <w:pPr>
        <w:spacing w:before="400" w:after="100"/>
        <w:jc w:val="both"/>
      </w:pPr>
      <w:r>
        <w:t>Total 2189</w:t>
      </w:r>
    </w:p>
    <w:p w14:paraId="746022C0" w14:textId="77777777" w:rsidR="00EF11BD" w:rsidRPr="00F77945" w:rsidRDefault="00EF11BD" w:rsidP="00F77945"/>
    <w:p w14:paraId="08BB7280" w14:textId="77777777" w:rsidR="00064638" w:rsidRDefault="00064638">
      <w:pPr>
        <w:ind w:right="107"/>
        <w:jc w:val="both"/>
        <w:rPr>
          <w:b/>
          <w:i/>
          <w:color w:val="000000"/>
        </w:rPr>
      </w:pPr>
    </w:p>
    <w:p w14:paraId="5A73494D" w14:textId="77777777" w:rsidR="00064638" w:rsidRPr="005962AD" w:rsidRDefault="00064638" w:rsidP="00064638">
      <w:pPr>
        <w:ind w:right="107"/>
        <w:jc w:val="both"/>
        <w:rPr>
          <w:rFonts w:ascii="Arial" w:hAnsi="Arial" w:cs="Arial"/>
          <w:b/>
          <w:i/>
          <w:color w:val="000000"/>
        </w:rPr>
      </w:pPr>
      <w:bookmarkStart w:id="10" w:name="_Hlk221098555"/>
      <w:r w:rsidRPr="005962AD">
        <w:rPr>
          <w:rFonts w:ascii="Arial" w:hAnsi="Arial" w:cs="Arial"/>
          <w:b/>
          <w:i/>
          <w:color w:val="000000"/>
        </w:rPr>
        <w:lastRenderedPageBreak/>
        <w:t>Task 4: Investigation documentation processes</w:t>
      </w:r>
    </w:p>
    <w:bookmarkEnd w:id="10"/>
    <w:p w14:paraId="13CFF6E7" w14:textId="77777777" w:rsidR="00064638" w:rsidRPr="005962AD" w:rsidRDefault="00064638" w:rsidP="00064638">
      <w:pPr>
        <w:rPr>
          <w:rFonts w:ascii="Arial" w:hAnsi="Arial" w:cs="Arial"/>
          <w:color w:val="000000"/>
        </w:rPr>
      </w:pPr>
      <w:r w:rsidRPr="005962AD">
        <w:rPr>
          <w:rFonts w:ascii="Arial" w:hAnsi="Arial" w:cs="Arial"/>
          <w:color w:val="000000"/>
        </w:rPr>
        <w:t xml:space="preserve"> </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064638" w:rsidRPr="005962AD" w14:paraId="0C1F752E" w14:textId="77777777" w:rsidTr="0099071A">
        <w:tc>
          <w:tcPr>
            <w:tcW w:w="9015" w:type="dxa"/>
          </w:tcPr>
          <w:p w14:paraId="2C3FACEC" w14:textId="77777777" w:rsidR="00064638" w:rsidRPr="005962AD" w:rsidRDefault="00064638" w:rsidP="0099071A">
            <w:pPr>
              <w:rPr>
                <w:rFonts w:ascii="Arial" w:hAnsi="Arial" w:cs="Arial"/>
                <w:b/>
                <w:color w:val="000000"/>
              </w:rPr>
            </w:pPr>
          </w:p>
          <w:p w14:paraId="21D9ABA2" w14:textId="77777777" w:rsidR="00064638" w:rsidRPr="005962AD" w:rsidRDefault="00064638" w:rsidP="0099071A">
            <w:pPr>
              <w:rPr>
                <w:rFonts w:ascii="Arial" w:hAnsi="Arial" w:cs="Arial"/>
                <w:color w:val="000000"/>
              </w:rPr>
            </w:pPr>
            <w:bookmarkStart w:id="11" w:name="_Hlk221098571"/>
            <w:r w:rsidRPr="005962AD">
              <w:rPr>
                <w:rFonts w:ascii="Arial" w:hAnsi="Arial" w:cs="Arial"/>
                <w:b/>
                <w:color w:val="000000"/>
              </w:rPr>
              <w:t>Outline</w:t>
            </w:r>
            <w:r w:rsidRPr="005962AD">
              <w:rPr>
                <w:rFonts w:ascii="Arial" w:hAnsi="Arial" w:cs="Arial"/>
                <w:color w:val="000000"/>
              </w:rPr>
              <w:t xml:space="preserve"> the statutory duties of disclosure within criminal investigations that investigators must adhere to.</w:t>
            </w:r>
          </w:p>
          <w:p w14:paraId="53DB39E1" w14:textId="77777777" w:rsidR="00064638" w:rsidRPr="005962AD" w:rsidRDefault="00064638" w:rsidP="0099071A">
            <w:pPr>
              <w:rPr>
                <w:rFonts w:ascii="Arial" w:hAnsi="Arial" w:cs="Arial"/>
                <w:color w:val="000000"/>
              </w:rPr>
            </w:pPr>
            <w:bookmarkStart w:id="12" w:name="_Hlk221098751"/>
            <w:bookmarkEnd w:id="11"/>
            <w:r w:rsidRPr="005962AD">
              <w:rPr>
                <w:rFonts w:ascii="Arial" w:hAnsi="Arial" w:cs="Arial"/>
                <w:b/>
                <w:color w:val="000000"/>
              </w:rPr>
              <w:t>Critically explore</w:t>
            </w:r>
            <w:r w:rsidRPr="005962AD">
              <w:rPr>
                <w:rFonts w:ascii="Arial" w:hAnsi="Arial" w:cs="Arial"/>
                <w:color w:val="000000"/>
              </w:rPr>
              <w:t xml:space="preserve"> the challenges that disclosure presents to investigators, offering potential solutions where appropriate.</w:t>
            </w:r>
          </w:p>
          <w:bookmarkEnd w:id="12"/>
          <w:p w14:paraId="1F96E199" w14:textId="296C29AF" w:rsidR="00064638" w:rsidRPr="005962AD" w:rsidRDefault="005962AD" w:rsidP="0099071A">
            <w:pPr>
              <w:rPr>
                <w:rFonts w:ascii="Arial" w:hAnsi="Arial" w:cs="Arial"/>
                <w:color w:val="000000"/>
              </w:rPr>
            </w:pPr>
            <w:r>
              <w:rPr>
                <w:rFonts w:ascii="Arial" w:hAnsi="Arial" w:cs="Arial"/>
                <w:color w:val="000000"/>
              </w:rPr>
              <w:t>Y</w:t>
            </w:r>
            <w:r w:rsidR="00064638" w:rsidRPr="005962AD">
              <w:rPr>
                <w:rFonts w:ascii="Arial" w:hAnsi="Arial" w:cs="Arial"/>
                <w:color w:val="000000"/>
              </w:rPr>
              <w:t>ou may draw upon examples from your own professional practice as illustration.</w:t>
            </w:r>
          </w:p>
          <w:p w14:paraId="54C4713A" w14:textId="77777777" w:rsidR="00064638" w:rsidRPr="005962AD" w:rsidRDefault="00064638" w:rsidP="0099071A">
            <w:pPr>
              <w:rPr>
                <w:rFonts w:ascii="Arial" w:hAnsi="Arial" w:cs="Arial"/>
              </w:rPr>
            </w:pPr>
            <w:r w:rsidRPr="005962AD">
              <w:rPr>
                <w:rFonts w:ascii="Arial" w:hAnsi="Arial" w:cs="Arial"/>
                <w:b/>
                <w:color w:val="000000"/>
              </w:rPr>
              <w:t xml:space="preserve">2000 words </w:t>
            </w:r>
            <w:r w:rsidRPr="005962AD">
              <w:rPr>
                <w:rFonts w:ascii="Arial" w:hAnsi="Arial" w:cs="Arial"/>
                <w:i/>
                <w:color w:val="000000"/>
              </w:rPr>
              <w:t>(+/- 10%: include your actual word count at the end of each section)</w:t>
            </w:r>
          </w:p>
          <w:p w14:paraId="0F38ABB2" w14:textId="77777777" w:rsidR="00064638" w:rsidRPr="005962AD" w:rsidRDefault="00064638" w:rsidP="0099071A">
            <w:pPr>
              <w:rPr>
                <w:rFonts w:ascii="Arial" w:hAnsi="Arial" w:cs="Arial"/>
                <w:i/>
                <w:color w:val="000000"/>
              </w:rPr>
            </w:pPr>
          </w:p>
        </w:tc>
      </w:tr>
    </w:tbl>
    <w:p w14:paraId="6DF74D1F" w14:textId="77777777" w:rsidR="00CD5F95" w:rsidRDefault="00CD5F95">
      <w:pPr>
        <w:ind w:right="107"/>
        <w:jc w:val="both"/>
        <w:rPr>
          <w:b/>
          <w:i/>
          <w:color w:val="000000"/>
        </w:rPr>
      </w:pPr>
    </w:p>
    <w:p w14:paraId="30614312" w14:textId="72FA2B5B" w:rsidR="00030708" w:rsidRDefault="00030708" w:rsidP="00030708">
      <w:pPr>
        <w:spacing w:after="200"/>
        <w:jc w:val="both"/>
      </w:pPr>
      <w:r>
        <w:t>Answer</w:t>
      </w:r>
    </w:p>
    <w:p w14:paraId="7DEB2FE7" w14:textId="1E56D8AA" w:rsidR="00030708" w:rsidRPr="00E704AB" w:rsidRDefault="00030708" w:rsidP="00030708">
      <w:pPr>
        <w:spacing w:after="200"/>
        <w:jc w:val="both"/>
      </w:pPr>
      <w:r>
        <w:t>Jackson and Summers (2012) along with the Attorney General's Office (2022) assert that disclosure represents a fundamental safeguard within the criminal justice system, ensuring fairness, transparency, and equality between prosecution and defence. Within investigative practice in England and Wales, disclosure obligations are governed primarily by the Criminal Procedure and Investigations Act 1996 (CPIA), supported by the Attorney General's Guidelines on Disclosure (2022) and operationalised through the College of Policing Authorised Professional Practice (APP, 2023a).</w:t>
      </w:r>
    </w:p>
    <w:p w14:paraId="4299B637" w14:textId="77777777" w:rsidR="00030708" w:rsidRPr="00E87646" w:rsidRDefault="00030708" w:rsidP="00030708">
      <w:pPr>
        <w:spacing w:before="280" w:after="120"/>
      </w:pPr>
      <w:r>
        <w:t>Statutory Duties of Disclosure</w:t>
      </w:r>
    </w:p>
    <w:p w14:paraId="1DF03B37" w14:textId="77777777" w:rsidR="00030708" w:rsidRPr="00E704AB" w:rsidRDefault="00030708" w:rsidP="00030708">
      <w:pPr>
        <w:spacing w:after="200"/>
        <w:jc w:val="both"/>
      </w:pPr>
      <w:r>
        <w:t>The CPIA 1996 imposes a structured and ongoing obligation on investigators to identify, record, retain, and reveal relevant material. Section 23 of the CPIA Code of Practice requires investigators to pursue all reasonable lines of enquiry, whether they point towards or away from a suspect, establishing disclosure not as an administrative task but as integral to investigative integrity.</w:t>
      </w:r>
    </w:p>
    <w:p w14:paraId="241C81A7" w14:textId="77777777" w:rsidR="00030708" w:rsidRPr="00E704AB" w:rsidRDefault="00030708" w:rsidP="00030708">
      <w:pPr>
        <w:spacing w:after="200"/>
        <w:jc w:val="both"/>
      </w:pPr>
      <w:r>
        <w:t xml:space="preserve">The Act distinguishes between used material, which forms part of the prosecution case, and unused material, which must be assessed for disclosure. Prosecutors must disclose any unused material capable of undermining the prosecution case or assisting the defence (Crown </w:t>
      </w:r>
      <w:r>
        <w:lastRenderedPageBreak/>
        <w:t>Prosecution Service, 2023b), and this duty is continuous throughout the lifecycle of the investigation and prosecution.</w:t>
      </w:r>
    </w:p>
    <w:p w14:paraId="74A6A0E2" w14:textId="77777777" w:rsidR="00030708" w:rsidRPr="00E704AB" w:rsidRDefault="00030708" w:rsidP="00030708">
      <w:pPr>
        <w:spacing w:after="200"/>
        <w:jc w:val="both"/>
      </w:pPr>
      <w:r>
        <w:t>The Attorney General's Guidelines (2022) reinforce the framework through the principles of early engagement, proportionate review, and robust scheduling. Investigators must compile MG6 schedules, the MG6C (non-sensitive unused material), MG6D (sensitive unused material), and the MG6E disclosure officer's report providing clear, item level descriptions that enable the reviewing prosecutor to make informed decisions on disclosability. Inadequate descriptions or generic labels frequently underpin disclosure failures, and the Attorney General's Guidelines (2022) emphasise that schedules must allow the reviewing lawyer to understand both the content and significance of each item. The MG6E in particular should articulate the disclosure officer's reasoning, identifying any item considered to undermine the prosecution case or assist the defence and explaining the basis on which sensitivity claims are made on the MG6D. Schedules should be reviewed and revised as new material comes to light, in line with the continuing duty under section 7A of the CPIA 1996.</w:t>
      </w:r>
    </w:p>
    <w:p w14:paraId="3776E74D" w14:textId="77777777" w:rsidR="00030708" w:rsidRPr="00E87646" w:rsidRDefault="00030708" w:rsidP="00030708">
      <w:pPr>
        <w:spacing w:before="280" w:after="120"/>
      </w:pPr>
      <w:r>
        <w:t>Third-Party Material</w:t>
      </w:r>
    </w:p>
    <w:p w14:paraId="67944FB5" w14:textId="77777777" w:rsidR="00030708" w:rsidRPr="00E704AB" w:rsidRDefault="00030708" w:rsidP="00030708">
      <w:pPr>
        <w:spacing w:after="200"/>
        <w:jc w:val="both"/>
      </w:pPr>
      <w:r>
        <w:t>Third-party material, including medical records, social services files, school records, counselling notes, and material held by other agencies presents particular disclosure complexity. Although such material is not in police possession, the CPIA Code requires investigators to take reasonable steps to identify and pursue it where it may be relevant to the prosecution case or the defence. The Attorney General's Guidelines (2022) and CPS guidance set out structured engagement, including written requests, consideration of confidentiality and Article 8 ECHR rights, and, where access is refused but the material is reasonably believed to be relevant, court applications under section 2 of the Criminal Procedure (Attendance of Witnesses) Act 1965. In sexual offence and safeguarding cases the position is further complicated by the need to balance complainant privacy against the right to a fair trial, and consent must be sought wherever possible. Effective handling therefore depends on early identification of likely third-party holdings, proportionate framing of requests, and a clear documented audit trail recording every enquiry pursued, every refusal received, and the rationale for any decision not to pursue material.</w:t>
      </w:r>
    </w:p>
    <w:p w14:paraId="3FC2D1AF" w14:textId="77777777" w:rsidR="00030708" w:rsidRPr="00E704AB" w:rsidRDefault="00030708" w:rsidP="00030708">
      <w:pPr>
        <w:spacing w:after="200"/>
        <w:jc w:val="both"/>
      </w:pPr>
      <w:r>
        <w:t>The Police and Criminal Evidence Act 1984 (PACE) further intersects with disclosure through its regulation of evidence gathering, ensuring material is obtained lawfully and can therefore be disclosed and relied upon in court.</w:t>
      </w:r>
    </w:p>
    <w:p w14:paraId="2FF2F4E0" w14:textId="77777777" w:rsidR="00030708" w:rsidRPr="00E704AB" w:rsidRDefault="00030708" w:rsidP="00030708">
      <w:pPr>
        <w:spacing w:after="200"/>
        <w:jc w:val="both"/>
      </w:pPr>
      <w:r>
        <w:lastRenderedPageBreak/>
        <w:t>As a DS, my role includes reviewing all files submitted to the CPS to ensure compliance with CPIA 1996 requirements and disclosure standards. This involves scrutinising MG6 schedules, ensuring all reasonable lines of enquiry have been pursued, and confirming that material capable of undermining the prosecution or assisting the defence has been properly identified and revealed. As Stelfox (2009) notes, supervisory oversight is a critical safeguard in maintaining evidential integrity and preventing disclosure failures.</w:t>
      </w:r>
    </w:p>
    <w:p w14:paraId="16A90819" w14:textId="77777777" w:rsidR="00030708" w:rsidRPr="00E87646" w:rsidRDefault="00030708" w:rsidP="00030708">
      <w:pPr>
        <w:spacing w:before="280" w:after="120"/>
      </w:pPr>
      <w:r>
        <w:t>The Importance of Disclosure in Criminal Justice</w:t>
      </w:r>
    </w:p>
    <w:p w14:paraId="6DA86EF0" w14:textId="77777777" w:rsidR="00030708" w:rsidRDefault="00030708" w:rsidP="00030708">
      <w:pPr>
        <w:spacing w:after="200"/>
        <w:jc w:val="both"/>
      </w:pPr>
      <w:r>
        <w:t>Disclosure is central to procedural fairness and the legitimacy of the criminal justice process. As Sanders, Young and Burton (2010) argue, disclosure ensures equality of arms, allowing the defence to challenge the prosecution case. Failures in disclosure can result in miscarriages of justice, case collapse, and erosion of public confidence reflected in the disclosure failings identified by the Daniel Morgan Independent Panel (2021) and the Justice Committee's (2018) findings on systemic weaknesses, particularly in digital evidence. From an academic perspective, Jackson and Summers (2012) characterise disclosure as not simply procedural but epistemological, shaping how truth is constructed within the adversarial system and safeguarding against wrongful convictions.</w:t>
      </w:r>
    </w:p>
    <w:p w14:paraId="71B4CE71" w14:textId="77777777" w:rsidR="00030708" w:rsidRPr="00E704AB" w:rsidRDefault="00030708" w:rsidP="00030708">
      <w:pPr>
        <w:spacing w:after="200"/>
        <w:jc w:val="both"/>
      </w:pPr>
    </w:p>
    <w:p w14:paraId="4060BC69" w14:textId="77777777" w:rsidR="00030708" w:rsidRPr="00E87646" w:rsidRDefault="00030708" w:rsidP="00030708">
      <w:pPr>
        <w:spacing w:before="280" w:after="120"/>
      </w:pPr>
      <w:r>
        <w:t>Challenges of Disclosure in Contemporary Investigations</w:t>
      </w:r>
    </w:p>
    <w:p w14:paraId="5A28EF9F" w14:textId="77777777" w:rsidR="00030708" w:rsidRPr="00E87646" w:rsidRDefault="00030708" w:rsidP="00030708">
      <w:pPr>
        <w:spacing w:before="200" w:after="120"/>
      </w:pPr>
      <w:r>
        <w:t>Volume and Complexity of Digital Material</w:t>
      </w:r>
    </w:p>
    <w:p w14:paraId="6F7D7AAE" w14:textId="3E8D6956" w:rsidR="00030708" w:rsidRPr="00E704AB" w:rsidRDefault="00030708" w:rsidP="00030708">
      <w:pPr>
        <w:spacing w:after="200"/>
        <w:jc w:val="both"/>
      </w:pPr>
      <w:r>
        <w:t>The exponential growth of digital evidence is one of the most significant disclosure pressures. Mobile devices, social media platforms, and cloud storage generate vast quantities of data that must be reviewed for both relevance and disclosability. HM</w:t>
      </w:r>
      <w:r w:rsidR="00CB1398">
        <w:t xml:space="preserve"> </w:t>
      </w:r>
      <w:r>
        <w:t>I</w:t>
      </w:r>
      <w:r w:rsidR="00F30942">
        <w:t xml:space="preserve">nspectorate </w:t>
      </w:r>
      <w:r w:rsidR="00892E10">
        <w:t xml:space="preserve">of </w:t>
      </w:r>
      <w:r>
        <w:t>C</w:t>
      </w:r>
      <w:r w:rsidR="00892E10">
        <w:t xml:space="preserve">onstabulary </w:t>
      </w:r>
      <w:r>
        <w:t>F</w:t>
      </w:r>
      <w:r w:rsidR="00892E10">
        <w:t xml:space="preserve">ire and </w:t>
      </w:r>
      <w:r w:rsidR="00FC5975">
        <w:t>Rescue</w:t>
      </w:r>
      <w:r w:rsidR="00892E10">
        <w:t xml:space="preserve"> </w:t>
      </w:r>
      <w:r w:rsidR="00743202">
        <w:t>Services (</w:t>
      </w:r>
      <w:r>
        <w:t xml:space="preserve">2019) </w:t>
      </w:r>
      <w:r w:rsidR="00743202">
        <w:t>highlight</w:t>
      </w:r>
      <w:r>
        <w:t xml:space="preserve"> digital forensics as a key pressure point, with backlogs and resource limitations affecting investigative timelines, while McCartney (2011) notes that digital expansion has transformed both evidential opportunities and disclosure burdens.</w:t>
      </w:r>
    </w:p>
    <w:p w14:paraId="3BD84FD6" w14:textId="77777777" w:rsidR="00030708" w:rsidRPr="00E704AB" w:rsidRDefault="00030708" w:rsidP="00030708">
      <w:pPr>
        <w:spacing w:after="200"/>
        <w:jc w:val="both"/>
      </w:pPr>
      <w:r>
        <w:t xml:space="preserve">In practice, large datasets significantly delay file submission and create a real risk of relevant unused material being missed during keyword review. From my own experience, multi-device cases require structured triage protocols, parameter-based search strategies agreed in advance with the disclosure officer, and clear audit trails recording what was searched, what was excluded, and on what basis. Investment in digital triage and AI-assisted review can streamline </w:t>
      </w:r>
      <w:r>
        <w:lastRenderedPageBreak/>
        <w:t>early identification of relevant material, and early CPS engagement under the Attorney General's Guidelines (2022), supported where appropriate by a Disclosure Management Document, helps refine reasonable lines of enquiry and reduce unnecessary review.</w:t>
      </w:r>
    </w:p>
    <w:p w14:paraId="747B8A7F" w14:textId="77777777" w:rsidR="00030708" w:rsidRPr="00E87646" w:rsidRDefault="00030708" w:rsidP="00030708">
      <w:pPr>
        <w:spacing w:before="200" w:after="120"/>
      </w:pPr>
      <w:r>
        <w:t>Resource Constraints and Organisational Pressures</w:t>
      </w:r>
    </w:p>
    <w:p w14:paraId="427D2E76" w14:textId="5CEBEFEF" w:rsidR="00030708" w:rsidRPr="00E704AB" w:rsidRDefault="00030708" w:rsidP="00030708">
      <w:pPr>
        <w:spacing w:after="200"/>
        <w:jc w:val="both"/>
      </w:pPr>
      <w:r>
        <w:t>Disclosure is inherently resource-intensive, requiring meticulous review and documentation of every item of relevant material. Policing operates within constrained environments where competing demands limit available time and personnel (Reiner, 2010), and Loveday (2000b) argues that performance metrics may inadvertently prioritise speed over quality, increasing disclosure error. Organisational pressures, including caseload demands and detection</w:t>
      </w:r>
      <w:r w:rsidR="00291748">
        <w:t xml:space="preserve"> </w:t>
      </w:r>
      <w:r>
        <w:t>focused performance frameworks, can therefore create tension between thorough disclosure review and operational efficiency. In my role I must balance these competing demands, ensuring evidential and disclosure standards are met while progressing investigations efficiently, creating a structural tension between procedural compliance and operational practicality (Reiner, 2010; Loveday, 2000b). Addressing this requires dedicated disclosure resourcing, including specialist disclosure officers and dedicated digital review capacity in complex cases, alongside quality-focused performance measures and improved case management systems that record disclosure decision-making transparently and support continuity when cases are reallocated.</w:t>
      </w:r>
    </w:p>
    <w:p w14:paraId="576C362A" w14:textId="77777777" w:rsidR="00030708" w:rsidRPr="00E87646" w:rsidRDefault="00030708" w:rsidP="00030708">
      <w:pPr>
        <w:spacing w:before="200" w:after="120"/>
      </w:pPr>
      <w:r>
        <w:t>Risk of Disclosure Failures</w:t>
      </w:r>
    </w:p>
    <w:p w14:paraId="6D66C62B" w14:textId="77777777" w:rsidR="00030708" w:rsidRPr="00E704AB" w:rsidRDefault="00030708" w:rsidP="00030708">
      <w:pPr>
        <w:spacing w:after="200"/>
        <w:jc w:val="both"/>
      </w:pPr>
      <w:r>
        <w:t>Disclosure failures remain a persistent and systemic risk. The Attorney General's Office (2022) identifies digital disclosure as a key area of risk, with failures often arising from inadequate review of material, while HM Crown Prosecution Service Inspectorate (2017) found that failures typically result not from misconduct but from systemic pressures, inadequate training, and misunderstanding of legal requirements. The consequences are serious: case collapse, appeals, miscarriages of justice, and damage to public confidence (HMCPSI, 2017). HMICFRS (2021) similarly identifies disclosure as a recurrent area of concern in inspection findings, particularly where supervisory scrutiny is inconsistent or where digital review capacity is overwhelmed by case demand. From a critical perspective, this underscores the importance of robust supervisory oversight, where scrutiny of disclosure decisions and evidential balance is essential in mitigating bias and ensuring compliance with statutory obligations (Stelfox, 2009; HMICFRS, 2021). Disclosure should therefore be understood not merely as an administrative requirement but as a reflective and evaluative process central to maintaining investigative integrity (Jackson and Summers, 2012).</w:t>
      </w:r>
    </w:p>
    <w:p w14:paraId="1ACD4274" w14:textId="77777777" w:rsidR="00030708" w:rsidRPr="00E87646" w:rsidRDefault="00030708" w:rsidP="00030708">
      <w:pPr>
        <w:spacing w:before="200" w:after="120"/>
      </w:pPr>
      <w:r>
        <w:lastRenderedPageBreak/>
        <w:t>Cognitive Bias and Investigative Mindset</w:t>
      </w:r>
    </w:p>
    <w:p w14:paraId="4F7B2618" w14:textId="37B99007" w:rsidR="00030708" w:rsidRPr="00E704AB" w:rsidRDefault="00030708" w:rsidP="00030708">
      <w:pPr>
        <w:spacing w:after="200"/>
        <w:jc w:val="both"/>
      </w:pPr>
      <w:r>
        <w:t>Disclosure decisions are shaped by human cognition. Confirmation bias may lead investigators to prioritise inculpatory evidence while overlooking material that may undermine the prosecution case or assist the defence (Findley and Scott, 2006), directly challenging the balanced enquiry mandated by the CPIA 1996</w:t>
      </w:r>
      <w:r w:rsidR="00FE3C39">
        <w:t>.</w:t>
      </w:r>
      <w:r>
        <w:t xml:space="preserve"> Innes (2003) argues that investigations are shaped by narrative construction, with working hypotheses guiding decision-making; while these provide structure, they can narrow focus and result in exculpatory material being insufficiently scrutinised, inadequately recorded on disclosure schedules, or labelled in terms that obscure its potential significance. Ask and Granhag (2005) similarly note that ambiguous information may be unconsciously interpreted in ways that confirm pre-existing beliefs, with implications for how disclosure officers describe items on the MG6C and how decisions are recorded on the MG6E. In high-pressure environments characterised by workload demands and time constraints this risk is amplified, as cognitive shortcuts may be relied upon to expedite decision-making. Robust supervisory oversight, including active challenge of investigative assumptions, peer review of schedule entries, and scrutiny of evidential balance on the MG6, is therefore essential in mitigating these risks (Stelfox, 2009).</w:t>
      </w:r>
    </w:p>
    <w:p w14:paraId="42714B46" w14:textId="77777777" w:rsidR="00030708" w:rsidRPr="00A567D2" w:rsidRDefault="00030708" w:rsidP="00030708">
      <w:pPr>
        <w:spacing w:before="200" w:after="120"/>
      </w:pPr>
      <w:r>
        <w:t>Legal and Procedural Complexity</w:t>
      </w:r>
    </w:p>
    <w:p w14:paraId="0F618D21" w14:textId="77777777" w:rsidR="00030708" w:rsidRPr="00E704AB" w:rsidRDefault="00030708" w:rsidP="00030708">
      <w:pPr>
        <w:spacing w:after="200"/>
        <w:jc w:val="both"/>
      </w:pPr>
      <w:r>
        <w:t>Disclosure law is inherently complex and continually evolving. As Ormerod and Laird (2018) note, legal frameworks frequently struggle to keep pace with technological developments, particularly in relation to digital evidence, creating interpretive uncertainty. The Attorney General's Guidelines (2022) emphasise early and proportionate engagement, but achieving this standard is challenging where resources are limited and material is extensive. HMCPSI (2017) found that disclosure failures often reflect organisational and cultural factors as much as legal ones. For less experienced officers in particular, identifying material capable of undermining the prosecution or assisting the defence demands not only legal knowledge but critical judgement, supported by robust supervision and ongoing professional development. Without this, the gap between legal expectation and operational reality is likely to persist (Jackson and Summers, 2012).</w:t>
      </w:r>
    </w:p>
    <w:p w14:paraId="2C6FF684" w14:textId="77777777" w:rsidR="00030708" w:rsidRPr="00A567D2" w:rsidRDefault="00030708" w:rsidP="00030708">
      <w:pPr>
        <w:spacing w:before="280" w:after="120"/>
      </w:pPr>
      <w:r>
        <w:t>Potential Solutions and Improvements</w:t>
      </w:r>
    </w:p>
    <w:p w14:paraId="5E510363" w14:textId="77777777" w:rsidR="00030708" w:rsidRPr="00E704AB" w:rsidRDefault="00030708" w:rsidP="00030708">
      <w:pPr>
        <w:spacing w:after="200"/>
        <w:jc w:val="both"/>
      </w:pPr>
      <w:r>
        <w:t>Addressing these challenges requires operationally specific measures combining training, technology, supervisory quality assurance, CPS engagement, and cultural change.</w:t>
      </w:r>
    </w:p>
    <w:p w14:paraId="64FBDA35" w14:textId="77777777" w:rsidR="00030708" w:rsidRPr="00E704AB" w:rsidRDefault="00030708" w:rsidP="00030708">
      <w:pPr>
        <w:spacing w:after="200"/>
        <w:jc w:val="both"/>
      </w:pPr>
      <w:r>
        <w:lastRenderedPageBreak/>
        <w:t>Training should be targeted and refreshed annually, including the College of Policing's accredited Disclosure Officer course, NCALT disclosure modules, and case-study-based scenarios covering digital and third-party material. Designated Disclosure Champions within each team can model good practice, act as a first point of advice on schedule descriptions and sensitivity claims, and feed lessons learned into team training so that emerging issues are captured organisationally rather than only individually (College of Policing, 2023a).</w:t>
      </w:r>
    </w:p>
    <w:p w14:paraId="2CEF1D04" w14:textId="77777777" w:rsidR="00030708" w:rsidRPr="00E704AB" w:rsidRDefault="00030708" w:rsidP="00030708">
      <w:pPr>
        <w:spacing w:after="200"/>
        <w:jc w:val="both"/>
      </w:pPr>
      <w:r>
        <w:t>Technology should be deployed as an aid to, not a replacement for, professional judgement. Tools such as NICE Investigate, Cellebrite Reader, and AI-assisted keyword filtering can support early triage, with parameters and search terms documented on the MG6E to maintain transparency. As Brown (2018) cautions, automated processes may fail to capture contextual nuance, so keyword strategy and human review must remain central.</w:t>
      </w:r>
    </w:p>
    <w:p w14:paraId="6C38DC4C" w14:textId="1CEA51AD" w:rsidR="00030708" w:rsidRPr="00E704AB" w:rsidRDefault="00030708" w:rsidP="00030708">
      <w:pPr>
        <w:spacing w:after="200"/>
        <w:jc w:val="both"/>
      </w:pPr>
      <w:r>
        <w:t>Supervisory quality assurance should be embedded operationally rather than applied ad hoc. This includes 100</w:t>
      </w:r>
      <w:r w:rsidR="0003616C">
        <w:t xml:space="preserve">% </w:t>
      </w:r>
      <w:r>
        <w:t>supervisor review of MG6 schedules in indictable cases, dip-sampling of summary cases, structured supervisor check-sheets aligned to CPIA section 23 obligations, and recorded sign-off prior to CPS submission. Reviews should specifically test the adequacy of item descriptions on the MG6C and MG6D, the reasoning recorded on the MG6E, the audit trail of digital search parameters, and the documented enquiries made in respect of any third-party material. Stelfox (2009) emphasises that supervisory scrutiny is critical in maintaining standards, and embedded structured assurance acts as a safeguard against both procedural error and cognitive bias.</w:t>
      </w:r>
    </w:p>
    <w:p w14:paraId="5C683224" w14:textId="77777777" w:rsidR="00030708" w:rsidRPr="00E704AB" w:rsidRDefault="00030708" w:rsidP="00030708">
      <w:pPr>
        <w:spacing w:after="200"/>
        <w:jc w:val="both"/>
      </w:pPr>
      <w:r>
        <w:t>Early CPS engagement, including pre-charge engagement under the Attorney General's Guidelines (2022) and a Disclosure Management Document in complex or digital-heavy cases allows reasonable lines of enquiry, search parameters, third-party requests, and review priorities to be agreed at the outset. This collaborative approach reduces late disclosure issues, allows the prosecutor to flag evidential or admissibility concerns before charge, and improves overall file quality. Joint case management meetings during the post-charge phase further support continuity, particularly where new digital material or third-party returns are received late in proceedings and require revised schedules.</w:t>
      </w:r>
    </w:p>
    <w:p w14:paraId="24586386" w14:textId="77777777" w:rsidR="00030708" w:rsidRPr="00E704AB" w:rsidRDefault="00030708" w:rsidP="00030708">
      <w:pPr>
        <w:spacing w:after="200"/>
        <w:jc w:val="both"/>
      </w:pPr>
      <w:r>
        <w:t xml:space="preserve">Finally, broader cultural change is needed. Disclosure should be regarded not as an administrative burden but as a core investigative function integral to achieving justice (Cockcroft, 2013; Chan, 1997). Embedding transparency, accountability, and reflective practice through team debriefs after each charging file, lessons-learned logs that feed into local </w:t>
      </w:r>
      <w:r>
        <w:lastRenderedPageBreak/>
        <w:t>training, and clear escalation routes for disclosure concerns improves compliance and reduces the likelihood of error. Such cultural change also requires recognition by senior leaders that disclosure quality should be measured and rewarded alongside detection and charging outcomes, signalling that evidential integrity is central rather than peripheral to investigative success.</w:t>
      </w:r>
    </w:p>
    <w:p w14:paraId="6DEEDA5A" w14:textId="77777777" w:rsidR="00030708" w:rsidRPr="00A567D2" w:rsidRDefault="00030708" w:rsidP="00030708">
      <w:pPr>
        <w:spacing w:before="280" w:after="120"/>
      </w:pPr>
      <w:r>
        <w:t>Conclusion</w:t>
      </w:r>
    </w:p>
    <w:p w14:paraId="7F3BA441" w14:textId="144DF98C" w:rsidR="00030708" w:rsidRPr="00E704AB" w:rsidRDefault="00030708" w:rsidP="00030708">
      <w:pPr>
        <w:spacing w:after="200"/>
        <w:jc w:val="both"/>
      </w:pPr>
      <w:r>
        <w:t xml:space="preserve">Disclosure is a fundamental component of criminal investigation, underpinning fairness, accountability, and evidential integrity. While statutory frameworks such as the CPIA 1996 provide clear obligations, the practical realities of modern </w:t>
      </w:r>
      <w:r w:rsidR="00A20450">
        <w:t xml:space="preserve">policing </w:t>
      </w:r>
      <w:r w:rsidR="00156429">
        <w:t xml:space="preserve">including </w:t>
      </w:r>
      <w:r w:rsidR="00A20450">
        <w:t>the</w:t>
      </w:r>
      <w:r>
        <w:t xml:space="preserve"> expansion of digital and third-party material, resource constraints, cognitive bias, and legal complexity present significant challenges. As Jackson and Summers (2012) emphasise, disclosure shapes how truth is constructed within the adversarial system, and its failures have implications that extend well beyond individual cases to public confidence in justice itself. Robust supervisory quality assurance, structured CPS engagement, targeted training, and considered use of technology together provide a credible response, while cultural change is required to embed disclosure as a core investigative function rather than a procedural burden. Critically, disclosure is not simply a procedural requirement but a professional responsibility shaping the legitimacy of the criminal justice system, requiring investigators to balance legal obligations with operational realities so that justice is both achieved and seen to be achieved.</w:t>
      </w:r>
    </w:p>
    <w:p w14:paraId="2E1951AB" w14:textId="6EE90EC0" w:rsidR="00030708" w:rsidRPr="00987227" w:rsidRDefault="00030708" w:rsidP="00030708">
      <w:pPr>
        <w:spacing w:before="400" w:after="100"/>
      </w:pPr>
      <w:r>
        <w:t>Word count</w:t>
      </w:r>
      <w:r>
        <w:rPr>
          <w:i/>
          <w:iCs/>
        </w:rPr>
        <w:t xml:space="preserve"> </w:t>
      </w:r>
      <w:r>
        <w:t>21</w:t>
      </w:r>
      <w:r w:rsidR="00466279">
        <w:t>6</w:t>
      </w:r>
      <w:r w:rsidR="00480654">
        <w:t>8</w:t>
      </w:r>
    </w:p>
    <w:p w14:paraId="3CAD6BE3" w14:textId="77777777" w:rsidR="000E639C" w:rsidRDefault="000E639C" w:rsidP="00287574">
      <w:pPr>
        <w:spacing w:before="100" w:beforeAutospacing="1" w:after="100" w:afterAutospacing="1"/>
        <w:outlineLvl w:val="2"/>
      </w:pPr>
    </w:p>
    <w:p w14:paraId="474A7092" w14:textId="77777777" w:rsidR="000E639C" w:rsidRPr="00E03F4E" w:rsidRDefault="000E639C" w:rsidP="000E639C">
      <w:pPr>
        <w:ind w:right="107"/>
        <w:jc w:val="both"/>
        <w:rPr>
          <w:rFonts w:ascii="Arial" w:hAnsi="Arial" w:cs="Arial"/>
          <w:i/>
          <w:color w:val="000000"/>
        </w:rPr>
      </w:pPr>
      <w:r w:rsidRPr="00E03F4E">
        <w:rPr>
          <w:rFonts w:ascii="Arial" w:hAnsi="Arial" w:cs="Arial"/>
          <w:b/>
          <w:i/>
          <w:color w:val="000000"/>
        </w:rPr>
        <w:t>Task 5: Personal Development Plan (PDP)</w:t>
      </w:r>
    </w:p>
    <w:p w14:paraId="0DCD62CA" w14:textId="77777777" w:rsidR="000E639C" w:rsidRPr="00E03F4E" w:rsidRDefault="000E639C" w:rsidP="000E639C">
      <w:pPr>
        <w:ind w:right="107"/>
        <w:jc w:val="both"/>
        <w:rPr>
          <w:rFonts w:ascii="Arial" w:hAnsi="Arial" w:cs="Arial"/>
          <w:color w:val="000000"/>
        </w:rPr>
      </w:pPr>
      <w:r w:rsidRPr="00E03F4E">
        <w:rPr>
          <w:rFonts w:ascii="Arial" w:hAnsi="Arial" w:cs="Arial"/>
          <w:color w:val="000000"/>
        </w:rPr>
        <w:t xml:space="preserve">As part of your reflective process, please use this table to aid you in identifying the next steps for development. </w:t>
      </w:r>
    </w:p>
    <w:p w14:paraId="1B539961" w14:textId="77777777" w:rsidR="000E639C" w:rsidRPr="00E03F4E" w:rsidRDefault="000E639C" w:rsidP="000E639C">
      <w:pPr>
        <w:ind w:right="107"/>
        <w:jc w:val="both"/>
        <w:rPr>
          <w:rFonts w:ascii="Arial" w:hAnsi="Arial" w:cs="Arial"/>
          <w:color w:val="000000"/>
        </w:rPr>
      </w:pPr>
      <w:r w:rsidRPr="00E03F4E">
        <w:rPr>
          <w:rFonts w:ascii="Arial" w:hAnsi="Arial" w:cs="Arial"/>
          <w:color w:val="000000"/>
        </w:rPr>
        <w:t xml:space="preserve">Formulate and implement a </w:t>
      </w:r>
      <w:r w:rsidRPr="00E03F4E">
        <w:rPr>
          <w:rFonts w:ascii="Arial" w:hAnsi="Arial" w:cs="Arial"/>
          <w:b/>
          <w:color w:val="000000"/>
        </w:rPr>
        <w:t xml:space="preserve">personal study programme </w:t>
      </w:r>
      <w:r w:rsidRPr="00E03F4E">
        <w:rPr>
          <w:rFonts w:ascii="Arial" w:hAnsi="Arial" w:cs="Arial"/>
          <w:color w:val="000000"/>
        </w:rPr>
        <w:t>to further enhance the development of your professional police practice. A template has been added for an ‘Individual Learning Plan’ that you can use for this task.  </w:t>
      </w:r>
    </w:p>
    <w:p w14:paraId="712FE857" w14:textId="77777777" w:rsidR="000E639C" w:rsidRPr="00E03F4E" w:rsidRDefault="000E639C" w:rsidP="000E639C">
      <w:pPr>
        <w:ind w:right="225"/>
        <w:jc w:val="both"/>
        <w:rPr>
          <w:rFonts w:ascii="Arial" w:hAnsi="Arial" w:cs="Arial"/>
          <w:color w:val="000000"/>
        </w:rPr>
      </w:pPr>
      <w:r w:rsidRPr="00E03F4E">
        <w:rPr>
          <w:rFonts w:ascii="Arial" w:hAnsi="Arial" w:cs="Arial"/>
          <w:color w:val="000000"/>
        </w:rPr>
        <w:t xml:space="preserve">This task differs from the PDP that you have completed in your previous workbook in that this learning plan allows you to assess what level you believe you are in key </w:t>
      </w:r>
      <w:r w:rsidRPr="00E03F4E">
        <w:rPr>
          <w:rFonts w:ascii="Arial" w:hAnsi="Arial" w:cs="Arial"/>
          <w:color w:val="000000"/>
        </w:rPr>
        <w:lastRenderedPageBreak/>
        <w:t>knowledge, skills, and experience against where you believe you (and the force) consider you should be – now and in the coming 6 to 12 months. This should then be used to target future development need. </w:t>
      </w:r>
    </w:p>
    <w:p w14:paraId="55F14418" w14:textId="77777777" w:rsidR="000E639C" w:rsidRPr="00E03F4E" w:rsidRDefault="000E639C" w:rsidP="000E639C">
      <w:pPr>
        <w:ind w:right="107"/>
        <w:jc w:val="both"/>
        <w:rPr>
          <w:rFonts w:ascii="Arial" w:hAnsi="Arial" w:cs="Arial"/>
          <w:color w:val="000000"/>
        </w:rPr>
      </w:pPr>
      <w:r w:rsidRPr="00E03F4E">
        <w:rPr>
          <w:rFonts w:ascii="Arial" w:hAnsi="Arial" w:cs="Arial"/>
          <w:color w:val="000000"/>
          <w:u w:val="single"/>
        </w:rPr>
        <w:t>This is equivalent to 2000 words</w:t>
      </w:r>
      <w:r w:rsidRPr="00E03F4E">
        <w:rPr>
          <w:rFonts w:ascii="Arial" w:hAnsi="Arial" w:cs="Arial"/>
          <w:color w:val="000000"/>
        </w:rPr>
        <w:t xml:space="preserve"> towards the overall wordcount, please note this is not the actual number of words used in completing the table, the count reflects the thought and research behind it</w:t>
      </w:r>
    </w:p>
    <w:p w14:paraId="57FC71C0" w14:textId="77777777" w:rsidR="00EC5538" w:rsidRPr="00E03F4E" w:rsidRDefault="00EC5538" w:rsidP="000E639C">
      <w:pPr>
        <w:ind w:right="107"/>
        <w:jc w:val="both"/>
        <w:rPr>
          <w:rFonts w:ascii="Arial" w:hAnsi="Arial" w:cs="Arial"/>
          <w:color w:val="000000"/>
        </w:rPr>
      </w:pPr>
    </w:p>
    <w:p w14:paraId="6C133C4A" w14:textId="77777777" w:rsidR="00EC5538" w:rsidRPr="00E03F4E" w:rsidRDefault="00EC5538" w:rsidP="000E639C">
      <w:pPr>
        <w:ind w:right="107"/>
        <w:jc w:val="both"/>
        <w:rPr>
          <w:rFonts w:ascii="Arial" w:hAnsi="Arial" w:cs="Arial"/>
          <w:color w:val="000000"/>
        </w:rPr>
      </w:pPr>
    </w:p>
    <w:p w14:paraId="5711B763" w14:textId="77777777" w:rsidR="00EC5538" w:rsidRPr="00E03F4E" w:rsidRDefault="00EC5538" w:rsidP="00EC5538">
      <w:pPr>
        <w:jc w:val="center"/>
        <w:rPr>
          <w:rFonts w:ascii="Arial" w:hAnsi="Arial" w:cs="Arial"/>
          <w:u w:val="single"/>
        </w:rPr>
      </w:pPr>
      <w:r w:rsidRPr="00E03F4E">
        <w:rPr>
          <w:rFonts w:ascii="Arial" w:hAnsi="Arial" w:cs="Arial"/>
          <w:b/>
          <w:color w:val="000000"/>
          <w:u w:val="single"/>
        </w:rPr>
        <w:t>Knowledge, Skills and Experience Assessment</w:t>
      </w:r>
      <w:r w:rsidRPr="00E03F4E">
        <w:rPr>
          <w:rFonts w:ascii="Arial" w:hAnsi="Arial" w:cs="Arial"/>
          <w:color w:val="000000"/>
          <w:u w:val="single"/>
        </w:rPr>
        <w:t> </w:t>
      </w:r>
    </w:p>
    <w:p w14:paraId="283813B2" w14:textId="77777777" w:rsidR="00EC5538" w:rsidRDefault="00EC5538" w:rsidP="000E639C">
      <w:pPr>
        <w:ind w:right="107"/>
        <w:jc w:val="both"/>
        <w:rPr>
          <w:color w:val="000000"/>
        </w:rPr>
      </w:pPr>
    </w:p>
    <w:p w14:paraId="422DB0BA" w14:textId="6641533B" w:rsidR="0029759E" w:rsidRPr="0029759E" w:rsidRDefault="0029759E" w:rsidP="0029759E">
      <w:pPr>
        <w:spacing w:before="320"/>
        <w:jc w:val="both"/>
      </w:pPr>
      <w:r>
        <w:rPr>
          <w:b/>
          <w:bCs/>
        </w:rPr>
        <w:t>1. Knowledge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1700"/>
        <w:gridCol w:w="1700"/>
        <w:gridCol w:w="3926"/>
      </w:tblGrid>
      <w:tr w:rsidR="002A2394" w:rsidRPr="00933C61" w14:paraId="5239C269" w14:textId="77777777" w:rsidTr="00DC20AE">
        <w:trPr>
          <w:tblHeader/>
        </w:trPr>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6B161EC5" w14:textId="77777777" w:rsidR="002A2394" w:rsidRPr="00933C61" w:rsidRDefault="002A2394" w:rsidP="00DC20AE">
            <w:pPr>
              <w:jc w:val="both"/>
            </w:pPr>
            <w:r>
              <w:rPr>
                <w:b/>
                <w:bCs/>
              </w:rPr>
              <w:t>Area</w:t>
            </w:r>
          </w:p>
        </w:tc>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4AA74FAC" w14:textId="77777777" w:rsidR="002A2394" w:rsidRPr="00933C61" w:rsidRDefault="002A2394" w:rsidP="00DC20AE">
            <w:pPr>
              <w:jc w:val="both"/>
            </w:pPr>
            <w:r>
              <w:rPr>
                <w:b/>
                <w:bCs/>
              </w:rPr>
              <w:t>Current Level</w:t>
            </w:r>
          </w:p>
        </w:tc>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0FA846BD" w14:textId="77777777" w:rsidR="002A2394" w:rsidRPr="00933C61" w:rsidRDefault="002A2394" w:rsidP="00DC20AE">
            <w:pPr>
              <w:jc w:val="both"/>
            </w:pPr>
            <w:r>
              <w:rPr>
                <w:b/>
                <w:bCs/>
              </w:rPr>
              <w:t>Target Level (6–12 months)</w:t>
            </w:r>
          </w:p>
        </w:tc>
        <w:tc>
          <w:tcPr>
            <w:tcW w:w="3926"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45AE7E8D" w14:textId="77777777" w:rsidR="002A2394" w:rsidRPr="00933C61" w:rsidRDefault="002A2394" w:rsidP="00DC20AE">
            <w:pPr>
              <w:jc w:val="both"/>
            </w:pPr>
            <w:r>
              <w:rPr>
                <w:b/>
                <w:bCs/>
              </w:rPr>
              <w:t>Specific Development Need</w:t>
            </w:r>
          </w:p>
        </w:tc>
      </w:tr>
      <w:tr w:rsidR="002A2394" w:rsidRPr="00933C61" w14:paraId="46AC2522" w14:textId="77777777" w:rsidTr="00DC20AE">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0CE41229" w14:textId="77777777" w:rsidR="002A2394" w:rsidRPr="00933C61" w:rsidRDefault="002A2394" w:rsidP="00DC20AE">
            <w:pPr>
              <w:jc w:val="both"/>
            </w:pPr>
            <w:r>
              <w:rPr>
                <w:b/>
                <w:bCs/>
              </w:rPr>
              <w:t>Knowledge</w:t>
            </w:r>
          </w:p>
        </w:tc>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24996478" w14:textId="29D1F9BE" w:rsidR="002A2394" w:rsidRPr="00933C61" w:rsidRDefault="00DF04E2" w:rsidP="00DC20AE">
            <w:pPr>
              <w:jc w:val="both"/>
            </w:pPr>
            <w:r>
              <w:t>7 (Medium)</w:t>
            </w:r>
          </w:p>
        </w:tc>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2BB02490" w14:textId="3A39DB8C" w:rsidR="002A2394" w:rsidRPr="00933C61" w:rsidRDefault="002A2394" w:rsidP="00DC20AE">
            <w:pPr>
              <w:jc w:val="both"/>
            </w:pPr>
            <w:r>
              <w:t>9 (High) within 12 months</w:t>
            </w:r>
          </w:p>
        </w:tc>
        <w:tc>
          <w:tcPr>
            <w:tcW w:w="3926"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7811228A" w14:textId="77777777" w:rsidR="002A2394" w:rsidRDefault="002A2394" w:rsidP="00DC20AE">
            <w:pPr>
              <w:jc w:val="both"/>
            </w:pPr>
            <w:r>
              <w:t>Enhance specialist knowledge in digital evidence handling, disclosure in complex investigations, and emerging legal frameworks. Reviewed via PDR portfolio (certificates, case-law analysis, reflective journal) and 12-month line-manager assessment.</w:t>
            </w:r>
          </w:p>
          <w:p w14:paraId="1F778168" w14:textId="61934C66" w:rsidR="004861A3" w:rsidRPr="00933C61" w:rsidRDefault="004861A3" w:rsidP="00DC20AE">
            <w:pPr>
              <w:jc w:val="both"/>
            </w:pPr>
            <w:r>
              <w:t xml:space="preserve">Expanded </w:t>
            </w:r>
            <w:r w:rsidR="00245252">
              <w:t xml:space="preserve">SMART plan </w:t>
            </w:r>
            <w:r>
              <w:t>below</w:t>
            </w:r>
          </w:p>
        </w:tc>
      </w:tr>
    </w:tbl>
    <w:p w14:paraId="096A806A" w14:textId="77777777" w:rsidR="002A2394" w:rsidRDefault="002A2394" w:rsidP="00DB751B">
      <w:pPr>
        <w:spacing w:after="200"/>
        <w:jc w:val="both"/>
        <w:rPr>
          <w:b/>
          <w:bCs/>
        </w:rPr>
      </w:pPr>
    </w:p>
    <w:p w14:paraId="4BE01DE8" w14:textId="77777777" w:rsidR="00DB751B" w:rsidRPr="00933C61" w:rsidRDefault="00DB751B" w:rsidP="00DB751B">
      <w:pPr>
        <w:spacing w:before="240" w:after="120"/>
        <w:jc w:val="both"/>
      </w:pPr>
      <w:r>
        <w:rPr>
          <w:b/>
          <w:bCs/>
        </w:rPr>
        <w:t>1.1 Current Level: 7 (Medium)</w:t>
      </w:r>
    </w:p>
    <w:p w14:paraId="6FE827DE" w14:textId="77777777" w:rsidR="00DB751B" w:rsidRPr="00933C61" w:rsidRDefault="00DB751B" w:rsidP="00DB751B">
      <w:pPr>
        <w:jc w:val="both"/>
      </w:pPr>
      <w:r>
        <w:t xml:space="preserve">I demonstrate a strong working knowledge of core investigative frameworks, including the Police and Criminal Evidence Act 1984 (PACE) and the Criminal Procedure and Investigations </w:t>
      </w:r>
      <w:r>
        <w:lastRenderedPageBreak/>
        <w:t>Act 1996 (CPIA), alongside their associated disclosure obligations. My role requires oversight of evidential strategy and investigative decision-making, ensuring that all reasonable lines of enquiry are pursued in accordance with legal and procedural requirements. I am confident in applying these frameworks in practice, particularly in maintaining evidential integrity and ensuring procedural compliance.</w:t>
      </w:r>
    </w:p>
    <w:p w14:paraId="384E60A4" w14:textId="77777777" w:rsidR="00DB751B" w:rsidRPr="00933C61" w:rsidRDefault="00DB751B" w:rsidP="00DB751B">
      <w:pPr>
        <w:jc w:val="both"/>
      </w:pPr>
      <w:r>
        <w:t>However, case law has repeatedly demonstrated that failures in disclosure remain a critical and persistent weakness in criminal investigations, particularly where there are large volumes of material or complex evidential landscapes. R v Ward (1993) established that the prosecution bears a duty to disclose all material that may undermine its case or assist the defence, highlighting both the ethical and legal importance of transparency. Ward herself served 17 years in prison before her convictions were quashed after government forensic scientists were found to have deliberately withheld exculpatory material. This principle was further refined in R v H and C (2004), which clarified the balance between disclosure obligations and Public Interest Immunity (PII), reinforcing that even where sensitive material is involved, courts must adopt a structured, proportionate approach that prioritises fairness under Article 6 of the European Convention on Human Rights.</w:t>
      </w:r>
    </w:p>
    <w:p w14:paraId="31DE4A1F" w14:textId="77777777" w:rsidR="00DB751B" w:rsidRPr="00933C61" w:rsidRDefault="00DB751B" w:rsidP="00DB751B">
      <w:pPr>
        <w:jc w:val="both"/>
      </w:pPr>
      <w:r>
        <w:t>More recent challenges are illustrated by R v Mouncher (2011), where systemic failures in managing unused material led to the collapse of a complex prosecution involving police officers charged with perverting the course of justice. The subsequent Mouncher Investigation Report (Horwell, 2017) concluded that the trial collapsed due to human error rather than deliberate misconduct, yet the consequences — the acquittal of all defendants and profound damage to public confidence — were no less severe. Critically, these cases collectively demonstrate that disclosure is not merely a procedural formality but is fundamental to the integrity of the criminal justice system and the protection of defendants’ rights.</w:t>
      </w:r>
    </w:p>
    <w:p w14:paraId="024221B3" w14:textId="45D2D6B8" w:rsidR="00DB751B" w:rsidRPr="00933C61" w:rsidRDefault="00DB751B" w:rsidP="00DB751B">
      <w:pPr>
        <w:jc w:val="both"/>
      </w:pPr>
      <w:r>
        <w:t>In the current investigative environment, the growth of digital evidence including mobile devices, social media, and cloud-based data has significantly increased the volume and complexity of material requiring review and disclosure</w:t>
      </w:r>
      <w:r w:rsidR="00246A1E">
        <w:t>.</w:t>
      </w:r>
      <w:r>
        <w:t xml:space="preserve"> While I possess a solid foundational understanding of these issues, I recognise that my knowledge of digital forensic processes including data extraction methodologies, triage approaches, and the practical </w:t>
      </w:r>
      <w:r w:rsidR="00246A1E">
        <w:t>limitation</w:t>
      </w:r>
      <w:r>
        <w:t xml:space="preserve"> of forensic analysis requires targeted development. Additionally, emerging legal frameworks relating to technology-enabled crime require continuous professional development to ensure both compliance and operational effectiveness.</w:t>
      </w:r>
    </w:p>
    <w:p w14:paraId="3E138DC5" w14:textId="77777777" w:rsidR="00DB751B" w:rsidRPr="00933C61" w:rsidRDefault="00DB751B" w:rsidP="00DB751B">
      <w:pPr>
        <w:spacing w:before="240" w:after="120"/>
        <w:jc w:val="both"/>
      </w:pPr>
      <w:r>
        <w:rPr>
          <w:b/>
          <w:bCs/>
        </w:rPr>
        <w:lastRenderedPageBreak/>
        <w:t>1.2 Target Level: 9 (High) — within 12 months</w:t>
      </w:r>
    </w:p>
    <w:p w14:paraId="212ACC2F" w14:textId="7D6C5CF5" w:rsidR="00DB751B" w:rsidRPr="00933C61" w:rsidRDefault="00DB751B" w:rsidP="00303A3A">
      <w:pPr>
        <w:jc w:val="both"/>
      </w:pPr>
      <w:r>
        <w:t>To develop an advanced and critically informed understanding of digital evidence, disclosure obligations in complex investigations, and the evolving legal framework, enabling confident and legally defensible decision-making in high-risk cases.</w:t>
      </w:r>
    </w:p>
    <w:p w14:paraId="01E7F933" w14:textId="77777777" w:rsidR="00DB751B" w:rsidRPr="00933C61" w:rsidRDefault="00DB751B" w:rsidP="00DB751B">
      <w:pPr>
        <w:jc w:val="both"/>
      </w:pPr>
      <w:r>
        <w:t>To enhance specialist knowledge in digital evidence handling, disclosure management in complex investigations, and the application of relevant case law and emerging legal frameworks in a manner that is operationally robust and critically reflective.</w:t>
      </w:r>
    </w:p>
    <w:p w14:paraId="3B4FD000" w14:textId="78D056B5" w:rsidR="00DB751B" w:rsidRPr="00933C61" w:rsidRDefault="00DB751B" w:rsidP="00DB751B">
      <w:pPr>
        <w:spacing w:before="240" w:after="120"/>
        <w:jc w:val="both"/>
      </w:pPr>
      <w:r>
        <w:rPr>
          <w:b/>
          <w:bCs/>
        </w:rPr>
        <w:t>1.</w:t>
      </w:r>
      <w:r w:rsidR="00303A3A">
        <w:rPr>
          <w:b/>
          <w:bCs/>
        </w:rPr>
        <w:t>3</w:t>
      </w:r>
      <w:r>
        <w:rPr>
          <w:b/>
          <w:bCs/>
        </w:rPr>
        <w:t xml:space="preserve"> SMART Action Plan</w:t>
      </w:r>
    </w:p>
    <w:p w14:paraId="7FEB6BDC" w14:textId="77777777" w:rsidR="00DB751B" w:rsidRPr="00933C61" w:rsidRDefault="00DB751B" w:rsidP="00DB751B">
      <w:pPr>
        <w:jc w:val="both"/>
      </w:pPr>
      <w:r>
        <w:t>Each action below specifies what will be done, by when, the evidence of completion, who will support delivery, and how achievement of the target level will be reviewed.</w:t>
      </w:r>
    </w:p>
    <w:p w14:paraId="0595E24B" w14:textId="554ACE8E" w:rsidR="00DB751B" w:rsidRPr="00933C61" w:rsidRDefault="00DB751B" w:rsidP="00DB751B">
      <w:pPr>
        <w:pStyle w:val="ListParagraph"/>
        <w:numPr>
          <w:ilvl w:val="0"/>
          <w:numId w:val="12"/>
        </w:numPr>
        <w:spacing w:after="100"/>
        <w:contextualSpacing w:val="0"/>
        <w:jc w:val="both"/>
      </w:pPr>
      <w:r>
        <w:t xml:space="preserve">Complete the College of Policing accredited Disclosure Officer refresher </w:t>
      </w:r>
      <w:r w:rsidR="00D839B4">
        <w:t xml:space="preserve">request through Line Management </w:t>
      </w:r>
      <w:r>
        <w:t>a Digital Investigator Foundation course by</w:t>
      </w:r>
      <w:r w:rsidR="0041332D">
        <w:t xml:space="preserve"> February 2027</w:t>
      </w:r>
      <w:r>
        <w:t>. Evidence: completion certificates uploaded to PDR portfolio. Support: line manager (DCI) and force training department. Review: progress at quarterly 1:1s; final achievement assessed at 12-month PDR.</w:t>
      </w:r>
    </w:p>
    <w:p w14:paraId="62170507" w14:textId="77777777" w:rsidR="00DB751B" w:rsidRPr="00933C61" w:rsidRDefault="00DB751B" w:rsidP="00DB751B">
      <w:pPr>
        <w:pStyle w:val="ListParagraph"/>
        <w:numPr>
          <w:ilvl w:val="0"/>
          <w:numId w:val="12"/>
        </w:numPr>
        <w:spacing w:after="100"/>
        <w:contextualSpacing w:val="0"/>
        <w:jc w:val="both"/>
      </w:pPr>
      <w:r>
        <w:t>Conduct a structured monthly review (1 hour) of College of Policing APP on investigation, digital evidence, and disclosure, beginning June 2026. Evidence: reflective notes in CPD log. Support: line manager. Review: log signed off quarterly and at 6-month interim PDR.</w:t>
      </w:r>
    </w:p>
    <w:p w14:paraId="3CF61D70" w14:textId="77777777" w:rsidR="00DB751B" w:rsidRPr="00933C61" w:rsidRDefault="00DB751B" w:rsidP="00DB751B">
      <w:pPr>
        <w:pStyle w:val="ListParagraph"/>
        <w:numPr>
          <w:ilvl w:val="0"/>
          <w:numId w:val="12"/>
        </w:numPr>
        <w:spacing w:after="100"/>
        <w:contextualSpacing w:val="0"/>
        <w:jc w:val="both"/>
      </w:pPr>
      <w:r>
        <w:t>Attend force-led complex disclosure workshop and any National Disclosure Improvement Plan briefing held within the next six months (by 30 November 2026). Evidence: attendance certificate and post-event reflective summary. Support: force training lead. Review: application to live casework reviewed at next quarterly 1:1.</w:t>
      </w:r>
    </w:p>
    <w:p w14:paraId="48D429CE" w14:textId="77777777" w:rsidR="00DB751B" w:rsidRPr="00933C61" w:rsidRDefault="00DB751B" w:rsidP="00DB751B">
      <w:pPr>
        <w:pStyle w:val="ListParagraph"/>
        <w:numPr>
          <w:ilvl w:val="0"/>
          <w:numId w:val="12"/>
        </w:numPr>
        <w:spacing w:after="100"/>
        <w:contextualSpacing w:val="0"/>
        <w:jc w:val="both"/>
      </w:pPr>
      <w:r>
        <w:t>Subscribe to Police National Legal Database alerts and CPS legal updates from June 2026, with monthly summaries logged in CPD record. Evidence: monthly review log. Support: force legal services contact. Review: relevance to practice discussed every three months with line manager.</w:t>
      </w:r>
    </w:p>
    <w:p w14:paraId="0E548EB1" w14:textId="77777777" w:rsidR="00DB751B" w:rsidRPr="00933C61" w:rsidRDefault="00DB751B" w:rsidP="00DB751B">
      <w:pPr>
        <w:pStyle w:val="ListParagraph"/>
        <w:numPr>
          <w:ilvl w:val="0"/>
          <w:numId w:val="12"/>
        </w:numPr>
        <w:spacing w:after="100"/>
        <w:contextualSpacing w:val="0"/>
        <w:jc w:val="both"/>
      </w:pPr>
      <w:r>
        <w:t>Maintain a reflective journal applying Schön's (1983) reflection-in-action after each significant investigative decision, beginning June 2026. Evidence: minimum two reflective entries per month. Support: mentor (PIP3 SIO). Review: portfolio of 20+ entries assessed at 12-month PDR; quarterly entries reviewed by mentor.</w:t>
      </w:r>
    </w:p>
    <w:p w14:paraId="5CF2E162" w14:textId="77777777" w:rsidR="00DB751B" w:rsidRDefault="00DB751B" w:rsidP="00DB751B">
      <w:pPr>
        <w:jc w:val="both"/>
      </w:pPr>
    </w:p>
    <w:p w14:paraId="1B30E9FD" w14:textId="77777777" w:rsidR="00101616" w:rsidRDefault="00101616" w:rsidP="00DB751B">
      <w:pPr>
        <w:jc w:val="both"/>
      </w:pPr>
    </w:p>
    <w:p w14:paraId="5139555F" w14:textId="77777777" w:rsidR="00101616" w:rsidRPr="00933C61" w:rsidRDefault="00101616" w:rsidP="00101616">
      <w:pPr>
        <w:spacing w:before="320"/>
        <w:jc w:val="both"/>
      </w:pPr>
      <w:r>
        <w:rPr>
          <w:b/>
          <w:bCs/>
        </w:rPr>
        <w:t>2. Skills</w:t>
      </w:r>
    </w:p>
    <w:p w14:paraId="461FEE97" w14:textId="77777777" w:rsidR="00101616" w:rsidRDefault="00101616" w:rsidP="00DB751B">
      <w:pPr>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1700"/>
        <w:gridCol w:w="1700"/>
        <w:gridCol w:w="3926"/>
      </w:tblGrid>
      <w:tr w:rsidR="00101616" w:rsidRPr="00933C61" w14:paraId="4CD64EAB" w14:textId="77777777" w:rsidTr="00DC20AE">
        <w:trPr>
          <w:tblHeader/>
        </w:trPr>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4CFE33CB" w14:textId="77777777" w:rsidR="00101616" w:rsidRPr="00933C61" w:rsidRDefault="00101616" w:rsidP="00DC20AE">
            <w:pPr>
              <w:jc w:val="both"/>
            </w:pPr>
            <w:r>
              <w:rPr>
                <w:b/>
                <w:bCs/>
              </w:rPr>
              <w:t>Area</w:t>
            </w:r>
          </w:p>
        </w:tc>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4F15CF6F" w14:textId="77777777" w:rsidR="00101616" w:rsidRPr="00933C61" w:rsidRDefault="00101616" w:rsidP="00DC20AE">
            <w:pPr>
              <w:jc w:val="both"/>
            </w:pPr>
            <w:r>
              <w:rPr>
                <w:b/>
                <w:bCs/>
              </w:rPr>
              <w:t>Current Level</w:t>
            </w:r>
          </w:p>
        </w:tc>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12C3BA41" w14:textId="77777777" w:rsidR="00101616" w:rsidRPr="00933C61" w:rsidRDefault="00101616" w:rsidP="00DC20AE">
            <w:pPr>
              <w:jc w:val="both"/>
            </w:pPr>
            <w:r>
              <w:rPr>
                <w:b/>
                <w:bCs/>
              </w:rPr>
              <w:t>Target Level (6–12 months)</w:t>
            </w:r>
          </w:p>
        </w:tc>
        <w:tc>
          <w:tcPr>
            <w:tcW w:w="3926"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79CD1CC9" w14:textId="77777777" w:rsidR="00101616" w:rsidRPr="00933C61" w:rsidRDefault="00101616" w:rsidP="00DC20AE">
            <w:pPr>
              <w:jc w:val="both"/>
            </w:pPr>
            <w:r>
              <w:rPr>
                <w:b/>
                <w:bCs/>
              </w:rPr>
              <w:t>Specific Development Need</w:t>
            </w:r>
          </w:p>
        </w:tc>
      </w:tr>
      <w:tr w:rsidR="00101616" w:rsidRPr="00933C61" w14:paraId="01BF31CA" w14:textId="77777777" w:rsidTr="00DC20AE">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5494D581" w14:textId="77777777" w:rsidR="00101616" w:rsidRPr="00933C61" w:rsidRDefault="00101616" w:rsidP="00DC20AE">
            <w:pPr>
              <w:jc w:val="both"/>
            </w:pPr>
            <w:r>
              <w:rPr>
                <w:b/>
                <w:bCs/>
              </w:rPr>
              <w:t>Skills</w:t>
            </w:r>
          </w:p>
        </w:tc>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6CCF9877" w14:textId="654AE728" w:rsidR="00101616" w:rsidRPr="00933C61" w:rsidRDefault="007F3A47" w:rsidP="00DC20AE">
            <w:pPr>
              <w:jc w:val="both"/>
            </w:pPr>
            <w:r>
              <w:t>6 (Medium)</w:t>
            </w:r>
          </w:p>
        </w:tc>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73190EEE" w14:textId="07FACA62" w:rsidR="00101616" w:rsidRPr="00933C61" w:rsidRDefault="007F3A47" w:rsidP="00DC20AE">
            <w:pPr>
              <w:jc w:val="both"/>
            </w:pPr>
            <w:r>
              <w:t>9 (High) within 12 months</w:t>
            </w:r>
          </w:p>
        </w:tc>
        <w:tc>
          <w:tcPr>
            <w:tcW w:w="3926"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3F7C13E5" w14:textId="77777777" w:rsidR="00101616" w:rsidRDefault="00101616" w:rsidP="00DC20AE">
            <w:pPr>
              <w:jc w:val="both"/>
            </w:pPr>
            <w:r>
              <w:t>Enhance specialist interviewing capability and develop advanced skills in managing complex digital investigations and disclosure. Reviewed via observed live interview, ABE Coordinator sign-off, NDM case file audits, and 12-month PDR.</w:t>
            </w:r>
          </w:p>
          <w:p w14:paraId="235EAA7D" w14:textId="7B6A96AA" w:rsidR="00B56DB6" w:rsidRPr="00933C61" w:rsidRDefault="00B56DB6" w:rsidP="00DC20AE">
            <w:pPr>
              <w:jc w:val="both"/>
            </w:pPr>
            <w:r>
              <w:t xml:space="preserve">Expanded </w:t>
            </w:r>
            <w:r w:rsidR="00245252">
              <w:t xml:space="preserve">SMART plan </w:t>
            </w:r>
            <w:r>
              <w:t>below</w:t>
            </w:r>
          </w:p>
        </w:tc>
      </w:tr>
    </w:tbl>
    <w:p w14:paraId="76FA8A7C" w14:textId="77777777" w:rsidR="00101616" w:rsidRDefault="00101616" w:rsidP="00DB751B">
      <w:pPr>
        <w:jc w:val="both"/>
      </w:pPr>
    </w:p>
    <w:p w14:paraId="7C8B37E9" w14:textId="77777777" w:rsidR="00101616" w:rsidRDefault="00101616" w:rsidP="00DB751B">
      <w:pPr>
        <w:jc w:val="both"/>
      </w:pPr>
    </w:p>
    <w:p w14:paraId="26F51D5B" w14:textId="6CF30770" w:rsidR="00DB751B" w:rsidRPr="00933C61" w:rsidRDefault="00DB751B" w:rsidP="00DB751B">
      <w:pPr>
        <w:spacing w:before="240" w:after="120"/>
        <w:jc w:val="both"/>
      </w:pPr>
      <w:r>
        <w:rPr>
          <w:b/>
          <w:bCs/>
        </w:rPr>
        <w:t>2.1 Current Level: 6 (Medium)</w:t>
      </w:r>
    </w:p>
    <w:p w14:paraId="2473E6F4" w14:textId="11EAB882" w:rsidR="00DB751B" w:rsidRPr="00933C61" w:rsidRDefault="00DB751B" w:rsidP="00DB751B">
      <w:pPr>
        <w:jc w:val="both"/>
      </w:pPr>
      <w:r>
        <w:t>I possess well-developed investigative and supervisory skills, including structured decision making, case oversight, and evidential assessment. I am confident in directing investigative activity, ensuring compliance with procedural requirements, and maintaining investigative standards across teams. My approach aligns with established investigative frameworks such as the PEACE model, which promotes ethical, information</w:t>
      </w:r>
      <w:r w:rsidR="00F60A03">
        <w:t xml:space="preserve"> l</w:t>
      </w:r>
      <w:r>
        <w:t>ed interviewing and supports the achievement of best evidence. My decision-making is informed by structured models consistent with the National Decision Model (NDM), enabling proportionate, accountable, and risk-based judgements that are legally justified, ethically sound, and aligned with organisational priorities.</w:t>
      </w:r>
    </w:p>
    <w:p w14:paraId="1A49279E" w14:textId="77777777" w:rsidR="00DB751B" w:rsidRPr="00933C61" w:rsidRDefault="00DB751B" w:rsidP="00DB751B">
      <w:pPr>
        <w:jc w:val="both"/>
      </w:pPr>
      <w:r>
        <w:lastRenderedPageBreak/>
        <w:t>College of Policing guidance on Achieving Best Evidence (ABE) emphasises that evidential quality requires not only procedural compliance but also the ability to adapt interviewing strategies to the needs of vulnerable or intimidated witnesses. This demands communication skills, empathy, and sophisticated management of interview dynamics that go beyond basic competence. Bull (2014) notes that investigative interviewing remains an area in which training frequently falls short of the complex demands of operational practice, particularly in relation to witnesses with communication difficulties or those who have experienced trauma.</w:t>
      </w:r>
    </w:p>
    <w:p w14:paraId="0381A55B" w14:textId="77777777" w:rsidR="00DB751B" w:rsidRPr="00933C61" w:rsidRDefault="00DB751B" w:rsidP="00DB751B">
      <w:pPr>
        <w:jc w:val="both"/>
      </w:pPr>
      <w:r>
        <w:t>In addition, the management of digital evidence presents increasing operational challenges. HMICFRS (2020) inspection findings highlight that shortcomings in digital disclosure including the inefficient triage of large datasets, failure to identify relevant unused material, and inadequate disclosure schedules represent a systemic risk to investigative integrity. As a supervisor, this requires not only technical awareness but also the strategic capacity to ensure that investigative resources are deployed proportionately, that disclosure obligations are met, and that case-critical material is identified in a timely manner. While I am competent in these areas, I recognise that my current skill set does not yet meet the advanced standard required to lead complex digital investigations with full confidence.</w:t>
      </w:r>
    </w:p>
    <w:p w14:paraId="1FB13614" w14:textId="77777777" w:rsidR="00DB751B" w:rsidRPr="00933C61" w:rsidRDefault="00DB751B" w:rsidP="00DB751B">
      <w:pPr>
        <w:jc w:val="both"/>
      </w:pPr>
      <w:r>
        <w:t>It is also important to acknowledge, with intellectual honesty, the structural barriers to skills development in contemporary policing. Resource constraints, high operational demand, and limited access to specialist training can impede the development of advanced skills even where motivation and commitment exist. Recognising and managing these barriers is itself a component of professional competence and addressing them will require proactive engagement with force development structures and national training pathways.</w:t>
      </w:r>
    </w:p>
    <w:p w14:paraId="6C746292" w14:textId="77777777" w:rsidR="00DB751B" w:rsidRPr="00933C61" w:rsidRDefault="00DB751B" w:rsidP="00DB751B">
      <w:pPr>
        <w:spacing w:before="240" w:after="120"/>
        <w:jc w:val="both"/>
      </w:pPr>
      <w:r>
        <w:rPr>
          <w:b/>
          <w:bCs/>
        </w:rPr>
        <w:t>2.2 Target Level: 9 (High) — within 12 months</w:t>
      </w:r>
    </w:p>
    <w:p w14:paraId="47F67BEA" w14:textId="77777777" w:rsidR="00DB751B" w:rsidRPr="00933C61" w:rsidRDefault="00DB751B" w:rsidP="00DB751B">
      <w:pPr>
        <w:jc w:val="both"/>
      </w:pPr>
      <w:r>
        <w:t>To demonstrate advanced investigative and supervisory capability, including advanced level interviewing, strategic case management, and efficient handling of complex digital evidence, underpinned by robust decision making and professional leadership.</w:t>
      </w:r>
    </w:p>
    <w:p w14:paraId="5913CF91" w14:textId="77777777" w:rsidR="00DB751B" w:rsidRPr="00933C61" w:rsidRDefault="00DB751B" w:rsidP="00DB751B">
      <w:pPr>
        <w:jc w:val="both"/>
      </w:pPr>
      <w:r>
        <w:t>To enhance specialist interviewing capability and develop advanced skills in managing complex investigations involving digital evidence and disclosure obligations, with a clear focus on efficiency, proportionality, and evidential robustness.</w:t>
      </w:r>
    </w:p>
    <w:p w14:paraId="680EE5A2" w14:textId="16E6168D" w:rsidR="00DB751B" w:rsidRPr="00933C61" w:rsidRDefault="00DB751B" w:rsidP="00DB751B">
      <w:pPr>
        <w:spacing w:before="240" w:after="120"/>
        <w:jc w:val="both"/>
      </w:pPr>
      <w:r>
        <w:rPr>
          <w:b/>
          <w:bCs/>
        </w:rPr>
        <w:t>2.</w:t>
      </w:r>
      <w:r w:rsidR="00C9781F">
        <w:rPr>
          <w:b/>
          <w:bCs/>
        </w:rPr>
        <w:t xml:space="preserve">3 </w:t>
      </w:r>
      <w:r>
        <w:rPr>
          <w:b/>
          <w:bCs/>
        </w:rPr>
        <w:t>SMART Action Plan</w:t>
      </w:r>
    </w:p>
    <w:p w14:paraId="1E8C70A3" w14:textId="77777777" w:rsidR="00DB751B" w:rsidRPr="00933C61" w:rsidRDefault="00DB751B" w:rsidP="00DB751B">
      <w:pPr>
        <w:jc w:val="both"/>
      </w:pPr>
      <w:r>
        <w:lastRenderedPageBreak/>
        <w:t>Each action specifies what will be done, by when, the evidence of completion, who will support delivery, and how achievement of the target level will be reviewed.</w:t>
      </w:r>
    </w:p>
    <w:p w14:paraId="0CC9EF91" w14:textId="5624E439" w:rsidR="00DB751B" w:rsidRPr="00933C61" w:rsidRDefault="00DB751B" w:rsidP="00DB751B">
      <w:pPr>
        <w:pStyle w:val="ListParagraph"/>
        <w:numPr>
          <w:ilvl w:val="0"/>
          <w:numId w:val="12"/>
        </w:numPr>
        <w:spacing w:after="100"/>
        <w:contextualSpacing w:val="0"/>
        <w:jc w:val="both"/>
      </w:pPr>
      <w:r>
        <w:t xml:space="preserve">Complete the College of Policing accredited Specialist Interviewer / Tier 3 Investigative Interviewing course by </w:t>
      </w:r>
      <w:r w:rsidR="00CF03FF">
        <w:t>March 2027</w:t>
      </w:r>
      <w:r>
        <w:t>. Evidence: course certificate and assessed practical interview. Support: force interviewing lead and PIP2 mentor. Review: target standard confirmed by an observed live interview assessed by a qualified interview adviser at the 12-month PDR.</w:t>
      </w:r>
    </w:p>
    <w:p w14:paraId="01BD7FCE" w14:textId="77777777" w:rsidR="00DB751B" w:rsidRPr="00933C61" w:rsidRDefault="00DB751B" w:rsidP="00DB751B">
      <w:pPr>
        <w:pStyle w:val="ListParagraph"/>
        <w:numPr>
          <w:ilvl w:val="0"/>
          <w:numId w:val="12"/>
        </w:numPr>
        <w:spacing w:after="100"/>
        <w:contextualSpacing w:val="0"/>
        <w:jc w:val="both"/>
      </w:pPr>
      <w:r>
        <w:t>Complete an ABE refresher and conduct a minimum of two ABE-compliant interviews by 31 December 2026. Evidence: ABE quality assurance review by ABE Coordinator. Support: ABE Coordinator and line manager. Review: outcomes discussed at 6-month PDR; achievement of advanced standard confirmed by ABE Coordinator sign-off.</w:t>
      </w:r>
    </w:p>
    <w:p w14:paraId="5DDCAA98" w14:textId="77777777" w:rsidR="00DB751B" w:rsidRPr="00933C61" w:rsidRDefault="00DB751B" w:rsidP="00DB751B">
      <w:pPr>
        <w:pStyle w:val="ListParagraph"/>
        <w:numPr>
          <w:ilvl w:val="0"/>
          <w:numId w:val="12"/>
        </w:numPr>
        <w:spacing w:after="100"/>
        <w:contextualSpacing w:val="0"/>
        <w:jc w:val="both"/>
      </w:pPr>
      <w:r>
        <w:t>Complete in-force training on digital evidence triage and case management systems within four months (by 31 August 2026). Evidence: practical assessment signed off by Digital Forensics Lead. Support: Digital Forensics Unit. Review: application reviewed via two case file audits by line manager within six months of completion.</w:t>
      </w:r>
    </w:p>
    <w:p w14:paraId="7589823A" w14:textId="77777777" w:rsidR="00DB751B" w:rsidRPr="00933C61" w:rsidRDefault="00DB751B" w:rsidP="00DB751B">
      <w:pPr>
        <w:pStyle w:val="ListParagraph"/>
        <w:numPr>
          <w:ilvl w:val="0"/>
          <w:numId w:val="12"/>
        </w:numPr>
        <w:spacing w:after="100"/>
        <w:contextualSpacing w:val="0"/>
        <w:jc w:val="both"/>
      </w:pPr>
      <w:r>
        <w:t>Document NDM-based decision rationale on a minimum of five strategic investigative decisions per quarter, beginning Q3 2026. Evidence: structured NDM logs uploaded to case files. Support: line manager via monthly review. Review: case file audit by DCI at 12-month PDR to confirm consistency and quality.</w:t>
      </w:r>
    </w:p>
    <w:p w14:paraId="3755E953" w14:textId="77777777" w:rsidR="00DB751B" w:rsidRPr="00933C61" w:rsidRDefault="00DB751B" w:rsidP="00DB751B">
      <w:pPr>
        <w:pStyle w:val="ListParagraph"/>
        <w:numPr>
          <w:ilvl w:val="0"/>
          <w:numId w:val="12"/>
        </w:numPr>
        <w:spacing w:after="100"/>
        <w:contextualSpacing w:val="0"/>
        <w:jc w:val="both"/>
      </w:pPr>
      <w:r>
        <w:t>Schedule monthly 1:1 feedback with line manager and quarterly peer feedback with two PIP3-trained colleagues, beginning June 2026. Evidence: feedback notes and written reflection logged within two weeks of each session. Support: line manager and peer reviewers. Review: themes and progress tracked at 6-month PDR.</w:t>
      </w:r>
    </w:p>
    <w:p w14:paraId="75E4F189" w14:textId="77777777" w:rsidR="00DB751B" w:rsidRPr="00933C61" w:rsidRDefault="00DB751B" w:rsidP="00DB751B">
      <w:pPr>
        <w:pStyle w:val="ListParagraph"/>
        <w:numPr>
          <w:ilvl w:val="0"/>
          <w:numId w:val="12"/>
        </w:numPr>
        <w:spacing w:after="100"/>
        <w:contextualSpacing w:val="0"/>
        <w:jc w:val="both"/>
      </w:pPr>
      <w:r>
        <w:t>Complete Gibbs (1988) structured reflection following each complex investigation closure, with a minimum of six reflections by the 12-month PDR. Evidence: reflection log with documented learning points. Support: mentor. Review: portfolio reviewed at 12-month PDR; identified learning points evidenced in subsequent practice.</w:t>
      </w:r>
    </w:p>
    <w:p w14:paraId="6B13138C" w14:textId="77777777" w:rsidR="00DB751B" w:rsidRPr="00933C61" w:rsidRDefault="00DB751B" w:rsidP="00DB751B">
      <w:pPr>
        <w:pStyle w:val="ListParagraph"/>
        <w:numPr>
          <w:ilvl w:val="0"/>
          <w:numId w:val="12"/>
        </w:numPr>
        <w:spacing w:after="100"/>
        <w:contextualSpacing w:val="0"/>
        <w:jc w:val="both"/>
      </w:pPr>
      <w:r>
        <w:t>Arrange and complete two structured shadowing days with serious crime or digital investigation specialists by 28 February 2027. Evidence: shadowing log and reflective summary. Support: DCI and host unit lead. Review: outcomes presented at next quarterly 1:1.</w:t>
      </w:r>
    </w:p>
    <w:p w14:paraId="55E1C896" w14:textId="77777777" w:rsidR="00DB751B" w:rsidRPr="00933C61" w:rsidRDefault="00DB751B" w:rsidP="00DB751B">
      <w:pPr>
        <w:pStyle w:val="ListParagraph"/>
        <w:numPr>
          <w:ilvl w:val="0"/>
          <w:numId w:val="12"/>
        </w:numPr>
        <w:spacing w:after="100"/>
        <w:contextualSpacing w:val="0"/>
        <w:jc w:val="both"/>
      </w:pPr>
      <w:r>
        <w:lastRenderedPageBreak/>
        <w:t>Carry out a quarterly structured review of College of Policing APP on interviewing and investigation, with a written summary of operational implications recorded in CPD log. Evidence: quarterly summary entries. Support: line manager. Review: discussed at quarterly 1:1s.</w:t>
      </w:r>
    </w:p>
    <w:p w14:paraId="51D8FD88" w14:textId="77777777" w:rsidR="00DB751B" w:rsidRPr="00933C61" w:rsidRDefault="00DB751B" w:rsidP="00DB751B">
      <w:pPr>
        <w:jc w:val="both"/>
      </w:pPr>
    </w:p>
    <w:p w14:paraId="6C05C99A" w14:textId="77777777" w:rsidR="00DB751B" w:rsidRDefault="00DB751B" w:rsidP="00DB751B">
      <w:pPr>
        <w:spacing w:before="320"/>
        <w:jc w:val="both"/>
        <w:rPr>
          <w:b/>
          <w:bCs/>
        </w:rPr>
      </w:pPr>
      <w:r>
        <w:rPr>
          <w:b/>
          <w:bCs/>
        </w:rPr>
        <w:t>3. Experience</w:t>
      </w:r>
    </w:p>
    <w:p w14:paraId="6F585951" w14:textId="77777777" w:rsidR="00A35AC9" w:rsidRDefault="00A35AC9" w:rsidP="00DB751B">
      <w:pPr>
        <w:spacing w:before="320"/>
        <w:jc w:val="both"/>
        <w:rPr>
          <w:b/>
          <w:bCs/>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1700"/>
        <w:gridCol w:w="1700"/>
        <w:gridCol w:w="3926"/>
      </w:tblGrid>
      <w:tr w:rsidR="00B069A9" w:rsidRPr="00933C61" w14:paraId="005DCDB2" w14:textId="77777777" w:rsidTr="00DC20AE">
        <w:trPr>
          <w:tblHeader/>
        </w:trPr>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4905686C" w14:textId="77777777" w:rsidR="00B069A9" w:rsidRPr="00933C61" w:rsidRDefault="00B069A9" w:rsidP="00DC20AE">
            <w:pPr>
              <w:jc w:val="both"/>
            </w:pPr>
            <w:r>
              <w:rPr>
                <w:b/>
                <w:bCs/>
              </w:rPr>
              <w:t>Area</w:t>
            </w:r>
          </w:p>
        </w:tc>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6F83CCF3" w14:textId="77777777" w:rsidR="00B069A9" w:rsidRPr="00933C61" w:rsidRDefault="00B069A9" w:rsidP="00DC20AE">
            <w:pPr>
              <w:jc w:val="both"/>
            </w:pPr>
            <w:r>
              <w:rPr>
                <w:b/>
                <w:bCs/>
              </w:rPr>
              <w:t>Current Level</w:t>
            </w:r>
          </w:p>
        </w:tc>
        <w:tc>
          <w:tcPr>
            <w:tcW w:w="1700"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2E5A7EB0" w14:textId="77777777" w:rsidR="00B069A9" w:rsidRPr="00933C61" w:rsidRDefault="00B069A9" w:rsidP="00DC20AE">
            <w:pPr>
              <w:jc w:val="both"/>
            </w:pPr>
            <w:r>
              <w:rPr>
                <w:b/>
                <w:bCs/>
              </w:rPr>
              <w:t>Target Level (6–12 months)</w:t>
            </w:r>
          </w:p>
        </w:tc>
        <w:tc>
          <w:tcPr>
            <w:tcW w:w="3926" w:type="dxa"/>
            <w:tcBorders>
              <w:top w:val="single" w:sz="6" w:space="0" w:color="999999"/>
              <w:left w:val="single" w:sz="6" w:space="0" w:color="999999"/>
              <w:bottom w:val="single" w:sz="6" w:space="0" w:color="999999"/>
              <w:right w:val="single" w:sz="6" w:space="0" w:color="999999"/>
            </w:tcBorders>
            <w:shd w:val="clear" w:color="auto" w:fill="D9E2F3"/>
            <w:tcMar>
              <w:top w:w="100" w:type="dxa"/>
              <w:left w:w="140" w:type="dxa"/>
              <w:bottom w:w="100" w:type="dxa"/>
              <w:right w:w="140" w:type="dxa"/>
            </w:tcMar>
          </w:tcPr>
          <w:p w14:paraId="60BAFBE1" w14:textId="77777777" w:rsidR="00B069A9" w:rsidRPr="00933C61" w:rsidRDefault="00B069A9" w:rsidP="00DC20AE">
            <w:pPr>
              <w:jc w:val="both"/>
            </w:pPr>
            <w:r>
              <w:rPr>
                <w:b/>
                <w:bCs/>
              </w:rPr>
              <w:t>Specific Development Need</w:t>
            </w:r>
          </w:p>
        </w:tc>
      </w:tr>
      <w:tr w:rsidR="00B069A9" w:rsidRPr="00933C61" w14:paraId="38E315A8" w14:textId="77777777" w:rsidTr="00DC20AE">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29A8C8CF" w14:textId="77777777" w:rsidR="00B069A9" w:rsidRPr="00933C61" w:rsidRDefault="00B069A9" w:rsidP="00DC20AE">
            <w:pPr>
              <w:jc w:val="both"/>
            </w:pPr>
            <w:r>
              <w:rPr>
                <w:b/>
                <w:bCs/>
              </w:rPr>
              <w:t>Experience</w:t>
            </w:r>
          </w:p>
        </w:tc>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4B2C67F2" w14:textId="509BBCB9" w:rsidR="00B069A9" w:rsidRPr="00933C61" w:rsidRDefault="008B7FCB" w:rsidP="00DC20AE">
            <w:pPr>
              <w:jc w:val="both"/>
            </w:pPr>
            <w:r>
              <w:t>6 (Medium)</w:t>
            </w:r>
          </w:p>
        </w:tc>
        <w:tc>
          <w:tcPr>
            <w:tcW w:w="1700"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019C805E" w14:textId="7DBDF186" w:rsidR="00B069A9" w:rsidRPr="00933C61" w:rsidRDefault="00B069A9" w:rsidP="00DC20AE">
            <w:pPr>
              <w:jc w:val="both"/>
            </w:pPr>
            <w:r>
              <w:t>8–9 (High) within 12 months</w:t>
            </w:r>
          </w:p>
        </w:tc>
        <w:tc>
          <w:tcPr>
            <w:tcW w:w="3926" w:type="dxa"/>
            <w:tcBorders>
              <w:top w:val="single" w:sz="6" w:space="0" w:color="999999"/>
              <w:left w:val="single" w:sz="6" w:space="0" w:color="999999"/>
              <w:bottom w:val="single" w:sz="6" w:space="0" w:color="999999"/>
              <w:right w:val="single" w:sz="6" w:space="0" w:color="999999"/>
            </w:tcBorders>
            <w:tcMar>
              <w:top w:w="100" w:type="dxa"/>
              <w:left w:w="140" w:type="dxa"/>
              <w:bottom w:w="100" w:type="dxa"/>
              <w:right w:w="140" w:type="dxa"/>
            </w:tcMar>
          </w:tcPr>
          <w:p w14:paraId="37B5C132" w14:textId="77777777" w:rsidR="00B069A9" w:rsidRDefault="00B069A9" w:rsidP="00DC20AE">
            <w:pPr>
              <w:jc w:val="both"/>
            </w:pPr>
            <w:r>
              <w:t>Broaden practical experience in leading complex investigations involving digital evidence, disclosure challenges, and multi-agency coordination. Reviewed via SIO appraisals, mentor endorsement, debrief logs, and 12-month PDR.</w:t>
            </w:r>
          </w:p>
          <w:p w14:paraId="6BF53444" w14:textId="50BD7909" w:rsidR="00245252" w:rsidRPr="00933C61" w:rsidRDefault="00245252" w:rsidP="00DC20AE">
            <w:pPr>
              <w:jc w:val="both"/>
            </w:pPr>
            <w:r>
              <w:t>Expanded SMART plan below</w:t>
            </w:r>
          </w:p>
        </w:tc>
      </w:tr>
    </w:tbl>
    <w:p w14:paraId="7AC2A41F" w14:textId="77777777" w:rsidR="00B069A9" w:rsidRPr="00933C61" w:rsidRDefault="00B069A9" w:rsidP="00B069A9">
      <w:pPr>
        <w:jc w:val="both"/>
      </w:pPr>
    </w:p>
    <w:p w14:paraId="181F2E27" w14:textId="77777777" w:rsidR="00B069A9" w:rsidRDefault="00B069A9" w:rsidP="00B069A9">
      <w:pPr>
        <w:ind w:right="107"/>
        <w:jc w:val="both"/>
        <w:rPr>
          <w:color w:val="000000"/>
        </w:rPr>
      </w:pPr>
    </w:p>
    <w:p w14:paraId="3513FEEC" w14:textId="77777777" w:rsidR="00DB751B" w:rsidRPr="00933C61" w:rsidRDefault="00DB751B" w:rsidP="00DB751B">
      <w:pPr>
        <w:spacing w:before="240" w:after="120"/>
        <w:jc w:val="both"/>
      </w:pPr>
      <w:r>
        <w:rPr>
          <w:b/>
          <w:bCs/>
        </w:rPr>
        <w:t>3.1 Current Level: 6 (Medium)</w:t>
      </w:r>
    </w:p>
    <w:p w14:paraId="5B2785D0" w14:textId="77777777" w:rsidR="00DB751B" w:rsidRPr="00933C61" w:rsidRDefault="00DB751B" w:rsidP="00DB751B">
      <w:pPr>
        <w:jc w:val="both"/>
      </w:pPr>
      <w:r>
        <w:t>My professional experience includes managing a range of investigations and supervising investigative teams, with responsibility for evidential quality, procedural compliance, and investigative direction. I have developed competence in overseeing routine and moderately complex cases, ensuring that investigative standards are maintained and that enquiries are progressed in line with organisational and legal expectations. My supervisory role requires the application of structured investigative processes aligned with College of Policing guidance, ensuring that investigations are conducted ethically, proportionately, and effectively.</w:t>
      </w:r>
    </w:p>
    <w:p w14:paraId="164573DA" w14:textId="77777777" w:rsidR="00DB751B" w:rsidRPr="00933C61" w:rsidRDefault="00DB751B" w:rsidP="00DB751B">
      <w:pPr>
        <w:jc w:val="both"/>
      </w:pPr>
      <w:r>
        <w:lastRenderedPageBreak/>
        <w:t>However, a candid assessment of my experience reveals important limitations. My exposure to leading major, high-risk, or structurally complex investigations, particularly those involving extensive digital evidence, significant disclosure challenges, or multi-agency coordination remains limited. This is a meaningful constraint, because experiential learning theory, as articulated by Kolb (1984), holds that knowledge is not merely accumulated through instruction but is constructed and deepened through the transformation of direct experience, particularly in conditions of complexity and pressure. In a policing context, this is especially significant: advanced professional judgement, the ability to make strategic decisions under uncertainty, and the capacity to lead effectively across multiple stakeholders are capabilities that cannot be fully developed through training alone but require substantive experiential exposure.</w:t>
      </w:r>
    </w:p>
    <w:p w14:paraId="017A2C45" w14:textId="77777777" w:rsidR="00DB751B" w:rsidRPr="00933C61" w:rsidRDefault="00DB751B" w:rsidP="00DB751B">
      <w:pPr>
        <w:jc w:val="both"/>
      </w:pPr>
      <w:r>
        <w:t>Mezirow (1990) extends this analysis through his theory of transformative learning, arguing that genuine professional development occurs not simply through the accumulation of experience but through critical reflection on disorienting dilemmas — situations that challenge existing assumptions and require the learner to reconstruct their professional understanding. This has direct implications for my development: engaging with complex investigations that stretch current capabilities, rather than remaining within familiar operational territory, is likely to produce more substantive and durable professional growth.</w:t>
      </w:r>
    </w:p>
    <w:p w14:paraId="0C14834E" w14:textId="7E3C780E" w:rsidR="00DB751B" w:rsidRPr="00933C61" w:rsidRDefault="00DB751B" w:rsidP="00DB751B">
      <w:pPr>
        <w:jc w:val="both"/>
      </w:pPr>
      <w:r>
        <w:t>Additionally, increased direct exposure to digital forensic environments</w:t>
      </w:r>
      <w:r w:rsidR="00A61F71">
        <w:t>,</w:t>
      </w:r>
      <w:r>
        <w:t xml:space="preserve"> including evidence recovery processes, forensic limitations, and evidential opportunities will strengthen my capacity to make informed and defensible investigative decisions in cases where digital material constitutes a significant evidential resource. As Nutley, Walter and Davies (2007) observe in the context of evidence-informed public services, it is the capacity to critically evaluate and apply knowledge in practice, rather than simply to possess it, that distinguishes competent from expert professional performance.</w:t>
      </w:r>
    </w:p>
    <w:p w14:paraId="09FDF545" w14:textId="77777777" w:rsidR="00DB751B" w:rsidRPr="00933C61" w:rsidRDefault="00DB751B" w:rsidP="00DB751B">
      <w:pPr>
        <w:spacing w:before="240" w:after="120"/>
        <w:jc w:val="both"/>
      </w:pPr>
      <w:r>
        <w:rPr>
          <w:b/>
          <w:bCs/>
        </w:rPr>
        <w:t>3.2 Target Level: 8–9 (High) — within 12 months</w:t>
      </w:r>
    </w:p>
    <w:p w14:paraId="013F6E48" w14:textId="50511160" w:rsidR="00DB751B" w:rsidRPr="00933C61" w:rsidRDefault="00DB751B" w:rsidP="00A61F71">
      <w:pPr>
        <w:jc w:val="both"/>
      </w:pPr>
      <w:r>
        <w:t>To gain substantial experience in leading and managing complex investigations, demonstrating strategic oversight, effective multi-agency collaboration, and confident, accountable decision-making in high-risk and high-demand environments.</w:t>
      </w:r>
    </w:p>
    <w:p w14:paraId="797672BB" w14:textId="77777777" w:rsidR="00DB751B" w:rsidRPr="00933C61" w:rsidRDefault="00DB751B" w:rsidP="00DB751B">
      <w:pPr>
        <w:jc w:val="both"/>
      </w:pPr>
      <w:r>
        <w:t xml:space="preserve">To broaden practical experience in leading complex investigations, particularly those involving digital evidence, disclosure challenges, and multi-agency coordination, </w:t>
      </w:r>
      <w:proofErr w:type="gramStart"/>
      <w:r>
        <w:t>in order to</w:t>
      </w:r>
      <w:proofErr w:type="gramEnd"/>
      <w:r>
        <w:t xml:space="preserve"> strengthen leadership capability, professional judgement, and the quality of investigative decision-making.</w:t>
      </w:r>
    </w:p>
    <w:p w14:paraId="501C6113" w14:textId="19CEC4A2" w:rsidR="00DB751B" w:rsidRPr="00933C61" w:rsidRDefault="00DB751B" w:rsidP="00DB751B">
      <w:pPr>
        <w:spacing w:before="240" w:after="120"/>
        <w:jc w:val="both"/>
      </w:pPr>
      <w:r>
        <w:rPr>
          <w:b/>
          <w:bCs/>
        </w:rPr>
        <w:lastRenderedPageBreak/>
        <w:t>3.</w:t>
      </w:r>
      <w:r w:rsidR="00A61F71">
        <w:rPr>
          <w:b/>
          <w:bCs/>
        </w:rPr>
        <w:t>3</w:t>
      </w:r>
      <w:r>
        <w:rPr>
          <w:b/>
          <w:bCs/>
        </w:rPr>
        <w:t xml:space="preserve"> SMART Action Plan</w:t>
      </w:r>
    </w:p>
    <w:p w14:paraId="6BC505EB" w14:textId="77777777" w:rsidR="00DB751B" w:rsidRPr="00933C61" w:rsidRDefault="00DB751B" w:rsidP="00DB751B">
      <w:pPr>
        <w:jc w:val="both"/>
      </w:pPr>
      <w:r>
        <w:t>Each action specifies what will be done, by when, the evidence of completion, who will support delivery, and how achievement of the target level will be reviewed.</w:t>
      </w:r>
    </w:p>
    <w:p w14:paraId="6EA07EB0" w14:textId="77777777" w:rsidR="00DB751B" w:rsidRPr="00933C61" w:rsidRDefault="00DB751B" w:rsidP="00DB751B">
      <w:pPr>
        <w:pStyle w:val="ListParagraph"/>
        <w:numPr>
          <w:ilvl w:val="0"/>
          <w:numId w:val="12"/>
        </w:numPr>
        <w:spacing w:after="100"/>
        <w:contextualSpacing w:val="0"/>
        <w:jc w:val="both"/>
      </w:pPr>
      <w:r>
        <w:t>Participate in a minimum of three multi-agency strategy meetings (CPS, safeguarding partners, specialist units) per quarter from June 2026. Evidence: meeting attendance log, contribution noted in minutes, and quarterly reflective summary. Support: safeguarding partnership lead and CPS liaison. Review: contribution discussed at quarterly 1:1s and at 12-month PDR.</w:t>
      </w:r>
    </w:p>
    <w:p w14:paraId="1E291655" w14:textId="77777777" w:rsidR="00DB751B" w:rsidRPr="00933C61" w:rsidRDefault="00DB751B" w:rsidP="00DB751B">
      <w:pPr>
        <w:pStyle w:val="ListParagraph"/>
        <w:numPr>
          <w:ilvl w:val="0"/>
          <w:numId w:val="12"/>
        </w:numPr>
        <w:spacing w:after="100"/>
        <w:contextualSpacing w:val="0"/>
        <w:jc w:val="both"/>
      </w:pPr>
      <w:r>
        <w:t>Complete two structured shadowing days with the Digital Forensic Unit by 31 October 2026. Evidence: visit log, learning summary, and identified application to current cases. Support: Digital Forensic Unit lead. Review: outcomes presented at next quarterly 1:1.</w:t>
      </w:r>
    </w:p>
    <w:p w14:paraId="294A8B94" w14:textId="77777777" w:rsidR="00DB751B" w:rsidRPr="00933C61" w:rsidRDefault="00DB751B" w:rsidP="00DB751B">
      <w:pPr>
        <w:pStyle w:val="ListParagraph"/>
        <w:numPr>
          <w:ilvl w:val="0"/>
          <w:numId w:val="12"/>
        </w:numPr>
        <w:spacing w:after="100"/>
        <w:contextualSpacing w:val="0"/>
        <w:jc w:val="both"/>
      </w:pPr>
      <w:r>
        <w:t>Lead or contribute to a structured debrief on every closed indictable case from June 2026. Evidence: documented debrief notes, lessons-learned log, and tracked follow-up actions. Support: line manager. Review: debrief log reviewed by DCI at quarterly 1:1s.</w:t>
      </w:r>
    </w:p>
    <w:p w14:paraId="2BD9784B" w14:textId="77777777" w:rsidR="00DB751B" w:rsidRPr="00933C61" w:rsidRDefault="00DB751B" w:rsidP="00DB751B">
      <w:pPr>
        <w:pStyle w:val="ListParagraph"/>
        <w:numPr>
          <w:ilvl w:val="0"/>
          <w:numId w:val="12"/>
        </w:numPr>
        <w:spacing w:after="100"/>
        <w:contextualSpacing w:val="0"/>
        <w:jc w:val="both"/>
      </w:pPr>
      <w:r>
        <w:t>Maintain a Kolb (1984) Experiential Learning Cycle reflective log, with a minimum of one entry per month from June 2026. Evidence: reflective log entries. Support: mentor (PIP3 SIO). Review: log reviewed quarterly with mentor and at 12-month PDR.</w:t>
      </w:r>
    </w:p>
    <w:p w14:paraId="50E8B2AE" w14:textId="77777777" w:rsidR="00DB751B" w:rsidRPr="00933C61" w:rsidRDefault="00DB751B" w:rsidP="00DB751B">
      <w:pPr>
        <w:pStyle w:val="ListParagraph"/>
        <w:numPr>
          <w:ilvl w:val="0"/>
          <w:numId w:val="12"/>
        </w:numPr>
        <w:spacing w:after="100"/>
        <w:contextualSpacing w:val="0"/>
        <w:jc w:val="both"/>
      </w:pPr>
      <w:r>
        <w:t>Identify and arrange formal mentoring with a PIP3 SIO by 31 July 2026, with monthly mentoring meetings thereafter. Evidence: mentoring meeting log with action points and reflective notes. Support: nominated PIP3 mentor. Review: mentor's written endorsement at 12-month PDR.</w:t>
      </w:r>
    </w:p>
    <w:p w14:paraId="62671DE6" w14:textId="77777777" w:rsidR="00DB751B" w:rsidRPr="00933C61" w:rsidRDefault="00DB751B" w:rsidP="00DB751B">
      <w:pPr>
        <w:jc w:val="both"/>
      </w:pPr>
    </w:p>
    <w:p w14:paraId="197E5F92" w14:textId="77777777" w:rsidR="00DB751B" w:rsidRDefault="00DB751B" w:rsidP="000E639C">
      <w:pPr>
        <w:ind w:right="107"/>
        <w:jc w:val="both"/>
        <w:rPr>
          <w:color w:val="000000"/>
        </w:rPr>
      </w:pPr>
    </w:p>
    <w:p w14:paraId="57C8EB58" w14:textId="603F2D13" w:rsidR="00FC6DFA" w:rsidRPr="001C4A58" w:rsidRDefault="009F1B79">
      <w:pPr>
        <w:spacing w:before="240" w:after="60"/>
        <w:ind w:right="237"/>
        <w:jc w:val="both"/>
        <w:rPr>
          <w:rFonts w:ascii="Arial" w:hAnsi="Arial" w:cs="Arial"/>
          <w:color w:val="000000"/>
        </w:rPr>
      </w:pPr>
      <w:r w:rsidRPr="001C4A58">
        <w:rPr>
          <w:rFonts w:ascii="Arial" w:hAnsi="Arial" w:cs="Arial"/>
          <w:b/>
          <w:color w:val="000000"/>
        </w:rPr>
        <w:t>6. Reference List</w:t>
      </w:r>
    </w:p>
    <w:p w14:paraId="51F9747F" w14:textId="77777777" w:rsidR="00FC6DFA" w:rsidRPr="001C4A58" w:rsidRDefault="009F1B79">
      <w:pPr>
        <w:spacing w:before="240" w:after="60"/>
        <w:ind w:right="237"/>
        <w:jc w:val="both"/>
        <w:rPr>
          <w:rFonts w:ascii="Arial" w:hAnsi="Arial" w:cs="Arial"/>
          <w:color w:val="000000"/>
        </w:rPr>
      </w:pPr>
      <w:r w:rsidRPr="001C4A58">
        <w:rPr>
          <w:rFonts w:ascii="Arial" w:hAnsi="Arial" w:cs="Arial"/>
          <w:color w:val="000000"/>
        </w:rPr>
        <w:t>The reference list should only include sources referenced within the workbook using the Harvard referencing system. Information about referencing in written assignments and how to avoid plagiarism can be found on Moodle and will be provided within your lesson. It is important that you are aware of the importance of ensuring that the work submitted is your original work.</w:t>
      </w:r>
    </w:p>
    <w:p w14:paraId="69F70AB2" w14:textId="77777777" w:rsidR="00FC6DFA" w:rsidRPr="001C4A58" w:rsidRDefault="009F1B79">
      <w:pPr>
        <w:spacing w:before="240" w:after="60"/>
        <w:ind w:right="237"/>
        <w:jc w:val="both"/>
        <w:rPr>
          <w:rFonts w:ascii="Arial" w:hAnsi="Arial" w:cs="Arial"/>
          <w:color w:val="000000"/>
        </w:rPr>
      </w:pPr>
      <w:r w:rsidRPr="001C4A58">
        <w:rPr>
          <w:rFonts w:ascii="Arial" w:hAnsi="Arial" w:cs="Arial"/>
          <w:color w:val="000000"/>
        </w:rPr>
        <w:lastRenderedPageBreak/>
        <w:t>If you are unsure, it is important that you seek guidance. A copy of the UWTSD Harvard guidebook can be found at:</w:t>
      </w:r>
    </w:p>
    <w:p w14:paraId="45623158" w14:textId="77777777" w:rsidR="00FC6DFA" w:rsidRPr="001C4A58" w:rsidRDefault="009F1B79">
      <w:pPr>
        <w:spacing w:before="240" w:after="60"/>
        <w:ind w:right="237"/>
        <w:jc w:val="both"/>
        <w:rPr>
          <w:rFonts w:ascii="Arial" w:hAnsi="Arial" w:cs="Arial"/>
        </w:rPr>
      </w:pPr>
      <w:hyperlink r:id="rId9">
        <w:r w:rsidRPr="001C4A58">
          <w:rPr>
            <w:rFonts w:ascii="Arial" w:hAnsi="Arial" w:cs="Arial"/>
            <w:color w:val="0563C1"/>
            <w:u w:val="single"/>
          </w:rPr>
          <w:t>https://intranet.uwtsd.ac.uk/sites/intranet/files/2023-10/Harvard%20en_v.1.3%20%28V6%29.pdf</w:t>
        </w:r>
      </w:hyperlink>
    </w:p>
    <w:p w14:paraId="630BDF46" w14:textId="77777777" w:rsidR="00FC6DFA" w:rsidRPr="001C4A58" w:rsidRDefault="009F1B79">
      <w:pPr>
        <w:spacing w:before="240" w:after="60"/>
        <w:ind w:right="237"/>
        <w:jc w:val="both"/>
        <w:rPr>
          <w:rFonts w:ascii="Arial" w:hAnsi="Arial" w:cs="Arial"/>
          <w:color w:val="000000"/>
        </w:rPr>
      </w:pPr>
      <w:r w:rsidRPr="001C4A58">
        <w:rPr>
          <w:rFonts w:ascii="Arial" w:hAnsi="Arial" w:cs="Arial"/>
          <w:color w:val="000000"/>
        </w:rPr>
        <w:t>A copy is also available on Moodle.</w:t>
      </w:r>
    </w:p>
    <w:p w14:paraId="6E191CA1" w14:textId="77777777" w:rsidR="00D03E38" w:rsidRDefault="00D03E38" w:rsidP="0003709D">
      <w:pPr>
        <w:pStyle w:val="NormalWeb"/>
        <w:spacing w:line="360" w:lineRule="auto"/>
      </w:pPr>
    </w:p>
    <w:p w14:paraId="452FF529" w14:textId="5AE06896" w:rsidR="0003709D" w:rsidRPr="002707D0" w:rsidRDefault="0003709D" w:rsidP="0003709D">
      <w:pPr>
        <w:pStyle w:val="NormalWeb"/>
        <w:spacing w:line="360" w:lineRule="auto"/>
        <w:rPr>
          <w:b/>
          <w:bCs/>
        </w:rPr>
      </w:pPr>
      <w:r>
        <w:t xml:space="preserve">Abbe, A. and Brandon, S.E. (2014) ‘Building and maintaining rapport in investigative interviews’, </w:t>
      </w:r>
      <w:r>
        <w:rPr>
          <w:rStyle w:val="Emphasis"/>
          <w:rFonts w:eastAsiaTheme="majorEastAsia"/>
        </w:rPr>
        <w:t>Police Practice and Research</w:t>
      </w:r>
      <w:r>
        <w:t xml:space="preserve">, 15(3), pp. 207–220. doi: </w:t>
      </w:r>
      <w:r>
        <w:rPr>
          <w:rStyle w:val="Strong"/>
          <w:b w:val="0"/>
          <w:bCs w:val="0"/>
        </w:rPr>
        <w:t>10.1080/15614263.2013.827835</w:t>
      </w:r>
    </w:p>
    <w:p w14:paraId="5BDD0E6B" w14:textId="77777777" w:rsidR="0003709D" w:rsidRPr="002707D0" w:rsidRDefault="0003709D" w:rsidP="0003709D">
      <w:pPr>
        <w:pStyle w:val="NormalWeb"/>
        <w:spacing w:line="360" w:lineRule="auto"/>
      </w:pPr>
      <w:r>
        <w:t xml:space="preserve">Ask, K. and Granhag, P.A. (2005) ‘Motivational sources of confirmation bias in criminal investigations: The need for cognitive closure’, </w:t>
      </w:r>
      <w:r>
        <w:rPr>
          <w:rStyle w:val="Emphasis"/>
          <w:rFonts w:eastAsiaTheme="majorEastAsia"/>
        </w:rPr>
        <w:t>Journal of Investigative Psychology and Offender Profiling</w:t>
      </w:r>
      <w:r>
        <w:t>, 2(1), pp. 43–63. doi:10.1002/jip.19</w:t>
      </w:r>
    </w:p>
    <w:p w14:paraId="4A7F079F" w14:textId="77777777" w:rsidR="0003709D" w:rsidRPr="002707D0" w:rsidRDefault="0003709D" w:rsidP="0003709D">
      <w:pPr>
        <w:spacing w:before="100" w:beforeAutospacing="1" w:after="100" w:afterAutospacing="1"/>
        <w:rPr>
          <w:color w:val="000000"/>
          <w:lang w:eastAsia="en-GB"/>
        </w:rPr>
      </w:pPr>
      <w:r>
        <w:rPr>
          <w:color w:val="000000"/>
          <w:lang w:eastAsia="en-GB"/>
        </w:rPr>
        <w:t>Ashworth, A. (2013) </w:t>
      </w:r>
      <w:r>
        <w:rPr>
          <w:i/>
          <w:iCs/>
          <w:color w:val="000000"/>
          <w:lang w:eastAsia="en-GB"/>
        </w:rPr>
        <w:t>Principles of Criminal Law</w:t>
      </w:r>
      <w:r>
        <w:rPr>
          <w:color w:val="000000"/>
          <w:lang w:eastAsia="en-GB"/>
        </w:rPr>
        <w:t>. 7th edn. Oxford: Oxford University Press.</w:t>
      </w:r>
    </w:p>
    <w:p w14:paraId="0654360F" w14:textId="77777777" w:rsidR="0003709D" w:rsidRPr="002707D0" w:rsidRDefault="0003709D" w:rsidP="0003709D">
      <w:pPr>
        <w:spacing w:before="100" w:beforeAutospacing="1" w:after="100" w:afterAutospacing="1"/>
        <w:rPr>
          <w:color w:val="000000"/>
          <w:lang w:eastAsia="en-GB"/>
        </w:rPr>
      </w:pPr>
      <w:r>
        <w:rPr>
          <w:color w:val="000000"/>
          <w:lang w:eastAsia="en-GB"/>
        </w:rPr>
        <w:t>Attorney General’s Office (2022) </w:t>
      </w:r>
      <w:r>
        <w:rPr>
          <w:i/>
          <w:iCs/>
          <w:color w:val="000000"/>
          <w:lang w:eastAsia="en-GB"/>
        </w:rPr>
        <w:t>Attorney General’s Guidelines on Disclosure 2022</w:t>
      </w:r>
      <w:r>
        <w:rPr>
          <w:color w:val="000000"/>
          <w:lang w:eastAsia="en-GB"/>
        </w:rPr>
        <w:t>. Available at: https://www.gov.uk/government/publications/attorney-generals-guidelines-on-disclosure (Accessed: 24 February 2026; 30 March 2026).</w:t>
      </w:r>
    </w:p>
    <w:p w14:paraId="67AA8203" w14:textId="77777777" w:rsidR="0003709D" w:rsidRPr="002707D0" w:rsidRDefault="0003709D" w:rsidP="0003709D">
      <w:pPr>
        <w:spacing w:before="100" w:beforeAutospacing="1" w:after="100" w:afterAutospacing="1"/>
      </w:pPr>
      <w:r>
        <w:t xml:space="preserve">Attorney General’s Office (2025) </w:t>
      </w:r>
      <w:r>
        <w:rPr>
          <w:rStyle w:val="Emphasis"/>
        </w:rPr>
        <w:t>Disclosure in the digital age: The independent review of disclosure and fraud offences</w:t>
      </w:r>
      <w:r>
        <w:t xml:space="preserve">. London: Attorney General’s Office. Available at: </w:t>
      </w:r>
      <w:hyperlink r:id="rId10" w:tgtFrame="_new" w:history="1">
        <w:r>
          <w:rPr>
            <w:rStyle w:val="Hyperlink"/>
          </w:rPr>
          <w:t>https://www.gov.uk/government/publications/independent-review-of-disclosure-and-fraud-offences</w:t>
        </w:r>
      </w:hyperlink>
      <w:r>
        <w:t xml:space="preserve"> (Accessed: 30 March 2026).</w:t>
      </w:r>
    </w:p>
    <w:p w14:paraId="134A9F82" w14:textId="77777777" w:rsidR="0003709D" w:rsidRPr="002707D0" w:rsidRDefault="0003709D" w:rsidP="0003709D">
      <w:pPr>
        <w:pStyle w:val="NormalWeb"/>
        <w:spacing w:line="360" w:lineRule="auto"/>
      </w:pPr>
      <w:r>
        <w:t xml:space="preserve">Boulton, L. and Cole, J. (2016) ‘Adaptive flexibility: Examining the role of expertise in the decision making of authorised firearms officers during armed confrontation’, </w:t>
      </w:r>
      <w:r>
        <w:rPr>
          <w:rStyle w:val="Emphasis"/>
          <w:rFonts w:eastAsiaTheme="majorEastAsia"/>
        </w:rPr>
        <w:t>Journal of Cognitive Engineering and Decision Making</w:t>
      </w:r>
      <w:r>
        <w:t>, 10(3), pp. 291–308. doi:10.1177/1555343416646684</w:t>
      </w:r>
    </w:p>
    <w:p w14:paraId="30D5FFB7" w14:textId="77777777" w:rsidR="0003709D" w:rsidRPr="002707D0" w:rsidRDefault="0003709D" w:rsidP="0003709D">
      <w:pPr>
        <w:spacing w:before="100" w:beforeAutospacing="1" w:after="100" w:afterAutospacing="1"/>
        <w:rPr>
          <w:color w:val="000000"/>
          <w:lang w:eastAsia="en-GB"/>
        </w:rPr>
      </w:pPr>
      <w:r>
        <w:rPr>
          <w:color w:val="000000"/>
          <w:lang w:eastAsia="en-GB"/>
        </w:rPr>
        <w:t>Brewin, C.R. (2014) ‘Episodic memory and PTSD’, </w:t>
      </w:r>
      <w:r>
        <w:rPr>
          <w:i/>
          <w:iCs/>
          <w:color w:val="000000"/>
          <w:lang w:eastAsia="en-GB"/>
        </w:rPr>
        <w:t>Psychological Bulletin</w:t>
      </w:r>
      <w:r>
        <w:rPr>
          <w:color w:val="000000"/>
          <w:lang w:eastAsia="en-GB"/>
        </w:rPr>
        <w:t>, 140(1), pp. 69–97.</w:t>
      </w:r>
      <w:r>
        <w:t xml:space="preserve"> doi:10.1037/a0033722</w:t>
      </w:r>
    </w:p>
    <w:p w14:paraId="1CBFDFE2" w14:textId="77777777" w:rsidR="0003709D" w:rsidRPr="002707D0" w:rsidRDefault="0003709D" w:rsidP="0003709D">
      <w:pPr>
        <w:pStyle w:val="NormalWeb"/>
        <w:spacing w:line="360" w:lineRule="auto"/>
      </w:pPr>
      <w:r>
        <w:lastRenderedPageBreak/>
        <w:t xml:space="preserve">Brouillard, C., Gabbert, F. and Scott A.J. (2024) ‘Addressing current issues in assessing professional rapport: A systematic review and synthesis of existing measures’, </w:t>
      </w:r>
      <w:r>
        <w:rPr>
          <w:rStyle w:val="Emphasis"/>
          <w:rFonts w:eastAsiaTheme="majorEastAsia"/>
        </w:rPr>
        <w:t>Applied Cognitive Psychology</w:t>
      </w:r>
      <w:r>
        <w:t>, 38(3), e4205. doi:10.1002/acp.4205</w:t>
      </w:r>
    </w:p>
    <w:p w14:paraId="07FC90C2" w14:textId="77777777" w:rsidR="0003709D" w:rsidRPr="002707D0" w:rsidRDefault="0003709D" w:rsidP="0003709D">
      <w:pPr>
        <w:spacing w:before="100" w:beforeAutospacing="1" w:after="100" w:afterAutospacing="1"/>
        <w:rPr>
          <w:color w:val="000000"/>
          <w:lang w:eastAsia="en-GB"/>
        </w:rPr>
      </w:pPr>
      <w:r>
        <w:rPr>
          <w:color w:val="000000"/>
          <w:lang w:eastAsia="en-GB"/>
        </w:rPr>
        <w:t>Brown, I. (2018) </w:t>
      </w:r>
      <w:r>
        <w:rPr>
          <w:i/>
          <w:iCs/>
          <w:color w:val="000000"/>
          <w:lang w:eastAsia="en-GB"/>
        </w:rPr>
        <w:t>Regulating Code: Good Governance and Better Regulation in the Information Age</w:t>
      </w:r>
      <w:r>
        <w:rPr>
          <w:color w:val="000000"/>
          <w:lang w:eastAsia="en-GB"/>
        </w:rPr>
        <w:t>. Cambridge, MA: MIT Press.</w:t>
      </w:r>
    </w:p>
    <w:p w14:paraId="7F4A2A08" w14:textId="77777777" w:rsidR="0003709D" w:rsidRDefault="0003709D" w:rsidP="0003709D">
      <w:pPr>
        <w:spacing w:before="100" w:beforeAutospacing="1" w:after="100" w:afterAutospacing="1"/>
      </w:pPr>
      <w:r>
        <w:rPr>
          <w:color w:val="000000"/>
          <w:lang w:eastAsia="en-GB"/>
        </w:rPr>
        <w:t>Bull, R. (2010) ‘The investigative interviewing of children and other vulnerable witnesses’, </w:t>
      </w:r>
      <w:r>
        <w:rPr>
          <w:i/>
          <w:iCs/>
          <w:color w:val="000000"/>
          <w:lang w:eastAsia="en-GB"/>
        </w:rPr>
        <w:t>Legal and Criminological Psychology</w:t>
      </w:r>
      <w:r>
        <w:rPr>
          <w:color w:val="000000"/>
          <w:lang w:eastAsia="en-GB"/>
        </w:rPr>
        <w:t>, 15(1), pp. 5–23.</w:t>
      </w:r>
      <w:r>
        <w:t xml:space="preserve"> doi:10.1348/135532509X441891</w:t>
      </w:r>
    </w:p>
    <w:p w14:paraId="53982AC3" w14:textId="223269ED" w:rsidR="0073605B" w:rsidRPr="00A67BEC" w:rsidRDefault="0073605B" w:rsidP="0003709D">
      <w:pPr>
        <w:spacing w:before="100" w:beforeAutospacing="1" w:after="100" w:afterAutospacing="1"/>
        <w:rPr>
          <w:color w:val="000000"/>
          <w:lang w:eastAsia="en-GB"/>
        </w:rPr>
      </w:pPr>
      <w:r>
        <w:t xml:space="preserve">Bull, R. (2014) </w:t>
      </w:r>
      <w:r>
        <w:rPr>
          <w:i/>
          <w:iCs/>
        </w:rPr>
        <w:t xml:space="preserve">Investigative Interviewing. </w:t>
      </w:r>
      <w:r>
        <w:t>New York: Springer.</w:t>
      </w:r>
    </w:p>
    <w:p w14:paraId="5B3B60A7" w14:textId="77777777" w:rsidR="0003709D" w:rsidRPr="002707D0" w:rsidRDefault="0003709D" w:rsidP="0003709D">
      <w:pPr>
        <w:pStyle w:val="isselectedend"/>
        <w:spacing w:line="360" w:lineRule="auto"/>
      </w:pPr>
      <w:r>
        <w:t xml:space="preserve">Bull, R. and Milne, R. (2004) ‘Attempts to improve the police interviewing of suspects’, </w:t>
      </w:r>
      <w:r>
        <w:rPr>
          <w:rStyle w:val="Emphasis"/>
          <w:rFonts w:eastAsiaTheme="majorEastAsia"/>
        </w:rPr>
        <w:t>Policing and Society</w:t>
      </w:r>
      <w:r>
        <w:t>, 14(3), pp. 181–195. doi:10.1080/1043946042000241828</w:t>
      </w:r>
    </w:p>
    <w:p w14:paraId="0FF7C827" w14:textId="77777777" w:rsidR="0003709D" w:rsidRPr="002707D0" w:rsidRDefault="0003709D" w:rsidP="0003709D">
      <w:pPr>
        <w:spacing w:before="100" w:beforeAutospacing="1" w:after="100" w:afterAutospacing="1"/>
        <w:rPr>
          <w:color w:val="000000"/>
          <w:lang w:eastAsia="en-GB"/>
        </w:rPr>
      </w:pPr>
      <w:r>
        <w:rPr>
          <w:color w:val="000000"/>
          <w:lang w:eastAsia="en-GB"/>
        </w:rPr>
        <w:t>Butterfield, R., Edwards, C. and Woodall, J. (2005) ‘The new public management and managerial roles: the case of the police sergeant’, </w:t>
      </w:r>
      <w:r>
        <w:rPr>
          <w:i/>
          <w:iCs/>
          <w:color w:val="000000"/>
          <w:lang w:eastAsia="en-GB"/>
        </w:rPr>
        <w:t>British Journal of Management</w:t>
      </w:r>
      <w:r>
        <w:rPr>
          <w:color w:val="000000"/>
          <w:lang w:eastAsia="en-GB"/>
        </w:rPr>
        <w:t>, 16(4), pp. 329–341. Available at: https://onlinelibrary.wiley.com/doi/abs/10.1111/j.1467-8551.2005.00466.x (Accessed: 27 February 2026).</w:t>
      </w:r>
    </w:p>
    <w:p w14:paraId="2FC63FB5" w14:textId="77777777" w:rsidR="0003709D" w:rsidRPr="002707D0" w:rsidRDefault="0003709D" w:rsidP="0003709D">
      <w:pPr>
        <w:pStyle w:val="NormalWeb"/>
        <w:spacing w:line="360" w:lineRule="auto"/>
      </w:pPr>
      <w:r>
        <w:t xml:space="preserve">Chan, J. (1997) </w:t>
      </w:r>
      <w:r>
        <w:rPr>
          <w:rStyle w:val="Emphasis"/>
          <w:rFonts w:eastAsiaTheme="majorEastAsia"/>
        </w:rPr>
        <w:t>Changing police culture: Policing in a multicultural society</w:t>
      </w:r>
      <w:r>
        <w:t>. Cambridge: Cambridge University Press.</w:t>
      </w:r>
    </w:p>
    <w:p w14:paraId="6386DDCA" w14:textId="77777777" w:rsidR="0003709D" w:rsidRPr="002707D0" w:rsidRDefault="0003709D" w:rsidP="0003709D">
      <w:pPr>
        <w:spacing w:before="100" w:beforeAutospacing="1" w:after="100" w:afterAutospacing="1"/>
        <w:rPr>
          <w:color w:val="000000"/>
          <w:lang w:eastAsia="en-GB"/>
        </w:rPr>
      </w:pPr>
      <w:r>
        <w:rPr>
          <w:color w:val="000000"/>
          <w:lang w:eastAsia="en-GB"/>
        </w:rPr>
        <w:t>Cockcroft, T. (2013) </w:t>
      </w:r>
      <w:r>
        <w:rPr>
          <w:i/>
          <w:iCs/>
          <w:color w:val="000000"/>
          <w:lang w:eastAsia="en-GB"/>
        </w:rPr>
        <w:t>Police Culture: Themes and Concepts</w:t>
      </w:r>
      <w:r>
        <w:rPr>
          <w:color w:val="000000"/>
          <w:lang w:eastAsia="en-GB"/>
        </w:rPr>
        <w:t>. London: Routledge.</w:t>
      </w:r>
    </w:p>
    <w:p w14:paraId="47F782D2" w14:textId="641FE4FC" w:rsidR="0003709D" w:rsidRDefault="0003709D" w:rsidP="0003709D">
      <w:pPr>
        <w:spacing w:before="100" w:beforeAutospacing="1" w:after="100" w:afterAutospacing="1"/>
        <w:rPr>
          <w:color w:val="000000"/>
          <w:lang w:eastAsia="en-GB"/>
        </w:rPr>
      </w:pPr>
      <w:r>
        <w:rPr>
          <w:color w:val="000000"/>
          <w:lang w:eastAsia="en-GB"/>
        </w:rPr>
        <w:t>College of Policing (2021) </w:t>
      </w:r>
      <w:r>
        <w:rPr>
          <w:i/>
          <w:iCs/>
          <w:color w:val="000000"/>
          <w:lang w:eastAsia="en-GB"/>
        </w:rPr>
        <w:t>Authorised Professional Practice: Victims and Witnesses</w:t>
      </w:r>
      <w:r>
        <w:rPr>
          <w:color w:val="000000"/>
          <w:lang w:eastAsia="en-GB"/>
        </w:rPr>
        <w:t>. Available at: https://www.college.police.uk/app/investigation/investigation-process#victim-and-witnesses-a6c2da45-b535-464c-8929-237616b135de (Accessed: 29 March 2026, 30 April 2026).</w:t>
      </w:r>
    </w:p>
    <w:p w14:paraId="1560CFBA" w14:textId="1EE38AEC" w:rsidR="000359AD" w:rsidRPr="002707D0" w:rsidRDefault="000359AD" w:rsidP="000359AD">
      <w:pPr>
        <w:pStyle w:val="NormalWeb"/>
        <w:spacing w:line="360" w:lineRule="auto"/>
      </w:pPr>
      <w:r>
        <w:t xml:space="preserve">College of Policing (2022) </w:t>
      </w:r>
      <w:r>
        <w:rPr>
          <w:rStyle w:val="Emphasis"/>
          <w:rFonts w:eastAsiaTheme="majorEastAsia"/>
        </w:rPr>
        <w:t>Investigative interviewing</w:t>
      </w:r>
      <w:r>
        <w:t xml:space="preserve">. Available at: </w:t>
      </w:r>
      <w:hyperlink r:id="rId11" w:history="1">
        <w:r>
          <w:rPr>
            <w:rStyle w:val="Hyperlink"/>
          </w:rPr>
          <w:t>https://www.college.police.uk/app/investigation/investigative-interviewing/investigative-interviewing</w:t>
        </w:r>
      </w:hyperlink>
      <w:r>
        <w:t xml:space="preserve"> (Accessed: 2 April 2026</w:t>
      </w:r>
      <w:r w:rsidR="00964BEC">
        <w:t xml:space="preserve">; </w:t>
      </w:r>
      <w:r>
        <w:t>30 April 2026).</w:t>
      </w:r>
    </w:p>
    <w:p w14:paraId="7D629677" w14:textId="7EB2B619" w:rsidR="0003709D" w:rsidRDefault="0003709D" w:rsidP="0003709D">
      <w:pPr>
        <w:spacing w:before="100" w:beforeAutospacing="1" w:after="100" w:afterAutospacing="1"/>
        <w:rPr>
          <w:color w:val="000000"/>
          <w:lang w:eastAsia="en-GB"/>
        </w:rPr>
      </w:pPr>
      <w:r>
        <w:rPr>
          <w:color w:val="000000"/>
          <w:lang w:eastAsia="en-GB"/>
        </w:rPr>
        <w:lastRenderedPageBreak/>
        <w:t>College of Policing (2023a) </w:t>
      </w:r>
      <w:r>
        <w:rPr>
          <w:i/>
          <w:iCs/>
          <w:color w:val="000000"/>
          <w:lang w:eastAsia="en-GB"/>
        </w:rPr>
        <w:t>Authorised Professional Practice: Investigation</w:t>
      </w:r>
      <w:r>
        <w:rPr>
          <w:color w:val="000000"/>
          <w:lang w:eastAsia="en-GB"/>
        </w:rPr>
        <w:t>. Available at: https://www.college.police.uk/app/investigation (Accessed: 23 February 2026; 30 March 2026 30 April 2026).</w:t>
      </w:r>
    </w:p>
    <w:p w14:paraId="5E73F4E0" w14:textId="33D49253" w:rsidR="00C55048" w:rsidRPr="002707D0" w:rsidRDefault="00C55048" w:rsidP="0003709D">
      <w:pPr>
        <w:spacing w:before="100" w:beforeAutospacing="1" w:after="100" w:afterAutospacing="1"/>
        <w:rPr>
          <w:color w:val="000000"/>
          <w:lang w:eastAsia="en-GB"/>
        </w:rPr>
      </w:pPr>
      <w:r>
        <w:rPr>
          <w:color w:val="000000"/>
          <w:lang w:eastAsia="en-GB"/>
        </w:rPr>
        <w:t xml:space="preserve">College of Policing (2023b) Investigative Interviewing: The PEACE Framework. Available at: </w:t>
      </w:r>
      <w:hyperlink r:id="rId12" w:anchor="peace-model" w:history="1">
        <w:r>
          <w:rPr>
            <w:rStyle w:val="Hyperlink"/>
            <w:lang w:eastAsia="en-GB"/>
          </w:rPr>
          <w:t>https://www.college.police.uk/app/investigation/investigative-interviewing/investigative-interviewing#peace-model</w:t>
        </w:r>
      </w:hyperlink>
      <w:r>
        <w:rPr>
          <w:color w:val="000000"/>
          <w:lang w:eastAsia="en-GB"/>
        </w:rPr>
        <w:t xml:space="preserve"> (Accessed</w:t>
      </w:r>
      <w:r w:rsidR="00995720">
        <w:rPr>
          <w:color w:val="000000"/>
          <w:lang w:eastAsia="en-GB"/>
        </w:rPr>
        <w:t>:</w:t>
      </w:r>
      <w:r>
        <w:rPr>
          <w:color w:val="000000"/>
          <w:lang w:eastAsia="en-GB"/>
        </w:rPr>
        <w:t xml:space="preserve"> 23 February 2026) .</w:t>
      </w:r>
    </w:p>
    <w:p w14:paraId="18E9FC3B" w14:textId="77777777" w:rsidR="0003709D" w:rsidRPr="00A328F7" w:rsidRDefault="0003709D" w:rsidP="0003709D">
      <w:pPr>
        <w:spacing w:before="100" w:beforeAutospacing="1" w:after="100" w:afterAutospacing="1"/>
        <w:rPr>
          <w:color w:val="000000"/>
          <w:lang w:eastAsia="en-GB"/>
        </w:rPr>
      </w:pPr>
      <w:r>
        <w:rPr>
          <w:color w:val="000000"/>
          <w:lang w:eastAsia="en-GB"/>
        </w:rPr>
        <w:t>Criminal Justice Act 2003. Available at: https://www.legislation.gov.uk/ukpga/2003/44/contents (Accessed: 19 February 2026).</w:t>
      </w:r>
    </w:p>
    <w:p w14:paraId="6D4A0001" w14:textId="77777777" w:rsidR="0003709D" w:rsidRDefault="0003709D" w:rsidP="0003709D">
      <w:pPr>
        <w:spacing w:before="100" w:beforeAutospacing="1" w:after="100" w:afterAutospacing="1"/>
        <w:rPr>
          <w:color w:val="000000"/>
          <w:lang w:eastAsia="en-GB"/>
        </w:rPr>
      </w:pPr>
      <w:r>
        <w:rPr>
          <w:color w:val="000000"/>
          <w:lang w:eastAsia="en-GB"/>
        </w:rPr>
        <w:t>Communications Act 2003. Available at: https://www.legislation.gov.uk/ukpga/2003/21/contents (Accessed: 24 April 2026).</w:t>
      </w:r>
    </w:p>
    <w:p w14:paraId="0143EB3D" w14:textId="262F66C8" w:rsidR="00A328F7" w:rsidRPr="00A328F7" w:rsidRDefault="00A328F7" w:rsidP="0003709D">
      <w:pPr>
        <w:spacing w:before="100" w:beforeAutospacing="1" w:after="100" w:afterAutospacing="1"/>
        <w:rPr>
          <w:color w:val="000000"/>
          <w:lang w:eastAsia="en-GB"/>
        </w:rPr>
      </w:pPr>
      <w:r>
        <w:rPr>
          <w:rStyle w:val="Emphasis"/>
          <w:i w:val="0"/>
          <w:iCs w:val="0"/>
        </w:rPr>
        <w:t>Criminal Procedure (Attendance of Witnesses) Act 1965, c. 69</w:t>
      </w:r>
      <w:r>
        <w:rPr>
          <w:i/>
          <w:iCs/>
        </w:rPr>
        <w:t>.</w:t>
      </w:r>
      <w:r>
        <w:t xml:space="preserve"> Available at: </w:t>
      </w:r>
      <w:hyperlink r:id="rId13" w:history="1">
        <w:r>
          <w:rPr>
            <w:rStyle w:val="Hyperlink"/>
          </w:rPr>
          <w:t>https://www.legislation.gov.uk/ukpga/1965/69</w:t>
        </w:r>
      </w:hyperlink>
      <w:r>
        <w:t xml:space="preserve"> (Accessed: 24 April 2026).</w:t>
      </w:r>
    </w:p>
    <w:p w14:paraId="637E158F" w14:textId="77777777" w:rsidR="0003709D" w:rsidRPr="002707D0" w:rsidRDefault="0003709D" w:rsidP="0003709D">
      <w:pPr>
        <w:spacing w:before="100" w:beforeAutospacing="1" w:after="100" w:afterAutospacing="1"/>
        <w:rPr>
          <w:color w:val="000000"/>
          <w:lang w:eastAsia="en-GB"/>
        </w:rPr>
      </w:pPr>
      <w:r>
        <w:rPr>
          <w:color w:val="000000"/>
          <w:lang w:eastAsia="en-GB"/>
        </w:rPr>
        <w:t>Criminal Procedure and Investigations Act 1996. Available at: https://www.legislation.gov.uk/ukpga/1996/25/contents (Accessed: 19 February 2026; 30 March 2026).</w:t>
      </w:r>
    </w:p>
    <w:p w14:paraId="770DFCA4" w14:textId="77777777" w:rsidR="0003709D" w:rsidRPr="002707D0" w:rsidRDefault="0003709D" w:rsidP="0003709D">
      <w:pPr>
        <w:spacing w:before="100" w:beforeAutospacing="1" w:after="100" w:afterAutospacing="1"/>
        <w:rPr>
          <w:color w:val="000000"/>
          <w:lang w:eastAsia="en-GB"/>
        </w:rPr>
      </w:pPr>
      <w:r>
        <w:rPr>
          <w:color w:val="000000"/>
          <w:lang w:eastAsia="en-GB"/>
        </w:rPr>
        <w:t>Crown Prosecution Service (2022) </w:t>
      </w:r>
      <w:r>
        <w:rPr>
          <w:i/>
          <w:iCs/>
          <w:color w:val="000000"/>
          <w:lang w:eastAsia="en-GB"/>
        </w:rPr>
        <w:t>Domestic Abuse: Policy Statement</w:t>
      </w:r>
      <w:r>
        <w:rPr>
          <w:color w:val="000000"/>
          <w:lang w:eastAsia="en-GB"/>
        </w:rPr>
        <w:t>. Available at: https://www.cps.gov.uk/publication/domestic-abuse-policy-statement (Accessed: 29 March 2026).</w:t>
      </w:r>
    </w:p>
    <w:p w14:paraId="6EA21CC8" w14:textId="7517CF41" w:rsidR="0003709D" w:rsidRPr="002707D0" w:rsidRDefault="0003709D" w:rsidP="0003709D">
      <w:pPr>
        <w:spacing w:before="100" w:beforeAutospacing="1" w:after="100" w:afterAutospacing="1"/>
        <w:rPr>
          <w:color w:val="000000"/>
          <w:lang w:eastAsia="en-GB"/>
        </w:rPr>
      </w:pPr>
      <w:r>
        <w:rPr>
          <w:color w:val="000000"/>
          <w:lang w:eastAsia="en-GB"/>
        </w:rPr>
        <w:t>Crown Prosecution Service (2023a) </w:t>
      </w:r>
      <w:r>
        <w:rPr>
          <w:i/>
          <w:iCs/>
          <w:color w:val="000000"/>
          <w:lang w:eastAsia="en-GB"/>
        </w:rPr>
        <w:t>Domestic abuse guidelines for prosecutors</w:t>
      </w:r>
      <w:r>
        <w:rPr>
          <w:color w:val="000000"/>
          <w:lang w:eastAsia="en-GB"/>
        </w:rPr>
        <w:t>. Available at: https://www.cps.gov.uk/legal-guidance/domestic-abuse-guidelines-prosecutors (Accessed: 25 February 2026).</w:t>
      </w:r>
    </w:p>
    <w:p w14:paraId="5C371293" w14:textId="2D76F9D9" w:rsidR="0003709D" w:rsidRPr="002707D0" w:rsidRDefault="0003709D" w:rsidP="0003709D">
      <w:pPr>
        <w:spacing w:before="100" w:beforeAutospacing="1" w:after="100" w:afterAutospacing="1"/>
        <w:rPr>
          <w:color w:val="000000"/>
          <w:lang w:eastAsia="en-GB"/>
        </w:rPr>
      </w:pPr>
      <w:r>
        <w:rPr>
          <w:color w:val="000000"/>
          <w:lang w:eastAsia="en-GB"/>
        </w:rPr>
        <w:t>Crown Prosecution Service (2023b) </w:t>
      </w:r>
      <w:r>
        <w:rPr>
          <w:i/>
          <w:iCs/>
          <w:color w:val="000000"/>
          <w:lang w:eastAsia="en-GB"/>
        </w:rPr>
        <w:t>The Code for Crown Prosecutors</w:t>
      </w:r>
      <w:r>
        <w:rPr>
          <w:color w:val="000000"/>
          <w:lang w:eastAsia="en-GB"/>
        </w:rPr>
        <w:t>. Available at: https://www.cps.gov.uk/publication/code-crown-prosecutors (Accessed: 24 February 2026).</w:t>
      </w:r>
    </w:p>
    <w:p w14:paraId="47D07D39" w14:textId="485BB40D" w:rsidR="0003709D" w:rsidRPr="002707D0" w:rsidRDefault="0003709D" w:rsidP="0003709D">
      <w:pPr>
        <w:spacing w:before="100" w:beforeAutospacing="1" w:after="100" w:afterAutospacing="1"/>
        <w:rPr>
          <w:color w:val="000000"/>
          <w:lang w:eastAsia="en-GB"/>
        </w:rPr>
      </w:pPr>
      <w:r>
        <w:rPr>
          <w:color w:val="000000"/>
          <w:lang w:eastAsia="en-GB"/>
        </w:rPr>
        <w:t>Crown Prosecution Service (2023c) </w:t>
      </w:r>
      <w:r>
        <w:rPr>
          <w:i/>
          <w:iCs/>
          <w:color w:val="000000"/>
          <w:lang w:eastAsia="en-GB"/>
        </w:rPr>
        <w:t>Violence against women and girls report 2022–2023</w:t>
      </w:r>
      <w:r>
        <w:rPr>
          <w:color w:val="000000"/>
          <w:lang w:eastAsia="en-GB"/>
        </w:rPr>
        <w:t>. Available at: https://www.cps.gov.uk/publication/violence-against-women-and-girls-report (Accessed: 26 February 2026).</w:t>
      </w:r>
    </w:p>
    <w:p w14:paraId="2460DC29" w14:textId="77777777" w:rsidR="0003709D" w:rsidRPr="002707D0" w:rsidRDefault="0003709D" w:rsidP="0003709D">
      <w:pPr>
        <w:spacing w:before="100" w:beforeAutospacing="1" w:after="100" w:afterAutospacing="1"/>
        <w:rPr>
          <w:color w:val="000000"/>
          <w:lang w:eastAsia="en-GB"/>
        </w:rPr>
      </w:pPr>
      <w:r>
        <w:rPr>
          <w:color w:val="000000"/>
          <w:lang w:eastAsia="en-GB"/>
        </w:rPr>
        <w:lastRenderedPageBreak/>
        <w:t>Crown Prosecution Service (2025) </w:t>
      </w:r>
      <w:r>
        <w:rPr>
          <w:i/>
          <w:iCs/>
          <w:color w:val="000000"/>
          <w:lang w:eastAsia="en-GB"/>
        </w:rPr>
        <w:t>Disclosure of evidence in criminal cases</w:t>
      </w:r>
      <w:r>
        <w:rPr>
          <w:color w:val="000000"/>
          <w:lang w:eastAsia="en-GB"/>
        </w:rPr>
        <w:t>. Available at: https://www.cps.gov.uk/about-cps/disclosure (Accessed: 23 February 2026).</w:t>
      </w:r>
    </w:p>
    <w:p w14:paraId="32EACC50" w14:textId="77777777" w:rsidR="0003709D" w:rsidRDefault="0003709D" w:rsidP="0003709D">
      <w:pPr>
        <w:spacing w:before="100" w:beforeAutospacing="1" w:after="100" w:afterAutospacing="1"/>
        <w:rPr>
          <w:color w:val="000000"/>
          <w:lang w:eastAsia="en-GB"/>
        </w:rPr>
      </w:pPr>
      <w:r>
        <w:rPr>
          <w:color w:val="000000"/>
          <w:lang w:eastAsia="en-GB"/>
        </w:rPr>
        <w:t>Daniel Morgan Independent Panel (2021) </w:t>
      </w:r>
      <w:r>
        <w:rPr>
          <w:i/>
          <w:iCs/>
          <w:color w:val="000000"/>
          <w:lang w:eastAsia="en-GB"/>
        </w:rPr>
        <w:t>The Report of the Daniel Morgan Independent Panel</w:t>
      </w:r>
      <w:r>
        <w:rPr>
          <w:color w:val="000000"/>
          <w:lang w:eastAsia="en-GB"/>
        </w:rPr>
        <w:t>. Volume 1. London: Home Office. Available at: https://assets.publishing.service.gov.uk/media/60c89983d3bf7f4bd4662c62/</w:t>
      </w:r>
      <w:r>
        <w:rPr>
          <w:i/>
          <w:iCs/>
          <w:color w:val="000000"/>
          <w:lang w:eastAsia="en-GB"/>
        </w:rPr>
        <w:t>HC_11-I</w:t>
      </w:r>
      <w:r>
        <w:rPr>
          <w:color w:val="000000"/>
          <w:lang w:eastAsia="en-GB"/>
        </w:rPr>
        <w:t>_-</w:t>
      </w:r>
      <w:r>
        <w:rPr>
          <w:i/>
          <w:iCs/>
          <w:color w:val="000000"/>
          <w:lang w:eastAsia="en-GB"/>
        </w:rPr>
        <w:t>The_Report_of_the_Daniel_Morgan_Independent_Panel__Volume_1</w:t>
      </w:r>
      <w:r>
        <w:rPr>
          <w:color w:val="000000"/>
          <w:lang w:eastAsia="en-GB"/>
        </w:rPr>
        <w:t>.pdf (Accessed: 24 February 2026).</w:t>
      </w:r>
    </w:p>
    <w:p w14:paraId="267C6549" w14:textId="61BFBA18" w:rsidR="00DC3BD9" w:rsidRPr="00DC3BD9" w:rsidRDefault="00DC3BD9" w:rsidP="0003709D">
      <w:pPr>
        <w:spacing w:before="100" w:beforeAutospacing="1" w:after="100" w:afterAutospacing="1"/>
        <w:rPr>
          <w:color w:val="000000"/>
          <w:lang w:eastAsia="en-GB"/>
        </w:rPr>
      </w:pPr>
      <w:r>
        <w:t xml:space="preserve">Director of Public Prosecutions v Collins [2006] UKHL 40. Available at: </w:t>
      </w:r>
      <w:hyperlink r:id="rId14" w:history="1">
        <w:r>
          <w:rPr>
            <w:color w:val="0000FF"/>
            <w:u w:val="single"/>
          </w:rPr>
          <w:t>https://www.bailii.org/uk/cases/UKHL/2006/40.html</w:t>
        </w:r>
      </w:hyperlink>
      <w:r>
        <w:t xml:space="preserve"> (Accessed: 24 April 2026).</w:t>
      </w:r>
    </w:p>
    <w:p w14:paraId="74ACF479" w14:textId="77777777" w:rsidR="0003709D" w:rsidRPr="002707D0" w:rsidRDefault="0003709D" w:rsidP="0003709D">
      <w:pPr>
        <w:spacing w:before="100" w:beforeAutospacing="1" w:after="100" w:afterAutospacing="1"/>
        <w:rPr>
          <w:color w:val="000000"/>
          <w:lang w:eastAsia="en-GB"/>
        </w:rPr>
      </w:pPr>
      <w:r>
        <w:rPr>
          <w:color w:val="000000"/>
          <w:lang w:eastAsia="en-GB"/>
        </w:rPr>
        <w:t>Fenwick, H. and Phillipson, G. (2006) </w:t>
      </w:r>
      <w:r>
        <w:rPr>
          <w:i/>
          <w:iCs/>
          <w:color w:val="000000"/>
          <w:lang w:eastAsia="en-GB"/>
        </w:rPr>
        <w:t>Media Freedom under the Human Rights Act</w:t>
      </w:r>
      <w:r>
        <w:rPr>
          <w:color w:val="000000"/>
          <w:lang w:eastAsia="en-GB"/>
        </w:rPr>
        <w:t>. Oxford: Oxford University Press.</w:t>
      </w:r>
    </w:p>
    <w:p w14:paraId="2A2BB6E0" w14:textId="77777777" w:rsidR="0003709D" w:rsidRPr="002707D0" w:rsidRDefault="0003709D" w:rsidP="0003709D">
      <w:pPr>
        <w:spacing w:before="100" w:beforeAutospacing="1" w:after="100" w:afterAutospacing="1"/>
        <w:rPr>
          <w:color w:val="000000"/>
          <w:lang w:eastAsia="en-GB"/>
        </w:rPr>
      </w:pPr>
      <w:r>
        <w:rPr>
          <w:color w:val="000000"/>
          <w:lang w:eastAsia="en-GB"/>
        </w:rPr>
        <w:t>Findley, K.A. and Scott, M.S. (2006) ‘The multiple dimensions of tunnel vision in criminal cases’, </w:t>
      </w:r>
      <w:r>
        <w:rPr>
          <w:i/>
          <w:iCs/>
          <w:color w:val="000000"/>
          <w:lang w:eastAsia="en-GB"/>
        </w:rPr>
        <w:t>Wisconsin Law Review</w:t>
      </w:r>
      <w:r>
        <w:rPr>
          <w:color w:val="000000"/>
          <w:lang w:eastAsia="en-GB"/>
        </w:rPr>
        <w:t>, 2006(2), pp. 291–397. Available at: https://papers.ssrn.com/sol3/papers.cfm?abstract_id=911240 (Accessed: 27 February 2026).</w:t>
      </w:r>
    </w:p>
    <w:p w14:paraId="6A137F06" w14:textId="77777777" w:rsidR="0003709D" w:rsidRPr="002707D0" w:rsidRDefault="0003709D" w:rsidP="0003709D">
      <w:pPr>
        <w:pStyle w:val="NormalWeb"/>
        <w:spacing w:line="360" w:lineRule="auto"/>
      </w:pPr>
      <w:r>
        <w:t xml:space="preserve">Fisher, R.P. and Geiselman, R.E. (1992) </w:t>
      </w:r>
      <w:r>
        <w:rPr>
          <w:rStyle w:val="Emphasis"/>
          <w:rFonts w:eastAsiaTheme="majorEastAsia"/>
        </w:rPr>
        <w:t>Memory-enhancing techniques for investigative interviewing: The cognitive interview</w:t>
      </w:r>
      <w:r>
        <w:t>. Springfield: Charles C Thomas.</w:t>
      </w:r>
    </w:p>
    <w:p w14:paraId="6919A2ED" w14:textId="77777777" w:rsidR="0003709D" w:rsidRPr="002707D0" w:rsidRDefault="0003709D" w:rsidP="0003709D">
      <w:pPr>
        <w:spacing w:before="100" w:beforeAutospacing="1" w:after="100" w:afterAutospacing="1"/>
        <w:rPr>
          <w:color w:val="000000"/>
          <w:lang w:eastAsia="en-GB"/>
        </w:rPr>
      </w:pPr>
      <w:r>
        <w:rPr>
          <w:color w:val="000000"/>
          <w:lang w:eastAsia="en-GB"/>
        </w:rPr>
        <w:t>Forensic Science Regulator (2023) </w:t>
      </w:r>
      <w:r>
        <w:rPr>
          <w:i/>
          <w:iCs/>
          <w:color w:val="000000"/>
          <w:lang w:eastAsia="en-GB"/>
        </w:rPr>
        <w:t>Annual report</w:t>
      </w:r>
      <w:r>
        <w:rPr>
          <w:color w:val="000000"/>
          <w:lang w:eastAsia="en-GB"/>
        </w:rPr>
        <w:t>. Available at: https://www.gov.uk/government/organisations/forensic-science-regulator (Accessed: 26 February 2026).</w:t>
      </w:r>
    </w:p>
    <w:p w14:paraId="178C461A" w14:textId="77777777" w:rsidR="0003709D" w:rsidRPr="002707D0" w:rsidRDefault="0003709D" w:rsidP="0003709D">
      <w:pPr>
        <w:pStyle w:val="NormalWeb"/>
        <w:spacing w:line="360" w:lineRule="auto"/>
      </w:pPr>
      <w:r>
        <w:t xml:space="preserve">Gibbs, G. (1988) </w:t>
      </w:r>
      <w:r>
        <w:rPr>
          <w:rStyle w:val="Emphasis"/>
          <w:rFonts w:eastAsiaTheme="majorEastAsia"/>
        </w:rPr>
        <w:t>Learning by doing: A guide to teaching and learning methods</w:t>
      </w:r>
      <w:r>
        <w:t>. Oxford: Oxford Polytechnic.</w:t>
      </w:r>
    </w:p>
    <w:p w14:paraId="7B6A0B6A" w14:textId="77777777" w:rsidR="0003709D" w:rsidRPr="002707D0" w:rsidRDefault="0003709D" w:rsidP="0003709D">
      <w:pPr>
        <w:spacing w:before="100" w:beforeAutospacing="1" w:after="100" w:afterAutospacing="1"/>
        <w:rPr>
          <w:color w:val="000000"/>
          <w:lang w:eastAsia="en-GB"/>
        </w:rPr>
      </w:pPr>
      <w:r>
        <w:rPr>
          <w:color w:val="000000"/>
          <w:lang w:eastAsia="en-GB"/>
        </w:rPr>
        <w:t>Gillespie, A. (2016) </w:t>
      </w:r>
      <w:r>
        <w:rPr>
          <w:i/>
          <w:iCs/>
          <w:color w:val="000000"/>
          <w:lang w:eastAsia="en-GB"/>
        </w:rPr>
        <w:t>Cybercrime: Key Issues and Debates</w:t>
      </w:r>
      <w:r>
        <w:rPr>
          <w:color w:val="000000"/>
          <w:lang w:eastAsia="en-GB"/>
        </w:rPr>
        <w:t>. London: Routledge.</w:t>
      </w:r>
    </w:p>
    <w:p w14:paraId="2E44D5A6" w14:textId="77777777" w:rsidR="0003709D" w:rsidRPr="002707D0" w:rsidRDefault="0003709D" w:rsidP="0003709D">
      <w:pPr>
        <w:pStyle w:val="isselectedend"/>
        <w:spacing w:line="360" w:lineRule="auto"/>
      </w:pPr>
      <w:r>
        <w:t xml:space="preserve">Granhag, P.A. and Hartwig, M. (2015) ‘The strategic use of evidence technique: A conceptual overview’, </w:t>
      </w:r>
      <w:r>
        <w:rPr>
          <w:rStyle w:val="Emphasis"/>
          <w:rFonts w:eastAsiaTheme="majorEastAsia"/>
        </w:rPr>
        <w:t>Psychology, Crime &amp; Law</w:t>
      </w:r>
      <w:r>
        <w:t>, 21(7), pp. 621–629. doi:10.1080/1068316X.2015.1028541</w:t>
      </w:r>
    </w:p>
    <w:p w14:paraId="1F0E8A61" w14:textId="77777777" w:rsidR="0003709D" w:rsidRPr="002707D0" w:rsidRDefault="0003709D" w:rsidP="0003709D">
      <w:pPr>
        <w:pStyle w:val="NormalWeb"/>
        <w:spacing w:line="360" w:lineRule="auto"/>
      </w:pPr>
      <w:r>
        <w:t xml:space="preserve">Gudjonsson, G.H. (2003) </w:t>
      </w:r>
      <w:r>
        <w:rPr>
          <w:rStyle w:val="Emphasis"/>
          <w:rFonts w:eastAsiaTheme="majorEastAsia"/>
        </w:rPr>
        <w:t>The psychology of interrogations and confessions: A handbook</w:t>
      </w:r>
      <w:r>
        <w:t>. Chichester: Wiley.</w:t>
      </w:r>
    </w:p>
    <w:p w14:paraId="0BDF6383" w14:textId="77777777" w:rsidR="0003709D" w:rsidRPr="002707D0" w:rsidRDefault="0003709D" w:rsidP="0003709D">
      <w:pPr>
        <w:pStyle w:val="isselectedend"/>
        <w:spacing w:line="360" w:lineRule="auto"/>
      </w:pPr>
      <w:r>
        <w:lastRenderedPageBreak/>
        <w:t xml:space="preserve">Hartwig, M., Granhag, P.A. and Strömwall, L.A. (2006) ‘Strategic use of evidence during police interviews’, </w:t>
      </w:r>
      <w:r>
        <w:rPr>
          <w:rStyle w:val="Emphasis"/>
          <w:rFonts w:eastAsiaTheme="majorEastAsia"/>
        </w:rPr>
        <w:t>Psychology, Crime &amp; Law</w:t>
      </w:r>
      <w:r>
        <w:t>, 12(5), pp. 453–465. doi:10.1080/10683160500258206</w:t>
      </w:r>
    </w:p>
    <w:p w14:paraId="13F95BE1" w14:textId="77777777" w:rsidR="0003709D" w:rsidRPr="002707D0" w:rsidRDefault="0003709D" w:rsidP="0003709D">
      <w:pPr>
        <w:spacing w:before="100" w:beforeAutospacing="1" w:after="100" w:afterAutospacing="1"/>
        <w:rPr>
          <w:color w:val="000000"/>
          <w:lang w:eastAsia="en-GB"/>
        </w:rPr>
      </w:pPr>
      <w:r>
        <w:rPr>
          <w:color w:val="000000"/>
          <w:lang w:eastAsia="en-GB"/>
        </w:rPr>
        <w:t>Hester, M. (2013) </w:t>
      </w:r>
      <w:r>
        <w:rPr>
          <w:i/>
          <w:iCs/>
          <w:color w:val="000000"/>
          <w:lang w:eastAsia="en-GB"/>
        </w:rPr>
        <w:t>From Report to Court: Rape cases and the criminal justice system in the North East</w:t>
      </w:r>
      <w:r>
        <w:rPr>
          <w:color w:val="000000"/>
          <w:lang w:eastAsia="en-GB"/>
        </w:rPr>
        <w:t>. Bristol: University of Bristol in association with the Northern Rock Foundation. Available at: https://www.nr-foundation.org.uk/downloads/From-Report-to-Court-final-5-july-13.pdf (Accessed: 26 February 2026).</w:t>
      </w:r>
    </w:p>
    <w:p w14:paraId="60467E8F" w14:textId="77777777" w:rsidR="0003709D" w:rsidRPr="002707D0" w:rsidRDefault="0003709D" w:rsidP="0003709D">
      <w:pPr>
        <w:spacing w:before="100" w:beforeAutospacing="1" w:after="100" w:afterAutospacing="1"/>
        <w:rPr>
          <w:color w:val="000000"/>
          <w:lang w:eastAsia="en-GB"/>
        </w:rPr>
      </w:pPr>
      <w:r>
        <w:rPr>
          <w:color w:val="000000"/>
          <w:lang w:eastAsia="en-GB"/>
        </w:rPr>
        <w:t>Hester, M. and Lilley, S. (2017) ‘Rape investigation and attrition in acquaintance, domestic violence and historical rape cases’, </w:t>
      </w:r>
      <w:r>
        <w:rPr>
          <w:i/>
          <w:iCs/>
          <w:color w:val="000000"/>
          <w:lang w:eastAsia="en-GB"/>
        </w:rPr>
        <w:t>Journal of Investigative Psychology and Offender Profiling</w:t>
      </w:r>
      <w:r>
        <w:rPr>
          <w:color w:val="000000"/>
          <w:lang w:eastAsia="en-GB"/>
        </w:rPr>
        <w:t>, 14(2), pp. 175–188. Available at: https://assets.publishing.service.gov.uk/media/60c9c570d3bf7f4bd4662c84/rape-review-research-report-appendix-d.pdf (Accessed: 26 February 2026).</w:t>
      </w:r>
    </w:p>
    <w:p w14:paraId="458ACB0F" w14:textId="7A3D75C1" w:rsidR="00AA22F9" w:rsidRPr="00AA22F9" w:rsidRDefault="00AA22F9" w:rsidP="00AA22F9">
      <w:pPr>
        <w:pStyle w:val="NormalWeb"/>
        <w:spacing w:line="360" w:lineRule="auto"/>
        <w:rPr>
          <w:b/>
          <w:bCs/>
        </w:rPr>
      </w:pPr>
      <w:r>
        <w:rPr>
          <w:rStyle w:val="Strong"/>
          <w:b w:val="0"/>
          <w:bCs w:val="0"/>
        </w:rPr>
        <w:t xml:space="preserve">HM Crown Prosecution Service Inspectorate (2017) </w:t>
      </w:r>
      <w:r>
        <w:rPr>
          <w:rStyle w:val="Emphasis"/>
        </w:rPr>
        <w:t>Making it fair: A joint inspection of the disclosure of unused material in volume Crown Court cases</w:t>
      </w:r>
      <w:r>
        <w:rPr>
          <w:rStyle w:val="Strong"/>
        </w:rPr>
        <w:t>.</w:t>
      </w:r>
      <w:r>
        <w:rPr>
          <w:rStyle w:val="Strong"/>
          <w:b w:val="0"/>
          <w:bCs w:val="0"/>
        </w:rPr>
        <w:t xml:space="preserve"> Available at: </w:t>
      </w:r>
      <w:hyperlink r:id="rId15" w:tgtFrame="_new" w:history="1">
        <w:r>
          <w:rPr>
            <w:rStyle w:val="Hyperlink"/>
            <w:b/>
            <w:bCs/>
          </w:rPr>
          <w:t>https://www.justiceinspectorates.gov.uk/hmicfrs/publications/making-it-fair/</w:t>
        </w:r>
      </w:hyperlink>
      <w:r>
        <w:rPr>
          <w:rStyle w:val="Strong"/>
          <w:b w:val="0"/>
          <w:bCs w:val="0"/>
        </w:rPr>
        <w:t xml:space="preserve"> (Accessed: 24 February 2026, 30 March 2026).</w:t>
      </w:r>
    </w:p>
    <w:p w14:paraId="1FDB0201" w14:textId="565D95A4" w:rsidR="0003709D" w:rsidRPr="002707D0" w:rsidRDefault="0003709D" w:rsidP="0003709D">
      <w:pPr>
        <w:spacing w:before="100" w:beforeAutospacing="1" w:after="100" w:afterAutospacing="1"/>
        <w:rPr>
          <w:color w:val="000000"/>
          <w:lang w:eastAsia="en-GB"/>
        </w:rPr>
      </w:pPr>
      <w:r>
        <w:rPr>
          <w:color w:val="000000"/>
          <w:lang w:eastAsia="en-GB"/>
        </w:rPr>
        <w:t xml:space="preserve">HM Inspectorate of Constabulary and Fire </w:t>
      </w:r>
      <w:r w:rsidR="007A3DF1">
        <w:rPr>
          <w:color w:val="000000"/>
          <w:lang w:eastAsia="en-GB"/>
        </w:rPr>
        <w:t>and</w:t>
      </w:r>
      <w:r>
        <w:rPr>
          <w:color w:val="000000"/>
          <w:lang w:eastAsia="en-GB"/>
        </w:rPr>
        <w:t xml:space="preserve"> Rescue Services (2018) </w:t>
      </w:r>
      <w:r>
        <w:rPr>
          <w:i/>
          <w:iCs/>
          <w:color w:val="000000"/>
          <w:lang w:eastAsia="en-GB"/>
        </w:rPr>
        <w:t>PEEL: police effectiveness 2017 – a national overview</w:t>
      </w:r>
      <w:r>
        <w:rPr>
          <w:color w:val="000000"/>
          <w:lang w:eastAsia="en-GB"/>
        </w:rPr>
        <w:t>. Available at: https://www.justiceinspectorates.gov.uk/hmicfrs/publications/peel-police-effectiveness-2017/ (Accessed: 27 February 2026).</w:t>
      </w:r>
    </w:p>
    <w:p w14:paraId="2FE8A67F" w14:textId="4CB39EEF" w:rsidR="0003709D" w:rsidRDefault="0003709D" w:rsidP="0003709D">
      <w:pPr>
        <w:spacing w:before="100" w:beforeAutospacing="1" w:after="100" w:afterAutospacing="1"/>
        <w:rPr>
          <w:color w:val="000000"/>
          <w:lang w:eastAsia="en-GB"/>
        </w:rPr>
      </w:pPr>
      <w:r>
        <w:rPr>
          <w:color w:val="000000"/>
          <w:lang w:eastAsia="en-GB"/>
        </w:rPr>
        <w:t xml:space="preserve">HM Inspectorate of Constabulary and Fire </w:t>
      </w:r>
      <w:r w:rsidR="007A3DF1">
        <w:rPr>
          <w:color w:val="000000"/>
          <w:lang w:eastAsia="en-GB"/>
        </w:rPr>
        <w:t>and</w:t>
      </w:r>
      <w:r>
        <w:rPr>
          <w:color w:val="000000"/>
          <w:lang w:eastAsia="en-GB"/>
        </w:rPr>
        <w:t xml:space="preserve"> Rescue Services (2019) </w:t>
      </w:r>
      <w:r>
        <w:rPr>
          <w:i/>
          <w:iCs/>
          <w:color w:val="000000"/>
          <w:lang w:eastAsia="en-GB"/>
        </w:rPr>
        <w:t>Digital forensics: a national review of police forces’ digital forensic capabilities</w:t>
      </w:r>
      <w:r>
        <w:rPr>
          <w:color w:val="000000"/>
          <w:lang w:eastAsia="en-GB"/>
        </w:rPr>
        <w:t>. Available at: https://www.justiceinspectorates.gov.uk/hmicfrs/publications/digital-forensics/ (Accessed: 24 February 2026; 30 March 2026).</w:t>
      </w:r>
    </w:p>
    <w:p w14:paraId="32D7F4F0" w14:textId="30A1A4CE" w:rsidR="00592DB8" w:rsidRPr="00592DB8" w:rsidRDefault="00592DB8" w:rsidP="00592DB8">
      <w:pPr>
        <w:pStyle w:val="NormalWeb"/>
        <w:spacing w:line="360" w:lineRule="auto"/>
        <w:rPr>
          <w:b/>
          <w:bCs/>
        </w:rPr>
      </w:pPr>
      <w:r>
        <w:rPr>
          <w:rStyle w:val="Strong"/>
          <w:b w:val="0"/>
          <w:bCs w:val="0"/>
        </w:rPr>
        <w:t xml:space="preserve">HM Inspectorate of Constabulary and Fire </w:t>
      </w:r>
      <w:r w:rsidR="007A3DF1">
        <w:rPr>
          <w:rStyle w:val="Strong"/>
          <w:b w:val="0"/>
          <w:bCs w:val="0"/>
        </w:rPr>
        <w:t>and</w:t>
      </w:r>
      <w:r>
        <w:rPr>
          <w:rStyle w:val="Strong"/>
          <w:b w:val="0"/>
          <w:bCs w:val="0"/>
        </w:rPr>
        <w:t xml:space="preserve"> Rescue Services (2020) </w:t>
      </w:r>
      <w:r>
        <w:rPr>
          <w:rStyle w:val="Emphasis"/>
        </w:rPr>
        <w:t>The Penny Drops: Improving Disclosure in the Police Service</w:t>
      </w:r>
      <w:r>
        <w:rPr>
          <w:rStyle w:val="Strong"/>
          <w:b w:val="0"/>
          <w:bCs w:val="0"/>
        </w:rPr>
        <w:t xml:space="preserve">. London: HMICFRS. Available at: </w:t>
      </w:r>
      <w:hyperlink r:id="rId16" w:history="1">
        <w:r>
          <w:rPr>
            <w:rStyle w:val="Hyperlink"/>
          </w:rPr>
          <w:t>https://hmicfrs.justiceinspectorates.gov.uk/news/news-feed/inspectors-find-widespread-concerns-with-disclosure-practices-across-the-cjs/</w:t>
        </w:r>
      </w:hyperlink>
      <w:r>
        <w:rPr>
          <w:rStyle w:val="Strong"/>
          <w:b w:val="0"/>
          <w:bCs w:val="0"/>
        </w:rPr>
        <w:t xml:space="preserve"> (Accessed: 30 April 2026).</w:t>
      </w:r>
    </w:p>
    <w:p w14:paraId="0B483094" w14:textId="173DC2E1" w:rsidR="0003709D" w:rsidRPr="002707D0" w:rsidRDefault="0003709D" w:rsidP="0003709D">
      <w:pPr>
        <w:spacing w:before="100" w:beforeAutospacing="1" w:after="100" w:afterAutospacing="1"/>
        <w:rPr>
          <w:color w:val="000000"/>
          <w:lang w:eastAsia="en-GB"/>
        </w:rPr>
      </w:pPr>
      <w:r>
        <w:rPr>
          <w:color w:val="000000"/>
          <w:lang w:eastAsia="en-GB"/>
        </w:rPr>
        <w:lastRenderedPageBreak/>
        <w:t xml:space="preserve">HM Inspectorate of Constabulary and Fire </w:t>
      </w:r>
      <w:r w:rsidR="007A3DF1">
        <w:rPr>
          <w:color w:val="000000"/>
          <w:lang w:eastAsia="en-GB"/>
        </w:rPr>
        <w:t xml:space="preserve">and </w:t>
      </w:r>
      <w:r>
        <w:rPr>
          <w:color w:val="000000"/>
          <w:lang w:eastAsia="en-GB"/>
        </w:rPr>
        <w:t>Rescue Services (2021) </w:t>
      </w:r>
      <w:r>
        <w:rPr>
          <w:i/>
          <w:iCs/>
          <w:color w:val="000000"/>
          <w:lang w:eastAsia="en-GB"/>
        </w:rPr>
        <w:t>The police response to violence against women and girls: final inspection report</w:t>
      </w:r>
      <w:r>
        <w:rPr>
          <w:color w:val="000000"/>
          <w:lang w:eastAsia="en-GB"/>
        </w:rPr>
        <w:t>. Available at: https://www.justiceinspectorates.gov.uk/hmicfrs/publications/vawg-final-inspection-report/ (Accessed: 26 February 2026).</w:t>
      </w:r>
    </w:p>
    <w:p w14:paraId="6B7C5A75" w14:textId="77777777" w:rsidR="0003709D" w:rsidRDefault="0003709D" w:rsidP="0003709D">
      <w:pPr>
        <w:spacing w:before="100" w:beforeAutospacing="1" w:after="100" w:afterAutospacing="1"/>
        <w:rPr>
          <w:color w:val="000000"/>
          <w:lang w:eastAsia="en-GB"/>
        </w:rPr>
      </w:pPr>
      <w:r>
        <w:rPr>
          <w:color w:val="000000"/>
          <w:lang w:eastAsia="en-GB"/>
        </w:rPr>
        <w:t>House of Lords Science and Technology Committee (2019) </w:t>
      </w:r>
      <w:r>
        <w:rPr>
          <w:i/>
          <w:iCs/>
          <w:color w:val="000000"/>
          <w:lang w:eastAsia="en-GB"/>
        </w:rPr>
        <w:t>Forensic science and the criminal justice system: a blueprint for change</w:t>
      </w:r>
      <w:r>
        <w:rPr>
          <w:color w:val="000000"/>
          <w:lang w:eastAsia="en-GB"/>
        </w:rPr>
        <w:t>. HL Paper 333. Available at: https://publications.parliament.uk/pa/ld201719/ldselect/ldsctech/333/333.pdf (Accessed: 26 February 2026).</w:t>
      </w:r>
    </w:p>
    <w:p w14:paraId="35CEA304" w14:textId="2127BD19" w:rsidR="00AC1633" w:rsidRDefault="00AC1633" w:rsidP="00AC1633">
      <w:pPr>
        <w:pStyle w:val="NormalWeb"/>
        <w:rPr>
          <w:rStyle w:val="Strong"/>
          <w:b w:val="0"/>
          <w:bCs w:val="0"/>
        </w:rPr>
      </w:pPr>
      <w:r>
        <w:rPr>
          <w:rStyle w:val="Strong"/>
          <w:b w:val="0"/>
          <w:bCs w:val="0"/>
        </w:rPr>
        <w:t xml:space="preserve">Horwell, R. (2017) </w:t>
      </w:r>
      <w:r>
        <w:rPr>
          <w:rStyle w:val="Emphasis"/>
          <w:i w:val="0"/>
          <w:iCs w:val="0"/>
        </w:rPr>
        <w:t>The Mouncher Investigation Report</w:t>
      </w:r>
      <w:r>
        <w:rPr>
          <w:rStyle w:val="Strong"/>
          <w:b w:val="0"/>
          <w:bCs w:val="0"/>
        </w:rPr>
        <w:t xml:space="preserve">. London: Home Office. Available at: </w:t>
      </w:r>
      <w:hyperlink r:id="rId17" w:history="1">
        <w:r>
          <w:rPr>
            <w:rStyle w:val="Hyperlink"/>
          </w:rPr>
          <w:t>https://assets.publishing.service.gov.uk/media/5a82d6cd40f0b6230269cfa0/mouncher_report_web_accessible_july_2017.pdf</w:t>
        </w:r>
      </w:hyperlink>
      <w:r>
        <w:rPr>
          <w:rStyle w:val="Strong"/>
          <w:b w:val="0"/>
          <w:bCs w:val="0"/>
        </w:rPr>
        <w:t xml:space="preserve"> (Accessed: 30 April 2026).</w:t>
      </w:r>
    </w:p>
    <w:p w14:paraId="2DF940CA" w14:textId="227C9CEE" w:rsidR="00380D4B" w:rsidRDefault="00380D4B" w:rsidP="00380D4B">
      <w:pPr>
        <w:pStyle w:val="NormalWeb"/>
        <w:rPr>
          <w:rStyle w:val="Strong"/>
          <w:b w:val="0"/>
          <w:bCs w:val="0"/>
        </w:rPr>
      </w:pPr>
      <w:r>
        <w:t xml:space="preserve"> </w:t>
      </w:r>
      <w:r>
        <w:rPr>
          <w:rStyle w:val="Emphasis"/>
          <w:i w:val="0"/>
          <w:iCs w:val="0"/>
        </w:rPr>
        <w:t>Human Rights Act 1998, c. 42</w:t>
      </w:r>
      <w:r>
        <w:t xml:space="preserve">. Available at: </w:t>
      </w:r>
      <w:hyperlink r:id="rId18" w:history="1">
        <w:r>
          <w:t>https://www.legislation.gov.uk/ukpga/1998/42</w:t>
        </w:r>
      </w:hyperlink>
      <w:r>
        <w:t xml:space="preserve"> (Accessed: 24 April 2026).</w:t>
      </w:r>
    </w:p>
    <w:p w14:paraId="1CA7194A" w14:textId="77777777" w:rsidR="0003709D" w:rsidRPr="002707D0" w:rsidRDefault="0003709D" w:rsidP="0003709D">
      <w:pPr>
        <w:pStyle w:val="NormalWeb"/>
        <w:spacing w:line="360" w:lineRule="auto"/>
      </w:pPr>
      <w:r>
        <w:t xml:space="preserve">Inbau, F.E., Reid, J.E., Buckley, J.P. and Jayne, B.C. (2013) </w:t>
      </w:r>
      <w:r>
        <w:rPr>
          <w:rStyle w:val="Emphasis"/>
          <w:rFonts w:eastAsiaTheme="majorEastAsia"/>
        </w:rPr>
        <w:t>Criminal interrogation and confessions</w:t>
      </w:r>
      <w:r>
        <w:t>. 5th edn. Burlington, MA: Jones &amp; Bartlett.</w:t>
      </w:r>
    </w:p>
    <w:p w14:paraId="5181FD2E" w14:textId="77777777" w:rsidR="0003709D" w:rsidRPr="002707D0" w:rsidRDefault="0003709D" w:rsidP="0003709D">
      <w:pPr>
        <w:spacing w:before="100" w:beforeAutospacing="1" w:after="100" w:afterAutospacing="1"/>
        <w:rPr>
          <w:color w:val="000000"/>
          <w:lang w:eastAsia="en-GB"/>
        </w:rPr>
      </w:pPr>
      <w:r>
        <w:rPr>
          <w:color w:val="000000"/>
          <w:lang w:eastAsia="en-GB"/>
        </w:rPr>
        <w:t>Innes, M. (2003) </w:t>
      </w:r>
      <w:r>
        <w:rPr>
          <w:i/>
          <w:iCs/>
          <w:color w:val="000000"/>
          <w:lang w:eastAsia="en-GB"/>
        </w:rPr>
        <w:t>Investigating Murder: Detective Work and the Police Response to Criminal Homicide</w:t>
      </w:r>
      <w:r>
        <w:rPr>
          <w:color w:val="000000"/>
          <w:lang w:eastAsia="en-GB"/>
        </w:rPr>
        <w:t>. Oxford: Oxford University Press.</w:t>
      </w:r>
    </w:p>
    <w:p w14:paraId="02DAAAA0" w14:textId="77777777" w:rsidR="0003709D" w:rsidRPr="002707D0" w:rsidRDefault="0003709D" w:rsidP="0003709D">
      <w:pPr>
        <w:spacing w:before="100" w:beforeAutospacing="1" w:after="100" w:afterAutospacing="1"/>
        <w:rPr>
          <w:color w:val="000000"/>
          <w:lang w:eastAsia="en-GB"/>
        </w:rPr>
      </w:pPr>
      <w:r>
        <w:rPr>
          <w:color w:val="000000"/>
          <w:lang w:eastAsia="en-GB"/>
        </w:rPr>
        <w:t>Innes, M., Alder, C. and Roberts, P. (2010) </w:t>
      </w:r>
      <w:r>
        <w:rPr>
          <w:i/>
          <w:iCs/>
          <w:color w:val="000000"/>
          <w:lang w:eastAsia="en-GB"/>
        </w:rPr>
        <w:t>The Edge of Knowledge: Police, Evidence and Uncertainty in an Era of Big Data</w:t>
      </w:r>
      <w:r>
        <w:rPr>
          <w:color w:val="000000"/>
          <w:lang w:eastAsia="en-GB"/>
        </w:rPr>
        <w:t>. Oxford: Oxford University Press.</w:t>
      </w:r>
    </w:p>
    <w:p w14:paraId="19D07898" w14:textId="77777777" w:rsidR="0003709D" w:rsidRPr="002707D0" w:rsidRDefault="0003709D" w:rsidP="0003709D">
      <w:pPr>
        <w:pStyle w:val="NormalWeb"/>
        <w:spacing w:line="360" w:lineRule="auto"/>
      </w:pPr>
      <w:r>
        <w:t xml:space="preserve">Jackson, J.D. and Summers, S.J. (2012) </w:t>
      </w:r>
      <w:r>
        <w:rPr>
          <w:rStyle w:val="Emphasis"/>
          <w:rFonts w:eastAsiaTheme="majorEastAsia"/>
        </w:rPr>
        <w:t>The internationalisation of criminal evidence: Beyond the common law and civil law traditions</w:t>
      </w:r>
      <w:r>
        <w:t>. Cambridge: Cambridge University Press.</w:t>
      </w:r>
    </w:p>
    <w:p w14:paraId="6DAF2919" w14:textId="77777777" w:rsidR="0003709D" w:rsidRPr="002707D0" w:rsidRDefault="0003709D" w:rsidP="0003709D">
      <w:pPr>
        <w:spacing w:before="100" w:beforeAutospacing="1" w:after="100" w:afterAutospacing="1"/>
        <w:rPr>
          <w:color w:val="000000"/>
          <w:lang w:eastAsia="en-GB"/>
        </w:rPr>
      </w:pPr>
      <w:r>
        <w:rPr>
          <w:color w:val="000000"/>
          <w:lang w:eastAsia="en-GB"/>
        </w:rPr>
        <w:t>Jewkes, Y. and Yar, M. (2013) </w:t>
      </w:r>
      <w:r>
        <w:rPr>
          <w:i/>
          <w:iCs/>
          <w:color w:val="000000"/>
          <w:lang w:eastAsia="en-GB"/>
        </w:rPr>
        <w:t>Handbook of Internet Crime</w:t>
      </w:r>
      <w:r>
        <w:rPr>
          <w:color w:val="000000"/>
          <w:lang w:eastAsia="en-GB"/>
        </w:rPr>
        <w:t>. Cullompton: Willan.</w:t>
      </w:r>
    </w:p>
    <w:p w14:paraId="73C898AB" w14:textId="77777777" w:rsidR="0003709D" w:rsidRPr="002707D0" w:rsidRDefault="0003709D" w:rsidP="0003709D">
      <w:pPr>
        <w:spacing w:before="100" w:beforeAutospacing="1" w:after="100" w:afterAutospacing="1"/>
        <w:rPr>
          <w:color w:val="000000"/>
          <w:lang w:eastAsia="en-GB"/>
        </w:rPr>
      </w:pPr>
      <w:r>
        <w:rPr>
          <w:color w:val="000000"/>
          <w:lang w:eastAsia="en-GB"/>
        </w:rPr>
        <w:t>Jones, H. and Brookman, F. (2024) ‘Risky calls: understanding the challenges and risks of using mobile phone data during homicide investigations’, </w:t>
      </w:r>
      <w:r>
        <w:rPr>
          <w:i/>
          <w:iCs/>
          <w:color w:val="000000"/>
          <w:lang w:eastAsia="en-GB"/>
        </w:rPr>
        <w:t>Policing and Society</w:t>
      </w:r>
      <w:r>
        <w:rPr>
          <w:color w:val="000000"/>
          <w:lang w:eastAsia="en-GB"/>
        </w:rPr>
        <w:t>, 34(10), pp. 1091–1107. Available at: https://www.tandfonline.com/doi/full/10.1080/10439463.2024.2366311 (Accessed: 19 February 2026).</w:t>
      </w:r>
    </w:p>
    <w:p w14:paraId="7195CA3C" w14:textId="77777777" w:rsidR="0003709D" w:rsidRDefault="0003709D" w:rsidP="0003709D">
      <w:pPr>
        <w:spacing w:before="100" w:beforeAutospacing="1" w:after="100" w:afterAutospacing="1"/>
        <w:rPr>
          <w:color w:val="000000"/>
          <w:lang w:eastAsia="en-GB"/>
        </w:rPr>
      </w:pPr>
      <w:r>
        <w:rPr>
          <w:color w:val="000000"/>
          <w:lang w:eastAsia="en-GB"/>
        </w:rPr>
        <w:lastRenderedPageBreak/>
        <w:t>Justice Committee (2018) </w:t>
      </w:r>
      <w:r>
        <w:rPr>
          <w:i/>
          <w:iCs/>
          <w:color w:val="000000"/>
          <w:lang w:eastAsia="en-GB"/>
        </w:rPr>
        <w:t>Disclosure of evidence in criminal cases</w:t>
      </w:r>
      <w:r>
        <w:rPr>
          <w:color w:val="000000"/>
          <w:lang w:eastAsia="en-GB"/>
        </w:rPr>
        <w:t>. Available at: https://publications.parliament.uk/pa/cm201719/cmselect/cmjust/859/85905.htm (Accessed: 24 February 2026; 30 March 2026).</w:t>
      </w:r>
    </w:p>
    <w:p w14:paraId="1D373CE2" w14:textId="77777777" w:rsidR="00C61408" w:rsidRPr="00C61408" w:rsidRDefault="00C61408" w:rsidP="00C61408">
      <w:pPr>
        <w:spacing w:before="80" w:after="120"/>
        <w:jc w:val="both"/>
      </w:pPr>
      <w:r>
        <w:t xml:space="preserve">Kolb, D.A. (1984) </w:t>
      </w:r>
      <w:r>
        <w:rPr>
          <w:i/>
          <w:iCs/>
        </w:rPr>
        <w:t>Experiential learning: Experience as the source of learning and development.</w:t>
      </w:r>
      <w:r>
        <w:t xml:space="preserve"> Englewood Cliffs, NJ: Prentice Hall.</w:t>
      </w:r>
    </w:p>
    <w:p w14:paraId="1A7C5237" w14:textId="77777777" w:rsidR="0003709D" w:rsidRPr="002707D0" w:rsidRDefault="0003709D" w:rsidP="0003709D">
      <w:pPr>
        <w:spacing w:before="100" w:beforeAutospacing="1" w:after="100" w:afterAutospacing="1"/>
        <w:rPr>
          <w:color w:val="000000"/>
          <w:lang w:eastAsia="en-GB"/>
        </w:rPr>
      </w:pPr>
      <w:r>
        <w:rPr>
          <w:color w:val="000000"/>
          <w:lang w:eastAsia="en-GB"/>
        </w:rPr>
        <w:t>Law Gazette (2018) ‘Evidence disclosure failure rife in criminal practice, survey finds’, </w:t>
      </w:r>
      <w:r>
        <w:rPr>
          <w:i/>
          <w:iCs/>
          <w:color w:val="000000"/>
          <w:lang w:eastAsia="en-GB"/>
        </w:rPr>
        <w:t>Law Gazette</w:t>
      </w:r>
      <w:r>
        <w:rPr>
          <w:color w:val="000000"/>
          <w:lang w:eastAsia="en-GB"/>
        </w:rPr>
        <w:t>, 27 February. Available at: https://www.lawgazette.co.uk/law/evidence-disclosure-failure-rife-in-criminal-practice-survey-finds/5065019.article (Accessed: 23 February 2026).</w:t>
      </w:r>
    </w:p>
    <w:p w14:paraId="2E6AC98B" w14:textId="77777777" w:rsidR="0003709D" w:rsidRPr="002707D0" w:rsidRDefault="0003709D" w:rsidP="0003709D">
      <w:pPr>
        <w:spacing w:before="100" w:beforeAutospacing="1" w:after="100" w:afterAutospacing="1"/>
        <w:rPr>
          <w:color w:val="000000"/>
          <w:lang w:eastAsia="en-GB"/>
        </w:rPr>
      </w:pPr>
      <w:r>
        <w:rPr>
          <w:color w:val="000000"/>
          <w:lang w:eastAsia="en-GB"/>
        </w:rPr>
        <w:t>Lee, H.C., Palmbach, T. and Meister, J. (2011) </w:t>
      </w:r>
      <w:r>
        <w:rPr>
          <w:i/>
          <w:iCs/>
          <w:color w:val="000000"/>
          <w:lang w:eastAsia="en-GB"/>
        </w:rPr>
        <w:t>Forensic Science: An Introduction to Scientific and Investigative Techniques</w:t>
      </w:r>
      <w:r>
        <w:rPr>
          <w:color w:val="000000"/>
          <w:lang w:eastAsia="en-GB"/>
        </w:rPr>
        <w:t>. 4th edn. London: CRC Press.</w:t>
      </w:r>
    </w:p>
    <w:p w14:paraId="51C2B0DD" w14:textId="77777777" w:rsidR="0003709D" w:rsidRDefault="0003709D" w:rsidP="0003709D">
      <w:pPr>
        <w:spacing w:before="100" w:beforeAutospacing="1" w:after="100" w:afterAutospacing="1"/>
      </w:pPr>
      <w:r>
        <w:rPr>
          <w:color w:val="000000"/>
          <w:lang w:eastAsia="en-GB"/>
        </w:rPr>
        <w:t>Loftus, E.F. (2005) ‘Planting misinformation in the human mind: a 30-year investigation of the malleability of memory’, </w:t>
      </w:r>
      <w:r>
        <w:rPr>
          <w:i/>
          <w:iCs/>
          <w:color w:val="000000"/>
          <w:lang w:eastAsia="en-GB"/>
        </w:rPr>
        <w:t>Learning &amp; Memory</w:t>
      </w:r>
      <w:r>
        <w:rPr>
          <w:color w:val="000000"/>
          <w:lang w:eastAsia="en-GB"/>
        </w:rPr>
        <w:t>, 12(4), pp. 361–366.</w:t>
      </w:r>
      <w:r>
        <w:t xml:space="preserve"> doi:10.1101/lm.94705</w:t>
      </w:r>
    </w:p>
    <w:p w14:paraId="002F57DB" w14:textId="77777777" w:rsidR="00B96A87" w:rsidRPr="002707D0" w:rsidRDefault="00B96A87" w:rsidP="00B96A87">
      <w:pPr>
        <w:spacing w:before="100" w:beforeAutospacing="1" w:after="100" w:afterAutospacing="1"/>
        <w:rPr>
          <w:color w:val="000000"/>
          <w:lang w:eastAsia="en-GB"/>
        </w:rPr>
      </w:pPr>
      <w:r w:rsidRPr="002707D0">
        <w:rPr>
          <w:color w:val="000000"/>
          <w:lang w:eastAsia="en-GB"/>
        </w:rPr>
        <w:t>Loveday, B. (2000</w:t>
      </w:r>
      <w:r>
        <w:rPr>
          <w:color w:val="000000"/>
          <w:lang w:eastAsia="en-GB"/>
        </w:rPr>
        <w:t>a</w:t>
      </w:r>
      <w:r w:rsidRPr="002707D0">
        <w:rPr>
          <w:color w:val="000000"/>
          <w:lang w:eastAsia="en-GB"/>
        </w:rPr>
        <w:t>) ‘Managing crime: police use of crime data as an indicator of effectiveness’, </w:t>
      </w:r>
      <w:r w:rsidRPr="002707D0">
        <w:rPr>
          <w:i/>
          <w:iCs/>
          <w:color w:val="000000"/>
          <w:lang w:eastAsia="en-GB"/>
        </w:rPr>
        <w:t>The International Journal of the Sociology of Law</w:t>
      </w:r>
      <w:r w:rsidRPr="002707D0">
        <w:rPr>
          <w:color w:val="000000"/>
          <w:lang w:eastAsia="en-GB"/>
        </w:rPr>
        <w:t>, 28(3), pp. 215–237. Available at: https://researchportal.port.ac.uk/en/publications/managing-crime-police-use-of-crime-data-as-an-indicator-of-effect (Accessed: 27 February 2026).</w:t>
      </w:r>
    </w:p>
    <w:p w14:paraId="0A303302" w14:textId="1F0FA78B" w:rsidR="0003709D" w:rsidRPr="002707D0" w:rsidRDefault="0003709D" w:rsidP="0003709D">
      <w:pPr>
        <w:pStyle w:val="NormalWeb"/>
        <w:spacing w:line="360" w:lineRule="auto"/>
      </w:pPr>
      <w:r>
        <w:t xml:space="preserve">Loveday, B. (2000b) ‘Performance management and the police’, </w:t>
      </w:r>
      <w:r>
        <w:rPr>
          <w:rStyle w:val="Emphasis"/>
          <w:rFonts w:eastAsiaTheme="majorEastAsia"/>
        </w:rPr>
        <w:t>International Journal of Police Science &amp; Management</w:t>
      </w:r>
      <w:r>
        <w:t>, 2(4), pp. 282–293. doi:10.1177/1461355700002004003</w:t>
      </w:r>
    </w:p>
    <w:p w14:paraId="76219596" w14:textId="77777777" w:rsidR="0003709D" w:rsidRPr="002707D0" w:rsidRDefault="0003709D" w:rsidP="0003709D">
      <w:pPr>
        <w:spacing w:before="100" w:beforeAutospacing="1" w:after="100" w:afterAutospacing="1"/>
        <w:rPr>
          <w:color w:val="000000"/>
          <w:lang w:eastAsia="en-GB"/>
        </w:rPr>
      </w:pPr>
      <w:r>
        <w:rPr>
          <w:color w:val="000000"/>
          <w:lang w:eastAsia="en-GB"/>
        </w:rPr>
        <w:t>Malicious Communications Act 1988.</w:t>
      </w:r>
      <w:r>
        <w:rPr>
          <w:rStyle w:val="Heading1Char"/>
          <w:sz w:val="24"/>
          <w:szCs w:val="24"/>
        </w:rPr>
        <w:t xml:space="preserve"> </w:t>
      </w:r>
      <w:r>
        <w:rPr>
          <w:rStyle w:val="Emphasis"/>
        </w:rPr>
        <w:t>Malicious Communications Act 1988.</w:t>
      </w:r>
      <w:r>
        <w:t xml:space="preserve"> Available at: </w:t>
      </w:r>
      <w:hyperlink r:id="rId19" w:tgtFrame="_new" w:history="1">
        <w:r>
          <w:rPr>
            <w:rStyle w:val="Hyperlink"/>
          </w:rPr>
          <w:t>https://www.legislation.gov.uk/ukpga/1988/27</w:t>
        </w:r>
      </w:hyperlink>
      <w:r>
        <w:t xml:space="preserve"> (Accessed: 3 April 2026).</w:t>
      </w:r>
    </w:p>
    <w:p w14:paraId="01748EBC" w14:textId="77777777" w:rsidR="0003709D" w:rsidRPr="002707D0" w:rsidRDefault="0003709D" w:rsidP="0003709D">
      <w:pPr>
        <w:pStyle w:val="NormalWeb"/>
        <w:spacing w:line="360" w:lineRule="auto"/>
      </w:pPr>
      <w:r>
        <w:t xml:space="preserve">Mann, K., Gordon, J. and MacLeod, A. (2009) ‘Reflection and reflective practice in health professions education: A systematic review’, </w:t>
      </w:r>
      <w:r>
        <w:rPr>
          <w:rStyle w:val="Emphasis"/>
          <w:rFonts w:eastAsiaTheme="majorEastAsia"/>
        </w:rPr>
        <w:t>Advances in Health Sciences Education</w:t>
      </w:r>
      <w:r>
        <w:t>, 14(4), pp. 595–621. doi:10.1007/s10459-007-9090-2</w:t>
      </w:r>
    </w:p>
    <w:p w14:paraId="6F9483B5" w14:textId="77777777" w:rsidR="0003709D" w:rsidRPr="002707D0" w:rsidRDefault="0003709D" w:rsidP="0003709D">
      <w:pPr>
        <w:spacing w:before="100" w:beforeAutospacing="1" w:after="100" w:afterAutospacing="1"/>
        <w:rPr>
          <w:color w:val="000000"/>
          <w:lang w:eastAsia="en-GB"/>
        </w:rPr>
      </w:pPr>
      <w:r>
        <w:rPr>
          <w:color w:val="000000"/>
          <w:lang w:eastAsia="en-GB"/>
        </w:rPr>
        <w:t>McCartney, C. (2011) </w:t>
      </w:r>
      <w:r>
        <w:rPr>
          <w:i/>
          <w:iCs/>
          <w:color w:val="000000"/>
          <w:lang w:eastAsia="en-GB"/>
        </w:rPr>
        <w:t>Forensic Identification and Criminal Justice: Forensic Science, Justice and Risk</w:t>
      </w:r>
      <w:r>
        <w:rPr>
          <w:color w:val="000000"/>
          <w:lang w:eastAsia="en-GB"/>
        </w:rPr>
        <w:t>. Abingdon: Routledge.</w:t>
      </w:r>
    </w:p>
    <w:p w14:paraId="2F8DA68D" w14:textId="77777777" w:rsidR="0003709D" w:rsidRDefault="0003709D" w:rsidP="0003709D">
      <w:pPr>
        <w:spacing w:before="100" w:beforeAutospacing="1" w:after="100" w:afterAutospacing="1"/>
      </w:pPr>
      <w:r>
        <w:rPr>
          <w:color w:val="000000"/>
          <w:lang w:eastAsia="en-GB"/>
        </w:rPr>
        <w:t>McGlynn, C. and Rackley, E. (2017) ‘Image-based sexual abuse’, </w:t>
      </w:r>
      <w:r>
        <w:rPr>
          <w:i/>
          <w:iCs/>
          <w:color w:val="000000"/>
          <w:lang w:eastAsia="en-GB"/>
        </w:rPr>
        <w:t>Oxford Journal of Legal Studies</w:t>
      </w:r>
      <w:r>
        <w:rPr>
          <w:color w:val="000000"/>
          <w:lang w:eastAsia="en-GB"/>
        </w:rPr>
        <w:t>, 37(3), pp. 534–561 DOI</w:t>
      </w:r>
      <w:r>
        <w:t>:10.1093/ojls/gqw033</w:t>
      </w:r>
    </w:p>
    <w:p w14:paraId="07167E6E" w14:textId="77777777" w:rsidR="00F10D2C" w:rsidRPr="00F10D2C" w:rsidRDefault="00F10D2C" w:rsidP="00F10D2C">
      <w:pPr>
        <w:spacing w:before="80" w:after="120"/>
        <w:jc w:val="both"/>
      </w:pPr>
      <w:r>
        <w:lastRenderedPageBreak/>
        <w:t xml:space="preserve">Mezirow, J. (1990) </w:t>
      </w:r>
      <w:r>
        <w:rPr>
          <w:i/>
          <w:iCs/>
        </w:rPr>
        <w:t>Fostering critical reflection in adulthood: A guide to transformative and emancipatory learning.</w:t>
      </w:r>
      <w:r>
        <w:t xml:space="preserve"> San Francisco: Jossey-Bass.</w:t>
      </w:r>
    </w:p>
    <w:p w14:paraId="683B2E89" w14:textId="77777777" w:rsidR="0003709D" w:rsidRPr="002707D0" w:rsidRDefault="0003709D" w:rsidP="0003709D">
      <w:pPr>
        <w:spacing w:before="100" w:beforeAutospacing="1" w:after="100" w:afterAutospacing="1"/>
        <w:rPr>
          <w:color w:val="000000"/>
          <w:lang w:eastAsia="en-GB"/>
        </w:rPr>
      </w:pPr>
      <w:r>
        <w:rPr>
          <w:color w:val="000000"/>
          <w:lang w:eastAsia="en-GB"/>
        </w:rPr>
        <w:t>Milne, R. and Bull, R. (1999) </w:t>
      </w:r>
      <w:r>
        <w:rPr>
          <w:i/>
          <w:iCs/>
          <w:color w:val="000000"/>
          <w:lang w:eastAsia="en-GB"/>
        </w:rPr>
        <w:t>Investigative Interviewing</w:t>
      </w:r>
      <w:r>
        <w:rPr>
          <w:color w:val="000000"/>
          <w:lang w:eastAsia="en-GB"/>
        </w:rPr>
        <w:t>. Chichester: Wiley.</w:t>
      </w:r>
    </w:p>
    <w:p w14:paraId="41752A44" w14:textId="77777777" w:rsidR="0003709D" w:rsidRPr="002707D0" w:rsidRDefault="0003709D" w:rsidP="0003709D">
      <w:pPr>
        <w:spacing w:before="100" w:beforeAutospacing="1" w:after="100" w:afterAutospacing="1"/>
        <w:rPr>
          <w:color w:val="000000"/>
          <w:lang w:eastAsia="en-GB"/>
        </w:rPr>
      </w:pPr>
      <w:r>
        <w:rPr>
          <w:color w:val="000000"/>
          <w:lang w:eastAsia="en-GB"/>
        </w:rPr>
        <w:t>Ministry of Justice (2022) </w:t>
      </w:r>
      <w:r>
        <w:rPr>
          <w:i/>
          <w:iCs/>
          <w:color w:val="000000"/>
          <w:lang w:eastAsia="en-GB"/>
        </w:rPr>
        <w:t>Achieving Best Evidence in Criminal Proceedings: Guidance on interviewing victims and witnesses</w:t>
      </w:r>
      <w:r>
        <w:rPr>
          <w:color w:val="000000"/>
          <w:lang w:eastAsia="en-GB"/>
        </w:rPr>
        <w:t>. Available at: https://www.gov.uk/government/publications/achieving-best-evidence-in-criminal-proceedings (Accessed: 29 March 2026).</w:t>
      </w:r>
    </w:p>
    <w:p w14:paraId="19134123" w14:textId="77777777" w:rsidR="0003709D" w:rsidRPr="002707D0" w:rsidRDefault="0003709D" w:rsidP="0003709D">
      <w:pPr>
        <w:spacing w:before="100" w:beforeAutospacing="1" w:after="100" w:afterAutospacing="1"/>
        <w:rPr>
          <w:color w:val="000000"/>
          <w:lang w:eastAsia="en-GB"/>
        </w:rPr>
      </w:pPr>
      <w:r>
        <w:rPr>
          <w:color w:val="000000"/>
          <w:lang w:eastAsia="en-GB"/>
        </w:rPr>
        <w:t>National Police Chiefs’ Council (2019a) </w:t>
      </w:r>
      <w:r>
        <w:rPr>
          <w:i/>
          <w:iCs/>
          <w:color w:val="000000"/>
          <w:lang w:eastAsia="en-GB"/>
        </w:rPr>
        <w:t>National Digital Forensics Strategy</w:t>
      </w:r>
      <w:r>
        <w:rPr>
          <w:color w:val="000000"/>
          <w:lang w:eastAsia="en-GB"/>
        </w:rPr>
        <w:t>. Available at: https://www.npcc.police.uk (Accessed: 23 February 2026).</w:t>
      </w:r>
    </w:p>
    <w:p w14:paraId="015DD3F1" w14:textId="77777777" w:rsidR="0003709D" w:rsidRDefault="0003709D" w:rsidP="0003709D">
      <w:pPr>
        <w:spacing w:before="100" w:beforeAutospacing="1" w:after="100" w:afterAutospacing="1"/>
        <w:rPr>
          <w:color w:val="000000"/>
          <w:lang w:eastAsia="en-GB"/>
        </w:rPr>
      </w:pPr>
      <w:r>
        <w:rPr>
          <w:color w:val="000000"/>
          <w:lang w:eastAsia="en-GB"/>
        </w:rPr>
        <w:t>National Police Chiefs’ Council (2019b) </w:t>
      </w:r>
      <w:r>
        <w:rPr>
          <w:i/>
          <w:iCs/>
          <w:color w:val="000000"/>
          <w:lang w:eastAsia="en-GB"/>
        </w:rPr>
        <w:t>Good Practice Guide for Digital Evidence</w:t>
      </w:r>
      <w:r>
        <w:rPr>
          <w:color w:val="000000"/>
          <w:lang w:eastAsia="en-GB"/>
        </w:rPr>
        <w:t>. Available at: https://www.npcc.police.uk (Accessed: 29 March 2026).</w:t>
      </w:r>
    </w:p>
    <w:p w14:paraId="016F42AD" w14:textId="77777777" w:rsidR="002003AC" w:rsidRPr="002707D0" w:rsidRDefault="002003AC" w:rsidP="002003AC">
      <w:pPr>
        <w:spacing w:before="100" w:beforeAutospacing="1" w:after="100" w:afterAutospacing="1"/>
        <w:rPr>
          <w:color w:val="000000"/>
          <w:lang w:eastAsia="en-GB"/>
        </w:rPr>
      </w:pPr>
      <w:r>
        <w:rPr>
          <w:color w:val="000000"/>
          <w:lang w:eastAsia="en-GB"/>
        </w:rPr>
        <w:t>National Police Chiefs’ Council (2022) </w:t>
      </w:r>
      <w:r>
        <w:rPr>
          <w:i/>
          <w:iCs/>
          <w:color w:val="000000"/>
          <w:lang w:eastAsia="en-GB"/>
        </w:rPr>
        <w:t>Digital Forensics Science Strategy 2020–2030</w:t>
      </w:r>
      <w:r>
        <w:rPr>
          <w:color w:val="000000"/>
          <w:lang w:eastAsia="en-GB"/>
        </w:rPr>
        <w:t>. Available at: https://www.npcc.police.uk/SysSiteAssets/media/downloads/publications/publications-log/2020/national-digital-forensic-science-strategy.pdf (Accessed: 24 February 2026).</w:t>
      </w:r>
    </w:p>
    <w:p w14:paraId="625D92AB" w14:textId="77777777" w:rsidR="0061367F" w:rsidRPr="0061367F" w:rsidRDefault="0061367F" w:rsidP="0061367F">
      <w:pPr>
        <w:spacing w:before="80" w:after="120"/>
        <w:jc w:val="both"/>
      </w:pPr>
      <w:r>
        <w:t xml:space="preserve">Nutley, S., Walter, I. and Davies, H. (2007) </w:t>
      </w:r>
      <w:r>
        <w:rPr>
          <w:i/>
          <w:iCs/>
        </w:rPr>
        <w:t xml:space="preserve">Using evidence: How research can inform public services. </w:t>
      </w:r>
      <w:r>
        <w:t>Bristol: Policy Press.</w:t>
      </w:r>
    </w:p>
    <w:p w14:paraId="07987422" w14:textId="77777777" w:rsidR="0003709D" w:rsidRPr="002707D0" w:rsidRDefault="0003709D" w:rsidP="0003709D">
      <w:pPr>
        <w:spacing w:before="100" w:beforeAutospacing="1" w:after="100" w:afterAutospacing="1"/>
        <w:rPr>
          <w:color w:val="000000"/>
          <w:lang w:eastAsia="en-GB"/>
        </w:rPr>
      </w:pPr>
      <w:r>
        <w:rPr>
          <w:color w:val="000000"/>
          <w:lang w:eastAsia="en-GB"/>
        </w:rPr>
        <w:t>Ormerod, D. and Laird, K. (2018) </w:t>
      </w:r>
      <w:r>
        <w:rPr>
          <w:i/>
          <w:iCs/>
          <w:color w:val="000000"/>
          <w:lang w:eastAsia="en-GB"/>
        </w:rPr>
        <w:t>Smith, Hogan, and Ormerod’s Criminal Law</w:t>
      </w:r>
      <w:r>
        <w:rPr>
          <w:color w:val="000000"/>
          <w:lang w:eastAsia="en-GB"/>
        </w:rPr>
        <w:t>. Oxford: Oxford University Press.</w:t>
      </w:r>
    </w:p>
    <w:p w14:paraId="7EABFCF0" w14:textId="77777777" w:rsidR="0003709D" w:rsidRPr="002707D0" w:rsidRDefault="0003709D" w:rsidP="0003709D">
      <w:pPr>
        <w:pStyle w:val="NormalWeb"/>
        <w:spacing w:line="360" w:lineRule="auto"/>
      </w:pPr>
      <w:r>
        <w:t xml:space="preserve">Oxburgh, G., Myklebust, T. and Grant, T. (2010) ‘The question of question types in police interviews’, </w:t>
      </w:r>
      <w:r>
        <w:rPr>
          <w:rStyle w:val="Emphasis"/>
          <w:rFonts w:eastAsiaTheme="majorEastAsia"/>
        </w:rPr>
        <w:t>International Journal of Speech, Language and the Law</w:t>
      </w:r>
      <w:r>
        <w:t>, 17(1), pp. 45–66. doi:10.1558/ijsll.v17i1.45</w:t>
      </w:r>
    </w:p>
    <w:p w14:paraId="27137E8F" w14:textId="77777777" w:rsidR="0003709D" w:rsidRPr="002707D0" w:rsidRDefault="0003709D" w:rsidP="0003709D">
      <w:pPr>
        <w:spacing w:before="100" w:beforeAutospacing="1" w:after="100" w:afterAutospacing="1"/>
        <w:rPr>
          <w:color w:val="000000"/>
          <w:lang w:eastAsia="en-GB"/>
        </w:rPr>
      </w:pPr>
      <w:r>
        <w:rPr>
          <w:color w:val="000000"/>
          <w:lang w:eastAsia="en-GB"/>
        </w:rPr>
        <w:t>Police and Crime Act 2017. Available at: https://www.legislation.gov.uk/ukpga/2017/3/contents (Accessed: 23 February 2026).</w:t>
      </w:r>
    </w:p>
    <w:p w14:paraId="31EAFD4E" w14:textId="77777777" w:rsidR="0003709D" w:rsidRDefault="0003709D" w:rsidP="0003709D">
      <w:pPr>
        <w:spacing w:before="100" w:beforeAutospacing="1" w:after="100" w:afterAutospacing="1"/>
        <w:rPr>
          <w:color w:val="000000"/>
          <w:lang w:eastAsia="en-GB"/>
        </w:rPr>
      </w:pPr>
      <w:r>
        <w:rPr>
          <w:color w:val="000000"/>
          <w:lang w:eastAsia="en-GB"/>
        </w:rPr>
        <w:t>Police and Criminal Evidence Act 1984. Available at: https://www.legislation.gov.uk/ukpga/1984/60/contents (Accessed: 23 February 2026; 30 March 2026).</w:t>
      </w:r>
    </w:p>
    <w:p w14:paraId="3F7DDF01" w14:textId="5889B790" w:rsidR="00E649DE" w:rsidRDefault="00E649DE" w:rsidP="0003709D">
      <w:pPr>
        <w:spacing w:before="100" w:beforeAutospacing="1" w:after="100" w:afterAutospacing="1"/>
      </w:pPr>
      <w:r>
        <w:lastRenderedPageBreak/>
        <w:t>R v H and C [2004] 2 AC 134 (HL)</w:t>
      </w:r>
    </w:p>
    <w:p w14:paraId="5F21D1A6" w14:textId="237C710A" w:rsidR="00DD1ADC" w:rsidRPr="00DD1ADC" w:rsidRDefault="00DD1ADC" w:rsidP="0003709D">
      <w:pPr>
        <w:spacing w:before="100" w:beforeAutospacing="1" w:after="100" w:afterAutospacing="1"/>
        <w:rPr>
          <w:color w:val="000000"/>
          <w:lang w:eastAsia="en-GB"/>
        </w:rPr>
      </w:pPr>
      <w:r>
        <w:t>R v Mouncher [2011] EWCA Crim 2154 (CA)</w:t>
      </w:r>
    </w:p>
    <w:p w14:paraId="225F443F" w14:textId="45BB6C25" w:rsidR="002468CD" w:rsidRPr="00742E8E" w:rsidRDefault="00742E8E" w:rsidP="0003709D">
      <w:pPr>
        <w:spacing w:before="100" w:beforeAutospacing="1" w:after="100" w:afterAutospacing="1"/>
        <w:rPr>
          <w:i/>
          <w:iCs/>
          <w:color w:val="000000"/>
          <w:lang w:eastAsia="en-GB"/>
        </w:rPr>
      </w:pPr>
      <w:r>
        <w:rPr>
          <w:rStyle w:val="Emphasis"/>
          <w:i w:val="0"/>
          <w:iCs w:val="0"/>
        </w:rPr>
        <w:t>R v Ward</w:t>
      </w:r>
      <w:r>
        <w:rPr>
          <w:i/>
          <w:iCs/>
        </w:rPr>
        <w:t xml:space="preserve"> </w:t>
      </w:r>
      <w:r>
        <w:t>[1993] 1 WLR 619 (CA).</w:t>
      </w:r>
    </w:p>
    <w:p w14:paraId="1F046C82" w14:textId="77777777" w:rsidR="0003709D" w:rsidRPr="002707D0" w:rsidRDefault="0003709D" w:rsidP="0003709D">
      <w:pPr>
        <w:spacing w:before="100" w:beforeAutospacing="1" w:after="100" w:afterAutospacing="1"/>
        <w:rPr>
          <w:color w:val="000000"/>
          <w:lang w:eastAsia="en-GB"/>
        </w:rPr>
      </w:pPr>
      <w:r>
        <w:rPr>
          <w:color w:val="000000"/>
          <w:lang w:eastAsia="en-GB"/>
        </w:rPr>
        <w:t>Randall, M. and Haskell, L. (2013) ‘Trauma-informed approaches’, </w:t>
      </w:r>
      <w:r>
        <w:rPr>
          <w:i/>
          <w:iCs/>
          <w:color w:val="000000"/>
          <w:lang w:eastAsia="en-GB"/>
        </w:rPr>
        <w:t>Dalhousie Law Journal</w:t>
      </w:r>
      <w:r>
        <w:rPr>
          <w:color w:val="000000"/>
          <w:lang w:eastAsia="en-GB"/>
        </w:rPr>
        <w:t>, 36(2), pp. 371–398.</w:t>
      </w:r>
      <w:r>
        <w:t xml:space="preserve"> Available at: </w:t>
      </w:r>
      <w:hyperlink r:id="rId20" w:tgtFrame="_new" w:history="1">
        <w:r>
          <w:rPr>
            <w:rStyle w:val="Hyperlink"/>
          </w:rPr>
          <w:t>https://digitalcommons.schulichlaw.dal.ca/dlj/vol36/iss2/5</w:t>
        </w:r>
      </w:hyperlink>
      <w:r>
        <w:t xml:space="preserve"> (Accessed: 5 April 2026).</w:t>
      </w:r>
    </w:p>
    <w:p w14:paraId="07C38289" w14:textId="77777777" w:rsidR="0003709D" w:rsidRPr="002707D0" w:rsidRDefault="0003709D" w:rsidP="0003709D">
      <w:pPr>
        <w:spacing w:before="100" w:beforeAutospacing="1" w:after="100" w:afterAutospacing="1"/>
        <w:rPr>
          <w:color w:val="000000"/>
          <w:lang w:eastAsia="en-GB"/>
        </w:rPr>
      </w:pPr>
      <w:r>
        <w:rPr>
          <w:color w:val="000000"/>
          <w:lang w:eastAsia="en-GB"/>
        </w:rPr>
        <w:t>Reiner, R. (2010) </w:t>
      </w:r>
      <w:r>
        <w:rPr>
          <w:i/>
          <w:iCs/>
          <w:color w:val="000000"/>
          <w:lang w:eastAsia="en-GB"/>
        </w:rPr>
        <w:t>The Politics of the Police</w:t>
      </w:r>
      <w:r>
        <w:rPr>
          <w:color w:val="000000"/>
          <w:lang w:eastAsia="en-GB"/>
        </w:rPr>
        <w:t>. 4th edn. Oxford: Oxford University Press.</w:t>
      </w:r>
    </w:p>
    <w:p w14:paraId="727363EF" w14:textId="77777777" w:rsidR="0003709D" w:rsidRPr="002707D0" w:rsidRDefault="0003709D" w:rsidP="0003709D">
      <w:pPr>
        <w:spacing w:before="100" w:beforeAutospacing="1" w:after="100" w:afterAutospacing="1"/>
        <w:rPr>
          <w:color w:val="000000"/>
          <w:lang w:eastAsia="en-GB"/>
        </w:rPr>
      </w:pPr>
      <w:r>
        <w:rPr>
          <w:color w:val="000000"/>
          <w:lang w:eastAsia="en-GB"/>
        </w:rPr>
        <w:t>Robinson, A.L., Gill, C. and Walklate, S. (2016) </w:t>
      </w:r>
      <w:r>
        <w:rPr>
          <w:i/>
          <w:iCs/>
          <w:color w:val="000000"/>
          <w:lang w:eastAsia="en-GB"/>
        </w:rPr>
        <w:t>Multi-Agency Working in Criminal Justice: Control and Care in Contemporary Practice</w:t>
      </w:r>
      <w:r>
        <w:rPr>
          <w:color w:val="000000"/>
          <w:lang w:eastAsia="en-GB"/>
        </w:rPr>
        <w:t>. Bristol: Policy Press.</w:t>
      </w:r>
    </w:p>
    <w:p w14:paraId="4FCDC16F" w14:textId="77777777" w:rsidR="0003709D" w:rsidRPr="002707D0" w:rsidRDefault="0003709D" w:rsidP="0003709D">
      <w:pPr>
        <w:spacing w:before="100" w:beforeAutospacing="1" w:after="100" w:afterAutospacing="1"/>
        <w:rPr>
          <w:color w:val="000000"/>
          <w:lang w:eastAsia="en-GB"/>
        </w:rPr>
      </w:pPr>
      <w:r>
        <w:rPr>
          <w:color w:val="000000"/>
          <w:lang w:eastAsia="en-GB"/>
        </w:rPr>
        <w:t>Sanders, A., Young, R. and Burton, M. (2010) </w:t>
      </w:r>
      <w:r>
        <w:rPr>
          <w:i/>
          <w:iCs/>
          <w:color w:val="000000"/>
          <w:lang w:eastAsia="en-GB"/>
        </w:rPr>
        <w:t>Criminal Justice</w:t>
      </w:r>
      <w:r>
        <w:rPr>
          <w:color w:val="000000"/>
          <w:lang w:eastAsia="en-GB"/>
        </w:rPr>
        <w:t>. 4th edn. Oxford: Oxford University Press.</w:t>
      </w:r>
    </w:p>
    <w:p w14:paraId="238291AC" w14:textId="77777777" w:rsidR="0003709D" w:rsidRPr="002707D0" w:rsidRDefault="0003709D" w:rsidP="0003709D">
      <w:pPr>
        <w:pStyle w:val="NormalWeb"/>
        <w:spacing w:line="360" w:lineRule="auto"/>
      </w:pPr>
      <w:r>
        <w:t xml:space="preserve">Schön, D.A. (1983) </w:t>
      </w:r>
      <w:r>
        <w:rPr>
          <w:rStyle w:val="Emphasis"/>
          <w:rFonts w:eastAsiaTheme="majorEastAsia"/>
        </w:rPr>
        <w:t>The reflective practitioner: How professionals think in action</w:t>
      </w:r>
      <w:r>
        <w:t>. New York: Basic Books.</w:t>
      </w:r>
    </w:p>
    <w:p w14:paraId="631B3EDC" w14:textId="77777777" w:rsidR="0003709D" w:rsidRPr="002707D0" w:rsidRDefault="0003709D" w:rsidP="0003709D">
      <w:pPr>
        <w:spacing w:before="100" w:beforeAutospacing="1" w:after="100" w:afterAutospacing="1"/>
        <w:rPr>
          <w:color w:val="000000"/>
          <w:lang w:eastAsia="en-GB"/>
        </w:rPr>
      </w:pPr>
      <w:r>
        <w:rPr>
          <w:color w:val="000000"/>
          <w:lang w:eastAsia="en-GB"/>
        </w:rPr>
        <w:t>Stelfox, P. (2009) </w:t>
      </w:r>
      <w:r>
        <w:rPr>
          <w:i/>
          <w:iCs/>
          <w:color w:val="000000"/>
          <w:lang w:eastAsia="en-GB"/>
        </w:rPr>
        <w:t>Criminal Investigation: An Introduction to Principles and Practice</w:t>
      </w:r>
      <w:r>
        <w:rPr>
          <w:color w:val="000000"/>
          <w:lang w:eastAsia="en-GB"/>
        </w:rPr>
        <w:t>. 2nd edn. Cullompton: Willan Publishing.</w:t>
      </w:r>
    </w:p>
    <w:p w14:paraId="274773C9" w14:textId="77777777" w:rsidR="0003709D" w:rsidRPr="002707D0" w:rsidRDefault="0003709D" w:rsidP="0003709D">
      <w:pPr>
        <w:spacing w:before="100" w:beforeAutospacing="1" w:after="100" w:afterAutospacing="1"/>
        <w:rPr>
          <w:color w:val="000000"/>
          <w:lang w:eastAsia="en-GB"/>
        </w:rPr>
      </w:pPr>
      <w:r>
        <w:rPr>
          <w:color w:val="000000"/>
          <w:lang w:eastAsia="en-GB"/>
        </w:rPr>
        <w:t>Taylor, R.W., Fritsch, E.J. and Liederbach, J. (2015) </w:t>
      </w:r>
      <w:r>
        <w:rPr>
          <w:i/>
          <w:iCs/>
          <w:color w:val="000000"/>
          <w:lang w:eastAsia="en-GB"/>
        </w:rPr>
        <w:t>Digital Crime and Digital Terrorism</w:t>
      </w:r>
      <w:r>
        <w:rPr>
          <w:color w:val="000000"/>
          <w:lang w:eastAsia="en-GB"/>
        </w:rPr>
        <w:t>. 3rd edn. Boston: Pearson.</w:t>
      </w:r>
    </w:p>
    <w:p w14:paraId="7B31B524" w14:textId="77777777" w:rsidR="0003709D" w:rsidRPr="002707D0" w:rsidRDefault="0003709D" w:rsidP="0003709D">
      <w:pPr>
        <w:spacing w:before="100" w:beforeAutospacing="1" w:after="100" w:afterAutospacing="1"/>
        <w:rPr>
          <w:color w:val="000000"/>
          <w:lang w:eastAsia="en-GB"/>
        </w:rPr>
      </w:pPr>
      <w:r>
        <w:rPr>
          <w:color w:val="000000"/>
          <w:lang w:eastAsia="en-GB"/>
        </w:rPr>
        <w:t>Tong, S., Bryant, R. and Horvath, M. (2009) </w:t>
      </w:r>
      <w:r>
        <w:rPr>
          <w:i/>
          <w:iCs/>
          <w:color w:val="000000"/>
          <w:lang w:eastAsia="en-GB"/>
        </w:rPr>
        <w:t>Understanding Criminal Investigation</w:t>
      </w:r>
      <w:r>
        <w:rPr>
          <w:color w:val="000000"/>
          <w:lang w:eastAsia="en-GB"/>
        </w:rPr>
        <w:t>. Chichester: Wiley-Blackwell.</w:t>
      </w:r>
    </w:p>
    <w:p w14:paraId="3CFF1F16" w14:textId="77777777" w:rsidR="0003709D" w:rsidRPr="002707D0" w:rsidRDefault="0003709D" w:rsidP="0003709D">
      <w:pPr>
        <w:pStyle w:val="NormalWeb"/>
        <w:spacing w:line="360" w:lineRule="auto"/>
      </w:pPr>
      <w:r>
        <w:t xml:space="preserve">Tyler, T.R. (2006) </w:t>
      </w:r>
      <w:r>
        <w:rPr>
          <w:rStyle w:val="Emphasis"/>
          <w:rFonts w:eastAsiaTheme="majorEastAsia"/>
        </w:rPr>
        <w:t>Why people obey the law</w:t>
      </w:r>
      <w:r>
        <w:t>. Princeton: Princeton University Press.</w:t>
      </w:r>
    </w:p>
    <w:p w14:paraId="36BFEDC6" w14:textId="77777777" w:rsidR="0003709D" w:rsidRPr="002707D0" w:rsidRDefault="0003709D" w:rsidP="0003709D">
      <w:pPr>
        <w:pStyle w:val="NormalWeb"/>
        <w:spacing w:line="360" w:lineRule="auto"/>
      </w:pPr>
      <w:r>
        <w:t xml:space="preserve">Walsh, D. and Bull, R. (2012) ‘Examining rapport in investigative interviews with suspects: Does its building and maintenance work?’, </w:t>
      </w:r>
      <w:r>
        <w:rPr>
          <w:rStyle w:val="Emphasis"/>
          <w:rFonts w:eastAsiaTheme="majorEastAsia"/>
        </w:rPr>
        <w:t>Journal of Police and Criminal Psychology</w:t>
      </w:r>
      <w:r>
        <w:t>, 27(1), pp. 73–84. doi:10.1007/s11896-011-9087-8</w:t>
      </w:r>
    </w:p>
    <w:p w14:paraId="49051442" w14:textId="77777777" w:rsidR="0003709D" w:rsidRPr="002707D0" w:rsidRDefault="0003709D" w:rsidP="0003709D">
      <w:pPr>
        <w:spacing w:before="100" w:beforeAutospacing="1" w:after="100" w:afterAutospacing="1"/>
        <w:rPr>
          <w:color w:val="000000"/>
          <w:lang w:eastAsia="en-GB"/>
        </w:rPr>
      </w:pPr>
      <w:r>
        <w:rPr>
          <w:color w:val="000000"/>
          <w:lang w:eastAsia="en-GB"/>
        </w:rPr>
        <w:t>Walters, M. (2014) </w:t>
      </w:r>
      <w:r>
        <w:rPr>
          <w:i/>
          <w:iCs/>
          <w:color w:val="000000"/>
          <w:lang w:eastAsia="en-GB"/>
        </w:rPr>
        <w:t>Hate Crime and Restorative Justice</w:t>
      </w:r>
      <w:r>
        <w:rPr>
          <w:color w:val="000000"/>
          <w:lang w:eastAsia="en-GB"/>
        </w:rPr>
        <w:t>. Oxford: Oxford University Press.</w:t>
      </w:r>
    </w:p>
    <w:p w14:paraId="62E70602" w14:textId="77777777" w:rsidR="0003709D" w:rsidRPr="002707D0" w:rsidRDefault="0003709D" w:rsidP="0003709D">
      <w:pPr>
        <w:spacing w:before="100" w:beforeAutospacing="1" w:after="100" w:afterAutospacing="1"/>
        <w:rPr>
          <w:color w:val="000000"/>
          <w:lang w:eastAsia="en-GB"/>
        </w:rPr>
      </w:pPr>
      <w:r>
        <w:rPr>
          <w:color w:val="000000"/>
          <w:lang w:eastAsia="en-GB"/>
        </w:rPr>
        <w:lastRenderedPageBreak/>
        <w:t>Wilson-Kovacs, D. and Wilcox, J. (2023) ‘Managing policing demand for digital forensics through risk assessment and prioritisation in England and Wales’, </w:t>
      </w:r>
      <w:r>
        <w:rPr>
          <w:i/>
          <w:iCs/>
          <w:color w:val="000000"/>
          <w:lang w:eastAsia="en-GB"/>
        </w:rPr>
        <w:t>Policing: A Journal of Policy and Practice</w:t>
      </w:r>
      <w:r>
        <w:rPr>
          <w:color w:val="000000"/>
          <w:lang w:eastAsia="en-GB"/>
        </w:rPr>
        <w:t>, 17, article paac106. Available at: https://academic.oup.com/policing/article/doi/10.1093/police/paac106/6917132 (Accessed: 23 February 2026).</w:t>
      </w:r>
    </w:p>
    <w:p w14:paraId="53DE795B" w14:textId="77777777" w:rsidR="0003709D" w:rsidRPr="002707D0" w:rsidRDefault="0003709D" w:rsidP="0003709D">
      <w:pPr>
        <w:spacing w:before="100" w:beforeAutospacing="1" w:after="100" w:afterAutospacing="1"/>
        <w:rPr>
          <w:color w:val="000000"/>
          <w:lang w:eastAsia="en-GB"/>
        </w:rPr>
      </w:pPr>
      <w:r>
        <w:rPr>
          <w:color w:val="000000"/>
          <w:lang w:eastAsia="en-GB"/>
        </w:rPr>
        <w:t>Zedner, L. (2007) ‘Pre-crime and security’, </w:t>
      </w:r>
      <w:r>
        <w:rPr>
          <w:i/>
          <w:iCs/>
          <w:color w:val="000000"/>
          <w:lang w:eastAsia="en-GB"/>
        </w:rPr>
        <w:t>Theoretical Criminology</w:t>
      </w:r>
      <w:r>
        <w:rPr>
          <w:color w:val="000000"/>
          <w:lang w:eastAsia="en-GB"/>
        </w:rPr>
        <w:t>, 11(2), pp. 261–281.</w:t>
      </w:r>
      <w:r>
        <w:t xml:space="preserve"> doi:10.1177/1362480607075851</w:t>
      </w:r>
    </w:p>
    <w:p w14:paraId="18E270DA" w14:textId="77777777" w:rsidR="0003709D" w:rsidRPr="002707D0" w:rsidRDefault="0003709D" w:rsidP="0003709D"/>
    <w:p w14:paraId="4210180A" w14:textId="77777777" w:rsidR="0003709D" w:rsidRPr="002707D0" w:rsidRDefault="0003709D" w:rsidP="0003709D"/>
    <w:p w14:paraId="61AA51FD" w14:textId="77777777" w:rsidR="0063270C" w:rsidRDefault="0063270C">
      <w:pPr>
        <w:spacing w:before="240" w:after="60"/>
        <w:ind w:right="237"/>
        <w:jc w:val="both"/>
        <w:rPr>
          <w:color w:val="000000"/>
        </w:rPr>
      </w:pPr>
    </w:p>
    <w:p w14:paraId="543CC60C" w14:textId="77777777" w:rsidR="00FC6DFA" w:rsidRPr="00246C12" w:rsidRDefault="009F1B79">
      <w:pPr>
        <w:pStyle w:val="Heading2"/>
        <w:spacing w:before="0" w:after="160"/>
        <w:jc w:val="both"/>
        <w:rPr>
          <w:rFonts w:ascii="Arial" w:hAnsi="Arial" w:cs="Arial"/>
          <w:b/>
          <w:color w:val="000000"/>
          <w:sz w:val="24"/>
          <w:szCs w:val="24"/>
        </w:rPr>
      </w:pPr>
      <w:r w:rsidRPr="00246C12">
        <w:rPr>
          <w:rFonts w:ascii="Arial" w:hAnsi="Arial" w:cs="Arial"/>
          <w:b/>
          <w:color w:val="000000"/>
          <w:sz w:val="24"/>
          <w:szCs w:val="24"/>
        </w:rPr>
        <w:t>7. Use of Generative AI in Assessment</w:t>
      </w:r>
    </w:p>
    <w:p w14:paraId="3A868C8E" w14:textId="77777777" w:rsidR="00FC6DFA" w:rsidRPr="00246C12" w:rsidRDefault="009F1B79">
      <w:pPr>
        <w:jc w:val="both"/>
        <w:rPr>
          <w:rFonts w:ascii="Arial" w:hAnsi="Arial" w:cs="Arial"/>
          <w:color w:val="000000"/>
        </w:rPr>
      </w:pPr>
      <w:r w:rsidRPr="00246C12">
        <w:rPr>
          <w:rFonts w:ascii="Arial" w:hAnsi="Arial" w:cs="Arial"/>
          <w:color w:val="000000"/>
        </w:rPr>
        <w:t xml:space="preserve"> (Lecturer to indicate Yes or Not against each element)</w:t>
      </w:r>
    </w:p>
    <w:p w14:paraId="56CB0764" w14:textId="77777777" w:rsidR="00FC6DFA" w:rsidRPr="00246C12" w:rsidRDefault="009F1B79">
      <w:pPr>
        <w:spacing w:after="0"/>
        <w:jc w:val="both"/>
        <w:rPr>
          <w:rFonts w:ascii="Arial" w:hAnsi="Arial" w:cs="Arial"/>
          <w:color w:val="000000"/>
        </w:rPr>
      </w:pPr>
      <w:r w:rsidRPr="00246C12">
        <w:rPr>
          <w:rFonts w:ascii="Arial" w:hAnsi="Arial" w:cs="Arial"/>
          <w:color w:val="000000"/>
        </w:rPr>
        <w:t xml:space="preserve"> </w:t>
      </w:r>
    </w:p>
    <w:tbl>
      <w:tblPr>
        <w:tblStyle w:val="a6"/>
        <w:tblW w:w="9014"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474"/>
        <w:gridCol w:w="4895"/>
        <w:gridCol w:w="1645"/>
      </w:tblGrid>
      <w:tr w:rsidR="00FC6DFA" w:rsidRPr="00246C12" w14:paraId="0AF72C70"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E75F12" w14:textId="77777777" w:rsidR="00FC6DFA" w:rsidRPr="00246C12" w:rsidRDefault="009F1B79">
            <w:pPr>
              <w:spacing w:line="360" w:lineRule="auto"/>
              <w:rPr>
                <w:rFonts w:ascii="Arial" w:hAnsi="Arial" w:cs="Arial"/>
              </w:rPr>
            </w:pPr>
            <w:r w:rsidRPr="00246C12">
              <w:rPr>
                <w:rFonts w:ascii="Arial" w:hAnsi="Arial" w:cs="Arial"/>
              </w:rPr>
              <w:t>RESEARCH</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3703EA" w14:textId="77777777" w:rsidR="00FC6DFA" w:rsidRPr="00246C12" w:rsidRDefault="009F1B79">
            <w:pPr>
              <w:spacing w:line="360" w:lineRule="auto"/>
              <w:rPr>
                <w:rFonts w:ascii="Arial" w:hAnsi="Arial" w:cs="Arial"/>
              </w:rPr>
            </w:pPr>
            <w:r w:rsidRPr="00246C12">
              <w:rPr>
                <w:rFonts w:ascii="Arial" w:hAnsi="Arial" w:cs="Arial"/>
              </w:rPr>
              <w:t>For this assessment, you can use Generative AI to support you in research, including searching for bibliography, using tools to summarise, compare and interrogate materials.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19E01B2" w14:textId="77777777" w:rsidR="00FC6DFA" w:rsidRPr="00246C12" w:rsidRDefault="009F1B79">
            <w:pPr>
              <w:rPr>
                <w:rFonts w:ascii="Arial" w:eastAsia="MS Gothic" w:hAnsi="Arial" w:cs="Arial"/>
              </w:rPr>
            </w:pPr>
            <w:r w:rsidRPr="00246C12">
              <w:rPr>
                <w:rFonts w:ascii="Arial" w:hAnsi="Arial" w:cs="Arial"/>
              </w:rPr>
              <w:t xml:space="preserve">Yes </w:t>
            </w:r>
            <w:r w:rsidRPr="00246C12">
              <w:rPr>
                <w:rFonts w:ascii="Segoe UI Symbol" w:eastAsia="MS Gothic" w:hAnsi="Segoe UI Symbol" w:cs="Segoe UI Symbol"/>
              </w:rPr>
              <w:t>☒</w:t>
            </w:r>
          </w:p>
          <w:p w14:paraId="35B3F3C3" w14:textId="77777777" w:rsidR="00FC6DFA" w:rsidRPr="00246C12" w:rsidRDefault="009F1B79">
            <w:pPr>
              <w:rPr>
                <w:rFonts w:ascii="Arial" w:hAnsi="Arial" w:cs="Arial"/>
              </w:rPr>
            </w:pPr>
            <w:r w:rsidRPr="00246C12">
              <w:rPr>
                <w:rFonts w:ascii="Arial" w:hAnsi="Arial" w:cs="Arial"/>
              </w:rPr>
              <w:t xml:space="preserve"> </w:t>
            </w:r>
          </w:p>
          <w:p w14:paraId="539B6178" w14:textId="77777777" w:rsidR="00FC6DFA" w:rsidRPr="00246C12" w:rsidRDefault="009F1B79">
            <w:pPr>
              <w:rPr>
                <w:rFonts w:ascii="Arial" w:eastAsia="MS Gothic" w:hAnsi="Arial" w:cs="Arial"/>
              </w:rPr>
            </w:pPr>
            <w:r w:rsidRPr="00246C12">
              <w:rPr>
                <w:rFonts w:ascii="Arial" w:hAnsi="Arial" w:cs="Arial"/>
              </w:rPr>
              <w:t xml:space="preserve">No </w:t>
            </w:r>
            <w:r w:rsidRPr="00246C12">
              <w:rPr>
                <w:rFonts w:ascii="Segoe UI Symbol" w:eastAsia="MS Gothic" w:hAnsi="Segoe UI Symbol" w:cs="Segoe UI Symbol"/>
              </w:rPr>
              <w:t>☐</w:t>
            </w:r>
          </w:p>
        </w:tc>
      </w:tr>
      <w:tr w:rsidR="00FC6DFA" w:rsidRPr="00246C12" w14:paraId="59BF3A6C"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770711F" w14:textId="77777777" w:rsidR="00FC6DFA" w:rsidRPr="00246C12" w:rsidRDefault="009F1B79">
            <w:pPr>
              <w:spacing w:line="360" w:lineRule="auto"/>
              <w:rPr>
                <w:rFonts w:ascii="Arial" w:hAnsi="Arial" w:cs="Arial"/>
              </w:rPr>
            </w:pPr>
            <w:r w:rsidRPr="00246C12">
              <w:rPr>
                <w:rFonts w:ascii="Arial" w:hAnsi="Arial" w:cs="Arial"/>
              </w:rPr>
              <w:t>STRUCTURE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FB08116" w14:textId="77777777" w:rsidR="00FC6DFA" w:rsidRPr="00246C12" w:rsidRDefault="009F1B79">
            <w:pPr>
              <w:spacing w:line="360" w:lineRule="auto"/>
              <w:rPr>
                <w:rFonts w:ascii="Arial" w:hAnsi="Arial" w:cs="Arial"/>
              </w:rPr>
            </w:pPr>
            <w:r w:rsidRPr="00246C12">
              <w:rPr>
                <w:rFonts w:ascii="Arial" w:hAnsi="Arial" w:cs="Arial"/>
              </w:rPr>
              <w:t>For this assessment, you can use Generative AI to support you in structuring your submission, including creating a draft argument structure, identifying parts and headings, etc.</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1550620" w14:textId="77777777" w:rsidR="00FC6DFA" w:rsidRPr="00246C12" w:rsidRDefault="009F1B79">
            <w:pPr>
              <w:rPr>
                <w:rFonts w:ascii="Arial" w:eastAsia="MS Gothic" w:hAnsi="Arial" w:cs="Arial"/>
              </w:rPr>
            </w:pPr>
            <w:r w:rsidRPr="00246C12">
              <w:rPr>
                <w:rFonts w:ascii="Arial" w:hAnsi="Arial" w:cs="Arial"/>
              </w:rPr>
              <w:t xml:space="preserve">Yes </w:t>
            </w:r>
            <w:r w:rsidRPr="00246C12">
              <w:rPr>
                <w:rFonts w:ascii="Segoe UI Symbol" w:eastAsia="MS Gothic" w:hAnsi="Segoe UI Symbol" w:cs="Segoe UI Symbol"/>
              </w:rPr>
              <w:t>☒</w:t>
            </w:r>
          </w:p>
          <w:p w14:paraId="65D8F15C" w14:textId="77777777" w:rsidR="00FC6DFA" w:rsidRPr="00246C12" w:rsidRDefault="009F1B79">
            <w:pPr>
              <w:rPr>
                <w:rFonts w:ascii="Arial" w:hAnsi="Arial" w:cs="Arial"/>
              </w:rPr>
            </w:pPr>
            <w:r w:rsidRPr="00246C12">
              <w:rPr>
                <w:rFonts w:ascii="Arial" w:hAnsi="Arial" w:cs="Arial"/>
              </w:rPr>
              <w:t xml:space="preserve"> </w:t>
            </w:r>
          </w:p>
          <w:p w14:paraId="4EB03A73" w14:textId="77777777" w:rsidR="00FC6DFA" w:rsidRPr="00246C12" w:rsidRDefault="009F1B79">
            <w:pPr>
              <w:rPr>
                <w:rFonts w:ascii="Arial" w:eastAsia="MS Gothic" w:hAnsi="Arial" w:cs="Arial"/>
              </w:rPr>
            </w:pPr>
            <w:r w:rsidRPr="00246C12">
              <w:rPr>
                <w:rFonts w:ascii="Arial" w:hAnsi="Arial" w:cs="Arial"/>
              </w:rPr>
              <w:t xml:space="preserve">No </w:t>
            </w:r>
            <w:r w:rsidRPr="00246C12">
              <w:rPr>
                <w:rFonts w:ascii="Segoe UI Symbol" w:eastAsia="MS Gothic" w:hAnsi="Segoe UI Symbol" w:cs="Segoe UI Symbol"/>
              </w:rPr>
              <w:t>☐</w:t>
            </w:r>
          </w:p>
        </w:tc>
      </w:tr>
      <w:tr w:rsidR="00FC6DFA" w:rsidRPr="00246C12" w14:paraId="6A1CAD71"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831299D" w14:textId="77777777" w:rsidR="00FC6DFA" w:rsidRPr="00246C12" w:rsidRDefault="009F1B79">
            <w:pPr>
              <w:spacing w:line="360" w:lineRule="auto"/>
              <w:rPr>
                <w:rFonts w:ascii="Arial" w:hAnsi="Arial" w:cs="Arial"/>
              </w:rPr>
            </w:pPr>
            <w:r w:rsidRPr="00246C12">
              <w:rPr>
                <w:rFonts w:ascii="Arial" w:hAnsi="Arial" w:cs="Arial"/>
              </w:rPr>
              <w:t>PROOFREADING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116207C" w14:textId="77777777" w:rsidR="00FC6DFA" w:rsidRPr="00246C12" w:rsidRDefault="009F1B79">
            <w:pPr>
              <w:spacing w:line="360" w:lineRule="auto"/>
              <w:rPr>
                <w:rFonts w:ascii="Arial" w:hAnsi="Arial" w:cs="Arial"/>
              </w:rPr>
            </w:pPr>
            <w:r w:rsidRPr="00246C12">
              <w:rPr>
                <w:rFonts w:ascii="Arial" w:hAnsi="Arial" w:cs="Arial"/>
              </w:rPr>
              <w:t>For this assessment, you can use Generative AI to check your own text/creation for grammatical and syntactical mistakes, including rephrasing of your own work within specific standards.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8E91495" w14:textId="77777777" w:rsidR="00FC6DFA" w:rsidRPr="00246C12" w:rsidRDefault="009F1B79">
            <w:pPr>
              <w:rPr>
                <w:rFonts w:ascii="Arial" w:eastAsia="MS Gothic" w:hAnsi="Arial" w:cs="Arial"/>
              </w:rPr>
            </w:pPr>
            <w:r w:rsidRPr="00246C12">
              <w:rPr>
                <w:rFonts w:ascii="Arial" w:hAnsi="Arial" w:cs="Arial"/>
              </w:rPr>
              <w:t xml:space="preserve">Yes </w:t>
            </w:r>
            <w:r w:rsidRPr="00246C12">
              <w:rPr>
                <w:rFonts w:ascii="Segoe UI Symbol" w:eastAsia="MS Gothic" w:hAnsi="Segoe UI Symbol" w:cs="Segoe UI Symbol"/>
              </w:rPr>
              <w:t>☒</w:t>
            </w:r>
          </w:p>
          <w:p w14:paraId="60C7624E" w14:textId="77777777" w:rsidR="00FC6DFA" w:rsidRPr="00246C12" w:rsidRDefault="009F1B79">
            <w:pPr>
              <w:rPr>
                <w:rFonts w:ascii="Arial" w:hAnsi="Arial" w:cs="Arial"/>
              </w:rPr>
            </w:pPr>
            <w:r w:rsidRPr="00246C12">
              <w:rPr>
                <w:rFonts w:ascii="Arial" w:hAnsi="Arial" w:cs="Arial"/>
              </w:rPr>
              <w:t xml:space="preserve"> </w:t>
            </w:r>
          </w:p>
          <w:p w14:paraId="5C1343CB" w14:textId="77777777" w:rsidR="00FC6DFA" w:rsidRPr="00246C12" w:rsidRDefault="009F1B79">
            <w:pPr>
              <w:rPr>
                <w:rFonts w:ascii="Arial" w:eastAsia="MS Gothic" w:hAnsi="Arial" w:cs="Arial"/>
              </w:rPr>
            </w:pPr>
            <w:r w:rsidRPr="00246C12">
              <w:rPr>
                <w:rFonts w:ascii="Arial" w:hAnsi="Arial" w:cs="Arial"/>
              </w:rPr>
              <w:t xml:space="preserve">No </w:t>
            </w:r>
            <w:r w:rsidRPr="00246C12">
              <w:rPr>
                <w:rFonts w:ascii="Segoe UI Symbol" w:eastAsia="MS Gothic" w:hAnsi="Segoe UI Symbol" w:cs="Segoe UI Symbol"/>
              </w:rPr>
              <w:t>☐</w:t>
            </w:r>
          </w:p>
        </w:tc>
      </w:tr>
      <w:tr w:rsidR="00FC6DFA" w:rsidRPr="00246C12" w14:paraId="45497F8A"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936BB10" w14:textId="77777777" w:rsidR="00FC6DFA" w:rsidRPr="00246C12" w:rsidRDefault="009F1B79">
            <w:pPr>
              <w:spacing w:line="360" w:lineRule="auto"/>
              <w:rPr>
                <w:rFonts w:ascii="Arial" w:hAnsi="Arial" w:cs="Arial"/>
              </w:rPr>
            </w:pPr>
            <w:r w:rsidRPr="00246C12">
              <w:rPr>
                <w:rFonts w:ascii="Arial" w:hAnsi="Arial" w:cs="Arial"/>
              </w:rPr>
              <w:t>WRITING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3B34E0B" w14:textId="77777777" w:rsidR="00FC6DFA" w:rsidRPr="00246C12" w:rsidRDefault="009F1B79">
            <w:pPr>
              <w:spacing w:line="360" w:lineRule="auto"/>
              <w:rPr>
                <w:rFonts w:ascii="Arial" w:hAnsi="Arial" w:cs="Arial"/>
              </w:rPr>
            </w:pPr>
            <w:r w:rsidRPr="00246C12">
              <w:rPr>
                <w:rFonts w:ascii="Arial" w:hAnsi="Arial" w:cs="Arial"/>
              </w:rPr>
              <w:t>For this assessment, you can use Generative AI to create text for submission.</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0C5F827" w14:textId="77777777" w:rsidR="00FC6DFA" w:rsidRPr="00246C12" w:rsidRDefault="009F1B79">
            <w:pPr>
              <w:rPr>
                <w:rFonts w:ascii="Arial" w:eastAsia="MS Gothic" w:hAnsi="Arial" w:cs="Arial"/>
              </w:rPr>
            </w:pPr>
            <w:r w:rsidRPr="00246C12">
              <w:rPr>
                <w:rFonts w:ascii="Arial" w:hAnsi="Arial" w:cs="Arial"/>
              </w:rPr>
              <w:t xml:space="preserve">Yes </w:t>
            </w:r>
            <w:r w:rsidRPr="00246C12">
              <w:rPr>
                <w:rFonts w:ascii="Segoe UI Symbol" w:eastAsia="MS Gothic" w:hAnsi="Segoe UI Symbol" w:cs="Segoe UI Symbol"/>
              </w:rPr>
              <w:t>☐</w:t>
            </w:r>
          </w:p>
          <w:p w14:paraId="05CDC943" w14:textId="77777777" w:rsidR="00FC6DFA" w:rsidRPr="00246C12" w:rsidRDefault="009F1B79">
            <w:pPr>
              <w:rPr>
                <w:rFonts w:ascii="Arial" w:hAnsi="Arial" w:cs="Arial"/>
              </w:rPr>
            </w:pPr>
            <w:r w:rsidRPr="00246C12">
              <w:rPr>
                <w:rFonts w:ascii="Arial" w:hAnsi="Arial" w:cs="Arial"/>
              </w:rPr>
              <w:t xml:space="preserve"> </w:t>
            </w:r>
          </w:p>
          <w:p w14:paraId="42AEC1B1" w14:textId="77777777" w:rsidR="00FC6DFA" w:rsidRPr="00246C12" w:rsidRDefault="009F1B79">
            <w:pPr>
              <w:rPr>
                <w:rFonts w:ascii="Arial" w:hAnsi="Arial" w:cs="Arial"/>
              </w:rPr>
            </w:pPr>
            <w:r w:rsidRPr="00246C12">
              <w:rPr>
                <w:rFonts w:ascii="Arial" w:hAnsi="Arial" w:cs="Arial"/>
              </w:rPr>
              <w:t xml:space="preserve">No </w:t>
            </w:r>
            <w:r w:rsidRPr="00246C12">
              <w:rPr>
                <w:rFonts w:ascii="Arial" w:hAnsi="Arial" w:cs="Arial"/>
                <w:b/>
              </w:rPr>
              <w:t>X</w:t>
            </w:r>
          </w:p>
        </w:tc>
      </w:tr>
      <w:tr w:rsidR="00FC6DFA" w:rsidRPr="00246C12" w14:paraId="3BF985B4"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AE9B9D" w14:textId="77777777" w:rsidR="00FC6DFA" w:rsidRPr="00246C12" w:rsidRDefault="009F1B79">
            <w:pPr>
              <w:spacing w:line="360" w:lineRule="auto"/>
              <w:rPr>
                <w:rFonts w:ascii="Arial" w:hAnsi="Arial" w:cs="Arial"/>
              </w:rPr>
            </w:pPr>
            <w:r w:rsidRPr="00246C12">
              <w:rPr>
                <w:rFonts w:ascii="Arial" w:hAnsi="Arial" w:cs="Arial"/>
              </w:rPr>
              <w:lastRenderedPageBreak/>
              <w:t>CREATIVE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949EA4" w14:textId="77777777" w:rsidR="00FC6DFA" w:rsidRPr="00246C12" w:rsidRDefault="009F1B79">
            <w:pPr>
              <w:spacing w:line="360" w:lineRule="auto"/>
              <w:rPr>
                <w:rFonts w:ascii="Arial" w:hAnsi="Arial" w:cs="Arial"/>
              </w:rPr>
            </w:pPr>
            <w:r w:rsidRPr="00246C12">
              <w:rPr>
                <w:rFonts w:ascii="Arial" w:hAnsi="Arial" w:cs="Arial"/>
              </w:rPr>
              <w:t>For this assessment, you can use Generative AI to create creative materials, such as images.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96D3CA" w14:textId="77777777" w:rsidR="00FC6DFA" w:rsidRPr="00246C12" w:rsidRDefault="009F1B79">
            <w:pPr>
              <w:rPr>
                <w:rFonts w:ascii="Arial" w:eastAsia="MS Gothic" w:hAnsi="Arial" w:cs="Arial"/>
              </w:rPr>
            </w:pPr>
            <w:r w:rsidRPr="00246C12">
              <w:rPr>
                <w:rFonts w:ascii="Arial" w:hAnsi="Arial" w:cs="Arial"/>
              </w:rPr>
              <w:t xml:space="preserve">Yes </w:t>
            </w:r>
            <w:r w:rsidRPr="00246C12">
              <w:rPr>
                <w:rFonts w:ascii="Segoe UI Symbol" w:eastAsia="MS Gothic" w:hAnsi="Segoe UI Symbol" w:cs="Segoe UI Symbol"/>
              </w:rPr>
              <w:t>☒</w:t>
            </w:r>
          </w:p>
          <w:p w14:paraId="2D47E0E6" w14:textId="77777777" w:rsidR="00FC6DFA" w:rsidRPr="00246C12" w:rsidRDefault="009F1B79">
            <w:pPr>
              <w:rPr>
                <w:rFonts w:ascii="Arial" w:hAnsi="Arial" w:cs="Arial"/>
              </w:rPr>
            </w:pPr>
            <w:r w:rsidRPr="00246C12">
              <w:rPr>
                <w:rFonts w:ascii="Arial" w:hAnsi="Arial" w:cs="Arial"/>
              </w:rPr>
              <w:t xml:space="preserve"> </w:t>
            </w:r>
          </w:p>
          <w:p w14:paraId="398B9C57" w14:textId="77777777" w:rsidR="00FC6DFA" w:rsidRPr="00246C12" w:rsidRDefault="009F1B79">
            <w:pPr>
              <w:rPr>
                <w:rFonts w:ascii="Arial" w:eastAsia="MS Gothic" w:hAnsi="Arial" w:cs="Arial"/>
              </w:rPr>
            </w:pPr>
            <w:r w:rsidRPr="00246C12">
              <w:rPr>
                <w:rFonts w:ascii="Arial" w:hAnsi="Arial" w:cs="Arial"/>
              </w:rPr>
              <w:t xml:space="preserve">No </w:t>
            </w:r>
            <w:r w:rsidRPr="00246C12">
              <w:rPr>
                <w:rFonts w:ascii="Segoe UI Symbol" w:eastAsia="MS Gothic" w:hAnsi="Segoe UI Symbol" w:cs="Segoe UI Symbol"/>
              </w:rPr>
              <w:t>☐</w:t>
            </w:r>
          </w:p>
        </w:tc>
      </w:tr>
      <w:tr w:rsidR="00FC6DFA" w:rsidRPr="00246C12" w14:paraId="1B01D08B"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E8B2AE5" w14:textId="77777777" w:rsidR="00FC6DFA" w:rsidRPr="00246C12" w:rsidRDefault="009F1B79">
            <w:pPr>
              <w:spacing w:line="360" w:lineRule="auto"/>
              <w:rPr>
                <w:rFonts w:ascii="Arial" w:hAnsi="Arial" w:cs="Arial"/>
              </w:rPr>
            </w:pPr>
            <w:r w:rsidRPr="00246C12">
              <w:rPr>
                <w:rFonts w:ascii="Arial" w:hAnsi="Arial" w:cs="Arial"/>
              </w:rPr>
              <w:t>PROGRAMING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BF99198" w14:textId="77777777" w:rsidR="00FC6DFA" w:rsidRPr="00246C12" w:rsidRDefault="009F1B79">
            <w:pPr>
              <w:spacing w:line="360" w:lineRule="auto"/>
              <w:rPr>
                <w:rFonts w:ascii="Arial" w:hAnsi="Arial" w:cs="Arial"/>
              </w:rPr>
            </w:pPr>
            <w:r w:rsidRPr="00246C12">
              <w:rPr>
                <w:rFonts w:ascii="Arial" w:hAnsi="Arial" w:cs="Arial"/>
              </w:rPr>
              <w:t>For this assessment, you can use Generative AI to create and check code.</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0535E8A" w14:textId="77777777" w:rsidR="00FC6DFA" w:rsidRPr="00246C12" w:rsidRDefault="009F1B79">
            <w:pPr>
              <w:rPr>
                <w:rFonts w:ascii="Arial" w:eastAsia="MS Gothic" w:hAnsi="Arial" w:cs="Arial"/>
              </w:rPr>
            </w:pPr>
            <w:r w:rsidRPr="00246C12">
              <w:rPr>
                <w:rFonts w:ascii="Arial" w:hAnsi="Arial" w:cs="Arial"/>
              </w:rPr>
              <w:t xml:space="preserve">Yes </w:t>
            </w:r>
            <w:r w:rsidRPr="00246C12">
              <w:rPr>
                <w:rFonts w:ascii="Segoe UI Symbol" w:eastAsia="MS Gothic" w:hAnsi="Segoe UI Symbol" w:cs="Segoe UI Symbol"/>
              </w:rPr>
              <w:t>☒</w:t>
            </w:r>
          </w:p>
          <w:p w14:paraId="795ECABE" w14:textId="77777777" w:rsidR="00FC6DFA" w:rsidRPr="00246C12" w:rsidRDefault="009F1B79">
            <w:pPr>
              <w:rPr>
                <w:rFonts w:ascii="Arial" w:hAnsi="Arial" w:cs="Arial"/>
              </w:rPr>
            </w:pPr>
            <w:r w:rsidRPr="00246C12">
              <w:rPr>
                <w:rFonts w:ascii="Arial" w:hAnsi="Arial" w:cs="Arial"/>
              </w:rPr>
              <w:t xml:space="preserve"> </w:t>
            </w:r>
          </w:p>
          <w:p w14:paraId="4494C978" w14:textId="77777777" w:rsidR="00FC6DFA" w:rsidRPr="00246C12" w:rsidRDefault="009F1B79">
            <w:pPr>
              <w:rPr>
                <w:rFonts w:ascii="Arial" w:eastAsia="MS Gothic" w:hAnsi="Arial" w:cs="Arial"/>
              </w:rPr>
            </w:pPr>
            <w:r w:rsidRPr="00246C12">
              <w:rPr>
                <w:rFonts w:ascii="Arial" w:hAnsi="Arial" w:cs="Arial"/>
              </w:rPr>
              <w:t xml:space="preserve">No </w:t>
            </w:r>
            <w:r w:rsidRPr="00246C12">
              <w:rPr>
                <w:rFonts w:ascii="Segoe UI Symbol" w:eastAsia="MS Gothic" w:hAnsi="Segoe UI Symbol" w:cs="Segoe UI Symbol"/>
              </w:rPr>
              <w:t>☐</w:t>
            </w:r>
          </w:p>
        </w:tc>
      </w:tr>
      <w:tr w:rsidR="00FC6DFA" w:rsidRPr="00246C12" w14:paraId="497378D9"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AA3712" w14:textId="77777777" w:rsidR="00FC6DFA" w:rsidRPr="00246C12" w:rsidRDefault="009F1B79">
            <w:pPr>
              <w:spacing w:line="360" w:lineRule="auto"/>
              <w:rPr>
                <w:rFonts w:ascii="Arial" w:hAnsi="Arial" w:cs="Arial"/>
              </w:rPr>
            </w:pPr>
            <w:r w:rsidRPr="00246C12">
              <w:rPr>
                <w:rFonts w:ascii="Arial" w:hAnsi="Arial" w:cs="Arial"/>
              </w:rPr>
              <w:t>NONE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00F6776" w14:textId="77777777" w:rsidR="00FC6DFA" w:rsidRPr="00246C12" w:rsidRDefault="009F1B79">
            <w:pPr>
              <w:spacing w:line="360" w:lineRule="auto"/>
              <w:rPr>
                <w:rFonts w:ascii="Arial" w:hAnsi="Arial" w:cs="Arial"/>
              </w:rPr>
            </w:pPr>
            <w:r w:rsidRPr="00246C12">
              <w:rPr>
                <w:rFonts w:ascii="Arial" w:hAnsi="Arial" w:cs="Arial"/>
              </w:rPr>
              <w:t xml:space="preserve">For this assessment, you are not allowed to use </w:t>
            </w:r>
            <w:r w:rsidRPr="00246C12">
              <w:rPr>
                <w:rFonts w:ascii="Arial" w:hAnsi="Arial" w:cs="Arial"/>
                <w:b/>
              </w:rPr>
              <w:t>any</w:t>
            </w:r>
            <w:r w:rsidRPr="00246C12">
              <w:rPr>
                <w:rFonts w:ascii="Arial" w:hAnsi="Arial" w:cs="Arial"/>
              </w:rPr>
              <w:t xml:space="preserve"> type of Generative AI support. This includes research support, structure support, writing/proofreading support and creative support.</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A00DD00" w14:textId="77777777" w:rsidR="00FC6DFA" w:rsidRPr="00246C12" w:rsidRDefault="009F1B79">
            <w:pPr>
              <w:rPr>
                <w:rFonts w:ascii="Arial" w:eastAsia="MS Gothic" w:hAnsi="Arial" w:cs="Arial"/>
              </w:rPr>
            </w:pPr>
            <w:r w:rsidRPr="00246C12">
              <w:rPr>
                <w:rFonts w:ascii="Arial" w:hAnsi="Arial" w:cs="Arial"/>
              </w:rPr>
              <w:t xml:space="preserve">Yes </w:t>
            </w:r>
            <w:r w:rsidRPr="00246C12">
              <w:rPr>
                <w:rFonts w:ascii="Segoe UI Symbol" w:eastAsia="MS Gothic" w:hAnsi="Segoe UI Symbol" w:cs="Segoe UI Symbol"/>
              </w:rPr>
              <w:t>☐</w:t>
            </w:r>
          </w:p>
          <w:p w14:paraId="6E2B3F9C" w14:textId="77777777" w:rsidR="00FC6DFA" w:rsidRPr="00246C12" w:rsidRDefault="009F1B79">
            <w:pPr>
              <w:rPr>
                <w:rFonts w:ascii="Arial" w:hAnsi="Arial" w:cs="Arial"/>
              </w:rPr>
            </w:pPr>
            <w:r w:rsidRPr="00246C12">
              <w:rPr>
                <w:rFonts w:ascii="Arial" w:hAnsi="Arial" w:cs="Arial"/>
              </w:rPr>
              <w:t xml:space="preserve"> </w:t>
            </w:r>
          </w:p>
          <w:p w14:paraId="0C34321F" w14:textId="77777777" w:rsidR="00FC6DFA" w:rsidRPr="00246C12" w:rsidRDefault="009F1B79">
            <w:pPr>
              <w:rPr>
                <w:rFonts w:ascii="Arial" w:hAnsi="Arial" w:cs="Arial"/>
              </w:rPr>
            </w:pPr>
            <w:r w:rsidRPr="00246C12">
              <w:rPr>
                <w:rFonts w:ascii="Arial" w:hAnsi="Arial" w:cs="Arial"/>
              </w:rPr>
              <w:t>No X</w:t>
            </w:r>
          </w:p>
        </w:tc>
      </w:tr>
    </w:tbl>
    <w:p w14:paraId="6DEFEF67" w14:textId="77777777" w:rsidR="00FC6DFA" w:rsidRPr="00246C12" w:rsidRDefault="009F1B79">
      <w:pPr>
        <w:jc w:val="center"/>
        <w:rPr>
          <w:rFonts w:ascii="Arial" w:hAnsi="Arial" w:cs="Arial"/>
          <w:color w:val="000000"/>
        </w:rPr>
      </w:pPr>
      <w:r w:rsidRPr="00246C12">
        <w:rPr>
          <w:rFonts w:ascii="Arial" w:hAnsi="Arial" w:cs="Arial"/>
          <w:b/>
          <w:smallCaps/>
          <w:color w:val="000000"/>
        </w:rPr>
        <w:t>GUIDANCE FOR STUDENTS IN THE COMPLETION OF TASKS</w:t>
      </w:r>
    </w:p>
    <w:p w14:paraId="28C022B4" w14:textId="77777777" w:rsidR="00FC6DFA" w:rsidRPr="00246C12" w:rsidRDefault="00FC6DFA">
      <w:pPr>
        <w:jc w:val="both"/>
        <w:rPr>
          <w:rFonts w:ascii="Arial" w:hAnsi="Arial" w:cs="Arial"/>
          <w:color w:val="000000"/>
        </w:rPr>
      </w:pPr>
    </w:p>
    <w:p w14:paraId="6E001699" w14:textId="77777777" w:rsidR="00FC6DFA" w:rsidRPr="00246C12" w:rsidRDefault="009F1B79">
      <w:pPr>
        <w:jc w:val="both"/>
        <w:rPr>
          <w:rFonts w:ascii="Arial" w:hAnsi="Arial" w:cs="Arial"/>
          <w:color w:val="000000"/>
        </w:rPr>
      </w:pPr>
      <w:r w:rsidRPr="00246C12">
        <w:rPr>
          <w:rFonts w:ascii="Arial" w:hAnsi="Arial" w:cs="Arial"/>
          <w:b/>
          <w:color w:val="000000"/>
        </w:rPr>
        <w:t>NOTE: The guidance offered below is linked to the five generic assessment criteria.</w:t>
      </w:r>
    </w:p>
    <w:p w14:paraId="146FE92A" w14:textId="77777777" w:rsidR="00FC6DFA" w:rsidRPr="00246C12" w:rsidRDefault="009F1B79">
      <w:pPr>
        <w:numPr>
          <w:ilvl w:val="0"/>
          <w:numId w:val="4"/>
        </w:numPr>
        <w:pBdr>
          <w:top w:val="nil"/>
          <w:left w:val="nil"/>
          <w:bottom w:val="nil"/>
          <w:right w:val="nil"/>
          <w:between w:val="nil"/>
        </w:pBdr>
        <w:jc w:val="both"/>
        <w:rPr>
          <w:rFonts w:ascii="Arial" w:hAnsi="Arial" w:cs="Arial"/>
          <w:color w:val="000000"/>
        </w:rPr>
      </w:pPr>
      <w:r w:rsidRPr="00246C12">
        <w:rPr>
          <w:rFonts w:ascii="Arial" w:hAnsi="Arial" w:cs="Arial"/>
          <w:b/>
          <w:color w:val="000000"/>
        </w:rPr>
        <w:t>Engagement with Literature Skills</w:t>
      </w:r>
    </w:p>
    <w:p w14:paraId="2450B438" w14:textId="77777777" w:rsidR="00FC6DFA" w:rsidRPr="00246C12" w:rsidRDefault="009F1B79">
      <w:pPr>
        <w:jc w:val="both"/>
        <w:rPr>
          <w:rFonts w:ascii="Arial" w:hAnsi="Arial" w:cs="Arial"/>
          <w:color w:val="000000"/>
        </w:rPr>
      </w:pPr>
      <w:r w:rsidRPr="00246C12">
        <w:rPr>
          <w:rFonts w:ascii="Arial" w:hAnsi="Arial" w:cs="Arial"/>
          <w:color w:val="000000"/>
        </w:rPr>
        <w:t xml:space="preserve">Your work must be informed and supported by scholarly material that is </w:t>
      </w:r>
      <w:r w:rsidRPr="00246C12">
        <w:rPr>
          <w:rFonts w:ascii="Arial" w:hAnsi="Arial" w:cs="Arial"/>
          <w:i/>
          <w:color w:val="000000"/>
        </w:rPr>
        <w:t>relevant</w:t>
      </w:r>
      <w:r w:rsidRPr="00246C12">
        <w:rPr>
          <w:rFonts w:ascii="Arial" w:hAnsi="Arial" w:cs="Arial"/>
          <w:color w:val="000000"/>
        </w:rPr>
        <w:t xml:space="preserve"> to and </w:t>
      </w:r>
      <w:r w:rsidRPr="00246C12">
        <w:rPr>
          <w:rFonts w:ascii="Arial" w:hAnsi="Arial" w:cs="Arial"/>
          <w:i/>
          <w:color w:val="000000"/>
        </w:rPr>
        <w:t>focused</w:t>
      </w:r>
      <w:r w:rsidRPr="00246C12">
        <w:rPr>
          <w:rFonts w:ascii="Arial" w:hAnsi="Arial" w:cs="Arial"/>
          <w:color w:val="000000"/>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246C12">
        <w:rPr>
          <w:rFonts w:ascii="Arial" w:hAnsi="Arial" w:cs="Arial"/>
          <w:i/>
          <w:color w:val="000000"/>
        </w:rPr>
        <w:t>range</w:t>
      </w:r>
      <w:r w:rsidRPr="00246C12">
        <w:rPr>
          <w:rFonts w:ascii="Arial" w:hAnsi="Arial" w:cs="Arial"/>
          <w:color w:val="000000"/>
        </w:rPr>
        <w:t xml:space="preserve"> of sources, which may be academic, governmental and industrial; these sources may include academic journal articles, textbooks, current news articles, organisational documents, and websites. You should consider the </w:t>
      </w:r>
      <w:r w:rsidRPr="00246C12">
        <w:rPr>
          <w:rFonts w:ascii="Arial" w:hAnsi="Arial" w:cs="Arial"/>
          <w:i/>
          <w:color w:val="000000"/>
        </w:rPr>
        <w:t>credibility</w:t>
      </w:r>
      <w:r w:rsidRPr="00246C12">
        <w:rPr>
          <w:rFonts w:ascii="Arial" w:hAnsi="Arial" w:cs="Arial"/>
          <w:color w:val="00000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46C12">
        <w:rPr>
          <w:rFonts w:ascii="Arial" w:hAnsi="Arial" w:cs="Arial"/>
          <w:i/>
          <w:color w:val="000000"/>
        </w:rPr>
        <w:t>evidence</w:t>
      </w:r>
      <w:r w:rsidRPr="00246C12">
        <w:rPr>
          <w:rFonts w:ascii="Arial" w:hAnsi="Arial" w:cs="Arial"/>
          <w:color w:val="000000"/>
        </w:rPr>
        <w:t xml:space="preserve"> of your research/own reading throughout your work, using a suitable referencing system, including in-text citations in the main body of your work and a reference list at the end of your work. </w:t>
      </w:r>
    </w:p>
    <w:p w14:paraId="471E9884" w14:textId="77777777" w:rsidR="00FC6DFA" w:rsidRPr="00246C12" w:rsidRDefault="009F1B79">
      <w:pPr>
        <w:jc w:val="both"/>
        <w:rPr>
          <w:rFonts w:ascii="Arial" w:hAnsi="Arial" w:cs="Arial"/>
          <w:color w:val="000000"/>
        </w:rPr>
      </w:pPr>
      <w:r w:rsidRPr="00246C12">
        <w:rPr>
          <w:rFonts w:ascii="Arial" w:hAnsi="Arial" w:cs="Arial"/>
          <w:b/>
          <w:i/>
          <w:color w:val="000000"/>
        </w:rPr>
        <w:t>Guidance specific to this assessment:</w:t>
      </w:r>
      <w:r w:rsidRPr="00246C12">
        <w:rPr>
          <w:rFonts w:ascii="Arial" w:hAnsi="Arial" w:cs="Arial"/>
          <w:i/>
          <w:color w:val="000000"/>
        </w:rPr>
        <w:t xml:space="preserve"> </w:t>
      </w:r>
      <w:r w:rsidRPr="00246C12">
        <w:rPr>
          <w:rFonts w:ascii="Arial" w:hAnsi="Arial" w:cs="Arial"/>
          <w:i/>
          <w:color w:val="0070C0"/>
        </w:rPr>
        <w:t xml:space="preserve">At level 6 you should be reading extensively on the subject area, your sources should be reliable. Try to limit the quantity of </w:t>
      </w:r>
      <w:r w:rsidRPr="00246C12">
        <w:rPr>
          <w:rFonts w:ascii="Arial" w:hAnsi="Arial" w:cs="Arial"/>
          <w:i/>
          <w:color w:val="0070C0"/>
        </w:rPr>
        <w:lastRenderedPageBreak/>
        <w:t>journalistic sources you use and, instead include peer reviewed journal articles or academic sources. The Universities library is 90% available on-line this allows you to access journals through the library, make use of this to gain good grades</w:t>
      </w:r>
      <w:r w:rsidRPr="00246C12">
        <w:rPr>
          <w:rFonts w:ascii="Arial" w:hAnsi="Arial" w:cs="Arial"/>
          <w:i/>
          <w:color w:val="000000"/>
        </w:rPr>
        <w:t xml:space="preserve">. </w:t>
      </w:r>
      <w:r w:rsidRPr="00246C12">
        <w:rPr>
          <w:rFonts w:ascii="Arial" w:hAnsi="Arial" w:cs="Arial"/>
          <w:color w:val="000000"/>
        </w:rPr>
        <w:t xml:space="preserve"> </w:t>
      </w:r>
    </w:p>
    <w:p w14:paraId="7BCDE76D" w14:textId="77777777" w:rsidR="00FC6DFA" w:rsidRPr="00246C12" w:rsidRDefault="009F1B79">
      <w:pPr>
        <w:numPr>
          <w:ilvl w:val="0"/>
          <w:numId w:val="4"/>
        </w:numPr>
        <w:pBdr>
          <w:top w:val="nil"/>
          <w:left w:val="nil"/>
          <w:bottom w:val="nil"/>
          <w:right w:val="nil"/>
          <w:between w:val="nil"/>
        </w:pBdr>
        <w:jc w:val="both"/>
        <w:rPr>
          <w:rFonts w:ascii="Arial" w:hAnsi="Arial" w:cs="Arial"/>
          <w:color w:val="000000"/>
        </w:rPr>
      </w:pPr>
      <w:r w:rsidRPr="00246C12">
        <w:rPr>
          <w:rFonts w:ascii="Arial" w:hAnsi="Arial" w:cs="Arial"/>
          <w:b/>
          <w:color w:val="000000"/>
        </w:rPr>
        <w:t>Knowledge and Understanding Skills</w:t>
      </w:r>
    </w:p>
    <w:p w14:paraId="25343AE2" w14:textId="77777777" w:rsidR="00FC6DFA" w:rsidRPr="00246C12" w:rsidRDefault="009F1B79">
      <w:pPr>
        <w:jc w:val="both"/>
        <w:rPr>
          <w:rFonts w:ascii="Arial" w:hAnsi="Arial" w:cs="Arial"/>
          <w:color w:val="000000"/>
        </w:rPr>
      </w:pPr>
      <w:r w:rsidRPr="00246C12">
        <w:rPr>
          <w:rFonts w:ascii="Arial" w:hAnsi="Arial" w:cs="Arial"/>
          <w:color w:val="000000"/>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246C12">
        <w:rPr>
          <w:rFonts w:ascii="Arial" w:hAnsi="Arial" w:cs="Arial"/>
          <w:i/>
          <w:color w:val="000000"/>
        </w:rPr>
        <w:t>Knowledge</w:t>
      </w:r>
      <w:r w:rsidRPr="00246C12">
        <w:rPr>
          <w:rFonts w:ascii="Arial" w:hAnsi="Arial" w:cs="Arial"/>
          <w:color w:val="000000"/>
        </w:rPr>
        <w:t xml:space="preserve"> relates to the facts, information and skills you have acquired through your learning. You demonstrate your </w:t>
      </w:r>
      <w:r w:rsidRPr="00246C12">
        <w:rPr>
          <w:rFonts w:ascii="Arial" w:hAnsi="Arial" w:cs="Arial"/>
          <w:i/>
          <w:color w:val="000000"/>
        </w:rPr>
        <w:t>understanding</w:t>
      </w:r>
      <w:r w:rsidRPr="00246C12">
        <w:rPr>
          <w:rFonts w:ascii="Arial" w:hAnsi="Arial" w:cs="Arial"/>
          <w:color w:val="00000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46C12">
        <w:rPr>
          <w:rFonts w:ascii="Arial" w:hAnsi="Arial" w:cs="Arial"/>
          <w:i/>
          <w:color w:val="000000"/>
        </w:rPr>
        <w:t>extent</w:t>
      </w:r>
      <w:r w:rsidRPr="00246C12">
        <w:rPr>
          <w:rFonts w:ascii="Arial" w:hAnsi="Arial" w:cs="Arial"/>
          <w:color w:val="000000"/>
        </w:rPr>
        <w:t xml:space="preserve"> to which you demonstrate your knowledge and understanding; ideally each should be complete and detailed, with comprehensive coverage. </w:t>
      </w:r>
    </w:p>
    <w:p w14:paraId="5FC3B45C" w14:textId="77777777" w:rsidR="00FC6DFA" w:rsidRPr="00246C12" w:rsidRDefault="009F1B79">
      <w:pPr>
        <w:jc w:val="both"/>
        <w:rPr>
          <w:rFonts w:ascii="Arial" w:hAnsi="Arial" w:cs="Arial"/>
          <w:color w:val="000000"/>
        </w:rPr>
      </w:pPr>
      <w:r w:rsidRPr="00246C12">
        <w:rPr>
          <w:rFonts w:ascii="Arial" w:hAnsi="Arial" w:cs="Arial"/>
          <w:b/>
          <w:i/>
          <w:color w:val="000000"/>
        </w:rPr>
        <w:t>Guidance specific to this assessment:</w:t>
      </w:r>
      <w:r w:rsidRPr="00246C12">
        <w:rPr>
          <w:rFonts w:ascii="Arial" w:hAnsi="Arial" w:cs="Arial"/>
          <w:i/>
          <w:color w:val="000000"/>
        </w:rPr>
        <w:t xml:space="preserve"> </w:t>
      </w:r>
      <w:r w:rsidRPr="00246C12">
        <w:rPr>
          <w:rFonts w:ascii="Arial" w:hAnsi="Arial" w:cs="Arial"/>
          <w:i/>
          <w:color w:val="0070C0"/>
        </w:rPr>
        <w:t>You should read to build your knowledge base on the subject using lectures as a basis for learning, if you do not understand an element of the teaching make an appointment to speak to your lecturer. Attendance is key to develop your knowledge and understanding</w:t>
      </w:r>
      <w:r w:rsidRPr="00246C12">
        <w:rPr>
          <w:rFonts w:ascii="Arial" w:hAnsi="Arial" w:cs="Arial"/>
          <w:i/>
          <w:color w:val="000000"/>
        </w:rPr>
        <w:t xml:space="preserve">. </w:t>
      </w:r>
    </w:p>
    <w:p w14:paraId="71EB1977" w14:textId="77777777" w:rsidR="00FC6DFA" w:rsidRPr="00246C12" w:rsidRDefault="00FC6DFA">
      <w:pPr>
        <w:jc w:val="both"/>
        <w:rPr>
          <w:rFonts w:ascii="Arial" w:hAnsi="Arial" w:cs="Arial"/>
          <w:i/>
          <w:color w:val="000000"/>
        </w:rPr>
      </w:pPr>
    </w:p>
    <w:p w14:paraId="633CE795" w14:textId="77777777" w:rsidR="00FC6DFA" w:rsidRPr="00246C12" w:rsidRDefault="00FC6DFA">
      <w:pPr>
        <w:jc w:val="both"/>
        <w:rPr>
          <w:rFonts w:ascii="Arial" w:hAnsi="Arial" w:cs="Arial"/>
          <w:i/>
          <w:color w:val="000000"/>
        </w:rPr>
      </w:pPr>
    </w:p>
    <w:p w14:paraId="328D3AFD" w14:textId="77777777" w:rsidR="00FC6DFA" w:rsidRPr="00246C12" w:rsidRDefault="009F1B79">
      <w:pPr>
        <w:numPr>
          <w:ilvl w:val="0"/>
          <w:numId w:val="4"/>
        </w:numPr>
        <w:pBdr>
          <w:top w:val="nil"/>
          <w:left w:val="nil"/>
          <w:bottom w:val="nil"/>
          <w:right w:val="nil"/>
          <w:between w:val="nil"/>
        </w:pBdr>
        <w:jc w:val="both"/>
        <w:rPr>
          <w:rFonts w:ascii="Arial" w:hAnsi="Arial" w:cs="Arial"/>
          <w:color w:val="000000"/>
        </w:rPr>
      </w:pPr>
      <w:r w:rsidRPr="00246C12">
        <w:rPr>
          <w:rFonts w:ascii="Arial" w:hAnsi="Arial" w:cs="Arial"/>
          <w:b/>
          <w:color w:val="000000"/>
        </w:rPr>
        <w:t>Cognitive and Intellectual Skills</w:t>
      </w:r>
    </w:p>
    <w:p w14:paraId="6F1CB90D" w14:textId="77777777" w:rsidR="00FC6DFA" w:rsidRPr="00246C12" w:rsidRDefault="009F1B79">
      <w:pPr>
        <w:jc w:val="both"/>
        <w:rPr>
          <w:rFonts w:ascii="Arial" w:hAnsi="Arial" w:cs="Arial"/>
          <w:color w:val="000000"/>
        </w:rPr>
      </w:pPr>
      <w:r w:rsidRPr="00246C12">
        <w:rPr>
          <w:rFonts w:ascii="Arial" w:hAnsi="Arial" w:cs="Arial"/>
          <w:color w:val="000000"/>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w:t>
      </w:r>
      <w:r w:rsidRPr="00246C12">
        <w:rPr>
          <w:rFonts w:ascii="Arial" w:hAnsi="Arial" w:cs="Arial"/>
          <w:color w:val="000000"/>
        </w:rPr>
        <w:lastRenderedPageBreak/>
        <w:t xml:space="preserve">break information down into parts, make inferences, compile, </w:t>
      </w:r>
      <w:proofErr w:type="gramStart"/>
      <w:r w:rsidRPr="00246C12">
        <w:rPr>
          <w:rFonts w:ascii="Arial" w:hAnsi="Arial" w:cs="Arial"/>
          <w:color w:val="000000"/>
        </w:rPr>
        <w:t>compare and contrast</w:t>
      </w:r>
      <w:proofErr w:type="gramEnd"/>
      <w:r w:rsidRPr="00246C12">
        <w:rPr>
          <w:rFonts w:ascii="Arial" w:hAnsi="Arial" w:cs="Arial"/>
          <w:color w:val="000000"/>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BF409F4" w14:textId="77777777" w:rsidR="00FC6DFA" w:rsidRPr="00246C12" w:rsidRDefault="009F1B79">
      <w:pPr>
        <w:jc w:val="both"/>
        <w:rPr>
          <w:rFonts w:ascii="Arial" w:hAnsi="Arial" w:cs="Arial"/>
          <w:color w:val="0070C0"/>
        </w:rPr>
      </w:pPr>
      <w:r w:rsidRPr="00246C12">
        <w:rPr>
          <w:rFonts w:ascii="Arial" w:hAnsi="Arial" w:cs="Arial"/>
          <w:b/>
          <w:i/>
          <w:color w:val="000000"/>
        </w:rPr>
        <w:t>Guidance specific to this assessment:</w:t>
      </w:r>
      <w:r w:rsidRPr="00246C12">
        <w:rPr>
          <w:rFonts w:ascii="Arial" w:hAnsi="Arial" w:cs="Arial"/>
          <w:i/>
          <w:color w:val="000000"/>
        </w:rPr>
        <w:t xml:space="preserve"> </w:t>
      </w:r>
      <w:r w:rsidRPr="00246C12">
        <w:rPr>
          <w:rFonts w:ascii="Arial" w:hAnsi="Arial" w:cs="Arial"/>
          <w:i/>
          <w:color w:val="0070C0"/>
        </w:rPr>
        <w:t xml:space="preserve">Avoid descriptive accounts of subject areas, you should at this level be discussing and arguing points, do not try to discuss too many points, select an area of study and then analyse and discuss this area. </w:t>
      </w:r>
      <w:r w:rsidRPr="00246C12">
        <w:rPr>
          <w:rFonts w:ascii="Arial" w:hAnsi="Arial" w:cs="Arial"/>
          <w:color w:val="0070C0"/>
        </w:rPr>
        <w:t xml:space="preserve"> </w:t>
      </w:r>
    </w:p>
    <w:p w14:paraId="1C2EB494" w14:textId="77777777" w:rsidR="00FC6DFA" w:rsidRPr="00246C12" w:rsidRDefault="009F1B79">
      <w:pPr>
        <w:numPr>
          <w:ilvl w:val="0"/>
          <w:numId w:val="4"/>
        </w:numPr>
        <w:pBdr>
          <w:top w:val="nil"/>
          <w:left w:val="nil"/>
          <w:bottom w:val="nil"/>
          <w:right w:val="nil"/>
          <w:between w:val="nil"/>
        </w:pBdr>
        <w:jc w:val="both"/>
        <w:rPr>
          <w:rFonts w:ascii="Arial" w:hAnsi="Arial" w:cs="Arial"/>
          <w:color w:val="000000"/>
        </w:rPr>
      </w:pPr>
      <w:r w:rsidRPr="00246C12">
        <w:rPr>
          <w:rFonts w:ascii="Arial" w:hAnsi="Arial" w:cs="Arial"/>
          <w:b/>
          <w:color w:val="000000"/>
        </w:rPr>
        <w:t>Practical Skills</w:t>
      </w:r>
    </w:p>
    <w:p w14:paraId="46D24A90" w14:textId="77777777" w:rsidR="00FC6DFA" w:rsidRPr="00246C12" w:rsidRDefault="009F1B79">
      <w:pPr>
        <w:jc w:val="both"/>
        <w:rPr>
          <w:rFonts w:ascii="Arial" w:hAnsi="Arial" w:cs="Arial"/>
          <w:color w:val="000000"/>
        </w:rPr>
      </w:pPr>
      <w:r w:rsidRPr="00246C12">
        <w:rPr>
          <w:rFonts w:ascii="Arial" w:hAnsi="Arial" w:cs="Arial"/>
          <w:color w:val="00000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246C12">
        <w:rPr>
          <w:rFonts w:ascii="Arial" w:hAnsi="Arial" w:cs="Arial"/>
          <w:color w:val="000000"/>
        </w:rPr>
        <w:t>real world</w:t>
      </w:r>
      <w:proofErr w:type="gramEnd"/>
      <w:r w:rsidRPr="00246C12">
        <w:rPr>
          <w:rFonts w:ascii="Arial" w:hAnsi="Arial" w:cs="Arial"/>
          <w:color w:val="000000"/>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246C12">
        <w:rPr>
          <w:rFonts w:ascii="Arial" w:hAnsi="Arial" w:cs="Arial"/>
          <w:color w:val="000000"/>
        </w:rPr>
        <w:t>in particular contexts</w:t>
      </w:r>
      <w:proofErr w:type="gramEnd"/>
      <w:r w:rsidRPr="00246C12">
        <w:rPr>
          <w:rFonts w:ascii="Arial" w:hAnsi="Arial" w:cs="Arial"/>
          <w:color w:val="000000"/>
        </w:rPr>
        <w:t>.</w:t>
      </w:r>
    </w:p>
    <w:p w14:paraId="0C834404" w14:textId="77777777" w:rsidR="00FC6DFA" w:rsidRPr="00246C12" w:rsidRDefault="009F1B79">
      <w:pPr>
        <w:jc w:val="both"/>
        <w:rPr>
          <w:rFonts w:ascii="Arial" w:hAnsi="Arial" w:cs="Arial"/>
          <w:color w:val="0070C0"/>
        </w:rPr>
      </w:pPr>
      <w:r w:rsidRPr="00246C12">
        <w:rPr>
          <w:rFonts w:ascii="Arial" w:hAnsi="Arial" w:cs="Arial"/>
          <w:b/>
          <w:i/>
          <w:color w:val="000000"/>
        </w:rPr>
        <w:t>Guidance specific to this assessment:</w:t>
      </w:r>
      <w:r w:rsidRPr="00246C12">
        <w:rPr>
          <w:rFonts w:ascii="Arial" w:hAnsi="Arial" w:cs="Arial"/>
          <w:i/>
          <w:color w:val="000000"/>
        </w:rPr>
        <w:t xml:space="preserve"> </w:t>
      </w:r>
      <w:r w:rsidRPr="00246C12">
        <w:rPr>
          <w:rFonts w:ascii="Arial" w:hAnsi="Arial" w:cs="Arial"/>
          <w:i/>
          <w:color w:val="0070C0"/>
        </w:rPr>
        <w:t xml:space="preserve">Put into practice what you have learned in Academic skills to structure your work so that it flows from one logical argument to the next using ‘linking’ words and sentences. Demonstrate you effective referencing skills. </w:t>
      </w:r>
      <w:r w:rsidRPr="00246C12">
        <w:rPr>
          <w:rFonts w:ascii="Arial" w:hAnsi="Arial" w:cs="Arial"/>
          <w:color w:val="0070C0"/>
        </w:rPr>
        <w:t xml:space="preserve"> </w:t>
      </w:r>
    </w:p>
    <w:p w14:paraId="22D50ECB" w14:textId="77777777" w:rsidR="00FC6DFA" w:rsidRPr="00246C12" w:rsidRDefault="00FC6DFA">
      <w:pPr>
        <w:jc w:val="both"/>
        <w:rPr>
          <w:rFonts w:ascii="Arial" w:hAnsi="Arial" w:cs="Arial"/>
          <w:color w:val="000000"/>
        </w:rPr>
      </w:pPr>
    </w:p>
    <w:p w14:paraId="62A54435" w14:textId="77777777" w:rsidR="00FC6DFA" w:rsidRPr="00246C12" w:rsidRDefault="00FC6DFA">
      <w:pPr>
        <w:jc w:val="both"/>
        <w:rPr>
          <w:rFonts w:ascii="Arial" w:hAnsi="Arial" w:cs="Arial"/>
          <w:color w:val="000000"/>
        </w:rPr>
      </w:pPr>
    </w:p>
    <w:p w14:paraId="79368383" w14:textId="77777777" w:rsidR="00FC6DFA" w:rsidRPr="00246C12" w:rsidRDefault="00FC6DFA">
      <w:pPr>
        <w:jc w:val="both"/>
        <w:rPr>
          <w:rFonts w:ascii="Arial" w:hAnsi="Arial" w:cs="Arial"/>
          <w:color w:val="000000"/>
        </w:rPr>
      </w:pPr>
    </w:p>
    <w:p w14:paraId="3B6025C3" w14:textId="77777777" w:rsidR="00FC6DFA" w:rsidRPr="00246C12" w:rsidRDefault="00FC6DFA">
      <w:pPr>
        <w:jc w:val="both"/>
        <w:rPr>
          <w:rFonts w:ascii="Arial" w:hAnsi="Arial" w:cs="Arial"/>
          <w:color w:val="000000"/>
        </w:rPr>
      </w:pPr>
    </w:p>
    <w:p w14:paraId="72957657" w14:textId="77777777" w:rsidR="00FC6DFA" w:rsidRPr="00246C12" w:rsidRDefault="00FC6DFA">
      <w:pPr>
        <w:jc w:val="both"/>
        <w:rPr>
          <w:rFonts w:ascii="Arial" w:hAnsi="Arial" w:cs="Arial"/>
          <w:color w:val="000000"/>
        </w:rPr>
      </w:pPr>
    </w:p>
    <w:p w14:paraId="6AE9D2E7" w14:textId="77777777" w:rsidR="00FC6DFA" w:rsidRPr="00246C12" w:rsidRDefault="009F1B79">
      <w:pPr>
        <w:numPr>
          <w:ilvl w:val="0"/>
          <w:numId w:val="4"/>
        </w:numPr>
        <w:pBdr>
          <w:top w:val="nil"/>
          <w:left w:val="nil"/>
          <w:bottom w:val="nil"/>
          <w:right w:val="nil"/>
          <w:between w:val="nil"/>
        </w:pBdr>
        <w:jc w:val="both"/>
        <w:rPr>
          <w:rFonts w:ascii="Arial" w:hAnsi="Arial" w:cs="Arial"/>
          <w:color w:val="000000"/>
        </w:rPr>
      </w:pPr>
      <w:r w:rsidRPr="00246C12">
        <w:rPr>
          <w:rFonts w:ascii="Arial" w:hAnsi="Arial" w:cs="Arial"/>
          <w:b/>
          <w:color w:val="000000"/>
        </w:rPr>
        <w:t xml:space="preserve">Transferable Skills for Life and Professional Practice </w:t>
      </w:r>
    </w:p>
    <w:p w14:paraId="274CC5F4" w14:textId="77777777" w:rsidR="00FC6DFA" w:rsidRPr="00246C12" w:rsidRDefault="009F1B79">
      <w:pPr>
        <w:jc w:val="both"/>
        <w:rPr>
          <w:rFonts w:ascii="Arial" w:hAnsi="Arial" w:cs="Arial"/>
          <w:color w:val="000000"/>
        </w:rPr>
      </w:pPr>
      <w:r w:rsidRPr="00246C12">
        <w:rPr>
          <w:rFonts w:ascii="Arial" w:hAnsi="Arial" w:cs="Arial"/>
          <w:color w:val="000000"/>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752F9FB" w14:textId="77777777" w:rsidR="00FC6DFA" w:rsidRPr="00246C12" w:rsidRDefault="009F1B79">
      <w:pPr>
        <w:jc w:val="both"/>
        <w:rPr>
          <w:rFonts w:ascii="Arial" w:hAnsi="Arial" w:cs="Arial"/>
          <w:color w:val="000000"/>
        </w:rPr>
      </w:pPr>
      <w:r w:rsidRPr="00246C12">
        <w:rPr>
          <w:rFonts w:ascii="Arial" w:hAnsi="Arial" w:cs="Arial"/>
          <w:b/>
          <w:i/>
          <w:color w:val="000000"/>
        </w:rPr>
        <w:t>Guidance specific to this assessment:</w:t>
      </w:r>
      <w:r w:rsidRPr="00246C12">
        <w:rPr>
          <w:rFonts w:ascii="Arial" w:hAnsi="Arial" w:cs="Arial"/>
          <w:i/>
          <w:color w:val="000000"/>
        </w:rPr>
        <w:t xml:space="preserve"> </w:t>
      </w:r>
    </w:p>
    <w:p w14:paraId="554CF1F1" w14:textId="77777777" w:rsidR="00FC6DFA" w:rsidRPr="00246C12" w:rsidRDefault="00FC6DFA">
      <w:pPr>
        <w:jc w:val="both"/>
        <w:rPr>
          <w:rFonts w:ascii="Arial" w:hAnsi="Arial" w:cs="Arial"/>
          <w:color w:val="000000"/>
        </w:rPr>
      </w:pPr>
    </w:p>
    <w:p w14:paraId="03EA89A4" w14:textId="77777777" w:rsidR="00FC6DFA" w:rsidRPr="00246C12" w:rsidRDefault="00FC6DFA">
      <w:pPr>
        <w:jc w:val="both"/>
        <w:rPr>
          <w:rFonts w:ascii="Arial" w:hAnsi="Arial" w:cs="Arial"/>
          <w:color w:val="000000"/>
        </w:rPr>
      </w:pPr>
    </w:p>
    <w:p w14:paraId="2044AC39" w14:textId="77777777" w:rsidR="00FC6DFA" w:rsidRPr="00246C12" w:rsidRDefault="009F1B79">
      <w:pPr>
        <w:jc w:val="both"/>
        <w:rPr>
          <w:rFonts w:ascii="Arial" w:hAnsi="Arial" w:cs="Arial"/>
          <w:color w:val="000000"/>
        </w:rPr>
      </w:pPr>
      <w:r w:rsidRPr="00246C12">
        <w:rPr>
          <w:rFonts w:ascii="Arial" w:hAnsi="Arial" w:cs="Arial"/>
          <w:color w:val="000000"/>
        </w:rPr>
        <w:t xml:space="preserve">Marking Criteria: </w:t>
      </w:r>
    </w:p>
    <w:p w14:paraId="058FD037" w14:textId="77777777" w:rsidR="00FC6DFA" w:rsidRPr="00246C12" w:rsidRDefault="009F1B79">
      <w:pPr>
        <w:spacing w:before="100" w:after="100"/>
        <w:rPr>
          <w:rFonts w:ascii="Arial" w:hAnsi="Arial" w:cs="Arial"/>
          <w:color w:val="303B44"/>
        </w:rPr>
      </w:pPr>
      <w:r w:rsidRPr="00246C12">
        <w:rPr>
          <w:rFonts w:ascii="Arial" w:hAnsi="Arial" w:cs="Arial"/>
          <w:b/>
          <w:color w:val="303B44"/>
        </w:rPr>
        <w:t>GENERIC ASSESSMENT CRITERIA – Level 6</w:t>
      </w:r>
    </w:p>
    <w:p w14:paraId="793388B9" w14:textId="77777777" w:rsidR="00FC6DFA" w:rsidRPr="00246C12" w:rsidRDefault="00FC6DFA">
      <w:pPr>
        <w:spacing w:before="100" w:after="100"/>
        <w:rPr>
          <w:rFonts w:ascii="Arial" w:hAnsi="Arial" w:cs="Arial"/>
          <w:color w:val="303B44"/>
        </w:rPr>
      </w:pPr>
    </w:p>
    <w:tbl>
      <w:tblPr>
        <w:tblStyle w:val="a7"/>
        <w:tblW w:w="9015"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9015"/>
      </w:tblGrid>
      <w:tr w:rsidR="00FC6DFA" w:rsidRPr="00246C12" w14:paraId="2DD1B235" w14:textId="77777777">
        <w:trPr>
          <w:trHeight w:val="300"/>
        </w:trPr>
        <w:tc>
          <w:tcPr>
            <w:tcW w:w="9015" w:type="dxa"/>
            <w:shd w:val="clear" w:color="auto" w:fill="C2D69B"/>
            <w:tcMar>
              <w:left w:w="105" w:type="dxa"/>
              <w:right w:w="105" w:type="dxa"/>
            </w:tcMar>
          </w:tcPr>
          <w:p w14:paraId="49110AA2" w14:textId="77777777" w:rsidR="00FC6DFA" w:rsidRPr="00246C12" w:rsidRDefault="009F1B79">
            <w:pPr>
              <w:rPr>
                <w:rFonts w:ascii="Arial" w:hAnsi="Arial" w:cs="Arial"/>
              </w:rPr>
            </w:pPr>
            <w:r w:rsidRPr="00246C12">
              <w:rPr>
                <w:rFonts w:ascii="Arial" w:hAnsi="Arial" w:cs="Arial"/>
                <w:b/>
              </w:rPr>
              <w:t>Level 6</w:t>
            </w:r>
          </w:p>
        </w:tc>
      </w:tr>
      <w:tr w:rsidR="00FC6DFA" w:rsidRPr="00246C12" w14:paraId="1ECF16E7" w14:textId="77777777">
        <w:trPr>
          <w:trHeight w:val="300"/>
        </w:trPr>
        <w:tc>
          <w:tcPr>
            <w:tcW w:w="9015" w:type="dxa"/>
            <w:shd w:val="clear" w:color="auto" w:fill="EAF1DD"/>
            <w:tcMar>
              <w:left w:w="105" w:type="dxa"/>
              <w:right w:w="105" w:type="dxa"/>
            </w:tcMar>
          </w:tcPr>
          <w:p w14:paraId="60AE6E6C" w14:textId="77777777" w:rsidR="00FC6DFA" w:rsidRPr="00246C12" w:rsidRDefault="009F1B79">
            <w:pPr>
              <w:rPr>
                <w:rFonts w:ascii="Arial" w:hAnsi="Arial" w:cs="Arial"/>
              </w:rPr>
            </w:pPr>
            <w:r w:rsidRPr="00246C12">
              <w:rPr>
                <w:rFonts w:ascii="Arial" w:hAnsi="Arial" w:cs="Arial"/>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w:t>
            </w:r>
            <w:r w:rsidRPr="00246C12">
              <w:rPr>
                <w:rFonts w:ascii="Arial" w:hAnsi="Arial" w:cs="Arial"/>
              </w:rPr>
              <w:lastRenderedPageBreak/>
              <w:t>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9AE6474" w14:textId="77777777" w:rsidR="00FC6DFA" w:rsidRPr="00246C12" w:rsidRDefault="00FC6DFA">
      <w:pPr>
        <w:jc w:val="both"/>
        <w:rPr>
          <w:rFonts w:ascii="Arial" w:hAnsi="Arial" w:cs="Arial"/>
          <w:color w:val="000000"/>
        </w:rPr>
      </w:pPr>
    </w:p>
    <w:p w14:paraId="02506307" w14:textId="77777777" w:rsidR="00FC6DFA" w:rsidRPr="00246C12" w:rsidRDefault="009F1B79">
      <w:pPr>
        <w:rPr>
          <w:rFonts w:ascii="Arial" w:hAnsi="Arial" w:cs="Arial"/>
        </w:rPr>
      </w:pPr>
      <w:r w:rsidRPr="00246C12">
        <w:rPr>
          <w:rFonts w:ascii="Arial" w:hAnsi="Arial" w:cs="Arial"/>
        </w:rPr>
        <w:t>A copy of the Level 6 marking criteria can be found on Moodle</w:t>
      </w:r>
    </w:p>
    <w:p w14:paraId="60F3AF73" w14:textId="77777777" w:rsidR="00FC6DFA" w:rsidRDefault="00FC6DFA">
      <w:pPr>
        <w:spacing w:before="240" w:after="60"/>
        <w:ind w:right="237"/>
        <w:jc w:val="both"/>
        <w:rPr>
          <w:color w:val="000000"/>
        </w:rPr>
      </w:pPr>
    </w:p>
    <w:p w14:paraId="7F9EB98D" w14:textId="77777777" w:rsidR="00FC6DFA" w:rsidRDefault="00FC6DFA">
      <w:pPr>
        <w:rPr>
          <w:b/>
          <w:sz w:val="28"/>
          <w:szCs w:val="28"/>
        </w:rPr>
      </w:pPr>
    </w:p>
    <w:sectPr w:rsidR="00FC6DFA">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698122DA-2FB4-9A4E-89BC-CB6407C7E06B}"/>
  </w:font>
  <w:font w:name="Times New Roman">
    <w:panose1 w:val="02020603050405020304"/>
    <w:charset w:val="00"/>
    <w:family w:val="roman"/>
    <w:pitch w:val="variable"/>
    <w:sig w:usb0="E0002EFF" w:usb1="C000785B" w:usb2="00000009" w:usb3="00000000" w:csb0="000001FF" w:csb1="00000000"/>
    <w:embedRegular r:id="rId2" w:fontKey="{E2605973-CD02-5446-9B5E-E5133BD1D9CA}"/>
    <w:embedBold r:id="rId3" w:fontKey="{50A193D6-CEF8-724C-A8C2-B5885BE0F74F}"/>
    <w:embedItalic r:id="rId4" w:fontKey="{BDD98979-6367-BA4A-82C0-411110958C12}"/>
    <w:embedBoldItalic r:id="rId5" w:fontKey="{4DC4176E-473F-0C4D-BCDE-F47D47577D12}"/>
  </w:font>
  <w:font w:name="Courier New">
    <w:panose1 w:val="02070309020205020404"/>
    <w:charset w:val="00"/>
    <w:family w:val="modern"/>
    <w:pitch w:val="fixed"/>
    <w:sig w:usb0="E0002AFF" w:usb1="C0007843" w:usb2="00000009" w:usb3="00000000" w:csb0="000001FF" w:csb1="00000000"/>
    <w:embedRegular r:id="rId6" w:fontKey="{1DFE76A4-74FC-4B4D-94AE-5A9ABC8E328C}"/>
  </w:font>
  <w:font w:name="Wingdings">
    <w:panose1 w:val="05000000000000000000"/>
    <w:charset w:val="4D"/>
    <w:family w:val="decorative"/>
    <w:pitch w:val="variable"/>
    <w:sig w:usb0="00000003" w:usb1="00000000" w:usb2="00000000" w:usb3="00000000" w:csb0="80000001" w:csb1="00000000"/>
    <w:embedRegular r:id="rId7" w:fontKey="{797C2096-E023-2D4C-836C-7864C6A8665E}"/>
  </w:font>
  <w:font w:name="Noto Sans Symbols">
    <w:altName w:val="Calibri"/>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embedRegular r:id="rId9" w:fontKey="{FA725A22-EBE4-8143-8E5B-0061C56949F1}"/>
    <w:embedBold r:id="rId10" w:fontKey="{1D3067D9-651B-F04E-9810-1BC0A1816CD7}"/>
    <w:embedItalic r:id="rId11" w:fontKey="{16B292B4-63DF-C94B-A8E4-C672E69D4D3F}"/>
    <w:embedBoldItalic r:id="rId12" w:fontKey="{63214A77-3D3D-E64A-AB33-B519B5C06B6A}"/>
  </w:font>
  <w:font w:name="Georgia">
    <w:panose1 w:val="02040502050405020303"/>
    <w:charset w:val="00"/>
    <w:family w:val="roman"/>
    <w:pitch w:val="variable"/>
    <w:sig w:usb0="00000287" w:usb1="00000000" w:usb2="00000000" w:usb3="00000000" w:csb0="0000009F" w:csb1="00000000"/>
    <w:embedRegular r:id="rId13" w:fontKey="{7E2F189A-6670-1D41-A1EA-678FAFE53B7C}"/>
    <w:embedItalic r:id="rId14" w:fontKey="{235FC845-B23D-5842-A76D-D1AE134828B8}"/>
  </w:font>
  <w:font w:name="Calibri">
    <w:panose1 w:val="020F0502020204030204"/>
    <w:charset w:val="00"/>
    <w:family w:val="swiss"/>
    <w:pitch w:val="variable"/>
    <w:sig w:usb0="E0002AFF" w:usb1="C000247B" w:usb2="00000009" w:usb3="00000000" w:csb0="000001FF" w:csb1="00000000"/>
    <w:embedRegular r:id="rId15" w:fontKey="{18570338-D9CF-6C48-BEEB-73A08B8D2162}"/>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embedRegular r:id="rId16" w:fontKey="{BB66B4FA-C3C5-244C-BCB2-7F03BE078050}"/>
  </w:font>
  <w:font w:name="Calibri Light">
    <w:panose1 w:val="020F0302020204030204"/>
    <w:charset w:val="00"/>
    <w:family w:val="swiss"/>
    <w:pitch w:val="variable"/>
    <w:sig w:usb0="E0002AFF" w:usb1="C000247B" w:usb2="00000009" w:usb3="00000000" w:csb0="000001FF" w:csb1="00000000"/>
    <w:embedRegular r:id="rId17" w:fontKey="{293EFC3A-2683-E745-BE50-D88C291BBFE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EF5157"/>
    <w:multiLevelType w:val="hybridMultilevel"/>
    <w:tmpl w:val="9FA05C1E"/>
    <w:lvl w:ilvl="0" w:tplc="4E52196A">
      <w:start w:val="1"/>
      <w:numFmt w:val="bullet"/>
      <w:lvlText w:val="•"/>
      <w:lvlJc w:val="left"/>
      <w:pPr>
        <w:ind w:left="720" w:hanging="360"/>
      </w:pPr>
    </w:lvl>
    <w:lvl w:ilvl="1" w:tplc="64D8293A">
      <w:numFmt w:val="decimal"/>
      <w:lvlText w:val=""/>
      <w:lvlJc w:val="left"/>
    </w:lvl>
    <w:lvl w:ilvl="2" w:tplc="DF127998">
      <w:numFmt w:val="decimal"/>
      <w:lvlText w:val=""/>
      <w:lvlJc w:val="left"/>
    </w:lvl>
    <w:lvl w:ilvl="3" w:tplc="34700C48">
      <w:numFmt w:val="decimal"/>
      <w:lvlText w:val=""/>
      <w:lvlJc w:val="left"/>
    </w:lvl>
    <w:lvl w:ilvl="4" w:tplc="9C0291FC">
      <w:numFmt w:val="decimal"/>
      <w:lvlText w:val=""/>
      <w:lvlJc w:val="left"/>
    </w:lvl>
    <w:lvl w:ilvl="5" w:tplc="07582914">
      <w:numFmt w:val="decimal"/>
      <w:lvlText w:val=""/>
      <w:lvlJc w:val="left"/>
    </w:lvl>
    <w:lvl w:ilvl="6" w:tplc="3D926938">
      <w:numFmt w:val="decimal"/>
      <w:lvlText w:val=""/>
      <w:lvlJc w:val="left"/>
    </w:lvl>
    <w:lvl w:ilvl="7" w:tplc="00F2C544">
      <w:numFmt w:val="decimal"/>
      <w:lvlText w:val=""/>
      <w:lvlJc w:val="left"/>
    </w:lvl>
    <w:lvl w:ilvl="8" w:tplc="6524AB68">
      <w:numFmt w:val="decimal"/>
      <w:lvlText w:val=""/>
      <w:lvlJc w:val="left"/>
    </w:lvl>
  </w:abstractNum>
  <w:abstractNum w:abstractNumId="1" w15:restartNumberingAfterBreak="0">
    <w:nsid w:val="25223BB6"/>
    <w:multiLevelType w:val="multilevel"/>
    <w:tmpl w:val="C654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3595D"/>
    <w:multiLevelType w:val="hybridMultilevel"/>
    <w:tmpl w:val="FEF0FD70"/>
    <w:lvl w:ilvl="0" w:tplc="360A933A">
      <w:start w:val="1"/>
      <w:numFmt w:val="bullet"/>
      <w:lvlText w:val="•"/>
      <w:lvlJc w:val="left"/>
      <w:pPr>
        <w:ind w:left="720" w:hanging="360"/>
      </w:pPr>
    </w:lvl>
    <w:lvl w:ilvl="1" w:tplc="909636AA">
      <w:start w:val="1"/>
      <w:numFmt w:val="bullet"/>
      <w:lvlText w:val="◦"/>
      <w:lvlJc w:val="left"/>
      <w:pPr>
        <w:ind w:left="1440" w:hanging="360"/>
      </w:pPr>
    </w:lvl>
    <w:lvl w:ilvl="2" w:tplc="A11C620C">
      <w:numFmt w:val="decimal"/>
      <w:lvlText w:val=""/>
      <w:lvlJc w:val="left"/>
    </w:lvl>
    <w:lvl w:ilvl="3" w:tplc="D4102576">
      <w:numFmt w:val="decimal"/>
      <w:lvlText w:val=""/>
      <w:lvlJc w:val="left"/>
    </w:lvl>
    <w:lvl w:ilvl="4" w:tplc="82129264">
      <w:numFmt w:val="decimal"/>
      <w:lvlText w:val=""/>
      <w:lvlJc w:val="left"/>
    </w:lvl>
    <w:lvl w:ilvl="5" w:tplc="ADFE7938">
      <w:numFmt w:val="decimal"/>
      <w:lvlText w:val=""/>
      <w:lvlJc w:val="left"/>
    </w:lvl>
    <w:lvl w:ilvl="6" w:tplc="D464B260">
      <w:numFmt w:val="decimal"/>
      <w:lvlText w:val=""/>
      <w:lvlJc w:val="left"/>
    </w:lvl>
    <w:lvl w:ilvl="7" w:tplc="92D45D66">
      <w:numFmt w:val="decimal"/>
      <w:lvlText w:val=""/>
      <w:lvlJc w:val="left"/>
    </w:lvl>
    <w:lvl w:ilvl="8" w:tplc="9CD4F0D6">
      <w:numFmt w:val="decimal"/>
      <w:lvlText w:val=""/>
      <w:lvlJc w:val="left"/>
    </w:lvl>
  </w:abstractNum>
  <w:abstractNum w:abstractNumId="3" w15:restartNumberingAfterBreak="0">
    <w:nsid w:val="36767EDA"/>
    <w:multiLevelType w:val="multilevel"/>
    <w:tmpl w:val="A40855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D5B79C4"/>
    <w:multiLevelType w:val="multilevel"/>
    <w:tmpl w:val="4F44646C"/>
    <w:lvl w:ilvl="0">
      <w:start w:val="1"/>
      <w:numFmt w:val="decimal"/>
      <w:lvlText w:val="%1."/>
      <w:lvlJc w:val="left"/>
      <w:pPr>
        <w:ind w:left="360" w:hanging="360"/>
      </w:pPr>
      <w:rPr>
        <w:rFonts w:ascii="Arial" w:eastAsia="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DC919A4"/>
    <w:multiLevelType w:val="multilevel"/>
    <w:tmpl w:val="970E7E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CF4685E"/>
    <w:multiLevelType w:val="multilevel"/>
    <w:tmpl w:val="4AF6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6100BA"/>
    <w:multiLevelType w:val="multilevel"/>
    <w:tmpl w:val="3DDA3B7E"/>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5BB73E8F"/>
    <w:multiLevelType w:val="multilevel"/>
    <w:tmpl w:val="8170393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64F72662"/>
    <w:multiLevelType w:val="multilevel"/>
    <w:tmpl w:val="5CE4FB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718294C"/>
    <w:multiLevelType w:val="hybridMultilevel"/>
    <w:tmpl w:val="1BC0D484"/>
    <w:lvl w:ilvl="0" w:tplc="53AEB12A">
      <w:start w:val="1"/>
      <w:numFmt w:val="bullet"/>
      <w:lvlText w:val="○"/>
      <w:lvlJc w:val="left"/>
      <w:pPr>
        <w:ind w:left="1080" w:hanging="360"/>
      </w:pPr>
    </w:lvl>
    <w:lvl w:ilvl="1" w:tplc="2ACA042C">
      <w:numFmt w:val="decimal"/>
      <w:lvlText w:val=""/>
      <w:lvlJc w:val="left"/>
    </w:lvl>
    <w:lvl w:ilvl="2" w:tplc="7D50F088">
      <w:numFmt w:val="decimal"/>
      <w:lvlText w:val=""/>
      <w:lvlJc w:val="left"/>
    </w:lvl>
    <w:lvl w:ilvl="3" w:tplc="497EF392">
      <w:numFmt w:val="decimal"/>
      <w:lvlText w:val=""/>
      <w:lvlJc w:val="left"/>
    </w:lvl>
    <w:lvl w:ilvl="4" w:tplc="DED2CEFC">
      <w:numFmt w:val="decimal"/>
      <w:lvlText w:val=""/>
      <w:lvlJc w:val="left"/>
    </w:lvl>
    <w:lvl w:ilvl="5" w:tplc="11B6E73C">
      <w:numFmt w:val="decimal"/>
      <w:lvlText w:val=""/>
      <w:lvlJc w:val="left"/>
    </w:lvl>
    <w:lvl w:ilvl="6" w:tplc="A16AD6E4">
      <w:numFmt w:val="decimal"/>
      <w:lvlText w:val=""/>
      <w:lvlJc w:val="left"/>
    </w:lvl>
    <w:lvl w:ilvl="7" w:tplc="654233B6">
      <w:numFmt w:val="decimal"/>
      <w:lvlText w:val=""/>
      <w:lvlJc w:val="left"/>
    </w:lvl>
    <w:lvl w:ilvl="8" w:tplc="146CCD6E">
      <w:numFmt w:val="decimal"/>
      <w:lvlText w:val=""/>
      <w:lvlJc w:val="left"/>
    </w:lvl>
  </w:abstractNum>
  <w:abstractNum w:abstractNumId="11" w15:restartNumberingAfterBreak="0">
    <w:nsid w:val="77CE6FA3"/>
    <w:multiLevelType w:val="multilevel"/>
    <w:tmpl w:val="151AF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3436561">
    <w:abstractNumId w:val="8"/>
  </w:num>
  <w:num w:numId="2" w16cid:durableId="1887450379">
    <w:abstractNumId w:val="3"/>
  </w:num>
  <w:num w:numId="3" w16cid:durableId="2064021633">
    <w:abstractNumId w:val="5"/>
  </w:num>
  <w:num w:numId="4" w16cid:durableId="657807333">
    <w:abstractNumId w:val="4"/>
  </w:num>
  <w:num w:numId="5" w16cid:durableId="462818283">
    <w:abstractNumId w:val="7"/>
  </w:num>
  <w:num w:numId="6" w16cid:durableId="1499274745">
    <w:abstractNumId w:val="9"/>
  </w:num>
  <w:num w:numId="7" w16cid:durableId="1844468834">
    <w:abstractNumId w:val="6"/>
  </w:num>
  <w:num w:numId="8" w16cid:durableId="1202011203">
    <w:abstractNumId w:val="1"/>
  </w:num>
  <w:num w:numId="9" w16cid:durableId="1052384147">
    <w:abstractNumId w:val="11"/>
  </w:num>
  <w:num w:numId="10" w16cid:durableId="55934755">
    <w:abstractNumId w:val="0"/>
    <w:lvlOverride w:ilvl="0">
      <w:startOverride w:val="1"/>
    </w:lvlOverride>
  </w:num>
  <w:num w:numId="11" w16cid:durableId="368067142">
    <w:abstractNumId w:val="10"/>
    <w:lvlOverride w:ilvl="0">
      <w:startOverride w:val="1"/>
    </w:lvlOverride>
  </w:num>
  <w:num w:numId="12" w16cid:durableId="259918017">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DFA"/>
    <w:rsid w:val="0000301D"/>
    <w:rsid w:val="00011B91"/>
    <w:rsid w:val="00012E97"/>
    <w:rsid w:val="000171B6"/>
    <w:rsid w:val="0001732A"/>
    <w:rsid w:val="00030708"/>
    <w:rsid w:val="000359AD"/>
    <w:rsid w:val="00035CE5"/>
    <w:rsid w:val="0003616C"/>
    <w:rsid w:val="00036AC3"/>
    <w:rsid w:val="0003709D"/>
    <w:rsid w:val="00037925"/>
    <w:rsid w:val="000639B7"/>
    <w:rsid w:val="00064638"/>
    <w:rsid w:val="00080C9D"/>
    <w:rsid w:val="00084E5B"/>
    <w:rsid w:val="0008675D"/>
    <w:rsid w:val="00090C6D"/>
    <w:rsid w:val="00092C54"/>
    <w:rsid w:val="000A0A9B"/>
    <w:rsid w:val="000A365C"/>
    <w:rsid w:val="000A5F6A"/>
    <w:rsid w:val="000A6445"/>
    <w:rsid w:val="000A67C0"/>
    <w:rsid w:val="000A6B34"/>
    <w:rsid w:val="000C3BA2"/>
    <w:rsid w:val="000C3E39"/>
    <w:rsid w:val="000C434D"/>
    <w:rsid w:val="000D33B3"/>
    <w:rsid w:val="000D369B"/>
    <w:rsid w:val="000E33F9"/>
    <w:rsid w:val="000E639C"/>
    <w:rsid w:val="000F51C3"/>
    <w:rsid w:val="000F5FE7"/>
    <w:rsid w:val="000F6CF6"/>
    <w:rsid w:val="0010050E"/>
    <w:rsid w:val="00101616"/>
    <w:rsid w:val="001063C0"/>
    <w:rsid w:val="00107EA4"/>
    <w:rsid w:val="00136361"/>
    <w:rsid w:val="00150839"/>
    <w:rsid w:val="00156429"/>
    <w:rsid w:val="0016788B"/>
    <w:rsid w:val="0017425E"/>
    <w:rsid w:val="00182167"/>
    <w:rsid w:val="00182E07"/>
    <w:rsid w:val="00187C49"/>
    <w:rsid w:val="001A0D4F"/>
    <w:rsid w:val="001A0DEE"/>
    <w:rsid w:val="001B0926"/>
    <w:rsid w:val="001B2054"/>
    <w:rsid w:val="001B66A3"/>
    <w:rsid w:val="001B6D5F"/>
    <w:rsid w:val="001C3F55"/>
    <w:rsid w:val="001C4A58"/>
    <w:rsid w:val="001E268F"/>
    <w:rsid w:val="001F254C"/>
    <w:rsid w:val="001F517C"/>
    <w:rsid w:val="002003AC"/>
    <w:rsid w:val="00217826"/>
    <w:rsid w:val="0023232F"/>
    <w:rsid w:val="00245252"/>
    <w:rsid w:val="00246789"/>
    <w:rsid w:val="002468CD"/>
    <w:rsid w:val="00246A1E"/>
    <w:rsid w:val="00246C12"/>
    <w:rsid w:val="00252223"/>
    <w:rsid w:val="002553EC"/>
    <w:rsid w:val="002729FC"/>
    <w:rsid w:val="00275352"/>
    <w:rsid w:val="00282542"/>
    <w:rsid w:val="00287574"/>
    <w:rsid w:val="00291748"/>
    <w:rsid w:val="0029179D"/>
    <w:rsid w:val="0029759E"/>
    <w:rsid w:val="002A2394"/>
    <w:rsid w:val="002A6844"/>
    <w:rsid w:val="002B0CBE"/>
    <w:rsid w:val="002B2BA4"/>
    <w:rsid w:val="002B3983"/>
    <w:rsid w:val="002B4BC1"/>
    <w:rsid w:val="002C48FE"/>
    <w:rsid w:val="002D01A9"/>
    <w:rsid w:val="002D3B4D"/>
    <w:rsid w:val="002E4E3C"/>
    <w:rsid w:val="00303A3A"/>
    <w:rsid w:val="00311748"/>
    <w:rsid w:val="00326E46"/>
    <w:rsid w:val="0033465D"/>
    <w:rsid w:val="003453F6"/>
    <w:rsid w:val="00345B5E"/>
    <w:rsid w:val="00363D84"/>
    <w:rsid w:val="00380D4B"/>
    <w:rsid w:val="003845E7"/>
    <w:rsid w:val="00384946"/>
    <w:rsid w:val="00386DDF"/>
    <w:rsid w:val="00387F73"/>
    <w:rsid w:val="003946AA"/>
    <w:rsid w:val="003A244B"/>
    <w:rsid w:val="003B6BD2"/>
    <w:rsid w:val="003C0A6A"/>
    <w:rsid w:val="003C4526"/>
    <w:rsid w:val="003C4DBE"/>
    <w:rsid w:val="003D51B9"/>
    <w:rsid w:val="003D68F8"/>
    <w:rsid w:val="003E789E"/>
    <w:rsid w:val="003E7A1C"/>
    <w:rsid w:val="003F4EA9"/>
    <w:rsid w:val="003F6F83"/>
    <w:rsid w:val="00402CFC"/>
    <w:rsid w:val="004079EB"/>
    <w:rsid w:val="00411054"/>
    <w:rsid w:val="0041332D"/>
    <w:rsid w:val="00420425"/>
    <w:rsid w:val="00422EB6"/>
    <w:rsid w:val="004234B7"/>
    <w:rsid w:val="00434FBE"/>
    <w:rsid w:val="00435459"/>
    <w:rsid w:val="00440524"/>
    <w:rsid w:val="00443E60"/>
    <w:rsid w:val="00444516"/>
    <w:rsid w:val="0045008A"/>
    <w:rsid w:val="00456C6B"/>
    <w:rsid w:val="0046015C"/>
    <w:rsid w:val="00462675"/>
    <w:rsid w:val="0046331B"/>
    <w:rsid w:val="00466279"/>
    <w:rsid w:val="00480654"/>
    <w:rsid w:val="0048108A"/>
    <w:rsid w:val="004861A3"/>
    <w:rsid w:val="0049037B"/>
    <w:rsid w:val="00490A27"/>
    <w:rsid w:val="004A6DB5"/>
    <w:rsid w:val="004B51D3"/>
    <w:rsid w:val="004B65EA"/>
    <w:rsid w:val="004B735B"/>
    <w:rsid w:val="004C2720"/>
    <w:rsid w:val="004C56A2"/>
    <w:rsid w:val="004C6A52"/>
    <w:rsid w:val="004D284C"/>
    <w:rsid w:val="004D5A8B"/>
    <w:rsid w:val="004E4127"/>
    <w:rsid w:val="004F49D7"/>
    <w:rsid w:val="004F7E8D"/>
    <w:rsid w:val="0050387A"/>
    <w:rsid w:val="00503EE0"/>
    <w:rsid w:val="0051119F"/>
    <w:rsid w:val="00521216"/>
    <w:rsid w:val="005310EC"/>
    <w:rsid w:val="00553129"/>
    <w:rsid w:val="005611CC"/>
    <w:rsid w:val="00565A9E"/>
    <w:rsid w:val="00575DEF"/>
    <w:rsid w:val="00581F33"/>
    <w:rsid w:val="00583BAF"/>
    <w:rsid w:val="00592DB8"/>
    <w:rsid w:val="00595966"/>
    <w:rsid w:val="005962AD"/>
    <w:rsid w:val="005B1106"/>
    <w:rsid w:val="005B3472"/>
    <w:rsid w:val="005C7926"/>
    <w:rsid w:val="005D2C1B"/>
    <w:rsid w:val="005D3026"/>
    <w:rsid w:val="005E10D4"/>
    <w:rsid w:val="005E455C"/>
    <w:rsid w:val="005E4FEA"/>
    <w:rsid w:val="005F11D2"/>
    <w:rsid w:val="0061367F"/>
    <w:rsid w:val="00615F24"/>
    <w:rsid w:val="00620457"/>
    <w:rsid w:val="006206F8"/>
    <w:rsid w:val="006230EE"/>
    <w:rsid w:val="0063270C"/>
    <w:rsid w:val="00632803"/>
    <w:rsid w:val="00637912"/>
    <w:rsid w:val="0064585E"/>
    <w:rsid w:val="0064613A"/>
    <w:rsid w:val="00646B9D"/>
    <w:rsid w:val="00650C72"/>
    <w:rsid w:val="0065646E"/>
    <w:rsid w:val="0065664B"/>
    <w:rsid w:val="00662FD2"/>
    <w:rsid w:val="0066621A"/>
    <w:rsid w:val="00671CD4"/>
    <w:rsid w:val="006731A0"/>
    <w:rsid w:val="006737E1"/>
    <w:rsid w:val="00682153"/>
    <w:rsid w:val="00685BBD"/>
    <w:rsid w:val="0069592F"/>
    <w:rsid w:val="00696A67"/>
    <w:rsid w:val="006B4A35"/>
    <w:rsid w:val="006C62FE"/>
    <w:rsid w:val="006C6D4E"/>
    <w:rsid w:val="006C7D91"/>
    <w:rsid w:val="006D6614"/>
    <w:rsid w:val="006E20E9"/>
    <w:rsid w:val="006F1FD2"/>
    <w:rsid w:val="006F2976"/>
    <w:rsid w:val="006F43F6"/>
    <w:rsid w:val="006F5FA7"/>
    <w:rsid w:val="00707456"/>
    <w:rsid w:val="0073269B"/>
    <w:rsid w:val="00732FAD"/>
    <w:rsid w:val="007350C9"/>
    <w:rsid w:val="0073605B"/>
    <w:rsid w:val="00741E30"/>
    <w:rsid w:val="00742E8E"/>
    <w:rsid w:val="00743202"/>
    <w:rsid w:val="007441D1"/>
    <w:rsid w:val="00745B65"/>
    <w:rsid w:val="007504EB"/>
    <w:rsid w:val="007607F3"/>
    <w:rsid w:val="00775439"/>
    <w:rsid w:val="007777BF"/>
    <w:rsid w:val="0078084E"/>
    <w:rsid w:val="00782250"/>
    <w:rsid w:val="00784E38"/>
    <w:rsid w:val="00794CDC"/>
    <w:rsid w:val="007A1B2E"/>
    <w:rsid w:val="007A3DF1"/>
    <w:rsid w:val="007A5667"/>
    <w:rsid w:val="007C42E1"/>
    <w:rsid w:val="007D0DCC"/>
    <w:rsid w:val="007D42A1"/>
    <w:rsid w:val="007E4ADD"/>
    <w:rsid w:val="007E63B9"/>
    <w:rsid w:val="007F3A47"/>
    <w:rsid w:val="007F4651"/>
    <w:rsid w:val="008105F3"/>
    <w:rsid w:val="008152ED"/>
    <w:rsid w:val="00820B47"/>
    <w:rsid w:val="00823DF2"/>
    <w:rsid w:val="00825295"/>
    <w:rsid w:val="00825A66"/>
    <w:rsid w:val="00835106"/>
    <w:rsid w:val="00843EBD"/>
    <w:rsid w:val="008508C1"/>
    <w:rsid w:val="00850918"/>
    <w:rsid w:val="00851DCE"/>
    <w:rsid w:val="00852565"/>
    <w:rsid w:val="0089167D"/>
    <w:rsid w:val="00891EB4"/>
    <w:rsid w:val="00892E10"/>
    <w:rsid w:val="00893D59"/>
    <w:rsid w:val="00895544"/>
    <w:rsid w:val="008A0605"/>
    <w:rsid w:val="008A5D4D"/>
    <w:rsid w:val="008B0F6E"/>
    <w:rsid w:val="008B2440"/>
    <w:rsid w:val="008B7FCB"/>
    <w:rsid w:val="008C2B1F"/>
    <w:rsid w:val="008C5953"/>
    <w:rsid w:val="008D115B"/>
    <w:rsid w:val="008D373F"/>
    <w:rsid w:val="008D4344"/>
    <w:rsid w:val="008F382F"/>
    <w:rsid w:val="009035D4"/>
    <w:rsid w:val="00917137"/>
    <w:rsid w:val="00935E47"/>
    <w:rsid w:val="00940D23"/>
    <w:rsid w:val="0095214B"/>
    <w:rsid w:val="00964BEC"/>
    <w:rsid w:val="0097133D"/>
    <w:rsid w:val="00974CEA"/>
    <w:rsid w:val="0097658A"/>
    <w:rsid w:val="00985E85"/>
    <w:rsid w:val="00992C15"/>
    <w:rsid w:val="00995720"/>
    <w:rsid w:val="00997894"/>
    <w:rsid w:val="009A5763"/>
    <w:rsid w:val="009A7D01"/>
    <w:rsid w:val="009D0F20"/>
    <w:rsid w:val="009D2033"/>
    <w:rsid w:val="009D21AE"/>
    <w:rsid w:val="009D2ECC"/>
    <w:rsid w:val="009D627C"/>
    <w:rsid w:val="009E1B42"/>
    <w:rsid w:val="009E3F9E"/>
    <w:rsid w:val="009E76C3"/>
    <w:rsid w:val="009F1B79"/>
    <w:rsid w:val="00A01823"/>
    <w:rsid w:val="00A01AA7"/>
    <w:rsid w:val="00A07272"/>
    <w:rsid w:val="00A104D6"/>
    <w:rsid w:val="00A111BC"/>
    <w:rsid w:val="00A13236"/>
    <w:rsid w:val="00A20450"/>
    <w:rsid w:val="00A2256F"/>
    <w:rsid w:val="00A328F7"/>
    <w:rsid w:val="00A33A15"/>
    <w:rsid w:val="00A33F64"/>
    <w:rsid w:val="00A35AC9"/>
    <w:rsid w:val="00A37149"/>
    <w:rsid w:val="00A43141"/>
    <w:rsid w:val="00A52B11"/>
    <w:rsid w:val="00A61F71"/>
    <w:rsid w:val="00A64F45"/>
    <w:rsid w:val="00A65C11"/>
    <w:rsid w:val="00A67739"/>
    <w:rsid w:val="00A67BEC"/>
    <w:rsid w:val="00A83EAA"/>
    <w:rsid w:val="00A90A6D"/>
    <w:rsid w:val="00A92BCF"/>
    <w:rsid w:val="00A966D8"/>
    <w:rsid w:val="00AA22F9"/>
    <w:rsid w:val="00AB3350"/>
    <w:rsid w:val="00AB405F"/>
    <w:rsid w:val="00AB68EF"/>
    <w:rsid w:val="00AC1633"/>
    <w:rsid w:val="00AC3440"/>
    <w:rsid w:val="00AE2167"/>
    <w:rsid w:val="00B0186D"/>
    <w:rsid w:val="00B01E1E"/>
    <w:rsid w:val="00B069A9"/>
    <w:rsid w:val="00B06A82"/>
    <w:rsid w:val="00B1028C"/>
    <w:rsid w:val="00B37ECF"/>
    <w:rsid w:val="00B44F4A"/>
    <w:rsid w:val="00B56DB6"/>
    <w:rsid w:val="00B611BA"/>
    <w:rsid w:val="00B61CAF"/>
    <w:rsid w:val="00B67F50"/>
    <w:rsid w:val="00B7499E"/>
    <w:rsid w:val="00B85995"/>
    <w:rsid w:val="00B96A87"/>
    <w:rsid w:val="00BA2102"/>
    <w:rsid w:val="00BA5C79"/>
    <w:rsid w:val="00BA7831"/>
    <w:rsid w:val="00BB40F9"/>
    <w:rsid w:val="00BB48D2"/>
    <w:rsid w:val="00BC01B8"/>
    <w:rsid w:val="00BF08F7"/>
    <w:rsid w:val="00BF38E7"/>
    <w:rsid w:val="00BF5E84"/>
    <w:rsid w:val="00C035CA"/>
    <w:rsid w:val="00C15180"/>
    <w:rsid w:val="00C41C47"/>
    <w:rsid w:val="00C55048"/>
    <w:rsid w:val="00C61408"/>
    <w:rsid w:val="00C64479"/>
    <w:rsid w:val="00C6501D"/>
    <w:rsid w:val="00C7016C"/>
    <w:rsid w:val="00C706D5"/>
    <w:rsid w:val="00C72BC0"/>
    <w:rsid w:val="00C77258"/>
    <w:rsid w:val="00C8358E"/>
    <w:rsid w:val="00C83818"/>
    <w:rsid w:val="00C8749E"/>
    <w:rsid w:val="00C9282C"/>
    <w:rsid w:val="00C9781F"/>
    <w:rsid w:val="00CA18BB"/>
    <w:rsid w:val="00CB1398"/>
    <w:rsid w:val="00CB25B8"/>
    <w:rsid w:val="00CB2FE2"/>
    <w:rsid w:val="00CC0695"/>
    <w:rsid w:val="00CD069F"/>
    <w:rsid w:val="00CD5F95"/>
    <w:rsid w:val="00CE27C5"/>
    <w:rsid w:val="00CF03FF"/>
    <w:rsid w:val="00CF493D"/>
    <w:rsid w:val="00D033AE"/>
    <w:rsid w:val="00D03E38"/>
    <w:rsid w:val="00D113A9"/>
    <w:rsid w:val="00D215B5"/>
    <w:rsid w:val="00D235FA"/>
    <w:rsid w:val="00D339C4"/>
    <w:rsid w:val="00D422FA"/>
    <w:rsid w:val="00D62F07"/>
    <w:rsid w:val="00D726CA"/>
    <w:rsid w:val="00D7599D"/>
    <w:rsid w:val="00D75D3D"/>
    <w:rsid w:val="00D7610E"/>
    <w:rsid w:val="00D774CE"/>
    <w:rsid w:val="00D839B4"/>
    <w:rsid w:val="00D92995"/>
    <w:rsid w:val="00DB0B67"/>
    <w:rsid w:val="00DB1E1C"/>
    <w:rsid w:val="00DB6B30"/>
    <w:rsid w:val="00DB751B"/>
    <w:rsid w:val="00DC06E0"/>
    <w:rsid w:val="00DC3BD9"/>
    <w:rsid w:val="00DC57C1"/>
    <w:rsid w:val="00DD02F1"/>
    <w:rsid w:val="00DD1ADC"/>
    <w:rsid w:val="00DD1CEC"/>
    <w:rsid w:val="00DD2B4D"/>
    <w:rsid w:val="00DD5F94"/>
    <w:rsid w:val="00DD73D4"/>
    <w:rsid w:val="00DE755C"/>
    <w:rsid w:val="00DF04E2"/>
    <w:rsid w:val="00DF3622"/>
    <w:rsid w:val="00E03C1F"/>
    <w:rsid w:val="00E03F1C"/>
    <w:rsid w:val="00E03F4E"/>
    <w:rsid w:val="00E14FF4"/>
    <w:rsid w:val="00E31235"/>
    <w:rsid w:val="00E527B3"/>
    <w:rsid w:val="00E552C8"/>
    <w:rsid w:val="00E5574C"/>
    <w:rsid w:val="00E563FA"/>
    <w:rsid w:val="00E6325A"/>
    <w:rsid w:val="00E649DE"/>
    <w:rsid w:val="00E73311"/>
    <w:rsid w:val="00E76F36"/>
    <w:rsid w:val="00E77F8C"/>
    <w:rsid w:val="00E8216A"/>
    <w:rsid w:val="00E850C5"/>
    <w:rsid w:val="00E9091A"/>
    <w:rsid w:val="00E95569"/>
    <w:rsid w:val="00E97067"/>
    <w:rsid w:val="00E97D87"/>
    <w:rsid w:val="00EA7088"/>
    <w:rsid w:val="00EC50CF"/>
    <w:rsid w:val="00EC5538"/>
    <w:rsid w:val="00EC5E55"/>
    <w:rsid w:val="00EC6105"/>
    <w:rsid w:val="00ED70A6"/>
    <w:rsid w:val="00EE1B27"/>
    <w:rsid w:val="00EF11BD"/>
    <w:rsid w:val="00EF1726"/>
    <w:rsid w:val="00F02645"/>
    <w:rsid w:val="00F050A9"/>
    <w:rsid w:val="00F10D2C"/>
    <w:rsid w:val="00F12B98"/>
    <w:rsid w:val="00F17FF7"/>
    <w:rsid w:val="00F27D0F"/>
    <w:rsid w:val="00F30942"/>
    <w:rsid w:val="00F30E35"/>
    <w:rsid w:val="00F37723"/>
    <w:rsid w:val="00F60A03"/>
    <w:rsid w:val="00F764A1"/>
    <w:rsid w:val="00F77945"/>
    <w:rsid w:val="00F93E35"/>
    <w:rsid w:val="00FA38B5"/>
    <w:rsid w:val="00FA6134"/>
    <w:rsid w:val="00FB15A0"/>
    <w:rsid w:val="00FC5975"/>
    <w:rsid w:val="00FC6DFA"/>
    <w:rsid w:val="00FD2914"/>
    <w:rsid w:val="00FD498C"/>
    <w:rsid w:val="00FE3640"/>
    <w:rsid w:val="00FE3C39"/>
    <w:rsid w:val="00FF7A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6A02"/>
  <w15:docId w15:val="{4E9683D8-670C-4307-B8A1-01C2E664E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8D2"/>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qFormat/>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paragraph" w:styleId="NormalWeb">
    <w:name w:val="Normal (Web)"/>
    <w:basedOn w:val="Normal"/>
    <w:uiPriority w:val="99"/>
    <w:unhideWhenUsed/>
    <w:rsid w:val="005E4FEA"/>
    <w:pPr>
      <w:spacing w:before="100" w:beforeAutospacing="1" w:after="100" w:afterAutospacing="1" w:line="240" w:lineRule="auto"/>
    </w:pPr>
    <w:rPr>
      <w:lang w:eastAsia="en-GB"/>
    </w:rPr>
  </w:style>
  <w:style w:type="character" w:styleId="Emphasis">
    <w:name w:val="Emphasis"/>
    <w:basedOn w:val="DefaultParagraphFont"/>
    <w:uiPriority w:val="20"/>
    <w:qFormat/>
    <w:rsid w:val="005E4FEA"/>
    <w:rPr>
      <w:i/>
      <w:iCs/>
    </w:rPr>
  </w:style>
  <w:style w:type="character" w:customStyle="1" w:styleId="whitespace-normal">
    <w:name w:val="whitespace-normal"/>
    <w:basedOn w:val="DefaultParagraphFont"/>
    <w:rsid w:val="00CF493D"/>
  </w:style>
  <w:style w:type="character" w:styleId="Strong">
    <w:name w:val="Strong"/>
    <w:basedOn w:val="DefaultParagraphFont"/>
    <w:uiPriority w:val="22"/>
    <w:qFormat/>
    <w:rsid w:val="0046015C"/>
    <w:rPr>
      <w:b/>
      <w:bCs/>
    </w:rPr>
  </w:style>
  <w:style w:type="character" w:customStyle="1" w:styleId="apple-converted-space">
    <w:name w:val="apple-converted-space"/>
    <w:basedOn w:val="DefaultParagraphFont"/>
    <w:rsid w:val="0046015C"/>
  </w:style>
  <w:style w:type="character" w:customStyle="1" w:styleId="Heading1Char">
    <w:name w:val="Heading 1 Char"/>
    <w:basedOn w:val="DefaultParagraphFont"/>
    <w:link w:val="Heading1"/>
    <w:uiPriority w:val="9"/>
    <w:rsid w:val="0003709D"/>
    <w:rPr>
      <w:b/>
      <w:sz w:val="48"/>
      <w:szCs w:val="48"/>
    </w:rPr>
  </w:style>
  <w:style w:type="paragraph" w:customStyle="1" w:styleId="isselectedend">
    <w:name w:val="isselectedend"/>
    <w:basedOn w:val="Normal"/>
    <w:rsid w:val="0003709D"/>
    <w:pPr>
      <w:spacing w:before="100" w:beforeAutospacing="1" w:after="100" w:afterAutospacing="1" w:line="240" w:lineRule="auto"/>
    </w:pPr>
    <w:rPr>
      <w:lang w:eastAsia="en-GB"/>
    </w:rPr>
  </w:style>
  <w:style w:type="character" w:styleId="FollowedHyperlink">
    <w:name w:val="FollowedHyperlink"/>
    <w:basedOn w:val="DefaultParagraphFont"/>
    <w:uiPriority w:val="99"/>
    <w:semiHidden/>
    <w:unhideWhenUsed/>
    <w:rsid w:val="0003709D"/>
    <w:rPr>
      <w:color w:val="954F72" w:themeColor="followedHyperlink"/>
      <w:u w:val="single"/>
    </w:rPr>
  </w:style>
  <w:style w:type="character" w:customStyle="1" w:styleId="Heading3Char">
    <w:name w:val="Heading 3 Char"/>
    <w:basedOn w:val="DefaultParagraphFont"/>
    <w:link w:val="Heading3"/>
    <w:uiPriority w:val="9"/>
    <w:semiHidden/>
    <w:rsid w:val="00BB48D2"/>
    <w:rPr>
      <w:b/>
      <w:sz w:val="28"/>
      <w:szCs w:val="28"/>
    </w:rPr>
  </w:style>
  <w:style w:type="character" w:styleId="UnresolvedMention">
    <w:name w:val="Unresolved Mention"/>
    <w:basedOn w:val="DefaultParagraphFont"/>
    <w:uiPriority w:val="99"/>
    <w:semiHidden/>
    <w:unhideWhenUsed/>
    <w:rsid w:val="008C2B1F"/>
    <w:rPr>
      <w:color w:val="605E5C"/>
      <w:shd w:val="clear" w:color="auto" w:fill="E1DFDD"/>
    </w:rPr>
  </w:style>
  <w:style w:type="paragraph" w:customStyle="1" w:styleId="font-claude-response-body">
    <w:name w:val="font-claude-response-body"/>
    <w:basedOn w:val="Normal"/>
    <w:rsid w:val="0023232F"/>
    <w:pPr>
      <w:spacing w:before="100" w:beforeAutospacing="1" w:after="100" w:afterAutospacing="1" w:line="240" w:lineRule="auto"/>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98870/mod_resource/content/1/Reflective%20Practice%20for%20Policing%20Students%20-%20Selina%20Copley%20Chapter5.pdf" TargetMode="External"/><Relationship Id="rId13" Type="http://schemas.openxmlformats.org/officeDocument/2006/relationships/hyperlink" Target="https://www.legislation.gov.uk/ukpga/1965/69" TargetMode="External"/><Relationship Id="rId18" Type="http://schemas.openxmlformats.org/officeDocument/2006/relationships/hyperlink" Target="https://www.legislation.gov.uk/ukpga/1998/4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12" Type="http://schemas.openxmlformats.org/officeDocument/2006/relationships/hyperlink" Target="https://www.college.police.uk/app/investigation/investigative-interviewing/investigative-interviewing" TargetMode="External"/><Relationship Id="rId17" Type="http://schemas.openxmlformats.org/officeDocument/2006/relationships/hyperlink" Target="https://assets.publishing.service.gov.uk/media/5a82d6cd40f0b6230269cfa0/mouncher_report_web_accessible_july_2017.pdf" TargetMode="External"/><Relationship Id="rId2" Type="http://schemas.openxmlformats.org/officeDocument/2006/relationships/numbering" Target="numbering.xml"/><Relationship Id="rId16" Type="http://schemas.openxmlformats.org/officeDocument/2006/relationships/hyperlink" Target="https://hmicfrs.justiceinspectorates.gov.uk/news/news-feed/inspectors-find-widespread-concerns-with-disclosure-practices-across-the-cjs/" TargetMode="External"/><Relationship Id="rId20" Type="http://schemas.openxmlformats.org/officeDocument/2006/relationships/hyperlink" Target="https://digitalcommons.schulichlaw.dal.ca/dlj/vol36/iss2/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llege.police.uk/app/investigation/investigative-interviewing/investigative-interviewing" TargetMode="External"/><Relationship Id="rId5" Type="http://schemas.openxmlformats.org/officeDocument/2006/relationships/webSettings" Target="webSettings.xml"/><Relationship Id="rId15" Type="http://schemas.openxmlformats.org/officeDocument/2006/relationships/hyperlink" Target="https://www.justiceinspectorates.gov.uk/hmicfrs/publications/making-it-fair/" TargetMode="External"/><Relationship Id="rId10" Type="http://schemas.openxmlformats.org/officeDocument/2006/relationships/hyperlink" Target="https://www.gov.uk/government/publications/independent-review-of-disclosure-and-fraud-offences" TargetMode="External"/><Relationship Id="rId19" Type="http://schemas.openxmlformats.org/officeDocument/2006/relationships/hyperlink" Target="https://www.legislation.gov.uk/ukpga/1988/27" TargetMode="External"/><Relationship Id="rId4" Type="http://schemas.openxmlformats.org/officeDocument/2006/relationships/settings" Target="settings.xml"/><Relationship Id="rId9" Type="http://schemas.openxmlformats.org/officeDocument/2006/relationships/hyperlink" Target="https://intranet.uwtsd.ac.uk/sites/intranet/files/2023-10/Harvard%20en_v.1.3%20%28V6%29.pdf" TargetMode="External"/><Relationship Id="rId14" Type="http://schemas.openxmlformats.org/officeDocument/2006/relationships/hyperlink" Target="https://www.bailii.org/uk/cases/UKHL/2006/40.html"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L7d1Hb+5gtIGG9jTWtSzheh1g==">CgMxLjA4AHIhMUFZWklfWDI1d21pNXViSHJrUkFoSUxxRXJ5QmEyblZ1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56</Pages>
  <Words>15558</Words>
  <Characters>102079</Characters>
  <Application>Microsoft Office Word</Application>
  <DocSecurity>0</DocSecurity>
  <Lines>1712</Lines>
  <Paragraphs>439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Andrews</dc:creator>
  <cp:lastModifiedBy>Kate Fraser</cp:lastModifiedBy>
  <cp:revision>61</cp:revision>
  <dcterms:created xsi:type="dcterms:W3CDTF">2026-05-08T15:05:00Z</dcterms:created>
  <dcterms:modified xsi:type="dcterms:W3CDTF">2026-05-08T18:12:00Z</dcterms:modified>
</cp:coreProperties>
</file>