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5ED05" w14:textId="4D951034" w:rsidR="00BB0349" w:rsidRDefault="00BB0349" w:rsidP="00E03085">
      <w:pPr>
        <w:spacing w:line="360" w:lineRule="auto"/>
        <w:rPr>
          <w:rFonts w:ascii="Times New Roman" w:hAnsi="Times New Roman" w:cs="Times New Roman"/>
          <w:b/>
          <w:bCs/>
        </w:rPr>
      </w:pPr>
      <w:r w:rsidRPr="00BB0349">
        <w:rPr>
          <w:rFonts w:ascii="Arial" w:eastAsia="DengXian" w:hAnsi="Aptos" w:cs="Times New Roman"/>
          <w:b/>
          <w:noProof/>
          <w:sz w:val="56"/>
          <w:lang w:eastAsia="zh-CN"/>
        </w:rPr>
        <w:drawing>
          <wp:inline distT="0" distB="0" distL="0" distR="0" wp14:anchorId="6A9B6EE2" wp14:editId="2D1439BC">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93AA63D" w14:textId="77777777" w:rsidR="00BB0349" w:rsidRDefault="00BB0349" w:rsidP="00E03085">
      <w:pPr>
        <w:spacing w:line="360" w:lineRule="auto"/>
        <w:rPr>
          <w:rFonts w:ascii="Times New Roman" w:hAnsi="Times New Roman" w:cs="Times New Roman"/>
          <w:b/>
          <w:bCs/>
        </w:rPr>
      </w:pPr>
    </w:p>
    <w:p w14:paraId="75B25118" w14:textId="0A2F074F" w:rsidR="00BB0349" w:rsidRPr="00BB0349" w:rsidRDefault="00BB0349" w:rsidP="00BB0349">
      <w:pPr>
        <w:spacing w:before="212"/>
        <w:rPr>
          <w:rFonts w:ascii="Arial" w:eastAsia="DengXian" w:hAnsi="Aptos" w:cs="Times New Roman"/>
          <w:b/>
          <w:sz w:val="48"/>
          <w:szCs w:val="48"/>
          <w:lang w:eastAsia="zh-CN"/>
        </w:rPr>
      </w:pPr>
      <w:r w:rsidRPr="00BB0349">
        <w:rPr>
          <w:rFonts w:ascii="Arial" w:eastAsia="DengXian" w:hAnsi="Aptos" w:cs="Times New Roman"/>
          <w:b/>
          <w:sz w:val="48"/>
          <w:szCs w:val="48"/>
          <w:lang w:eastAsia="zh-CN"/>
        </w:rPr>
        <w:t>MODULE CODE:</w:t>
      </w:r>
      <w:r>
        <w:rPr>
          <w:rFonts w:ascii="Arial" w:eastAsia="DengXian" w:hAnsi="Aptos" w:cs="Times New Roman"/>
          <w:b/>
          <w:sz w:val="48"/>
          <w:szCs w:val="48"/>
          <w:lang w:eastAsia="zh-CN"/>
        </w:rPr>
        <w:t xml:space="preserve"> </w:t>
      </w:r>
      <w:r w:rsidRPr="00BB0349">
        <w:rPr>
          <w:rFonts w:ascii="Arial" w:eastAsia="DengXian" w:hAnsi="Aptos" w:cs="Times New Roman"/>
          <w:bCs/>
          <w:i/>
          <w:iCs/>
          <w:sz w:val="48"/>
          <w:szCs w:val="48"/>
          <w:lang w:eastAsia="zh-CN"/>
        </w:rPr>
        <w:t>ECDE7002</w:t>
      </w:r>
    </w:p>
    <w:p w14:paraId="54DDFDE7" w14:textId="77777777" w:rsidR="00BB0349" w:rsidRPr="00BB0349" w:rsidRDefault="00BB0349" w:rsidP="00BB0349">
      <w:pPr>
        <w:spacing w:before="212"/>
        <w:rPr>
          <w:rFonts w:ascii="Arial" w:eastAsia="DengXian" w:hAnsi="Aptos" w:cs="Times New Roman"/>
          <w:b/>
          <w:sz w:val="48"/>
          <w:szCs w:val="48"/>
          <w:lang w:eastAsia="zh-CN"/>
        </w:rPr>
      </w:pPr>
    </w:p>
    <w:p w14:paraId="03986AE8" w14:textId="73AF33C9" w:rsidR="00BB0349" w:rsidRPr="00BB0349" w:rsidRDefault="00BB0349" w:rsidP="00BB0349">
      <w:pPr>
        <w:spacing w:before="212"/>
        <w:rPr>
          <w:rFonts w:ascii="Arial" w:eastAsia="DengXian" w:hAnsi="Aptos" w:cs="Times New Roman"/>
          <w:bCs/>
          <w:sz w:val="48"/>
          <w:szCs w:val="48"/>
          <w:lang w:eastAsia="zh-CN"/>
        </w:rPr>
      </w:pPr>
      <w:r w:rsidRPr="00BB0349">
        <w:rPr>
          <w:rFonts w:ascii="Arial" w:eastAsia="DengXian" w:hAnsi="Aptos" w:cs="Times New Roman"/>
          <w:b/>
          <w:sz w:val="48"/>
          <w:szCs w:val="48"/>
          <w:lang w:eastAsia="zh-CN"/>
        </w:rPr>
        <w:t>ASSESSMENT COMPONENT:</w:t>
      </w:r>
      <w:r w:rsidRPr="00BB0349">
        <w:t xml:space="preserve"> </w:t>
      </w:r>
      <w:r w:rsidRPr="00BB0349">
        <w:rPr>
          <w:rFonts w:ascii="Arial" w:eastAsia="DengXian" w:hAnsi="Aptos" w:cs="Times New Roman"/>
          <w:bCs/>
          <w:sz w:val="48"/>
          <w:szCs w:val="48"/>
          <w:lang w:eastAsia="zh-CN"/>
        </w:rPr>
        <w:t>Component 1</w:t>
      </w:r>
    </w:p>
    <w:p w14:paraId="63626E3E" w14:textId="0949EA53" w:rsidR="00BB0349" w:rsidRDefault="00BB0349" w:rsidP="00BB0349">
      <w:pPr>
        <w:spacing w:before="212"/>
        <w:rPr>
          <w:rFonts w:ascii="Arial" w:eastAsia="DengXian" w:hAnsi="Aptos" w:cs="Times New Roman"/>
          <w:bCs/>
          <w:sz w:val="48"/>
          <w:szCs w:val="48"/>
          <w:lang w:eastAsia="zh-CN"/>
        </w:rPr>
      </w:pPr>
      <w:r w:rsidRPr="00BB0349">
        <w:rPr>
          <w:rFonts w:ascii="Arial" w:eastAsia="DengXian" w:hAnsi="Aptos" w:cs="Times New Roman"/>
          <w:bCs/>
          <w:sz w:val="48"/>
          <w:szCs w:val="48"/>
          <w:lang w:eastAsia="zh-CN"/>
        </w:rPr>
        <w:t>Written assignment</w:t>
      </w:r>
    </w:p>
    <w:p w14:paraId="71466C9D" w14:textId="59A9B20E" w:rsidR="008F4614" w:rsidRPr="008F4614" w:rsidRDefault="008F4614" w:rsidP="00BB0349">
      <w:pPr>
        <w:spacing w:before="212"/>
        <w:rPr>
          <w:rFonts w:ascii="Times New Roman" w:eastAsia="DengXian" w:hAnsi="Times New Roman" w:cs="Times New Roman"/>
          <w:b/>
          <w:i/>
          <w:iCs/>
          <w:sz w:val="48"/>
          <w:szCs w:val="48"/>
          <w:lang w:eastAsia="zh-CN"/>
        </w:rPr>
      </w:pPr>
      <w:r w:rsidRPr="008F4614">
        <w:rPr>
          <w:rFonts w:ascii="Times New Roman" w:eastAsia="DengXian" w:hAnsi="Times New Roman" w:cs="Times New Roman"/>
          <w:b/>
          <w:i/>
          <w:iCs/>
          <w:sz w:val="48"/>
          <w:szCs w:val="48"/>
          <w:lang w:eastAsia="zh-CN"/>
        </w:rPr>
        <w:t>Systems of Support or Sources of Distress? Monitoring, Accountability and Student Well-being in Further Education</w:t>
      </w:r>
      <w:r>
        <w:rPr>
          <w:rFonts w:ascii="Times New Roman" w:eastAsia="DengXian" w:hAnsi="Times New Roman" w:cs="Times New Roman"/>
          <w:b/>
          <w:i/>
          <w:iCs/>
          <w:sz w:val="48"/>
          <w:szCs w:val="48"/>
          <w:lang w:eastAsia="zh-CN"/>
        </w:rPr>
        <w:t xml:space="preserve">. </w:t>
      </w:r>
    </w:p>
    <w:p w14:paraId="522C2CDE" w14:textId="77777777" w:rsidR="00BB0349" w:rsidRPr="00BB0349" w:rsidRDefault="00BB0349" w:rsidP="00BB0349">
      <w:pPr>
        <w:spacing w:before="7"/>
        <w:jc w:val="center"/>
        <w:rPr>
          <w:rFonts w:ascii="Arial" w:eastAsia="DengXian" w:hAnsi="Aptos" w:cs="Times New Roman"/>
          <w:b/>
          <w:sz w:val="44"/>
          <w:lang w:eastAsia="zh-CN"/>
        </w:rPr>
      </w:pPr>
    </w:p>
    <w:p w14:paraId="03C23384" w14:textId="0FCA57E8" w:rsidR="00BB0349" w:rsidRPr="00BB0349" w:rsidRDefault="00BB0349" w:rsidP="00BB0349">
      <w:pPr>
        <w:spacing w:before="3"/>
        <w:rPr>
          <w:rFonts w:ascii="Arial" w:eastAsia="DengXian" w:hAnsi="Aptos" w:cs="Times New Roman"/>
          <w:b/>
          <w:sz w:val="48"/>
          <w:szCs w:val="48"/>
          <w:lang w:eastAsia="zh-CN"/>
        </w:rPr>
      </w:pPr>
      <w:r w:rsidRPr="00BB0349">
        <w:rPr>
          <w:rFonts w:ascii="Arial" w:eastAsia="DengXian" w:hAnsi="Aptos" w:cs="Times New Roman"/>
          <w:b/>
          <w:sz w:val="48"/>
          <w:szCs w:val="48"/>
          <w:lang w:eastAsia="zh-CN"/>
        </w:rPr>
        <w:t>STUDENT NAME:</w:t>
      </w:r>
      <w:r>
        <w:rPr>
          <w:rFonts w:ascii="Arial" w:eastAsia="DengXian" w:hAnsi="Aptos" w:cs="Times New Roman"/>
          <w:b/>
          <w:sz w:val="48"/>
          <w:szCs w:val="48"/>
          <w:lang w:eastAsia="zh-CN"/>
        </w:rPr>
        <w:t xml:space="preserve"> Sarah Rees</w:t>
      </w:r>
    </w:p>
    <w:p w14:paraId="4C3F13E3" w14:textId="77777777" w:rsidR="00BB0349" w:rsidRPr="00BB0349" w:rsidRDefault="00BB0349" w:rsidP="00BB0349">
      <w:pPr>
        <w:spacing w:before="3"/>
        <w:rPr>
          <w:rFonts w:ascii="Arial" w:eastAsia="DengXian" w:hAnsi="Aptos" w:cs="Times New Roman"/>
          <w:b/>
          <w:sz w:val="48"/>
          <w:szCs w:val="48"/>
          <w:lang w:eastAsia="zh-CN"/>
        </w:rPr>
      </w:pPr>
    </w:p>
    <w:p w14:paraId="2AEAC980" w14:textId="27366875" w:rsidR="00BB0349" w:rsidRPr="00BB0349" w:rsidRDefault="00BB0349" w:rsidP="00BB0349">
      <w:pPr>
        <w:spacing w:before="3"/>
        <w:rPr>
          <w:rFonts w:ascii="Arial" w:eastAsia="DengXian" w:hAnsi="Aptos" w:cs="Times New Roman"/>
          <w:b/>
          <w:sz w:val="48"/>
          <w:szCs w:val="48"/>
          <w:lang w:eastAsia="zh-CN"/>
        </w:rPr>
      </w:pPr>
      <w:r w:rsidRPr="00BB0349">
        <w:rPr>
          <w:rFonts w:ascii="Arial" w:eastAsia="DengXian" w:hAnsi="Aptos" w:cs="Times New Roman"/>
          <w:b/>
          <w:sz w:val="48"/>
          <w:szCs w:val="48"/>
          <w:lang w:eastAsia="zh-CN"/>
        </w:rPr>
        <w:t>STUDENT NUMBER:</w:t>
      </w:r>
      <w:r>
        <w:rPr>
          <w:rFonts w:ascii="Arial" w:eastAsia="DengXian" w:hAnsi="Aptos" w:cs="Times New Roman"/>
          <w:b/>
          <w:sz w:val="48"/>
          <w:szCs w:val="48"/>
          <w:lang w:eastAsia="zh-CN"/>
        </w:rPr>
        <w:t>1151007</w:t>
      </w:r>
      <w:r w:rsidR="003C66E9">
        <w:rPr>
          <w:rFonts w:ascii="Arial" w:eastAsia="DengXian" w:hAnsi="Aptos" w:cs="Times New Roman"/>
          <w:b/>
          <w:sz w:val="48"/>
          <w:szCs w:val="48"/>
          <w:lang w:eastAsia="zh-CN"/>
        </w:rPr>
        <w:t xml:space="preserve"> ALN</w:t>
      </w:r>
    </w:p>
    <w:p w14:paraId="2A0C5EA5" w14:textId="77777777" w:rsidR="00BB0349" w:rsidRDefault="00BB0349" w:rsidP="00E03085">
      <w:pPr>
        <w:spacing w:line="360" w:lineRule="auto"/>
        <w:rPr>
          <w:rFonts w:ascii="Times New Roman" w:hAnsi="Times New Roman" w:cs="Times New Roman"/>
          <w:b/>
          <w:bCs/>
        </w:rPr>
      </w:pPr>
    </w:p>
    <w:p w14:paraId="50F03426" w14:textId="62DEDDAD" w:rsidR="00BB0349" w:rsidRDefault="00BB0349" w:rsidP="00E03085">
      <w:pPr>
        <w:spacing w:line="360" w:lineRule="auto"/>
        <w:rPr>
          <w:rFonts w:ascii="Times New Roman" w:hAnsi="Times New Roman" w:cs="Times New Roman"/>
          <w:b/>
          <w:bCs/>
        </w:rPr>
      </w:pPr>
      <w:r w:rsidRPr="00BB0349">
        <w:rPr>
          <w:noProof/>
        </w:rPr>
        <w:drawing>
          <wp:inline distT="0" distB="0" distL="0" distR="0" wp14:anchorId="4B4C2356" wp14:editId="5295C4C0">
            <wp:extent cx="5731510" cy="498475"/>
            <wp:effectExtent l="0" t="0" r="0" b="0"/>
            <wp:docPr id="1835281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98475"/>
                    </a:xfrm>
                    <a:prstGeom prst="rect">
                      <a:avLst/>
                    </a:prstGeom>
                    <a:noFill/>
                    <a:ln>
                      <a:noFill/>
                    </a:ln>
                  </pic:spPr>
                </pic:pic>
              </a:graphicData>
            </a:graphic>
          </wp:inline>
        </w:drawing>
      </w:r>
    </w:p>
    <w:p w14:paraId="569A04C2" w14:textId="77777777" w:rsidR="00290D11" w:rsidRPr="00976FAC" w:rsidRDefault="00290D11" w:rsidP="00290D11">
      <w:pPr>
        <w:spacing w:line="360" w:lineRule="auto"/>
        <w:rPr>
          <w:rFonts w:ascii="Times New Roman" w:hAnsi="Times New Roman" w:cs="Times New Roman"/>
          <w:b/>
          <w:bCs/>
        </w:rPr>
      </w:pPr>
      <w:r w:rsidRPr="00976FAC">
        <w:rPr>
          <w:rFonts w:ascii="Times New Roman" w:hAnsi="Times New Roman" w:cs="Times New Roman"/>
          <w:b/>
          <w:bCs/>
        </w:rPr>
        <w:lastRenderedPageBreak/>
        <w:t>AI Acknowledgement</w:t>
      </w:r>
    </w:p>
    <w:p w14:paraId="6DB5724C" w14:textId="77777777" w:rsidR="00290D11" w:rsidRPr="00976FAC" w:rsidRDefault="00290D11" w:rsidP="00290D11">
      <w:pPr>
        <w:spacing w:line="360" w:lineRule="auto"/>
        <w:rPr>
          <w:rFonts w:ascii="Times New Roman" w:hAnsi="Times New Roman" w:cs="Times New Roman"/>
          <w:b/>
          <w:bCs/>
        </w:rPr>
      </w:pPr>
    </w:p>
    <w:p w14:paraId="64EEB60F" w14:textId="77777777" w:rsidR="00290D11" w:rsidRPr="00976FAC" w:rsidRDefault="00290D11" w:rsidP="00290D11">
      <w:pPr>
        <w:spacing w:line="360" w:lineRule="auto"/>
        <w:rPr>
          <w:rFonts w:ascii="Times New Roman" w:hAnsi="Times New Roman" w:cs="Times New Roman"/>
          <w:b/>
          <w:bCs/>
        </w:rPr>
      </w:pPr>
      <w:r w:rsidRPr="00976FAC">
        <w:rPr>
          <w:rFonts w:ascii="Times New Roman" w:hAnsi="Times New Roman" w:cs="Times New Roman"/>
          <w:b/>
          <w:bCs/>
        </w:rPr>
        <w:t xml:space="preserve">I confirm that I have not used any AI tools in the research and creation of this assignment. </w:t>
      </w:r>
    </w:p>
    <w:sdt>
      <w:sdtPr>
        <w:rPr>
          <w:rFonts w:asciiTheme="minorHAnsi" w:eastAsiaTheme="minorHAnsi" w:hAnsiTheme="minorHAnsi" w:cstheme="minorBidi"/>
          <w:color w:val="auto"/>
          <w:kern w:val="2"/>
          <w:sz w:val="24"/>
          <w:szCs w:val="24"/>
          <w:lang w:val="en-GB"/>
          <w14:ligatures w14:val="standardContextual"/>
        </w:rPr>
        <w:id w:val="-1819178089"/>
        <w:docPartObj>
          <w:docPartGallery w:val="Table of Contents"/>
          <w:docPartUnique/>
        </w:docPartObj>
      </w:sdtPr>
      <w:sdtEndPr>
        <w:rPr>
          <w:b/>
          <w:bCs/>
          <w:noProof/>
        </w:rPr>
      </w:sdtEndPr>
      <w:sdtContent>
        <w:p w14:paraId="7EAA2DAB" w14:textId="61F1C971" w:rsidR="0026131F" w:rsidRDefault="0026131F">
          <w:pPr>
            <w:pStyle w:val="TOCHeading"/>
          </w:pPr>
          <w:r>
            <w:t>Contents</w:t>
          </w:r>
        </w:p>
        <w:p w14:paraId="75B65C13" w14:textId="0BA94750" w:rsidR="00A359A4" w:rsidRDefault="0026131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154886" w:history="1">
            <w:r w:rsidR="00A359A4" w:rsidRPr="00F03D54">
              <w:rPr>
                <w:rStyle w:val="Hyperlink"/>
                <w:rFonts w:ascii="Times New Roman" w:hAnsi="Times New Roman" w:cs="Times New Roman"/>
                <w:noProof/>
              </w:rPr>
              <w:t>Introduction</w:t>
            </w:r>
            <w:r w:rsidR="00A359A4">
              <w:rPr>
                <w:noProof/>
                <w:webHidden/>
              </w:rPr>
              <w:tab/>
            </w:r>
            <w:r w:rsidR="00A359A4">
              <w:rPr>
                <w:noProof/>
                <w:webHidden/>
              </w:rPr>
              <w:fldChar w:fldCharType="begin"/>
            </w:r>
            <w:r w:rsidR="00A359A4">
              <w:rPr>
                <w:noProof/>
                <w:webHidden/>
              </w:rPr>
              <w:instrText xml:space="preserve"> PAGEREF _Toc227154886 \h </w:instrText>
            </w:r>
            <w:r w:rsidR="00A359A4">
              <w:rPr>
                <w:noProof/>
                <w:webHidden/>
              </w:rPr>
            </w:r>
            <w:r w:rsidR="00A359A4">
              <w:rPr>
                <w:noProof/>
                <w:webHidden/>
              </w:rPr>
              <w:fldChar w:fldCharType="separate"/>
            </w:r>
            <w:r w:rsidR="00290D11">
              <w:rPr>
                <w:noProof/>
                <w:webHidden/>
              </w:rPr>
              <w:t>2</w:t>
            </w:r>
            <w:r w:rsidR="00A359A4">
              <w:rPr>
                <w:noProof/>
                <w:webHidden/>
              </w:rPr>
              <w:fldChar w:fldCharType="end"/>
            </w:r>
          </w:hyperlink>
        </w:p>
        <w:p w14:paraId="6FF737EA" w14:textId="35C9E31C" w:rsidR="00A359A4" w:rsidRDefault="00A359A4">
          <w:pPr>
            <w:pStyle w:val="TOC2"/>
            <w:tabs>
              <w:tab w:val="right" w:leader="dot" w:pos="9016"/>
            </w:tabs>
            <w:rPr>
              <w:rFonts w:eastAsiaTheme="minorEastAsia"/>
              <w:noProof/>
              <w:lang w:eastAsia="en-GB"/>
            </w:rPr>
          </w:pPr>
          <w:hyperlink w:anchor="_Toc227154887" w:history="1">
            <w:r w:rsidRPr="00F03D54">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_Toc227154887 \h </w:instrText>
            </w:r>
            <w:r>
              <w:rPr>
                <w:noProof/>
                <w:webHidden/>
              </w:rPr>
            </w:r>
            <w:r>
              <w:rPr>
                <w:noProof/>
                <w:webHidden/>
              </w:rPr>
              <w:fldChar w:fldCharType="separate"/>
            </w:r>
            <w:r w:rsidR="00290D11">
              <w:rPr>
                <w:noProof/>
                <w:webHidden/>
              </w:rPr>
              <w:t>3</w:t>
            </w:r>
            <w:r>
              <w:rPr>
                <w:noProof/>
                <w:webHidden/>
              </w:rPr>
              <w:fldChar w:fldCharType="end"/>
            </w:r>
          </w:hyperlink>
        </w:p>
        <w:p w14:paraId="7A290550" w14:textId="1C4C2556" w:rsidR="00A359A4" w:rsidRDefault="00A359A4">
          <w:pPr>
            <w:pStyle w:val="TOC2"/>
            <w:tabs>
              <w:tab w:val="right" w:leader="dot" w:pos="9016"/>
            </w:tabs>
            <w:rPr>
              <w:rFonts w:eastAsiaTheme="minorEastAsia"/>
              <w:noProof/>
              <w:lang w:eastAsia="en-GB"/>
            </w:rPr>
          </w:pPr>
          <w:hyperlink w:anchor="_Toc227154888" w:history="1">
            <w:r w:rsidRPr="00F03D54">
              <w:rPr>
                <w:rStyle w:val="Hyperlink"/>
                <w:rFonts w:ascii="Times New Roman" w:hAnsi="Times New Roman" w:cs="Times New Roman"/>
                <w:noProof/>
              </w:rPr>
              <w:t>Theoretical Framework / Methodology</w:t>
            </w:r>
            <w:r>
              <w:rPr>
                <w:noProof/>
                <w:webHidden/>
              </w:rPr>
              <w:tab/>
            </w:r>
            <w:r>
              <w:rPr>
                <w:noProof/>
                <w:webHidden/>
              </w:rPr>
              <w:fldChar w:fldCharType="begin"/>
            </w:r>
            <w:r>
              <w:rPr>
                <w:noProof/>
                <w:webHidden/>
              </w:rPr>
              <w:instrText xml:space="preserve"> PAGEREF _Toc227154888 \h </w:instrText>
            </w:r>
            <w:r>
              <w:rPr>
                <w:noProof/>
                <w:webHidden/>
              </w:rPr>
            </w:r>
            <w:r>
              <w:rPr>
                <w:noProof/>
                <w:webHidden/>
              </w:rPr>
              <w:fldChar w:fldCharType="separate"/>
            </w:r>
            <w:r w:rsidR="00290D11">
              <w:rPr>
                <w:noProof/>
                <w:webHidden/>
              </w:rPr>
              <w:t>6</w:t>
            </w:r>
            <w:r>
              <w:rPr>
                <w:noProof/>
                <w:webHidden/>
              </w:rPr>
              <w:fldChar w:fldCharType="end"/>
            </w:r>
          </w:hyperlink>
        </w:p>
        <w:p w14:paraId="12BDD144" w14:textId="4975F3A7" w:rsidR="00A359A4" w:rsidRDefault="00A359A4">
          <w:pPr>
            <w:pStyle w:val="TOC2"/>
            <w:tabs>
              <w:tab w:val="right" w:leader="dot" w:pos="9016"/>
            </w:tabs>
            <w:rPr>
              <w:rFonts w:eastAsiaTheme="minorEastAsia"/>
              <w:noProof/>
              <w:lang w:eastAsia="en-GB"/>
            </w:rPr>
          </w:pPr>
          <w:hyperlink w:anchor="_Toc227154889" w:history="1">
            <w:r w:rsidRPr="00F03D54">
              <w:rPr>
                <w:rStyle w:val="Hyperlink"/>
                <w:rFonts w:ascii="Times New Roman" w:hAnsi="Times New Roman" w:cs="Times New Roman"/>
                <w:noProof/>
              </w:rPr>
              <w:t>Research Methods / Tools</w:t>
            </w:r>
            <w:r>
              <w:rPr>
                <w:noProof/>
                <w:webHidden/>
              </w:rPr>
              <w:tab/>
            </w:r>
            <w:r>
              <w:rPr>
                <w:noProof/>
                <w:webHidden/>
              </w:rPr>
              <w:fldChar w:fldCharType="begin"/>
            </w:r>
            <w:r>
              <w:rPr>
                <w:noProof/>
                <w:webHidden/>
              </w:rPr>
              <w:instrText xml:space="preserve"> PAGEREF _Toc227154889 \h </w:instrText>
            </w:r>
            <w:r>
              <w:rPr>
                <w:noProof/>
                <w:webHidden/>
              </w:rPr>
            </w:r>
            <w:r>
              <w:rPr>
                <w:noProof/>
                <w:webHidden/>
              </w:rPr>
              <w:fldChar w:fldCharType="separate"/>
            </w:r>
            <w:r w:rsidR="00290D11">
              <w:rPr>
                <w:noProof/>
                <w:webHidden/>
              </w:rPr>
              <w:t>8</w:t>
            </w:r>
            <w:r>
              <w:rPr>
                <w:noProof/>
                <w:webHidden/>
              </w:rPr>
              <w:fldChar w:fldCharType="end"/>
            </w:r>
          </w:hyperlink>
        </w:p>
        <w:p w14:paraId="1711D348" w14:textId="28981BB5" w:rsidR="00A359A4" w:rsidRDefault="00A359A4">
          <w:pPr>
            <w:pStyle w:val="TOC2"/>
            <w:tabs>
              <w:tab w:val="right" w:leader="dot" w:pos="9016"/>
            </w:tabs>
            <w:rPr>
              <w:rFonts w:eastAsiaTheme="minorEastAsia"/>
              <w:noProof/>
              <w:lang w:eastAsia="en-GB"/>
            </w:rPr>
          </w:pPr>
          <w:hyperlink w:anchor="_Toc227154890" w:history="1">
            <w:r w:rsidRPr="00F03D54">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_Toc227154890 \h </w:instrText>
            </w:r>
            <w:r>
              <w:rPr>
                <w:noProof/>
                <w:webHidden/>
              </w:rPr>
            </w:r>
            <w:r>
              <w:rPr>
                <w:noProof/>
                <w:webHidden/>
              </w:rPr>
              <w:fldChar w:fldCharType="separate"/>
            </w:r>
            <w:r w:rsidR="00290D11">
              <w:rPr>
                <w:noProof/>
                <w:webHidden/>
              </w:rPr>
              <w:t>10</w:t>
            </w:r>
            <w:r>
              <w:rPr>
                <w:noProof/>
                <w:webHidden/>
              </w:rPr>
              <w:fldChar w:fldCharType="end"/>
            </w:r>
          </w:hyperlink>
        </w:p>
        <w:p w14:paraId="21E31FC4" w14:textId="3582DD58" w:rsidR="00A359A4" w:rsidRDefault="00A359A4">
          <w:pPr>
            <w:pStyle w:val="TOC2"/>
            <w:tabs>
              <w:tab w:val="right" w:leader="dot" w:pos="9016"/>
            </w:tabs>
            <w:rPr>
              <w:rFonts w:eastAsiaTheme="minorEastAsia"/>
              <w:noProof/>
              <w:lang w:eastAsia="en-GB"/>
            </w:rPr>
          </w:pPr>
          <w:hyperlink w:anchor="_Toc227154891" w:history="1">
            <w:r w:rsidRPr="00F03D54">
              <w:rPr>
                <w:rStyle w:val="Hyperlink"/>
                <w:rFonts w:ascii="Times New Roman" w:hAnsi="Times New Roman" w:cs="Times New Roman"/>
                <w:noProof/>
              </w:rPr>
              <w:t>Research Question 1 (RQ1)</w:t>
            </w:r>
            <w:r>
              <w:rPr>
                <w:noProof/>
                <w:webHidden/>
              </w:rPr>
              <w:tab/>
            </w:r>
            <w:r>
              <w:rPr>
                <w:noProof/>
                <w:webHidden/>
              </w:rPr>
              <w:fldChar w:fldCharType="begin"/>
            </w:r>
            <w:r>
              <w:rPr>
                <w:noProof/>
                <w:webHidden/>
              </w:rPr>
              <w:instrText xml:space="preserve"> PAGEREF _Toc227154891 \h </w:instrText>
            </w:r>
            <w:r>
              <w:rPr>
                <w:noProof/>
                <w:webHidden/>
              </w:rPr>
            </w:r>
            <w:r>
              <w:rPr>
                <w:noProof/>
                <w:webHidden/>
              </w:rPr>
              <w:fldChar w:fldCharType="separate"/>
            </w:r>
            <w:r w:rsidR="00290D11">
              <w:rPr>
                <w:noProof/>
                <w:webHidden/>
              </w:rPr>
              <w:t>10</w:t>
            </w:r>
            <w:r>
              <w:rPr>
                <w:noProof/>
                <w:webHidden/>
              </w:rPr>
              <w:fldChar w:fldCharType="end"/>
            </w:r>
          </w:hyperlink>
        </w:p>
        <w:p w14:paraId="214654EF" w14:textId="52B7B9B3" w:rsidR="00A359A4" w:rsidRDefault="00A359A4">
          <w:pPr>
            <w:pStyle w:val="TOC2"/>
            <w:tabs>
              <w:tab w:val="right" w:leader="dot" w:pos="9016"/>
            </w:tabs>
            <w:rPr>
              <w:rFonts w:eastAsiaTheme="minorEastAsia"/>
              <w:noProof/>
              <w:lang w:eastAsia="en-GB"/>
            </w:rPr>
          </w:pPr>
          <w:hyperlink w:anchor="_Toc227154892" w:history="1">
            <w:r w:rsidRPr="00F03D54">
              <w:rPr>
                <w:rStyle w:val="Hyperlink"/>
                <w:rFonts w:ascii="Times New Roman" w:hAnsi="Times New Roman" w:cs="Times New Roman"/>
                <w:noProof/>
              </w:rPr>
              <w:t>Research Question 2 (RQ2)</w:t>
            </w:r>
            <w:r>
              <w:rPr>
                <w:noProof/>
                <w:webHidden/>
              </w:rPr>
              <w:tab/>
            </w:r>
            <w:r>
              <w:rPr>
                <w:noProof/>
                <w:webHidden/>
              </w:rPr>
              <w:fldChar w:fldCharType="begin"/>
            </w:r>
            <w:r>
              <w:rPr>
                <w:noProof/>
                <w:webHidden/>
              </w:rPr>
              <w:instrText xml:space="preserve"> PAGEREF _Toc227154892 \h </w:instrText>
            </w:r>
            <w:r>
              <w:rPr>
                <w:noProof/>
                <w:webHidden/>
              </w:rPr>
            </w:r>
            <w:r>
              <w:rPr>
                <w:noProof/>
                <w:webHidden/>
              </w:rPr>
              <w:fldChar w:fldCharType="separate"/>
            </w:r>
            <w:r w:rsidR="00290D11">
              <w:rPr>
                <w:noProof/>
                <w:webHidden/>
              </w:rPr>
              <w:t>11</w:t>
            </w:r>
            <w:r>
              <w:rPr>
                <w:noProof/>
                <w:webHidden/>
              </w:rPr>
              <w:fldChar w:fldCharType="end"/>
            </w:r>
          </w:hyperlink>
        </w:p>
        <w:p w14:paraId="2235072E" w14:textId="7C812A73" w:rsidR="00A359A4" w:rsidRDefault="00A359A4">
          <w:pPr>
            <w:pStyle w:val="TOC2"/>
            <w:tabs>
              <w:tab w:val="right" w:leader="dot" w:pos="9016"/>
            </w:tabs>
            <w:rPr>
              <w:rFonts w:eastAsiaTheme="minorEastAsia"/>
              <w:noProof/>
              <w:lang w:eastAsia="en-GB"/>
            </w:rPr>
          </w:pPr>
          <w:hyperlink w:anchor="_Toc227154893" w:history="1">
            <w:r w:rsidRPr="00F03D54">
              <w:rPr>
                <w:rStyle w:val="Hyperlink"/>
                <w:rFonts w:ascii="Times New Roman" w:hAnsi="Times New Roman" w:cs="Times New Roman"/>
                <w:noProof/>
              </w:rPr>
              <w:t>Research Question 3 (RQ3)</w:t>
            </w:r>
            <w:r>
              <w:rPr>
                <w:noProof/>
                <w:webHidden/>
              </w:rPr>
              <w:tab/>
            </w:r>
            <w:r>
              <w:rPr>
                <w:noProof/>
                <w:webHidden/>
              </w:rPr>
              <w:fldChar w:fldCharType="begin"/>
            </w:r>
            <w:r>
              <w:rPr>
                <w:noProof/>
                <w:webHidden/>
              </w:rPr>
              <w:instrText xml:space="preserve"> PAGEREF _Toc227154893 \h </w:instrText>
            </w:r>
            <w:r>
              <w:rPr>
                <w:noProof/>
                <w:webHidden/>
              </w:rPr>
            </w:r>
            <w:r>
              <w:rPr>
                <w:noProof/>
                <w:webHidden/>
              </w:rPr>
              <w:fldChar w:fldCharType="separate"/>
            </w:r>
            <w:r w:rsidR="00290D11">
              <w:rPr>
                <w:noProof/>
                <w:webHidden/>
              </w:rPr>
              <w:t>12</w:t>
            </w:r>
            <w:r>
              <w:rPr>
                <w:noProof/>
                <w:webHidden/>
              </w:rPr>
              <w:fldChar w:fldCharType="end"/>
            </w:r>
          </w:hyperlink>
        </w:p>
        <w:p w14:paraId="67612595" w14:textId="65A0D4D3" w:rsidR="00A359A4" w:rsidRDefault="00A359A4">
          <w:pPr>
            <w:pStyle w:val="TOC2"/>
            <w:tabs>
              <w:tab w:val="right" w:leader="dot" w:pos="9016"/>
            </w:tabs>
            <w:rPr>
              <w:rFonts w:eastAsiaTheme="minorEastAsia"/>
              <w:noProof/>
              <w:lang w:eastAsia="en-GB"/>
            </w:rPr>
          </w:pPr>
          <w:hyperlink w:anchor="_Toc227154894" w:history="1">
            <w:r w:rsidRPr="00F03D5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_Toc227154894 \h </w:instrText>
            </w:r>
            <w:r>
              <w:rPr>
                <w:noProof/>
                <w:webHidden/>
              </w:rPr>
            </w:r>
            <w:r>
              <w:rPr>
                <w:noProof/>
                <w:webHidden/>
              </w:rPr>
              <w:fldChar w:fldCharType="separate"/>
            </w:r>
            <w:r w:rsidR="00290D11">
              <w:rPr>
                <w:noProof/>
                <w:webHidden/>
              </w:rPr>
              <w:t>13</w:t>
            </w:r>
            <w:r>
              <w:rPr>
                <w:noProof/>
                <w:webHidden/>
              </w:rPr>
              <w:fldChar w:fldCharType="end"/>
            </w:r>
          </w:hyperlink>
        </w:p>
        <w:p w14:paraId="14EBB5F9" w14:textId="4B48CF43" w:rsidR="00A359A4" w:rsidRDefault="00A359A4">
          <w:pPr>
            <w:pStyle w:val="TOC2"/>
            <w:tabs>
              <w:tab w:val="right" w:leader="dot" w:pos="9016"/>
            </w:tabs>
            <w:rPr>
              <w:rFonts w:eastAsiaTheme="minorEastAsia"/>
              <w:noProof/>
              <w:lang w:eastAsia="en-GB"/>
            </w:rPr>
          </w:pPr>
          <w:hyperlink w:anchor="_Toc227154895" w:history="1">
            <w:r w:rsidRPr="00F03D54">
              <w:rPr>
                <w:rStyle w:val="Hyperlink"/>
                <w:noProof/>
              </w:rPr>
              <w:t>References</w:t>
            </w:r>
            <w:r>
              <w:rPr>
                <w:noProof/>
                <w:webHidden/>
              </w:rPr>
              <w:tab/>
            </w:r>
            <w:r>
              <w:rPr>
                <w:noProof/>
                <w:webHidden/>
              </w:rPr>
              <w:fldChar w:fldCharType="begin"/>
            </w:r>
            <w:r>
              <w:rPr>
                <w:noProof/>
                <w:webHidden/>
              </w:rPr>
              <w:instrText xml:space="preserve"> PAGEREF _Toc227154895 \h </w:instrText>
            </w:r>
            <w:r>
              <w:rPr>
                <w:noProof/>
                <w:webHidden/>
              </w:rPr>
            </w:r>
            <w:r>
              <w:rPr>
                <w:noProof/>
                <w:webHidden/>
              </w:rPr>
              <w:fldChar w:fldCharType="separate"/>
            </w:r>
            <w:r w:rsidR="00290D11">
              <w:rPr>
                <w:noProof/>
                <w:webHidden/>
              </w:rPr>
              <w:t>13</w:t>
            </w:r>
            <w:r>
              <w:rPr>
                <w:noProof/>
                <w:webHidden/>
              </w:rPr>
              <w:fldChar w:fldCharType="end"/>
            </w:r>
          </w:hyperlink>
        </w:p>
        <w:p w14:paraId="61A6EE88" w14:textId="31B0DA10" w:rsidR="0026131F" w:rsidRDefault="0026131F">
          <w:r>
            <w:rPr>
              <w:b/>
              <w:bCs/>
              <w:noProof/>
            </w:rPr>
            <w:fldChar w:fldCharType="end"/>
          </w:r>
        </w:p>
      </w:sdtContent>
    </w:sdt>
    <w:p w14:paraId="1E78FDC5" w14:textId="75D7D222" w:rsidR="00BB0349" w:rsidRPr="00A33D67" w:rsidRDefault="006C5741" w:rsidP="00A33D67">
      <w:pPr>
        <w:pStyle w:val="Heading2"/>
        <w:spacing w:line="360" w:lineRule="auto"/>
        <w:rPr>
          <w:rFonts w:ascii="Times New Roman" w:hAnsi="Times New Roman" w:cs="Times New Roman"/>
          <w:sz w:val="24"/>
          <w:szCs w:val="24"/>
        </w:rPr>
      </w:pPr>
      <w:bookmarkStart w:id="0" w:name="_Toc227154886"/>
      <w:r w:rsidRPr="00A33D67">
        <w:rPr>
          <w:rFonts w:ascii="Times New Roman" w:hAnsi="Times New Roman" w:cs="Times New Roman"/>
          <w:sz w:val="24"/>
          <w:szCs w:val="24"/>
        </w:rPr>
        <w:t>Introduction</w:t>
      </w:r>
      <w:bookmarkEnd w:id="0"/>
      <w:r w:rsidRPr="00A33D67">
        <w:rPr>
          <w:rFonts w:ascii="Times New Roman" w:hAnsi="Times New Roman" w:cs="Times New Roman"/>
          <w:sz w:val="24"/>
          <w:szCs w:val="24"/>
        </w:rPr>
        <w:t xml:space="preserve"> </w:t>
      </w:r>
    </w:p>
    <w:p w14:paraId="1FD00C69" w14:textId="7519BCE4"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Further Education (FE) institutions in Wales are increasingly positioned as key sites for supporting student well-being, particularly through policy frameworks such as the Well-being of Future Generations (Wales) Act (2015) and the Whole-College Approach to Emotional and Mental Well-being (</w:t>
      </w:r>
      <w:r w:rsidR="001E20A3" w:rsidRPr="001E20A3">
        <w:rPr>
          <w:rFonts w:ascii="Times New Roman" w:hAnsi="Times New Roman" w:cs="Times New Roman"/>
        </w:rPr>
        <w:t xml:space="preserve">Welsh Government, 2021; </w:t>
      </w:r>
      <w:proofErr w:type="spellStart"/>
      <w:r w:rsidR="001E20A3" w:rsidRPr="001E20A3">
        <w:rPr>
          <w:rFonts w:ascii="Times New Roman" w:hAnsi="Times New Roman" w:cs="Times New Roman"/>
        </w:rPr>
        <w:t>Wixcey</w:t>
      </w:r>
      <w:proofErr w:type="spellEnd"/>
      <w:r w:rsidR="001E20A3" w:rsidRPr="001E20A3">
        <w:rPr>
          <w:rFonts w:ascii="Times New Roman" w:hAnsi="Times New Roman" w:cs="Times New Roman"/>
        </w:rPr>
        <w:t>, 2024; Welsh Government, 2024</w:t>
      </w:r>
      <w:r w:rsidRPr="006C5741">
        <w:rPr>
          <w:rFonts w:ascii="Times New Roman" w:hAnsi="Times New Roman" w:cs="Times New Roman"/>
        </w:rPr>
        <w:t>).</w:t>
      </w:r>
      <w:r w:rsidR="000E2836">
        <w:rPr>
          <w:rFonts w:ascii="Times New Roman" w:hAnsi="Times New Roman" w:cs="Times New Roman"/>
        </w:rPr>
        <w:t xml:space="preserve"> </w:t>
      </w:r>
      <w:r w:rsidR="000E2836" w:rsidRPr="000E2836">
        <w:rPr>
          <w:rFonts w:ascii="Times New Roman" w:hAnsi="Times New Roman" w:cs="Times New Roman"/>
        </w:rPr>
        <w:t>Well-being is understood here as a multi-dimensional construct encompassing emotional, psychological and social functioning (Kaya and Erdem, 2021</w:t>
      </w:r>
      <w:r w:rsidR="000E2836">
        <w:rPr>
          <w:rFonts w:ascii="Times New Roman" w:hAnsi="Times New Roman" w:cs="Times New Roman"/>
        </w:rPr>
        <w:t xml:space="preserve">). </w:t>
      </w:r>
    </w:p>
    <w:p w14:paraId="0B78E373" w14:textId="5780BA2E"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However, a gap remains between this policy ambition and the lived reality within FE. Despite the expansion of well-being initiatives, many learners continue to report high levels of anxiety and distress (Welsh Government, 2024; W</w:t>
      </w:r>
      <w:r w:rsidR="004121A6">
        <w:rPr>
          <w:rFonts w:ascii="Times New Roman" w:hAnsi="Times New Roman" w:cs="Times New Roman"/>
        </w:rPr>
        <w:t>I</w:t>
      </w:r>
      <w:r w:rsidRPr="006C5741">
        <w:rPr>
          <w:rFonts w:ascii="Times New Roman" w:hAnsi="Times New Roman" w:cs="Times New Roman"/>
        </w:rPr>
        <w:t>SC, 2025). More critically, emerging evidence suggests that aspects of college life itself, including course demands, transitions and institutional systems, may contribute to this distress and, in some cases, learner withdrawal (</w:t>
      </w:r>
      <w:proofErr w:type="spellStart"/>
      <w:r w:rsidRPr="006C5741">
        <w:rPr>
          <w:rFonts w:ascii="Times New Roman" w:hAnsi="Times New Roman" w:cs="Times New Roman"/>
        </w:rPr>
        <w:t>Wixcey</w:t>
      </w:r>
      <w:proofErr w:type="spellEnd"/>
      <w:r w:rsidRPr="006C5741">
        <w:rPr>
          <w:rFonts w:ascii="Times New Roman" w:hAnsi="Times New Roman" w:cs="Times New Roman"/>
        </w:rPr>
        <w:t xml:space="preserve"> et al., 2022).</w:t>
      </w:r>
    </w:p>
    <w:p w14:paraId="37BA7B4F" w14:textId="62A37790"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lastRenderedPageBreak/>
        <w:t>This raises important questions about the role of FE institutions in shaping student well-being. Rather than simply acting as sites of support, colleges may also contribute to the conditions that produce pressure and strain</w:t>
      </w:r>
      <w:r w:rsidR="00880E57" w:rsidRPr="00880E57">
        <w:rPr>
          <w:rFonts w:ascii="Times New Roman" w:hAnsi="Times New Roman" w:cs="Times New Roman"/>
        </w:rPr>
        <w:t>.</w:t>
      </w:r>
      <w:r w:rsidR="00880E57">
        <w:rPr>
          <w:rFonts w:ascii="Times New Roman" w:hAnsi="Times New Roman" w:cs="Times New Roman"/>
        </w:rPr>
        <w:t xml:space="preserve"> </w:t>
      </w:r>
      <w:r w:rsidRPr="006C5741">
        <w:rPr>
          <w:rFonts w:ascii="Times New Roman" w:hAnsi="Times New Roman" w:cs="Times New Roman"/>
        </w:rPr>
        <w:t>As such, there remains a gap in the literature around how institutional processes influence student well-being, and whether current approaches address underlying causes or respond only to symptoms.</w:t>
      </w:r>
    </w:p>
    <w:p w14:paraId="081958F3" w14:textId="6D5C00E7"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 xml:space="preserve">This study explores how practices of monitoring, tracking and accountability within FE colleges in Wales are perceived to shape students’ emotional and psychological well-being. It adopts a structural perspective, </w:t>
      </w:r>
      <w:r w:rsidR="00D03F3F" w:rsidRPr="00D03F3F">
        <w:rPr>
          <w:rFonts w:ascii="Times New Roman" w:hAnsi="Times New Roman" w:cs="Times New Roman"/>
        </w:rPr>
        <w:t>focusing on routine institutional processes</w:t>
      </w:r>
      <w:r w:rsidR="00D03F3F">
        <w:rPr>
          <w:rFonts w:ascii="Times New Roman" w:hAnsi="Times New Roman" w:cs="Times New Roman"/>
        </w:rPr>
        <w:t xml:space="preserve"> </w:t>
      </w:r>
      <w:r w:rsidRPr="006C5741">
        <w:rPr>
          <w:rFonts w:ascii="Times New Roman" w:hAnsi="Times New Roman" w:cs="Times New Roman"/>
        </w:rPr>
        <w:t>shap</w:t>
      </w:r>
      <w:r w:rsidR="00D03F3F">
        <w:rPr>
          <w:rFonts w:ascii="Times New Roman" w:hAnsi="Times New Roman" w:cs="Times New Roman"/>
        </w:rPr>
        <w:t>ing</w:t>
      </w:r>
      <w:r w:rsidRPr="006C5741">
        <w:rPr>
          <w:rFonts w:ascii="Times New Roman" w:hAnsi="Times New Roman" w:cs="Times New Roman"/>
        </w:rPr>
        <w:t xml:space="preserve"> student experience, rather than locating difficulty solely within the individual learner.</w:t>
      </w:r>
    </w:p>
    <w:p w14:paraId="4F760E2F" w14:textId="42162495"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This focus is informed by professional experience within FE, where data-driven accountability and performance metrics have become embedded within everyday practice, reshaping how educational work is understood and enacted (</w:t>
      </w:r>
      <w:r w:rsidR="001E20A3" w:rsidRPr="001E20A3">
        <w:rPr>
          <w:rFonts w:ascii="Times New Roman" w:hAnsi="Times New Roman" w:cs="Times New Roman"/>
        </w:rPr>
        <w:t>Ball, 2003; Biesta, 2010; Williamson, 2017; Selwyn, 2015</w:t>
      </w:r>
      <w:r w:rsidRPr="006C5741">
        <w:rPr>
          <w:rFonts w:ascii="Times New Roman" w:hAnsi="Times New Roman" w:cs="Times New Roman"/>
        </w:rPr>
        <w:t xml:space="preserve">). </w:t>
      </w:r>
      <w:r w:rsidR="000E2836">
        <w:rPr>
          <w:rFonts w:ascii="Times New Roman" w:hAnsi="Times New Roman" w:cs="Times New Roman"/>
        </w:rPr>
        <w:t>D</w:t>
      </w:r>
      <w:r w:rsidR="000E2836" w:rsidRPr="000E2836">
        <w:rPr>
          <w:rFonts w:ascii="Times New Roman" w:hAnsi="Times New Roman" w:cs="Times New Roman"/>
        </w:rPr>
        <w:t xml:space="preserve">atafication within education refers to the process through which aspects of teaching and learning are translated into quantifiable data, enabling them to be monitored, measured and compared (Williamson, 2017). </w:t>
      </w:r>
      <w:r w:rsidR="004121A6" w:rsidRPr="004121A6">
        <w:rPr>
          <w:rFonts w:ascii="Times New Roman" w:hAnsi="Times New Roman" w:cs="Times New Roman"/>
        </w:rPr>
        <w:t>This sits at the heart of many current accountability systems, shaping how educational work is understood and carried out in practice.</w:t>
      </w:r>
      <w:r w:rsidR="002B02B8">
        <w:rPr>
          <w:rFonts w:ascii="Times New Roman" w:hAnsi="Times New Roman" w:cs="Times New Roman"/>
        </w:rPr>
        <w:t xml:space="preserve"> </w:t>
      </w:r>
      <w:r w:rsidRPr="006C5741">
        <w:rPr>
          <w:rFonts w:ascii="Times New Roman" w:hAnsi="Times New Roman" w:cs="Times New Roman"/>
        </w:rPr>
        <w:t>While these systems are intended to support student success, they may also generate pressure, reduce autonomy and contribute to feelings of surveillance (Ball, 2003; Deci and Ryan, 2000; Williamson, 2017; Selwyn, 2015).</w:t>
      </w:r>
      <w:r w:rsidR="00880E57">
        <w:rPr>
          <w:rFonts w:ascii="Times New Roman" w:hAnsi="Times New Roman" w:cs="Times New Roman"/>
        </w:rPr>
        <w:t xml:space="preserve">  </w:t>
      </w:r>
      <w:r w:rsidR="00880E57" w:rsidRPr="00880E57">
        <w:rPr>
          <w:rFonts w:ascii="Times New Roman" w:hAnsi="Times New Roman" w:cs="Times New Roman"/>
        </w:rPr>
        <w:t>This</w:t>
      </w:r>
      <w:r w:rsidR="002B02B8">
        <w:rPr>
          <w:rFonts w:ascii="Times New Roman" w:hAnsi="Times New Roman" w:cs="Times New Roman"/>
        </w:rPr>
        <w:t xml:space="preserve"> is significant as </w:t>
      </w:r>
      <w:r w:rsidR="00880E57" w:rsidRPr="00880E57">
        <w:rPr>
          <w:rFonts w:ascii="Times New Roman" w:hAnsi="Times New Roman" w:cs="Times New Roman"/>
        </w:rPr>
        <w:t>it suggests that systems designed to support student success may simultaneously create conditions that undermine well-being.</w:t>
      </w:r>
      <w:r w:rsidR="001D431F">
        <w:rPr>
          <w:rFonts w:ascii="Times New Roman" w:hAnsi="Times New Roman" w:cs="Times New Roman"/>
        </w:rPr>
        <w:t xml:space="preserve"> </w:t>
      </w:r>
    </w:p>
    <w:p w14:paraId="65D25773" w14:textId="19F81D3C"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 xml:space="preserve">Existing literature highlights these tensions. Ball (2012) identifies the impact of performativity within education, while Deci and Ryan (2000) emphasise the importance of autonomy in supporting well-being. </w:t>
      </w:r>
      <w:r w:rsidR="000E2836" w:rsidRPr="000E2836">
        <w:rPr>
          <w:rFonts w:ascii="Times New Roman" w:hAnsi="Times New Roman" w:cs="Times New Roman"/>
        </w:rPr>
        <w:t xml:space="preserve">Performativity within education refers to systems in which the work of teachers and institutions </w:t>
      </w:r>
      <w:r w:rsidR="002B02B8">
        <w:rPr>
          <w:rFonts w:ascii="Times New Roman" w:hAnsi="Times New Roman" w:cs="Times New Roman"/>
        </w:rPr>
        <w:t xml:space="preserve">are </w:t>
      </w:r>
      <w:r w:rsidR="000E2836" w:rsidRPr="000E2836">
        <w:rPr>
          <w:rFonts w:ascii="Times New Roman" w:hAnsi="Times New Roman" w:cs="Times New Roman"/>
        </w:rPr>
        <w:t>measured, judged and incentivised through targets, data and performance indicators, often shaping behaviour towards what can be measured rather than what is educationally meaningful (Ball, 2003).</w:t>
      </w:r>
      <w:r w:rsidR="001E20A3">
        <w:rPr>
          <w:rFonts w:ascii="Times New Roman" w:hAnsi="Times New Roman" w:cs="Times New Roman"/>
        </w:rPr>
        <w:t xml:space="preserve"> </w:t>
      </w:r>
      <w:r w:rsidR="000E2836">
        <w:rPr>
          <w:rFonts w:ascii="Times New Roman" w:hAnsi="Times New Roman" w:cs="Times New Roman"/>
        </w:rPr>
        <w:t>Thus,</w:t>
      </w:r>
      <w:r w:rsidRPr="006C5741">
        <w:rPr>
          <w:rFonts w:ascii="Times New Roman" w:hAnsi="Times New Roman" w:cs="Times New Roman"/>
        </w:rPr>
        <w:t xml:space="preserve"> this points to the need to critically examine how institutional systems shape, and potentially constrain, student well-being within FE contexts.</w:t>
      </w:r>
    </w:p>
    <w:p w14:paraId="45151F6B" w14:textId="23B7FF5A" w:rsidR="00577752" w:rsidRPr="00A33D67" w:rsidRDefault="00BB0349" w:rsidP="00A33D67">
      <w:pPr>
        <w:pStyle w:val="Heading2"/>
        <w:spacing w:line="360" w:lineRule="auto"/>
        <w:rPr>
          <w:rFonts w:ascii="Times New Roman" w:hAnsi="Times New Roman" w:cs="Times New Roman"/>
          <w:sz w:val="24"/>
          <w:szCs w:val="24"/>
        </w:rPr>
      </w:pPr>
      <w:bookmarkStart w:id="1" w:name="_Toc227154887"/>
      <w:r w:rsidRPr="00A33D67">
        <w:rPr>
          <w:rFonts w:ascii="Times New Roman" w:hAnsi="Times New Roman" w:cs="Times New Roman"/>
          <w:sz w:val="24"/>
          <w:szCs w:val="24"/>
        </w:rPr>
        <w:t>Literature Review</w:t>
      </w:r>
      <w:bookmarkEnd w:id="1"/>
      <w:r w:rsidRPr="00A33D67">
        <w:rPr>
          <w:rFonts w:ascii="Times New Roman" w:hAnsi="Times New Roman" w:cs="Times New Roman"/>
          <w:sz w:val="24"/>
          <w:szCs w:val="24"/>
        </w:rPr>
        <w:t xml:space="preserve"> </w:t>
      </w:r>
      <w:r w:rsidR="009013DA" w:rsidRPr="00A33D67">
        <w:rPr>
          <w:rFonts w:ascii="Times New Roman" w:hAnsi="Times New Roman" w:cs="Times New Roman"/>
          <w:sz w:val="24"/>
          <w:szCs w:val="24"/>
        </w:rPr>
        <w:t xml:space="preserve"> </w:t>
      </w:r>
    </w:p>
    <w:p w14:paraId="5BB622F2" w14:textId="442617A4"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The published literature generally shows that student well-being is multi-dimensional, shaped by emotional, cognitive, social and environmental factors and how these interact (Kaya and </w:t>
      </w:r>
      <w:r w:rsidRPr="00E46B71">
        <w:rPr>
          <w:rFonts w:ascii="Times New Roman" w:hAnsi="Times New Roman" w:cs="Times New Roman"/>
        </w:rPr>
        <w:lastRenderedPageBreak/>
        <w:t>Erdem, 2021;</w:t>
      </w:r>
      <w:r w:rsidR="00E92D06">
        <w:rPr>
          <w:rFonts w:ascii="Times New Roman" w:hAnsi="Times New Roman" w:cs="Times New Roman"/>
        </w:rPr>
        <w:t xml:space="preserve"> </w:t>
      </w:r>
      <w:r w:rsidR="001E20A3" w:rsidRPr="001E20A3">
        <w:rPr>
          <w:rFonts w:ascii="Times New Roman" w:hAnsi="Times New Roman" w:cs="Times New Roman"/>
        </w:rPr>
        <w:t>Khatri et al., 2024</w:t>
      </w:r>
      <w:r w:rsidRPr="00E46B71">
        <w:rPr>
          <w:rFonts w:ascii="Times New Roman" w:hAnsi="Times New Roman" w:cs="Times New Roman"/>
        </w:rPr>
        <w:t xml:space="preserve">). However, despite this broad agreement, there remains significant </w:t>
      </w:r>
      <w:r w:rsidR="002B02B8">
        <w:rPr>
          <w:rFonts w:ascii="Times New Roman" w:hAnsi="Times New Roman" w:cs="Times New Roman"/>
        </w:rPr>
        <w:t>tensions</w:t>
      </w:r>
      <w:r w:rsidRPr="00E46B71">
        <w:rPr>
          <w:rFonts w:ascii="Times New Roman" w:hAnsi="Times New Roman" w:cs="Times New Roman"/>
        </w:rPr>
        <w:t xml:space="preserve"> about the origins of distress. Much of the literature continues to explain well-being issues in individual terms, focusing on resilience, coping skills and emotional regulation (Fang et al., 2025). This aligns with psychological models that prioritise individual adaptation (Deci and Ryan, 2000).</w:t>
      </w:r>
      <w:r w:rsidR="00880E57">
        <w:rPr>
          <w:rFonts w:ascii="Times New Roman" w:hAnsi="Times New Roman" w:cs="Times New Roman"/>
        </w:rPr>
        <w:t xml:space="preserve"> </w:t>
      </w:r>
      <w:r w:rsidR="00880E57" w:rsidRPr="00880E57">
        <w:rPr>
          <w:rFonts w:ascii="Times New Roman" w:hAnsi="Times New Roman" w:cs="Times New Roman"/>
        </w:rPr>
        <w:t>This matters because it risks locating responsibility for well-being primarily within the learner, potentially overlooking the role of institutional conditions in shaping distress.</w:t>
      </w:r>
      <w:r w:rsidR="00880E57">
        <w:rPr>
          <w:rFonts w:ascii="Times New Roman" w:hAnsi="Times New Roman" w:cs="Times New Roman"/>
        </w:rPr>
        <w:t xml:space="preserve"> </w:t>
      </w:r>
    </w:p>
    <w:p w14:paraId="756787AC" w14:textId="1C041E3A"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However, this position is increasingly challenged by research that locates distress within institutional structures and educational practices, rather than within the individual learner (Ecclestone and Hayes, 2009; Ball, 2003; Biesta, 2010). This tension is particularly evident in literature examining the expansion of accountability and monitoring systems. Across FE and HE, the growing use of attendance tracking, performance metrics and data-driven monitoring is often framed as supportive (Douglas et al., 2025; Smothers et al., 2022). </w:t>
      </w:r>
      <w:r w:rsidR="000E2836">
        <w:rPr>
          <w:rFonts w:ascii="Times New Roman" w:hAnsi="Times New Roman" w:cs="Times New Roman"/>
        </w:rPr>
        <w:t>T</w:t>
      </w:r>
      <w:r w:rsidR="000E2836" w:rsidRPr="000E2836">
        <w:rPr>
          <w:rFonts w:ascii="Times New Roman" w:hAnsi="Times New Roman" w:cs="Times New Roman"/>
        </w:rPr>
        <w:t>hese high-stakes conditions are closely aligned with processes of performativity and datafication, where measurable outcomes become central to how success is defined and evaluated.</w:t>
      </w:r>
      <w:r w:rsidR="000E2836">
        <w:rPr>
          <w:rFonts w:ascii="Times New Roman" w:hAnsi="Times New Roman" w:cs="Times New Roman"/>
        </w:rPr>
        <w:t xml:space="preserve"> </w:t>
      </w:r>
      <w:r w:rsidR="001D431F" w:rsidRPr="001D431F">
        <w:rPr>
          <w:rFonts w:ascii="Times New Roman" w:hAnsi="Times New Roman" w:cs="Times New Roman"/>
        </w:rPr>
        <w:t>Together, these processes create increasingly visible, metric-driven environments</w:t>
      </w:r>
      <w:r w:rsidR="00493C73" w:rsidRPr="00493C73">
        <w:rPr>
          <w:rFonts w:ascii="Times New Roman" w:hAnsi="Times New Roman" w:cs="Times New Roman"/>
        </w:rPr>
        <w:t>.</w:t>
      </w:r>
      <w:r w:rsidR="00880E57">
        <w:rPr>
          <w:rFonts w:ascii="Times New Roman" w:hAnsi="Times New Roman" w:cs="Times New Roman"/>
        </w:rPr>
        <w:t xml:space="preserve"> </w:t>
      </w:r>
      <w:r w:rsidR="000E2836">
        <w:rPr>
          <w:rFonts w:ascii="Times New Roman" w:hAnsi="Times New Roman" w:cs="Times New Roman"/>
        </w:rPr>
        <w:t xml:space="preserve"> </w:t>
      </w:r>
      <w:r w:rsidR="000E2836" w:rsidRPr="000E2836">
        <w:rPr>
          <w:rFonts w:ascii="Times New Roman" w:hAnsi="Times New Roman" w:cs="Times New Roman"/>
        </w:rPr>
        <w:t>Surveillance within education refers to the monitoring and tracking of students through data, technologies and institutional processes, enabling behaviours and performance to be observed, recorded and evaluated (Selwyn, 2015)</w:t>
      </w:r>
      <w:r w:rsidR="000E2836">
        <w:rPr>
          <w:rFonts w:ascii="Times New Roman" w:hAnsi="Times New Roman" w:cs="Times New Roman"/>
        </w:rPr>
        <w:t xml:space="preserve">. </w:t>
      </w:r>
      <w:r w:rsidRPr="00E46B71">
        <w:rPr>
          <w:rFonts w:ascii="Times New Roman" w:hAnsi="Times New Roman" w:cs="Times New Roman"/>
        </w:rPr>
        <w:t xml:space="preserve"> Rawdin and Dhillon (2025) extend this further, arguing that therapeutic framings of well-being can obscure the structural conditions that produce distress.</w:t>
      </w:r>
    </w:p>
    <w:p w14:paraId="1FCCCD45" w14:textId="565E5963"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The role of assessment is central within this debate. Nieminen (2025) conceptualises assessment as an identity-shaping process, suggesting that grading and feedback influence how learners understand themselves</w:t>
      </w:r>
      <w:r w:rsidR="00880E57" w:rsidRPr="00880E57">
        <w:rPr>
          <w:rFonts w:ascii="Times New Roman" w:hAnsi="Times New Roman" w:cs="Times New Roman"/>
        </w:rPr>
        <w:t>.</w:t>
      </w:r>
      <w:r w:rsidR="00880E57">
        <w:rPr>
          <w:rFonts w:ascii="Times New Roman" w:hAnsi="Times New Roman" w:cs="Times New Roman"/>
        </w:rPr>
        <w:t xml:space="preserve"> </w:t>
      </w:r>
      <w:r w:rsidRPr="00E46B71">
        <w:rPr>
          <w:rFonts w:ascii="Times New Roman" w:hAnsi="Times New Roman" w:cs="Times New Roman"/>
        </w:rPr>
        <w:t>This aligns with wider literature on identity formation within education, although there remains limited empirical research exploring how these processes are experienced in practice, particularly within FE contexts.</w:t>
      </w:r>
      <w:r w:rsidR="00493C73">
        <w:rPr>
          <w:rFonts w:ascii="Times New Roman" w:hAnsi="Times New Roman" w:cs="Times New Roman"/>
        </w:rPr>
        <w:t xml:space="preserve"> </w:t>
      </w:r>
    </w:p>
    <w:p w14:paraId="0EEB863E" w14:textId="16BC90C6" w:rsidR="00E46B71" w:rsidRPr="00E46B71" w:rsidRDefault="006B14C7" w:rsidP="00A33D67">
      <w:pPr>
        <w:spacing w:line="360" w:lineRule="auto"/>
        <w:rPr>
          <w:rFonts w:ascii="Times New Roman" w:hAnsi="Times New Roman" w:cs="Times New Roman"/>
        </w:rPr>
      </w:pPr>
      <w:r w:rsidRPr="006B14C7">
        <w:rPr>
          <w:rFonts w:ascii="Times New Roman" w:hAnsi="Times New Roman" w:cs="Times New Roman"/>
        </w:rPr>
        <w:t>A growing body of research shifts attention towards the teaching and learning environment as a key determinant of well-being. Research increasingly highlights the importance of student</w:t>
      </w:r>
      <w:r w:rsidR="004121A6">
        <w:rPr>
          <w:rFonts w:ascii="Times New Roman" w:hAnsi="Times New Roman" w:cs="Times New Roman"/>
        </w:rPr>
        <w:t>-</w:t>
      </w:r>
      <w:r w:rsidRPr="006B14C7">
        <w:rPr>
          <w:rFonts w:ascii="Times New Roman" w:hAnsi="Times New Roman" w:cs="Times New Roman"/>
        </w:rPr>
        <w:t xml:space="preserve">staff relationships and inclusive pedagogical approaches in shaping student experience. Felten and Lambert (2020) argue that relationship-rich environments, where meaningful connections between staff and students are embedded within learning, play a central role in supporting engagement, belonging and well-being. This challenges more performative approaches to education that prioritise efficiency and measurable outcomes over relational </w:t>
      </w:r>
      <w:r w:rsidRPr="006B14C7">
        <w:rPr>
          <w:rFonts w:ascii="Times New Roman" w:hAnsi="Times New Roman" w:cs="Times New Roman"/>
        </w:rPr>
        <w:lastRenderedPageBreak/>
        <w:t>depth</w:t>
      </w:r>
      <w:r>
        <w:rPr>
          <w:rFonts w:ascii="Times New Roman" w:hAnsi="Times New Roman" w:cs="Times New Roman"/>
        </w:rPr>
        <w:t xml:space="preserve">, </w:t>
      </w:r>
      <w:r w:rsidR="00E46B71" w:rsidRPr="00E46B71">
        <w:rPr>
          <w:rFonts w:ascii="Times New Roman" w:hAnsi="Times New Roman" w:cs="Times New Roman"/>
        </w:rPr>
        <w:t>while Lombardi et al</w:t>
      </w:r>
      <w:r w:rsidR="00BB7D1F">
        <w:rPr>
          <w:rFonts w:ascii="Times New Roman" w:hAnsi="Times New Roman" w:cs="Times New Roman"/>
        </w:rPr>
        <w:t>.,</w:t>
      </w:r>
      <w:r w:rsidR="00E46B71" w:rsidRPr="00E46B71">
        <w:rPr>
          <w:rFonts w:ascii="Times New Roman" w:hAnsi="Times New Roman" w:cs="Times New Roman"/>
        </w:rPr>
        <w:t xml:space="preserve"> (2019) highlight the role of institutional climate in shaping engagement. </w:t>
      </w:r>
    </w:p>
    <w:p w14:paraId="4A785813" w14:textId="77777777"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Theoretical perspectives such as Cognitive Load Theory provide further insight into how educational design may contribute to distress. By highlighting the limits of working memory, it demonstrates how excessive demands and poorly structured learning environments can lead to cognitive overload (</w:t>
      </w:r>
      <w:proofErr w:type="spellStart"/>
      <w:r w:rsidRPr="00E46B71">
        <w:rPr>
          <w:rFonts w:ascii="Times New Roman" w:hAnsi="Times New Roman" w:cs="Times New Roman"/>
        </w:rPr>
        <w:t>Sweller</w:t>
      </w:r>
      <w:proofErr w:type="spellEnd"/>
      <w:r w:rsidRPr="00E46B71">
        <w:rPr>
          <w:rFonts w:ascii="Times New Roman" w:hAnsi="Times New Roman" w:cs="Times New Roman"/>
        </w:rPr>
        <w:t>, 2011). This supports the view that institutional expectations and curriculum design can create conditions of structural strain, rather than simply reflecting individual capacity.</w:t>
      </w:r>
    </w:p>
    <w:p w14:paraId="3E08C955" w14:textId="54FDDA49"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Within the Welsh context, policy frameworks emphasise a systemic understanding of well-being. However, research highlights challenges in implementation, including variability in practice and resource constraints. </w:t>
      </w:r>
      <w:r w:rsidR="00A13AD3" w:rsidRPr="00A13AD3">
        <w:rPr>
          <w:rFonts w:ascii="Times New Roman" w:hAnsi="Times New Roman" w:cs="Times New Roman"/>
        </w:rPr>
        <w:t>Similarly, studies on learner withdrawal in FE suggest that emotional distress is closely linked to institutional experiences, reinforcing a disconnect between policy aspiration and lived reality (</w:t>
      </w:r>
      <w:proofErr w:type="spellStart"/>
      <w:r w:rsidR="00A13AD3" w:rsidRPr="00A13AD3">
        <w:rPr>
          <w:rFonts w:ascii="Times New Roman" w:hAnsi="Times New Roman" w:cs="Times New Roman"/>
        </w:rPr>
        <w:t>Wixcey</w:t>
      </w:r>
      <w:proofErr w:type="spellEnd"/>
      <w:r w:rsidR="00A13AD3" w:rsidRPr="00A13AD3">
        <w:rPr>
          <w:rFonts w:ascii="Times New Roman" w:hAnsi="Times New Roman" w:cs="Times New Roman"/>
        </w:rPr>
        <w:t xml:space="preserve"> et al., 2023).</w:t>
      </w:r>
      <w:r w:rsidR="00A13AD3">
        <w:rPr>
          <w:rFonts w:ascii="Times New Roman" w:hAnsi="Times New Roman" w:cs="Times New Roman"/>
        </w:rPr>
        <w:t xml:space="preserve"> </w:t>
      </w:r>
      <w:r w:rsidR="00880E57">
        <w:rPr>
          <w:rFonts w:ascii="Times New Roman" w:hAnsi="Times New Roman" w:cs="Times New Roman"/>
        </w:rPr>
        <w:t>T</w:t>
      </w:r>
      <w:r w:rsidR="00880E57" w:rsidRPr="00880E57">
        <w:rPr>
          <w:rFonts w:ascii="Times New Roman" w:hAnsi="Times New Roman" w:cs="Times New Roman"/>
        </w:rPr>
        <w:t xml:space="preserve">his </w:t>
      </w:r>
      <w:r w:rsidR="002B02B8">
        <w:rPr>
          <w:rFonts w:ascii="Times New Roman" w:hAnsi="Times New Roman" w:cs="Times New Roman"/>
        </w:rPr>
        <w:t xml:space="preserve">is </w:t>
      </w:r>
      <w:proofErr w:type="spellStart"/>
      <w:r w:rsidR="002B02B8">
        <w:rPr>
          <w:rFonts w:ascii="Times New Roman" w:hAnsi="Times New Roman" w:cs="Times New Roman"/>
        </w:rPr>
        <w:t>critcial</w:t>
      </w:r>
      <w:proofErr w:type="spellEnd"/>
      <w:r w:rsidR="00880E57" w:rsidRPr="00880E57">
        <w:rPr>
          <w:rFonts w:ascii="Times New Roman" w:hAnsi="Times New Roman" w:cs="Times New Roman"/>
        </w:rPr>
        <w:t xml:space="preserve"> </w:t>
      </w:r>
      <w:r w:rsidR="00A13AD3">
        <w:rPr>
          <w:rFonts w:ascii="Times New Roman" w:hAnsi="Times New Roman" w:cs="Times New Roman"/>
        </w:rPr>
        <w:t>as</w:t>
      </w:r>
      <w:r w:rsidR="00880E57" w:rsidRPr="00880E57">
        <w:rPr>
          <w:rFonts w:ascii="Times New Roman" w:hAnsi="Times New Roman" w:cs="Times New Roman"/>
        </w:rPr>
        <w:t xml:space="preserve"> it raises questions about whether current well-being frameworks are addressing underlying causes or simply responding to visible symptoms</w:t>
      </w:r>
      <w:r w:rsidR="00880E57">
        <w:rPr>
          <w:rFonts w:ascii="Times New Roman" w:hAnsi="Times New Roman" w:cs="Times New Roman"/>
        </w:rPr>
        <w:t>.</w:t>
      </w:r>
      <w:r w:rsidR="000D6635" w:rsidRPr="00A33D67">
        <w:rPr>
          <w:rFonts w:ascii="Times New Roman" w:hAnsi="Times New Roman" w:cs="Times New Roman"/>
        </w:rPr>
        <w:t xml:space="preserve"> </w:t>
      </w:r>
      <w:r w:rsidRPr="00E46B71">
        <w:rPr>
          <w:rFonts w:ascii="Times New Roman" w:hAnsi="Times New Roman" w:cs="Times New Roman"/>
        </w:rPr>
        <w:t xml:space="preserve">Emerging literature also foregrounds lived experience, particularly among marginalised groups. Fielding </w:t>
      </w:r>
      <w:r w:rsidRPr="00880E57">
        <w:rPr>
          <w:rFonts w:ascii="Times New Roman" w:hAnsi="Times New Roman" w:cs="Times New Roman"/>
          <w:i/>
          <w:iCs/>
        </w:rPr>
        <w:t>et al</w:t>
      </w:r>
      <w:r w:rsidR="00A13AD3">
        <w:rPr>
          <w:rFonts w:ascii="Times New Roman" w:hAnsi="Times New Roman" w:cs="Times New Roman"/>
          <w:i/>
          <w:iCs/>
        </w:rPr>
        <w:t>.</w:t>
      </w:r>
      <w:r w:rsidR="00880E57">
        <w:rPr>
          <w:rFonts w:ascii="Times New Roman" w:hAnsi="Times New Roman" w:cs="Times New Roman"/>
          <w:i/>
          <w:iCs/>
        </w:rPr>
        <w:t>,</w:t>
      </w:r>
      <w:r w:rsidRPr="00E46B71">
        <w:rPr>
          <w:rFonts w:ascii="Times New Roman" w:hAnsi="Times New Roman" w:cs="Times New Roman"/>
        </w:rPr>
        <w:t xml:space="preserve"> (2025) show that neurodivergent learners often experience distress in response to inflexible institutional structures</w:t>
      </w:r>
      <w:r w:rsidR="00716F1E" w:rsidRPr="00A33D67">
        <w:rPr>
          <w:rFonts w:ascii="Times New Roman" w:hAnsi="Times New Roman" w:cs="Times New Roman"/>
        </w:rPr>
        <w:t xml:space="preserve">. </w:t>
      </w:r>
    </w:p>
    <w:p w14:paraId="69222695" w14:textId="44A156BE"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Within FE specifically, the literature highlights the complexity of teaching and learning environments. Smothers </w:t>
      </w:r>
      <w:r w:rsidRPr="00880E57">
        <w:rPr>
          <w:rFonts w:ascii="Times New Roman" w:hAnsi="Times New Roman" w:cs="Times New Roman"/>
          <w:i/>
          <w:iCs/>
        </w:rPr>
        <w:t>et al</w:t>
      </w:r>
      <w:r w:rsidR="00A13AD3">
        <w:rPr>
          <w:rFonts w:ascii="Times New Roman" w:hAnsi="Times New Roman" w:cs="Times New Roman"/>
          <w:i/>
          <w:iCs/>
        </w:rPr>
        <w:t>.</w:t>
      </w:r>
      <w:r w:rsidR="000D6635" w:rsidRPr="00A33D67">
        <w:rPr>
          <w:rFonts w:ascii="Times New Roman" w:hAnsi="Times New Roman" w:cs="Times New Roman"/>
        </w:rPr>
        <w:t xml:space="preserve">, </w:t>
      </w:r>
      <w:r w:rsidRPr="00E46B71">
        <w:rPr>
          <w:rFonts w:ascii="Times New Roman" w:hAnsi="Times New Roman" w:cs="Times New Roman"/>
        </w:rPr>
        <w:t>(2022) emphasise the interaction between institutional pressures and relational practices, although there remains limited research directly examining how these dynamics shape student well-being.</w:t>
      </w:r>
      <w:r w:rsidRPr="00A33D67">
        <w:rPr>
          <w:rFonts w:ascii="Times New Roman" w:hAnsi="Times New Roman" w:cs="Times New Roman"/>
        </w:rPr>
        <w:t xml:space="preserve"> </w:t>
      </w:r>
      <w:r w:rsidRPr="00E46B71">
        <w:rPr>
          <w:rFonts w:ascii="Times New Roman" w:hAnsi="Times New Roman" w:cs="Times New Roman"/>
        </w:rPr>
        <w:t xml:space="preserve">Importantly, there is increasing recognition of the relationship between staff and student well-being. Douglas </w:t>
      </w:r>
      <w:r w:rsidRPr="001E20A3">
        <w:rPr>
          <w:rFonts w:ascii="Times New Roman" w:hAnsi="Times New Roman" w:cs="Times New Roman"/>
          <w:i/>
          <w:iCs/>
        </w:rPr>
        <w:t>et al</w:t>
      </w:r>
      <w:r w:rsidR="00A13AD3">
        <w:rPr>
          <w:rFonts w:ascii="Times New Roman" w:hAnsi="Times New Roman" w:cs="Times New Roman"/>
          <w:i/>
          <w:iCs/>
        </w:rPr>
        <w:t>.</w:t>
      </w:r>
      <w:r w:rsidR="000D6635" w:rsidRPr="00A33D67">
        <w:rPr>
          <w:rFonts w:ascii="Times New Roman" w:hAnsi="Times New Roman" w:cs="Times New Roman"/>
        </w:rPr>
        <w:t xml:space="preserve">, </w:t>
      </w:r>
      <w:r w:rsidRPr="00E46B71">
        <w:rPr>
          <w:rFonts w:ascii="Times New Roman" w:hAnsi="Times New Roman" w:cs="Times New Roman"/>
        </w:rPr>
        <w:t>(2025) identify high levels staff stress and burnout linked to organisational conditions, suggesting that student well-being cannot be understood in isolation from institutional context.</w:t>
      </w:r>
    </w:p>
    <w:p w14:paraId="4CF51A36" w14:textId="7981568F"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Overall, while there is broad agreement that well-being is shaped by structural, relational and pedagogical factors, there remains a significant gap in research examining how monitoring, tracking and accountability practices are experienced by students themselves.</w:t>
      </w:r>
      <w:r w:rsidR="00A33D67">
        <w:rPr>
          <w:rFonts w:ascii="Times New Roman" w:hAnsi="Times New Roman" w:cs="Times New Roman"/>
        </w:rPr>
        <w:t xml:space="preserve"> </w:t>
      </w:r>
      <w:r w:rsidRPr="00E46B71">
        <w:rPr>
          <w:rFonts w:ascii="Times New Roman" w:hAnsi="Times New Roman" w:cs="Times New Roman"/>
        </w:rPr>
        <w:t>This study addresses this gap by foregrounding student voice and advancing a structural conceptualisation of well-being, understood here through the lens of pedagogical iatrogenesis. This perspective positions educational systems as capable of producing harm through their own practices, offering a critical re-framing of well-being within FE.</w:t>
      </w:r>
    </w:p>
    <w:p w14:paraId="1E846902" w14:textId="77777777" w:rsidR="008645E9" w:rsidRPr="00A33D67" w:rsidRDefault="008645E9" w:rsidP="00A33D67">
      <w:pPr>
        <w:pStyle w:val="Heading2"/>
        <w:spacing w:line="360" w:lineRule="auto"/>
        <w:rPr>
          <w:rFonts w:ascii="Times New Roman" w:hAnsi="Times New Roman" w:cs="Times New Roman"/>
          <w:sz w:val="24"/>
          <w:szCs w:val="24"/>
        </w:rPr>
      </w:pPr>
      <w:bookmarkStart w:id="2" w:name="_Toc227154888"/>
      <w:r w:rsidRPr="00A33D67">
        <w:rPr>
          <w:rFonts w:ascii="Times New Roman" w:hAnsi="Times New Roman" w:cs="Times New Roman"/>
          <w:sz w:val="24"/>
          <w:szCs w:val="24"/>
        </w:rPr>
        <w:lastRenderedPageBreak/>
        <w:t>Theoretical Framework / Methodology</w:t>
      </w:r>
      <w:bookmarkEnd w:id="2"/>
    </w:p>
    <w:p w14:paraId="765C3DED" w14:textId="0FC08E3D"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This study adopts a mixed methods approach to explore how practices of monitoring, tracking and accountability within FE colleges in Wales shape students’ emotional and psychological well-being. This approach is appropriate as it allows for the examination of both institutional structures and the lived experiences of students, recognising that well-being is shaped through the interaction between these elements.</w:t>
      </w:r>
    </w:p>
    <w:p w14:paraId="726CFD20" w14:textId="33A35BF6"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 xml:space="preserve">Researcher positionality is central to this enquiry. Positionality refers to the ways in which a researcher’s background, values and professional experiences shape both the research process and how findings are interpreted (Cohen, Manion and Morrison, 2018). In this study, the researcher is positioned within the FE sector and has direct experience of institutional practices such as attendance monitoring and performance tracking. </w:t>
      </w:r>
      <w:r w:rsidR="001D431F" w:rsidRPr="001D431F">
        <w:rPr>
          <w:rFonts w:ascii="Times New Roman" w:hAnsi="Times New Roman" w:cs="Times New Roman"/>
        </w:rPr>
        <w:t>This provides insight into FE practice</w:t>
      </w:r>
      <w:r w:rsidRPr="003C66E9">
        <w:rPr>
          <w:rFonts w:ascii="Times New Roman" w:hAnsi="Times New Roman" w:cs="Times New Roman"/>
        </w:rPr>
        <w:t>, particularly the pressures associated with accountability and increasingly data-driven practices.</w:t>
      </w:r>
    </w:p>
    <w:p w14:paraId="5A37B8E0"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However, this also raises the need for a reflexive approach. While this insider perspective strengthens contextual understanding, it is important to ensure that prior assumptions do not go unchallenged or shape the research uncritically. As Denzin and Lincoln (2018) suggest, particularly within qualitative research, reflexivity is essential in recognising how the researcher contributes to the construction and interpretation of knowledge. It is therefore necessary to remain critically aware of how personal and professional experiences may influence both the direction of the research and the meanings drawn from it.</w:t>
      </w:r>
    </w:p>
    <w:p w14:paraId="26BC4AB5"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Ontologically, the study adopts a critical realist position. Ontology is concerned with the nature of reality and what can be said to exist independently of human perception (Crotty, 1998). From a realist perspective, institutional practices such as monitoring systems and accountability structures exist as real and observable features of FE settings. However, their impact on student well-being cannot be understood as fixed or universal. Critical realism, as developed by Bhaskar (1978), offers a useful way of thinking about this, as it recognises that while social structures are real, their effects are experienced and interpreted differently by individuals.</w:t>
      </w:r>
    </w:p>
    <w:p w14:paraId="208AD9B9" w14:textId="4D342469"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This position is further supported by Maxwell (2012), who argues that a realist approach allows for the exploration of both underlying causal mechanisms and subjective meaning. In this study, while also recognising that students experience and respond to these systems in different ways.</w:t>
      </w:r>
      <w:r w:rsidR="00A33D67">
        <w:rPr>
          <w:rFonts w:ascii="Times New Roman" w:hAnsi="Times New Roman" w:cs="Times New Roman"/>
        </w:rPr>
        <w:t xml:space="preserve"> </w:t>
      </w:r>
    </w:p>
    <w:p w14:paraId="09CF4B21"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lastRenderedPageBreak/>
        <w:t>Epistemologically, the study takes a pluralist stance, recognising the value of both objective and subjective forms of knowledge. Epistemology is concerned with how knowledge is generated and what counts as valid evidence (Crotty, 1998). A purely positivist approach would prioritise measurable data, such as patterns in student well-being or engagement, which can be useful in identifying trends. However, this alone does not capture the meanings students attach to their experiences.</w:t>
      </w:r>
    </w:p>
    <w:p w14:paraId="7081D7F3"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In contrast, an interpretivist position focuses on understanding these subjective experiences within their social context (Guba and Lincoln, 1994). As this study seeks to explore both measurable patterns and lived experience, it does not sit comfortably within one single epistemological position. Instead, it adopts a more flexible approach, recognising that different forms of knowledge are needed to fully understand how institutional practices relate to student well-being.</w:t>
      </w:r>
    </w:p>
    <w:p w14:paraId="40467080"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These ontological and epistemological assumptions inform the choice of pragmatism as the overarching research paradigm. Research paradigms provide a broader framework for how research is approached, including how theory, method and knowledge are connected (Guba and Lincoln, 1994). Positivism, with its focus on objectivity and measurement, would be too limiting for this study, as it risks overlooking the complexity of students’ experiences. Similarly, while constructivism offers valuable insight into meaning and interpretation, it may not fully account for the role of institutional structures or support the integration of quantitative data.</w:t>
      </w:r>
    </w:p>
    <w:p w14:paraId="6956B5A4"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Pragmatism offers a more suitable approach, as it prioritises the research problem and supports the use of methods that best address the research questions (Creswell and Plano Clark, 2018). This is particularly relevant within a mixed methods design, where both quantitative and qualitative approaches are needed. In this study, quantitative methods can be used to identify patterns in how students respond to monitoring practices, while qualitative methods allow for a deeper understanding of how these experiences are interpreted and understood.</w:t>
      </w:r>
    </w:p>
    <w:p w14:paraId="3E8337EF"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 xml:space="preserve">Overall, this combination provides a more complete picture, allowing the research to explore both the scale and the nature of the relationship between institutional practices and student well-being. The study is therefore underpinned by a reflexive professional positionality, a critical realist ontology, a pluralist epistemology and a pragmatic research paradigm, which </w:t>
      </w:r>
      <w:r w:rsidRPr="003C66E9">
        <w:rPr>
          <w:rFonts w:ascii="Times New Roman" w:hAnsi="Times New Roman" w:cs="Times New Roman"/>
        </w:rPr>
        <w:lastRenderedPageBreak/>
        <w:t>together provide a coherent framework for examining how institutional practices shape student well-being within Welsh FE.</w:t>
      </w:r>
    </w:p>
    <w:p w14:paraId="434F19B4" w14:textId="77777777" w:rsidR="008645E9" w:rsidRPr="00A33D67" w:rsidRDefault="008645E9" w:rsidP="00A33D67">
      <w:pPr>
        <w:pStyle w:val="Heading2"/>
        <w:spacing w:line="360" w:lineRule="auto"/>
        <w:rPr>
          <w:rFonts w:ascii="Times New Roman" w:hAnsi="Times New Roman" w:cs="Times New Roman"/>
          <w:sz w:val="24"/>
          <w:szCs w:val="24"/>
        </w:rPr>
      </w:pPr>
      <w:bookmarkStart w:id="3" w:name="_Toc227154889"/>
      <w:r w:rsidRPr="00A33D67">
        <w:rPr>
          <w:rFonts w:ascii="Times New Roman" w:hAnsi="Times New Roman" w:cs="Times New Roman"/>
          <w:sz w:val="24"/>
          <w:szCs w:val="24"/>
        </w:rPr>
        <w:t>Research Methods / Tools</w:t>
      </w:r>
      <w:bookmarkEnd w:id="3"/>
    </w:p>
    <w:p w14:paraId="715AB0E9" w14:textId="30EE39FA"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This study adopts a mixed methods approach to investigate how practices of monitoring, tracking and accountability within Further Education (FE) colleges in Wales</w:t>
      </w:r>
      <w:r w:rsidR="00335BF7">
        <w:rPr>
          <w:rFonts w:ascii="Times New Roman" w:hAnsi="Times New Roman" w:cs="Times New Roman"/>
        </w:rPr>
        <w:t xml:space="preserve">, </w:t>
      </w:r>
      <w:r w:rsidRPr="00E46B71">
        <w:rPr>
          <w:rFonts w:ascii="Times New Roman" w:hAnsi="Times New Roman" w:cs="Times New Roman"/>
        </w:rPr>
        <w:t>shape students’ emotional and psychological well-being. This approach is appropriate as the study seeks to both identify measurable patterns linked to institutional practices and understand how these are experienced by students.</w:t>
      </w:r>
    </w:p>
    <w:p w14:paraId="32B2AC39" w14:textId="0CD44E65"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This study will collect quantitative data through structured questionnaires, incorporating Likert-scale items alongside a validated measure such as the Student Subjective Wellbeing Questionnaire (SSWQ). Likert scales are widely used to measure attitudes and perceptions, allowing participants to indicate levels of agreement with statements (Jebb, Ng and Tay, 2021). This enables patterns to be identified across a larger sample, particularly when exploring constructs that are not directly observable, such as emotional responses or perceptions of institutional practices (Joshi et al., 2015).</w:t>
      </w:r>
    </w:p>
    <w:p w14:paraId="0B85D696" w14:textId="77777777"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The inclusion of the SSWQ strengthens the study design by providing a validated tool for assessing multiple dimensions of student well-being (Renshaw et al., 2015). Using established measures supports reliability and consistency, while combining multi-item Likert scales with validated instruments enhances overall measurement robustness (Gliem and Gliem, 2003).</w:t>
      </w:r>
    </w:p>
    <w:p w14:paraId="2885DDBC" w14:textId="44A6CA80"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Quantitative methods allow data to be collected from a wider population, enabling patterns and relationships to be identified (Creswell and Plano</w:t>
      </w:r>
      <w:r w:rsidR="00335BF7">
        <w:rPr>
          <w:rFonts w:ascii="Times New Roman" w:hAnsi="Times New Roman" w:cs="Times New Roman"/>
        </w:rPr>
        <w:t>-</w:t>
      </w:r>
      <w:r w:rsidRPr="00E46B71">
        <w:rPr>
          <w:rFonts w:ascii="Times New Roman" w:hAnsi="Times New Roman" w:cs="Times New Roman"/>
        </w:rPr>
        <w:t>Clark, 2018).</w:t>
      </w:r>
      <w:r w:rsidR="00880E57">
        <w:rPr>
          <w:rFonts w:ascii="Times New Roman" w:hAnsi="Times New Roman" w:cs="Times New Roman"/>
        </w:rPr>
        <w:t xml:space="preserve"> </w:t>
      </w:r>
      <w:r w:rsidRPr="00E46B71">
        <w:rPr>
          <w:rFonts w:ascii="Times New Roman" w:hAnsi="Times New Roman" w:cs="Times New Roman"/>
        </w:rPr>
        <w:t>However, they also have limitations. While they provide measurable data, they reduce complex experiences to predefined categories and do not fully capture the reasons behind students’ responses.</w:t>
      </w:r>
    </w:p>
    <w:p w14:paraId="32983357" w14:textId="77777777"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To address this, qualitative methods will be used to add depth and context. Semi-structured interviews will allow participants to explore their experiences in detail while maintaining consistency across the dataset. The interview framework will focus on key areas such as perceptions of monitoring, experiences of pressure or support, and the impact on motivation and well-being. This approach allows participants to raise issues not anticipated by the researcher, providing a more nuanced understanding of their experiences (Denzin and Lincoln, 2018).</w:t>
      </w:r>
    </w:p>
    <w:p w14:paraId="133988C9" w14:textId="29005C94" w:rsidR="003C66E9" w:rsidRPr="003C66E9" w:rsidRDefault="00497770" w:rsidP="00A33D67">
      <w:pPr>
        <w:spacing w:line="360" w:lineRule="auto"/>
        <w:rPr>
          <w:rFonts w:ascii="Times New Roman" w:hAnsi="Times New Roman" w:cs="Times New Roman"/>
        </w:rPr>
      </w:pPr>
      <w:r w:rsidRPr="00A33D67">
        <w:rPr>
          <w:rFonts w:ascii="Times New Roman" w:hAnsi="Times New Roman" w:cs="Times New Roman"/>
        </w:rPr>
        <w:lastRenderedPageBreak/>
        <w:t xml:space="preserve">In addition, focus groups may be considered to explore shared experiences and generate discussion around common institutional practices. This approach is particularly useful as it allows participants to respond to and build on each other’s views, </w:t>
      </w:r>
      <w:r w:rsidR="00D03F3F" w:rsidRPr="00D03F3F">
        <w:rPr>
          <w:rFonts w:ascii="Times New Roman" w:hAnsi="Times New Roman" w:cs="Times New Roman"/>
        </w:rPr>
        <w:t xml:space="preserve">providing insight into shared experience </w:t>
      </w:r>
      <w:r w:rsidRPr="00A33D67">
        <w:rPr>
          <w:rFonts w:ascii="Times New Roman" w:hAnsi="Times New Roman" w:cs="Times New Roman"/>
        </w:rPr>
        <w:t>(</w:t>
      </w:r>
      <w:proofErr w:type="spellStart"/>
      <w:r w:rsidRPr="00A33D67">
        <w:rPr>
          <w:rFonts w:ascii="Times New Roman" w:hAnsi="Times New Roman" w:cs="Times New Roman"/>
        </w:rPr>
        <w:t>Smithston</w:t>
      </w:r>
      <w:proofErr w:type="spellEnd"/>
      <w:r w:rsidRPr="00A33D67">
        <w:rPr>
          <w:rFonts w:ascii="Times New Roman" w:hAnsi="Times New Roman" w:cs="Times New Roman"/>
        </w:rPr>
        <w:t xml:space="preserve">, 2000; Denzin and Lincoln, 2018). </w:t>
      </w:r>
      <w:r w:rsidR="003C66E9" w:rsidRPr="003C66E9">
        <w:rPr>
          <w:rFonts w:ascii="Times New Roman" w:hAnsi="Times New Roman" w:cs="Times New Roman"/>
        </w:rPr>
        <w:t>This can provide further insight into how these practices are collectively understood and negotiated within FE settings.</w:t>
      </w:r>
    </w:p>
    <w:p w14:paraId="21414237" w14:textId="77777777"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Qualitative methods are particularly useful in exploring meaning and lived experience. They allow participants to explain how institutional systems are interpreted in real-world contexts, offering insight into emotional and psychological responses that cannot be captured through quantitative measures alone. However, they also present limitations, including smaller sample sizes and the potential for researcher interpretation to influence findings (Cohen, Manion and Morrison, 2018).</w:t>
      </w:r>
    </w:p>
    <w:p w14:paraId="780049FA" w14:textId="4C7E9FC5"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Bringing both approaches together helps to address these limitations.</w:t>
      </w:r>
      <w:r w:rsidR="00880E57">
        <w:rPr>
          <w:rFonts w:ascii="Times New Roman" w:hAnsi="Times New Roman" w:cs="Times New Roman"/>
        </w:rPr>
        <w:t xml:space="preserve"> </w:t>
      </w:r>
      <w:r w:rsidRPr="00E46B71">
        <w:rPr>
          <w:rFonts w:ascii="Times New Roman" w:hAnsi="Times New Roman" w:cs="Times New Roman"/>
        </w:rPr>
        <w:t>This study adopts a complementary design, where quantitative data provides an overview of patterns in student well-being and perceptions of monitoring, while qualitative data explores these patterns in greater depth. This supports triangulation, strengthening the credibility of the findings (Cohen, Manion and Morrison, 2018). For example, where survey data indicates lower well-being among students experiencing intensive monitoring, interview data can help explain whether this is linked to perceived pressure, reduced autonomy or other contextual factors.</w:t>
      </w:r>
    </w:p>
    <w:p w14:paraId="5E8D2AF7" w14:textId="0B6B4BA7"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Despite these strengths, mixed methods research presents challenges. It requires careful planning to ensure effective integration of both approaches, and data collection and analysis can be </w:t>
      </w:r>
      <w:proofErr w:type="gramStart"/>
      <w:r w:rsidRPr="00E46B71">
        <w:rPr>
          <w:rFonts w:ascii="Times New Roman" w:hAnsi="Times New Roman" w:cs="Times New Roman"/>
        </w:rPr>
        <w:t>time-intensive</w:t>
      </w:r>
      <w:proofErr w:type="gramEnd"/>
      <w:r w:rsidRPr="00E46B71">
        <w:rPr>
          <w:rFonts w:ascii="Times New Roman" w:hAnsi="Times New Roman" w:cs="Times New Roman"/>
        </w:rPr>
        <w:t>. There is also a need to maintain balance so that one method does not dominate the other (Creswell and Plano</w:t>
      </w:r>
      <w:r w:rsidR="00335BF7">
        <w:rPr>
          <w:rFonts w:ascii="Times New Roman" w:hAnsi="Times New Roman" w:cs="Times New Roman"/>
        </w:rPr>
        <w:t>-</w:t>
      </w:r>
      <w:r w:rsidRPr="00E46B71">
        <w:rPr>
          <w:rFonts w:ascii="Times New Roman" w:hAnsi="Times New Roman" w:cs="Times New Roman"/>
        </w:rPr>
        <w:t>Clark, 2018). Ensuring coherence between datasets is therefore essential.</w:t>
      </w:r>
      <w:r w:rsidR="00335BF7">
        <w:rPr>
          <w:rFonts w:ascii="Times New Roman" w:hAnsi="Times New Roman" w:cs="Times New Roman"/>
        </w:rPr>
        <w:t xml:space="preserve"> </w:t>
      </w:r>
      <w:r w:rsidRPr="00E46B71">
        <w:rPr>
          <w:rFonts w:ascii="Times New Roman" w:hAnsi="Times New Roman" w:cs="Times New Roman"/>
        </w:rPr>
        <w:t>However, within this study, the use of mixed methods is justified by the complexity of the research problem. By combining tools such as Likert-scale questionnaires, the SSWQ and semi-structured interviews, the study captures both measurable patterns and lived experience, providing a more complete understanding of how institutional practices shape student well-being within Welsh FE.</w:t>
      </w:r>
    </w:p>
    <w:p w14:paraId="2D4D9C91" w14:textId="5EF32A15" w:rsidR="00E46B71" w:rsidRPr="00E46B71" w:rsidRDefault="00E46B71" w:rsidP="00A33D67">
      <w:pPr>
        <w:spacing w:line="360" w:lineRule="auto"/>
        <w:rPr>
          <w:rFonts w:ascii="Times New Roman" w:hAnsi="Times New Roman" w:cs="Times New Roman"/>
        </w:rPr>
      </w:pPr>
      <w:r w:rsidRPr="00E46B71">
        <w:rPr>
          <w:rFonts w:ascii="Times New Roman" w:hAnsi="Times New Roman" w:cs="Times New Roman"/>
        </w:rPr>
        <w:t xml:space="preserve">To support this, appropriate analytical tools will be used for each dataset. Quantitative data will be analysed using the Statistical Package for the Social Sciences (SPSS), enabling descriptive statistics (e.g. means, frequencies) and, where appropriate, inferential analysis (e.g. correlations) to identify relationships between institutional practices and well-being. Qualitative data will be analysed using thematic analysis, following a structured process of </w:t>
      </w:r>
      <w:r w:rsidRPr="00E46B71">
        <w:rPr>
          <w:rFonts w:ascii="Times New Roman" w:hAnsi="Times New Roman" w:cs="Times New Roman"/>
        </w:rPr>
        <w:lastRenderedPageBreak/>
        <w:t>coding and theme development (Braun and Clarke, 20</w:t>
      </w:r>
      <w:r w:rsidR="00CF41B3">
        <w:rPr>
          <w:rFonts w:ascii="Times New Roman" w:hAnsi="Times New Roman" w:cs="Times New Roman"/>
        </w:rPr>
        <w:t>21</w:t>
      </w:r>
      <w:r w:rsidRPr="00E46B71">
        <w:rPr>
          <w:rFonts w:ascii="Times New Roman" w:hAnsi="Times New Roman" w:cs="Times New Roman"/>
        </w:rPr>
        <w:t>).</w:t>
      </w:r>
      <w:r w:rsidR="00335BF7">
        <w:rPr>
          <w:rFonts w:ascii="Times New Roman" w:hAnsi="Times New Roman" w:cs="Times New Roman"/>
        </w:rPr>
        <w:t xml:space="preserve"> </w:t>
      </w:r>
      <w:r w:rsidRPr="00E46B71">
        <w:rPr>
          <w:rFonts w:ascii="Times New Roman" w:hAnsi="Times New Roman" w:cs="Times New Roman"/>
        </w:rPr>
        <w:t>Together, the integration of statistical analysis and thematic interpretation strengthens the design, allowing the study to move beyond pattern identification towards a more detailed understanding of how institutional practices are experienced and interpreted by students</w:t>
      </w:r>
    </w:p>
    <w:p w14:paraId="03562227" w14:textId="77777777" w:rsidR="00A73B78" w:rsidRPr="00A33D67" w:rsidRDefault="00A73B78" w:rsidP="00A33D67">
      <w:pPr>
        <w:pStyle w:val="Heading2"/>
        <w:spacing w:line="360" w:lineRule="auto"/>
        <w:rPr>
          <w:rFonts w:ascii="Times New Roman" w:hAnsi="Times New Roman" w:cs="Times New Roman"/>
          <w:sz w:val="24"/>
          <w:szCs w:val="24"/>
        </w:rPr>
      </w:pPr>
      <w:bookmarkStart w:id="4" w:name="_Toc227154890"/>
      <w:r w:rsidRPr="00A33D67">
        <w:rPr>
          <w:rFonts w:ascii="Times New Roman" w:hAnsi="Times New Roman" w:cs="Times New Roman"/>
          <w:sz w:val="24"/>
          <w:szCs w:val="24"/>
        </w:rPr>
        <w:t>Research Questions</w:t>
      </w:r>
      <w:bookmarkEnd w:id="4"/>
    </w:p>
    <w:p w14:paraId="5831E552" w14:textId="00BC7F01"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 xml:space="preserve">This study is guided by three research questions which together explore how practices of monitoring, tracking and accountability within </w:t>
      </w:r>
      <w:r w:rsidR="00335BF7">
        <w:rPr>
          <w:rFonts w:ascii="Times New Roman" w:hAnsi="Times New Roman" w:cs="Times New Roman"/>
        </w:rPr>
        <w:t>FE</w:t>
      </w:r>
      <w:r w:rsidRPr="003C66E9">
        <w:rPr>
          <w:rFonts w:ascii="Times New Roman" w:hAnsi="Times New Roman" w:cs="Times New Roman"/>
        </w:rPr>
        <w:t xml:space="preserve"> colleges in Wales</w:t>
      </w:r>
      <w:r w:rsidR="00335BF7">
        <w:rPr>
          <w:rFonts w:ascii="Times New Roman" w:hAnsi="Times New Roman" w:cs="Times New Roman"/>
        </w:rPr>
        <w:t>,</w:t>
      </w:r>
      <w:r w:rsidRPr="003C66E9">
        <w:rPr>
          <w:rFonts w:ascii="Times New Roman" w:hAnsi="Times New Roman" w:cs="Times New Roman"/>
        </w:rPr>
        <w:t xml:space="preserve"> shape students’ emotional and psychological well-being. These questions are closely aligned with the overall aim of the study and are designed to capture both the scale of the issue and how it is experienced in practice.</w:t>
      </w:r>
    </w:p>
    <w:p w14:paraId="46D40A61" w14:textId="77777777" w:rsidR="00A73B78" w:rsidRPr="00A33D67" w:rsidRDefault="00A73B78" w:rsidP="00A33D67">
      <w:pPr>
        <w:pStyle w:val="Heading2"/>
        <w:spacing w:line="360" w:lineRule="auto"/>
        <w:rPr>
          <w:rFonts w:ascii="Times New Roman" w:hAnsi="Times New Roman" w:cs="Times New Roman"/>
          <w:sz w:val="24"/>
          <w:szCs w:val="24"/>
        </w:rPr>
      </w:pPr>
      <w:bookmarkStart w:id="5" w:name="_Toc227154891"/>
      <w:r w:rsidRPr="00A33D67">
        <w:rPr>
          <w:rFonts w:ascii="Times New Roman" w:hAnsi="Times New Roman" w:cs="Times New Roman"/>
          <w:sz w:val="24"/>
          <w:szCs w:val="24"/>
        </w:rPr>
        <w:t>Research Question 1 (RQ1)</w:t>
      </w:r>
      <w:bookmarkEnd w:id="5"/>
    </w:p>
    <w:p w14:paraId="4F9EFF02" w14:textId="77777777" w:rsidR="00A73B78" w:rsidRPr="00A33D67" w:rsidRDefault="00A73B78" w:rsidP="00A33D67">
      <w:pPr>
        <w:spacing w:line="360" w:lineRule="auto"/>
        <w:rPr>
          <w:rFonts w:ascii="Times New Roman" w:hAnsi="Times New Roman" w:cs="Times New Roman"/>
          <w:i/>
          <w:iCs/>
          <w:color w:val="4C94D8" w:themeColor="text2" w:themeTint="80"/>
        </w:rPr>
      </w:pPr>
      <w:r w:rsidRPr="00A33D67">
        <w:rPr>
          <w:rFonts w:ascii="Times New Roman" w:hAnsi="Times New Roman" w:cs="Times New Roman"/>
          <w:i/>
          <w:iCs/>
          <w:color w:val="4C94D8" w:themeColor="text2" w:themeTint="80"/>
        </w:rPr>
        <w:t>How are practices of monitoring, tracking and accountability within FE colleges in Wales perceived by students and staff to shape students’ emotional and psychological well-being?</w:t>
      </w:r>
    </w:p>
    <w:p w14:paraId="41CEA37C" w14:textId="26D62765"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This question has been selected as the central focus of the study, as it directly addresses the relationship between institutional practices and student well-being. It reflects a</w:t>
      </w:r>
      <w:r w:rsidR="00261D30">
        <w:rPr>
          <w:rFonts w:ascii="Times New Roman" w:hAnsi="Times New Roman" w:cs="Times New Roman"/>
        </w:rPr>
        <w:t xml:space="preserve"> </w:t>
      </w:r>
      <w:r w:rsidRPr="003C66E9">
        <w:rPr>
          <w:rFonts w:ascii="Times New Roman" w:hAnsi="Times New Roman" w:cs="Times New Roman"/>
        </w:rPr>
        <w:t>concern within the literature that systems designed to support student progress may also create unintended pressures, particularly within performative and data-driven environments (Ball, 2012). By focusing on perception, the question recognises that the impact of these practices is not simply determined by how they are designed, but by how they are experienced and interpreted by those within them.</w:t>
      </w:r>
    </w:p>
    <w:p w14:paraId="4424E4AC" w14:textId="77777777" w:rsidR="00497770" w:rsidRPr="00497770" w:rsidRDefault="00497770" w:rsidP="00A33D67">
      <w:pPr>
        <w:spacing w:line="360" w:lineRule="auto"/>
        <w:rPr>
          <w:rFonts w:ascii="Times New Roman" w:hAnsi="Times New Roman" w:cs="Times New Roman"/>
        </w:rPr>
      </w:pPr>
      <w:r w:rsidRPr="00497770">
        <w:rPr>
          <w:rFonts w:ascii="Times New Roman" w:hAnsi="Times New Roman" w:cs="Times New Roman"/>
        </w:rPr>
        <w:t>RQ1 sits across both interpretivist and post-positivist traditions within a broader pragmatic framework. On the one hand, it seeks to understand subjective experience, recognising that meaning is shaped through social context and individual interpretation, which aligns with interpretivist approaches to research (Creswell and Creswell, 2023). On the other hand, it also allows for the identification of patterns through quantitative data, reflecting post-positivist assumptions that aspects of social reality can be measured and analysed.</w:t>
      </w:r>
    </w:p>
    <w:p w14:paraId="5665834F" w14:textId="37DA2639" w:rsidR="00497770" w:rsidRPr="00497770" w:rsidRDefault="00497770" w:rsidP="00A33D67">
      <w:pPr>
        <w:spacing w:line="360" w:lineRule="auto"/>
        <w:rPr>
          <w:rFonts w:ascii="Times New Roman" w:hAnsi="Times New Roman" w:cs="Times New Roman"/>
        </w:rPr>
      </w:pPr>
      <w:r w:rsidRPr="00497770">
        <w:rPr>
          <w:rFonts w:ascii="Times New Roman" w:hAnsi="Times New Roman" w:cs="Times New Roman"/>
        </w:rPr>
        <w:t>Mixed methods research therefore provides a way of bringing together these different traditions, allowing for both the exploration of meaning and the identification of broader patterns within the data (</w:t>
      </w:r>
      <w:proofErr w:type="spellStart"/>
      <w:r w:rsidR="001E20A3" w:rsidRPr="001E20A3">
        <w:rPr>
          <w:rFonts w:ascii="Times New Roman" w:hAnsi="Times New Roman" w:cs="Times New Roman"/>
        </w:rPr>
        <w:t>Guraya</w:t>
      </w:r>
      <w:proofErr w:type="spellEnd"/>
      <w:r w:rsidR="001E20A3" w:rsidRPr="001E20A3">
        <w:rPr>
          <w:rFonts w:ascii="Times New Roman" w:hAnsi="Times New Roman" w:cs="Times New Roman"/>
        </w:rPr>
        <w:t>, 2023; Kaushik and Walsh, 2019; Foster, 2024</w:t>
      </w:r>
      <w:r w:rsidR="001D431F" w:rsidRPr="00497770">
        <w:rPr>
          <w:rFonts w:ascii="Times New Roman" w:hAnsi="Times New Roman" w:cs="Times New Roman"/>
        </w:rPr>
        <w:t>).</w:t>
      </w:r>
    </w:p>
    <w:p w14:paraId="6528C290" w14:textId="4401BE8D"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 xml:space="preserve">To address this question, both quantitative and qualitative data are required. Quantitative data will be collected through Likert-scale questionnaires and a validated measure such as the </w:t>
      </w:r>
      <w:r w:rsidRPr="003C66E9">
        <w:rPr>
          <w:rFonts w:ascii="Times New Roman" w:hAnsi="Times New Roman" w:cs="Times New Roman"/>
        </w:rPr>
        <w:lastRenderedPageBreak/>
        <w:t>SSWQ, allowing for patterns in student perceptions and well-being to be identified across a wider sample. However, this alone would not fully explain these patterns. Qualitative data, gathered through semi-structured interviews, will therefore be used to explore how students and staff interpret and respond to these practices.</w:t>
      </w:r>
      <w:r w:rsidR="006C5741" w:rsidRPr="00A33D67">
        <w:rPr>
          <w:rFonts w:ascii="Times New Roman" w:hAnsi="Times New Roman" w:cs="Times New Roman"/>
        </w:rPr>
        <w:t xml:space="preserve"> </w:t>
      </w:r>
      <w:r w:rsidRPr="003C66E9">
        <w:rPr>
          <w:rFonts w:ascii="Times New Roman" w:hAnsi="Times New Roman" w:cs="Times New Roman"/>
        </w:rPr>
        <w:t>Together, this approach allows the study to move beyond simply identifying trends, providing a more detailed understanding of how institutional practices are experienced and how they may shape emotional and psychological well-being in practice (Cohen, Manion and Morrison, 2018).</w:t>
      </w:r>
    </w:p>
    <w:p w14:paraId="7A8B2D18" w14:textId="77777777" w:rsidR="00A73B78" w:rsidRPr="00A33D67" w:rsidRDefault="00A73B78" w:rsidP="00A33D67">
      <w:pPr>
        <w:pStyle w:val="Heading2"/>
        <w:spacing w:line="360" w:lineRule="auto"/>
        <w:rPr>
          <w:rFonts w:ascii="Times New Roman" w:hAnsi="Times New Roman" w:cs="Times New Roman"/>
          <w:sz w:val="24"/>
          <w:szCs w:val="24"/>
        </w:rPr>
      </w:pPr>
      <w:bookmarkStart w:id="6" w:name="_Toc227154892"/>
      <w:r w:rsidRPr="00A33D67">
        <w:rPr>
          <w:rFonts w:ascii="Times New Roman" w:hAnsi="Times New Roman" w:cs="Times New Roman"/>
          <w:sz w:val="24"/>
          <w:szCs w:val="24"/>
        </w:rPr>
        <w:t>Research Question 2 (RQ2)</w:t>
      </w:r>
      <w:bookmarkEnd w:id="6"/>
    </w:p>
    <w:p w14:paraId="484DFAB0" w14:textId="77777777" w:rsidR="00A73B78" w:rsidRPr="00A33D67" w:rsidRDefault="00A73B78" w:rsidP="00A33D67">
      <w:pPr>
        <w:spacing w:line="360" w:lineRule="auto"/>
        <w:rPr>
          <w:rFonts w:ascii="Times New Roman" w:hAnsi="Times New Roman" w:cs="Times New Roman"/>
          <w:color w:val="4C94D8" w:themeColor="text2" w:themeTint="80"/>
        </w:rPr>
      </w:pPr>
      <w:r w:rsidRPr="00A33D67">
        <w:rPr>
          <w:rFonts w:ascii="Times New Roman" w:hAnsi="Times New Roman" w:cs="Times New Roman"/>
          <w:color w:val="4C94D8" w:themeColor="text2" w:themeTint="80"/>
        </w:rPr>
        <w:t>How are these practices justified, interpreted and enacted by staff and institutional leaders within FE colleges in Wales?</w:t>
      </w:r>
    </w:p>
    <w:p w14:paraId="1D4CE259" w14:textId="5FC88B76"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The second research question shifts the focus from student experience to the institutional perspective. It is included to recognise that practices of monitoring and accountability are not neutral, but are shaped by policy frameworks, organisational priorities and professional expectations. Understanding how staff and leaders justify and enact these practices is therefore important in developing a more complete picture of how they operate within FE contexts.</w:t>
      </w:r>
      <w:r w:rsidR="005D564E">
        <w:rPr>
          <w:rFonts w:ascii="Times New Roman" w:hAnsi="Times New Roman" w:cs="Times New Roman"/>
        </w:rPr>
        <w:t xml:space="preserve"> </w:t>
      </w:r>
      <w:r w:rsidRPr="003C66E9">
        <w:rPr>
          <w:rFonts w:ascii="Times New Roman" w:hAnsi="Times New Roman" w:cs="Times New Roman"/>
        </w:rPr>
        <w:t xml:space="preserve">RQ2 is primarily situated within an interpretivist position, as it is concerned with meaning, interpretation and professional reasoning. As Denzin and Lincoln (2018) suggest, qualitative approaches are particularly useful when exploring how individuals make sense of their social world. </w:t>
      </w:r>
    </w:p>
    <w:p w14:paraId="0B317CFB" w14:textId="42A34D94"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 xml:space="preserve">The data required to address this question is predominantly qualitative. Semi-structured interviews with staff and institutional leaders will be used to explore how monitoring practices are understood, justified and implemented in practice. This approach is particularly appropriate as it allows for the exploration of perspectives, experiences and professional reasoning in a way that more structured methods would not capture (Bryman, 2016; </w:t>
      </w:r>
      <w:r w:rsidR="001E20A3" w:rsidRPr="001E20A3">
        <w:rPr>
          <w:rFonts w:ascii="Times New Roman" w:hAnsi="Times New Roman" w:cs="Times New Roman"/>
        </w:rPr>
        <w:t>Rossman, 2016</w:t>
      </w:r>
      <w:r w:rsidRPr="006C5741">
        <w:rPr>
          <w:rFonts w:ascii="Times New Roman" w:hAnsi="Times New Roman" w:cs="Times New Roman"/>
        </w:rPr>
        <w:t>).</w:t>
      </w:r>
    </w:p>
    <w:p w14:paraId="4CC47945" w14:textId="4EF6FD7C" w:rsidR="006C5741" w:rsidRPr="006C5741" w:rsidRDefault="006C5741" w:rsidP="00A33D67">
      <w:pPr>
        <w:spacing w:line="360" w:lineRule="auto"/>
        <w:rPr>
          <w:rFonts w:ascii="Times New Roman" w:hAnsi="Times New Roman" w:cs="Times New Roman"/>
        </w:rPr>
      </w:pPr>
      <w:r w:rsidRPr="006C5741">
        <w:rPr>
          <w:rFonts w:ascii="Times New Roman" w:hAnsi="Times New Roman" w:cs="Times New Roman"/>
        </w:rPr>
        <w:t>These interviews will be guided by a framework focusing on key areas such as accountability pressures, policy influences and perceptions of student support. This ensures a level of consistency across participants, while still allowing flexibility for individuals to raise issues that are significant to their experience. Semi-structured interviews are widely recognised for this balance, enabling comparability across responses while also allowing for depth and the exploration of meaning (Kvale and Brinkmann, 2015; Denzin and Lincoln, 2018).</w:t>
      </w:r>
      <w:r w:rsidRPr="00A33D67">
        <w:rPr>
          <w:rFonts w:ascii="Times New Roman" w:hAnsi="Times New Roman" w:cs="Times New Roman"/>
        </w:rPr>
        <w:t xml:space="preserve"> </w:t>
      </w:r>
      <w:r w:rsidRPr="006C5741">
        <w:rPr>
          <w:rFonts w:ascii="Times New Roman" w:hAnsi="Times New Roman" w:cs="Times New Roman"/>
        </w:rPr>
        <w:t xml:space="preserve">This flexibility is particularly important within this study, as it allows participants to reflect on </w:t>
      </w:r>
      <w:r w:rsidRPr="006C5741">
        <w:rPr>
          <w:rFonts w:ascii="Times New Roman" w:hAnsi="Times New Roman" w:cs="Times New Roman"/>
        </w:rPr>
        <w:lastRenderedPageBreak/>
        <w:t>how institutional practices are interpreted and enacted in context, rather than simply describing them. In doing so, the method supports a more detailed and nuanced understanding of how these practices operate in practice (Tracy, 2020)</w:t>
      </w:r>
      <w:r w:rsidRPr="00A33D67">
        <w:rPr>
          <w:rFonts w:ascii="Times New Roman" w:hAnsi="Times New Roman" w:cs="Times New Roman"/>
        </w:rPr>
        <w:t xml:space="preserve">. </w:t>
      </w:r>
    </w:p>
    <w:p w14:paraId="33D8263E" w14:textId="4D6CE02B" w:rsidR="003C66E9" w:rsidRPr="003C66E9" w:rsidRDefault="003C66E9" w:rsidP="00A33D67">
      <w:pPr>
        <w:spacing w:line="360" w:lineRule="auto"/>
        <w:rPr>
          <w:rFonts w:ascii="Times New Roman" w:hAnsi="Times New Roman" w:cs="Times New Roman"/>
        </w:rPr>
      </w:pPr>
      <w:r w:rsidRPr="003C66E9">
        <w:rPr>
          <w:rFonts w:ascii="Times New Roman" w:hAnsi="Times New Roman" w:cs="Times New Roman"/>
        </w:rPr>
        <w:t xml:space="preserve">While quantitative data is less central to this question, findings from the survey used in RQ1 may provide useful context, particularly where patterns in student experience raise questions that require further exploration. </w:t>
      </w:r>
    </w:p>
    <w:p w14:paraId="58DFA453" w14:textId="77777777" w:rsidR="00A73B78" w:rsidRPr="00A33D67" w:rsidRDefault="00A73B78" w:rsidP="00A33D67">
      <w:pPr>
        <w:pStyle w:val="Heading2"/>
        <w:spacing w:line="360" w:lineRule="auto"/>
        <w:rPr>
          <w:rFonts w:ascii="Times New Roman" w:hAnsi="Times New Roman" w:cs="Times New Roman"/>
          <w:sz w:val="24"/>
          <w:szCs w:val="24"/>
        </w:rPr>
      </w:pPr>
      <w:bookmarkStart w:id="7" w:name="_Toc227154893"/>
      <w:r w:rsidRPr="00A33D67">
        <w:rPr>
          <w:rFonts w:ascii="Times New Roman" w:hAnsi="Times New Roman" w:cs="Times New Roman"/>
          <w:sz w:val="24"/>
          <w:szCs w:val="24"/>
        </w:rPr>
        <w:t>Research Question 3 (RQ3)</w:t>
      </w:r>
      <w:bookmarkEnd w:id="7"/>
    </w:p>
    <w:p w14:paraId="6E06DAAC" w14:textId="2E480264" w:rsidR="0054772E" w:rsidRPr="00A33D67" w:rsidRDefault="00A73B78" w:rsidP="00A33D67">
      <w:pPr>
        <w:spacing w:line="360" w:lineRule="auto"/>
        <w:rPr>
          <w:rFonts w:ascii="Times New Roman" w:hAnsi="Times New Roman" w:cs="Times New Roman"/>
          <w:color w:val="4C94D8" w:themeColor="text2" w:themeTint="80"/>
        </w:rPr>
      </w:pPr>
      <w:r w:rsidRPr="00A33D67">
        <w:rPr>
          <w:rFonts w:ascii="Times New Roman" w:hAnsi="Times New Roman" w:cs="Times New Roman"/>
          <w:color w:val="4C94D8" w:themeColor="text2" w:themeTint="80"/>
        </w:rPr>
        <w:t>What changes to FE monitoring system practices do students and staff identify as necessary to mitigate any emotional and psychological harm in FE colleges in Wales?</w:t>
      </w:r>
    </w:p>
    <w:p w14:paraId="5F928EDE" w14:textId="77777777"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The third research question introduces a more applied dimension to the study, moving beyond description and explanation to focus on how practice might be improved. This reflects the wider aim of the research, which is not only to understand how institutional practices shape student well-being, but also to consider how these practices might be adapted to better support students within FE.</w:t>
      </w:r>
    </w:p>
    <w:p w14:paraId="147FD310" w14:textId="32458DB4"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RQ3 aligns with a pragmatic approach, which emphasises the practical use of research in addressing real-world issues (Creswell and Plano Clark, 2018). It also draws on interpretivist and participatory principles, recognising the importance of including the perspectives of those directly affected by these practices</w:t>
      </w:r>
      <w:r w:rsidR="006E7A38">
        <w:rPr>
          <w:rFonts w:ascii="Times New Roman" w:hAnsi="Times New Roman" w:cs="Times New Roman"/>
        </w:rPr>
        <w:t xml:space="preserve"> </w:t>
      </w:r>
      <w:r w:rsidR="006E7A38" w:rsidRPr="006E7A38">
        <w:rPr>
          <w:rFonts w:ascii="Times New Roman" w:hAnsi="Times New Roman" w:cs="Times New Roman"/>
        </w:rPr>
        <w:t>(Fielding, 2004)</w:t>
      </w:r>
      <w:r w:rsidRPr="0054772E">
        <w:rPr>
          <w:rFonts w:ascii="Times New Roman" w:hAnsi="Times New Roman" w:cs="Times New Roman"/>
        </w:rPr>
        <w:t>. By incorporating both student and staff voices, the question acknowledges that meaningful change is more likely where those experiencing these systems are involved in shaping them (Fielding, 2004; Hargreaves and Fullan, 2012</w:t>
      </w:r>
      <w:r w:rsidR="001D431F">
        <w:rPr>
          <w:rFonts w:ascii="Times New Roman" w:hAnsi="Times New Roman" w:cs="Times New Roman"/>
        </w:rPr>
        <w:t xml:space="preserve">; </w:t>
      </w:r>
      <w:r w:rsidRPr="0054772E">
        <w:rPr>
          <w:rFonts w:ascii="Times New Roman" w:hAnsi="Times New Roman" w:cs="Times New Roman"/>
        </w:rPr>
        <w:t>Rudduck and Flutter, 2004).</w:t>
      </w:r>
    </w:p>
    <w:p w14:paraId="06D0BC52" w14:textId="261A1A1B"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 xml:space="preserve">To address this question, qualitative data will be central. </w:t>
      </w:r>
      <w:r w:rsidR="006E7A38" w:rsidRPr="006E7A38">
        <w:rPr>
          <w:rFonts w:ascii="Times New Roman" w:hAnsi="Times New Roman" w:cs="Times New Roman"/>
        </w:rPr>
        <w:t>Semi-structured interviews and focus groups will be used to explore how participants understand and experience monitoring practices, and how they believe these could be improved. This approach enables the generation of rich, context-specific insights, supporting participants to reflect on their experiences and articulate meaningful changes within their own settings (Kvale and Brinkmann, 2015; Denzin and Lincoln, 2018)</w:t>
      </w:r>
      <w:r w:rsidRPr="0054772E">
        <w:rPr>
          <w:rFonts w:ascii="Times New Roman" w:hAnsi="Times New Roman" w:cs="Times New Roman"/>
        </w:rPr>
        <w:t>.</w:t>
      </w:r>
    </w:p>
    <w:p w14:paraId="10D54F6A" w14:textId="77777777"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Quantitative findings from the survey data will also inform this stage of the research. Patterns identified earlier can highlight areas of concern, which can then be explored in more depth through qualitative methods. In this way, the study links evidence of what is happening with a clearer understanding of how practice might be developed.</w:t>
      </w:r>
    </w:p>
    <w:p w14:paraId="2A972E9B" w14:textId="77777777" w:rsidR="00E46B71" w:rsidRPr="00A33D67" w:rsidRDefault="006C5741" w:rsidP="00A33D67">
      <w:pPr>
        <w:pStyle w:val="Heading2"/>
        <w:spacing w:line="360" w:lineRule="auto"/>
        <w:rPr>
          <w:rFonts w:ascii="Times New Roman" w:hAnsi="Times New Roman" w:cs="Times New Roman"/>
          <w:sz w:val="24"/>
          <w:szCs w:val="24"/>
        </w:rPr>
      </w:pPr>
      <w:bookmarkStart w:id="8" w:name="_Toc227154894"/>
      <w:r w:rsidRPr="00A33D67">
        <w:rPr>
          <w:rFonts w:ascii="Times New Roman" w:hAnsi="Times New Roman" w:cs="Times New Roman"/>
          <w:sz w:val="24"/>
          <w:szCs w:val="24"/>
        </w:rPr>
        <w:lastRenderedPageBreak/>
        <w:t>Conclusion</w:t>
      </w:r>
      <w:bookmarkEnd w:id="8"/>
    </w:p>
    <w:p w14:paraId="1B4D6129" w14:textId="5D40FA6B"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 xml:space="preserve">By adopting a pragmatic mixed methods approach, the research draws on both quantitative and qualitative data to explore different aspects of the </w:t>
      </w:r>
      <w:r w:rsidR="005D564E">
        <w:rPr>
          <w:rFonts w:ascii="Times New Roman" w:hAnsi="Times New Roman" w:cs="Times New Roman"/>
        </w:rPr>
        <w:t>well-being debate</w:t>
      </w:r>
      <w:r w:rsidRPr="0054772E">
        <w:rPr>
          <w:rFonts w:ascii="Times New Roman" w:hAnsi="Times New Roman" w:cs="Times New Roman"/>
        </w:rPr>
        <w:t>. This allows the study to be both theoretically informed and grounded in practice, offering insight that is relevant to academic debate as well as professional contexts within FE.</w:t>
      </w:r>
    </w:p>
    <w:p w14:paraId="02952F00" w14:textId="06ACC90A"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 xml:space="preserve">In response to the growing policy focus on student well-being within </w:t>
      </w:r>
      <w:r w:rsidR="005D564E">
        <w:rPr>
          <w:rFonts w:ascii="Times New Roman" w:hAnsi="Times New Roman" w:cs="Times New Roman"/>
        </w:rPr>
        <w:t>FE</w:t>
      </w:r>
      <w:r w:rsidRPr="0054772E">
        <w:rPr>
          <w:rFonts w:ascii="Times New Roman" w:hAnsi="Times New Roman" w:cs="Times New Roman"/>
        </w:rPr>
        <w:t xml:space="preserve"> in Wales, this study investigates how practices of monitoring, tracking and accountability shape students’ emotional and psychological experiences. By combining quantitative measures, such as the SSWQ, with qualitative insights from semi-structured interviews, the study explores both patterns in student experience and the meanings attached to them.</w:t>
      </w:r>
    </w:p>
    <w:p w14:paraId="3038C2F5" w14:textId="77777777" w:rsidR="0054772E" w:rsidRPr="0054772E" w:rsidRDefault="0054772E" w:rsidP="00A33D67">
      <w:pPr>
        <w:spacing w:line="360" w:lineRule="auto"/>
        <w:rPr>
          <w:rFonts w:ascii="Times New Roman" w:hAnsi="Times New Roman" w:cs="Times New Roman"/>
        </w:rPr>
      </w:pPr>
      <w:r w:rsidRPr="0054772E">
        <w:rPr>
          <w:rFonts w:ascii="Times New Roman" w:hAnsi="Times New Roman" w:cs="Times New Roman"/>
        </w:rPr>
        <w:t>Through these research questions, the study moves beyond examining these practices in isolation, to critically considering their impact and how they might be adapted. In doing so, it aims to contribute to a more informed understanding of how well-being is shaped within FE, and to identify ways in which current approaches might better support sustainable student well-being.</w:t>
      </w:r>
    </w:p>
    <w:p w14:paraId="5B2D4433" w14:textId="4E93373C" w:rsidR="008645E9" w:rsidRPr="0026131F" w:rsidRDefault="00A33D67" w:rsidP="0026131F">
      <w:pPr>
        <w:pStyle w:val="Heading2"/>
      </w:pPr>
      <w:bookmarkStart w:id="9" w:name="_Toc227154895"/>
      <w:r>
        <w:t>R</w:t>
      </w:r>
      <w:r w:rsidR="001A1222" w:rsidRPr="0026131F">
        <w:t>eferences</w:t>
      </w:r>
      <w:bookmarkEnd w:id="9"/>
      <w:r w:rsidR="001A1222" w:rsidRPr="0026131F">
        <w:t xml:space="preserve"> </w:t>
      </w:r>
    </w:p>
    <w:p w14:paraId="5B2E5BFD" w14:textId="1E6E2CA6"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Ball, S.J. (2003) ‘The teacher’s soul and the terrors of performativity’, </w:t>
      </w:r>
      <w:r w:rsidRPr="001E20A3">
        <w:rPr>
          <w:rFonts w:ascii="Times New Roman" w:hAnsi="Times New Roman" w:cs="Times New Roman"/>
          <w:i/>
          <w:iCs/>
        </w:rPr>
        <w:t>Journal of Education Policy</w:t>
      </w:r>
      <w:r w:rsidRPr="001E20A3">
        <w:rPr>
          <w:rFonts w:ascii="Times New Roman" w:hAnsi="Times New Roman" w:cs="Times New Roman"/>
        </w:rPr>
        <w:t xml:space="preserve">, 18(2), pp. 215–228. Available at: </w:t>
      </w:r>
      <w:hyperlink r:id="rId10" w:tgtFrame="_new" w:history="1">
        <w:r w:rsidRPr="001E20A3">
          <w:rPr>
            <w:rStyle w:val="Hyperlink"/>
            <w:rFonts w:ascii="Times New Roman" w:hAnsi="Times New Roman" w:cs="Times New Roman"/>
          </w:rPr>
          <w:t>https://doi.org/10.1080/0268093022000043065</w:t>
        </w:r>
      </w:hyperlink>
      <w:r w:rsidRPr="001E20A3">
        <w:rPr>
          <w:rFonts w:ascii="Times New Roman" w:hAnsi="Times New Roman" w:cs="Times New Roman"/>
        </w:rPr>
        <w:t xml:space="preserve"> (Accessed: </w:t>
      </w:r>
      <w:r w:rsidR="00FE47BB">
        <w:rPr>
          <w:rFonts w:ascii="Times New Roman" w:hAnsi="Times New Roman" w:cs="Times New Roman"/>
        </w:rPr>
        <w:t>10/02/26</w:t>
      </w:r>
      <w:r w:rsidRPr="001E20A3">
        <w:rPr>
          <w:rFonts w:ascii="Times New Roman" w:hAnsi="Times New Roman" w:cs="Times New Roman"/>
        </w:rPr>
        <w:t>).</w:t>
      </w:r>
    </w:p>
    <w:p w14:paraId="1C8BDF6A" w14:textId="67F340D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Bhaskar, R. (1978) </w:t>
      </w:r>
      <w:r w:rsidRPr="001E20A3">
        <w:rPr>
          <w:rFonts w:ascii="Times New Roman" w:hAnsi="Times New Roman" w:cs="Times New Roman"/>
          <w:i/>
          <w:iCs/>
        </w:rPr>
        <w:t>A realist theory of science</w:t>
      </w:r>
      <w:r w:rsidRPr="001E20A3">
        <w:rPr>
          <w:rFonts w:ascii="Times New Roman" w:hAnsi="Times New Roman" w:cs="Times New Roman"/>
        </w:rPr>
        <w:t xml:space="preserve">. 2nd </w:t>
      </w:r>
      <w:proofErr w:type="spellStart"/>
      <w:r w:rsidRPr="001E20A3">
        <w:rPr>
          <w:rFonts w:ascii="Times New Roman" w:hAnsi="Times New Roman" w:cs="Times New Roman"/>
        </w:rPr>
        <w:t>edn</w:t>
      </w:r>
      <w:proofErr w:type="spellEnd"/>
      <w:r w:rsidRPr="001E20A3">
        <w:rPr>
          <w:rFonts w:ascii="Times New Roman" w:hAnsi="Times New Roman" w:cs="Times New Roman"/>
        </w:rPr>
        <w:t>. Hassocks: Harvester Press.</w:t>
      </w:r>
      <w:r w:rsidR="006D754D">
        <w:rPr>
          <w:rFonts w:ascii="Times New Roman" w:hAnsi="Times New Roman" w:cs="Times New Roman"/>
        </w:rPr>
        <w:t xml:space="preserve"> </w:t>
      </w:r>
      <w:r w:rsidR="006D754D">
        <w:rPr>
          <w:rFonts w:ascii="Times New Roman" w:hAnsi="Times New Roman" w:cs="Times New Roman"/>
        </w:rPr>
        <w:t xml:space="preserve">Available at: </w:t>
      </w:r>
      <w:hyperlink r:id="rId11" w:history="1">
        <w:r w:rsidR="006D754D" w:rsidRPr="00545C8D">
          <w:rPr>
            <w:rStyle w:val="Hyperlink"/>
            <w:rFonts w:ascii="Times New Roman" w:hAnsi="Times New Roman" w:cs="Times New Roman"/>
          </w:rPr>
          <w:t>(PDF) A realist theory of science (1975) | Roy Bhaskar | 3677 Citations</w:t>
        </w:r>
      </w:hyperlink>
      <w:r w:rsidR="006D754D">
        <w:rPr>
          <w:rFonts w:ascii="Times New Roman" w:hAnsi="Times New Roman" w:cs="Times New Roman"/>
        </w:rPr>
        <w:t xml:space="preserve"> (Accessed 12/02/26)</w:t>
      </w:r>
      <w:r w:rsidR="006D754D">
        <w:rPr>
          <w:rFonts w:ascii="Times New Roman" w:hAnsi="Times New Roman" w:cs="Times New Roman"/>
        </w:rPr>
        <w:t xml:space="preserve">. </w:t>
      </w:r>
    </w:p>
    <w:p w14:paraId="3D06AB91" w14:textId="61A4E3FD"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Biesta, G. (2010) </w:t>
      </w:r>
      <w:r w:rsidRPr="001E20A3">
        <w:rPr>
          <w:rFonts w:ascii="Times New Roman" w:hAnsi="Times New Roman" w:cs="Times New Roman"/>
          <w:i/>
          <w:iCs/>
        </w:rPr>
        <w:t>Good education in an age of measurement: Ethics, politics, democracy</w:t>
      </w:r>
      <w:r w:rsidRPr="001E20A3">
        <w:rPr>
          <w:rFonts w:ascii="Times New Roman" w:hAnsi="Times New Roman" w:cs="Times New Roman"/>
        </w:rPr>
        <w:t>. Boulder, CO: Paradigm Publishers.</w:t>
      </w:r>
      <w:r w:rsidR="006D754D">
        <w:rPr>
          <w:rFonts w:ascii="Times New Roman" w:hAnsi="Times New Roman" w:cs="Times New Roman"/>
        </w:rPr>
        <w:t xml:space="preserve"> </w:t>
      </w:r>
      <w:r w:rsidR="006D754D">
        <w:rPr>
          <w:rFonts w:ascii="Times New Roman" w:hAnsi="Times New Roman" w:cs="Times New Roman"/>
        </w:rPr>
        <w:t xml:space="preserve">Available at </w:t>
      </w:r>
      <w:hyperlink r:id="rId12" w:history="1">
        <w:r w:rsidR="006D754D" w:rsidRPr="00545C8D">
          <w:rPr>
            <w:rStyle w:val="Hyperlink"/>
            <w:rFonts w:ascii="Times New Roman" w:hAnsi="Times New Roman" w:cs="Times New Roman"/>
          </w:rPr>
          <w:t>(PDF) Good Education in an Age of Measurement: On the Need to Reconnect with the Question of Purpose in Education</w:t>
        </w:r>
      </w:hyperlink>
      <w:r w:rsidR="006D754D">
        <w:rPr>
          <w:rFonts w:ascii="Times New Roman" w:hAnsi="Times New Roman" w:cs="Times New Roman"/>
        </w:rPr>
        <w:t xml:space="preserve"> (Accessed 15/02/26).</w:t>
      </w:r>
    </w:p>
    <w:p w14:paraId="43F0AD25"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Braun, V. and Clarke, V. (2021) </w:t>
      </w:r>
      <w:r w:rsidRPr="001E20A3">
        <w:rPr>
          <w:rFonts w:ascii="Times New Roman" w:hAnsi="Times New Roman" w:cs="Times New Roman"/>
          <w:i/>
          <w:iCs/>
        </w:rPr>
        <w:t>Thematic analysis: A practical guide</w:t>
      </w:r>
      <w:r w:rsidRPr="001E20A3">
        <w:rPr>
          <w:rFonts w:ascii="Times New Roman" w:hAnsi="Times New Roman" w:cs="Times New Roman"/>
        </w:rPr>
        <w:t>. London: SAGE Publications.</w:t>
      </w:r>
    </w:p>
    <w:p w14:paraId="032F4B9F"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Bryman, A. (2016) </w:t>
      </w:r>
      <w:r w:rsidRPr="001E20A3">
        <w:rPr>
          <w:rFonts w:ascii="Times New Roman" w:hAnsi="Times New Roman" w:cs="Times New Roman"/>
          <w:i/>
          <w:iCs/>
        </w:rPr>
        <w:t>Social research methods</w:t>
      </w:r>
      <w:r w:rsidRPr="001E20A3">
        <w:rPr>
          <w:rFonts w:ascii="Times New Roman" w:hAnsi="Times New Roman" w:cs="Times New Roman"/>
        </w:rPr>
        <w:t xml:space="preserve">. 5th </w:t>
      </w:r>
      <w:proofErr w:type="spellStart"/>
      <w:r w:rsidRPr="001E20A3">
        <w:rPr>
          <w:rFonts w:ascii="Times New Roman" w:hAnsi="Times New Roman" w:cs="Times New Roman"/>
        </w:rPr>
        <w:t>edn</w:t>
      </w:r>
      <w:proofErr w:type="spellEnd"/>
      <w:r w:rsidRPr="001E20A3">
        <w:rPr>
          <w:rFonts w:ascii="Times New Roman" w:hAnsi="Times New Roman" w:cs="Times New Roman"/>
        </w:rPr>
        <w:t>. Oxford: Oxford University Press.</w:t>
      </w:r>
    </w:p>
    <w:p w14:paraId="4874CACF" w14:textId="70DBEB31"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lastRenderedPageBreak/>
        <w:t xml:space="preserve">Cohen, L., Manion, L. and Morrison, K. (2018) </w:t>
      </w:r>
      <w:r w:rsidRPr="001E20A3">
        <w:rPr>
          <w:rFonts w:ascii="Times New Roman" w:hAnsi="Times New Roman" w:cs="Times New Roman"/>
          <w:i/>
          <w:iCs/>
        </w:rPr>
        <w:t>Research methods in education</w:t>
      </w:r>
      <w:r w:rsidRPr="001E20A3">
        <w:rPr>
          <w:rFonts w:ascii="Times New Roman" w:hAnsi="Times New Roman" w:cs="Times New Roman"/>
        </w:rPr>
        <w:t xml:space="preserve">. 8th </w:t>
      </w:r>
      <w:proofErr w:type="spellStart"/>
      <w:r w:rsidRPr="001E20A3">
        <w:rPr>
          <w:rFonts w:ascii="Times New Roman" w:hAnsi="Times New Roman" w:cs="Times New Roman"/>
        </w:rPr>
        <w:t>edn</w:t>
      </w:r>
      <w:proofErr w:type="spellEnd"/>
      <w:r w:rsidRPr="001E20A3">
        <w:rPr>
          <w:rFonts w:ascii="Times New Roman" w:hAnsi="Times New Roman" w:cs="Times New Roman"/>
        </w:rPr>
        <w:t>. London: Routledge.</w:t>
      </w:r>
      <w:r w:rsidR="006D754D">
        <w:rPr>
          <w:rFonts w:ascii="Times New Roman" w:hAnsi="Times New Roman" w:cs="Times New Roman"/>
        </w:rPr>
        <w:t xml:space="preserve"> </w:t>
      </w:r>
      <w:r w:rsidR="006D754D">
        <w:rPr>
          <w:rFonts w:ascii="Times New Roman" w:hAnsi="Times New Roman" w:cs="Times New Roman"/>
        </w:rPr>
        <w:t xml:space="preserve">Available at: </w:t>
      </w:r>
      <w:hyperlink r:id="rId13" w:history="1">
        <w:r w:rsidR="006D754D" w:rsidRPr="006052D7">
          <w:rPr>
            <w:rStyle w:val="Hyperlink"/>
            <w:rFonts w:ascii="Times New Roman" w:hAnsi="Times New Roman" w:cs="Times New Roman"/>
          </w:rPr>
          <w:t>Full details and actions for Research methods in education</w:t>
        </w:r>
      </w:hyperlink>
      <w:r w:rsidR="006D754D">
        <w:rPr>
          <w:rFonts w:ascii="Times New Roman" w:hAnsi="Times New Roman" w:cs="Times New Roman"/>
        </w:rPr>
        <w:t xml:space="preserve">  (accessed 01/03/26).</w:t>
      </w:r>
    </w:p>
    <w:p w14:paraId="43953BF2"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Creswell, J.W. and Plano Clark, V.L. (2018) </w:t>
      </w:r>
      <w:r w:rsidRPr="001E20A3">
        <w:rPr>
          <w:rFonts w:ascii="Times New Roman" w:hAnsi="Times New Roman" w:cs="Times New Roman"/>
          <w:i/>
          <w:iCs/>
        </w:rPr>
        <w:t>Designing and conducting mixed methods research</w:t>
      </w:r>
      <w:r w:rsidRPr="001E20A3">
        <w:rPr>
          <w:rFonts w:ascii="Times New Roman" w:hAnsi="Times New Roman" w:cs="Times New Roman"/>
        </w:rPr>
        <w:t xml:space="preserve">. 3rd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4F298E1A"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Creswell, J.W. and Creswell, J.D. (2023) </w:t>
      </w:r>
      <w:r w:rsidRPr="001E20A3">
        <w:rPr>
          <w:rFonts w:ascii="Times New Roman" w:hAnsi="Times New Roman" w:cs="Times New Roman"/>
          <w:i/>
          <w:iCs/>
        </w:rPr>
        <w:t xml:space="preserve">Research design: Qualitative, quantitative, and mixed methods </w:t>
      </w:r>
      <w:proofErr w:type="gramStart"/>
      <w:r w:rsidRPr="001E20A3">
        <w:rPr>
          <w:rFonts w:ascii="Times New Roman" w:hAnsi="Times New Roman" w:cs="Times New Roman"/>
          <w:i/>
          <w:iCs/>
        </w:rPr>
        <w:t>approaches</w:t>
      </w:r>
      <w:proofErr w:type="gramEnd"/>
      <w:r w:rsidRPr="001E20A3">
        <w:rPr>
          <w:rFonts w:ascii="Times New Roman" w:hAnsi="Times New Roman" w:cs="Times New Roman"/>
        </w:rPr>
        <w:t xml:space="preserve">. 6th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60263FC5" w14:textId="77777777" w:rsidR="006D754D" w:rsidRPr="006D754D" w:rsidRDefault="001E20A3" w:rsidP="006D754D">
      <w:pPr>
        <w:rPr>
          <w:rFonts w:ascii="Times New Roman" w:hAnsi="Times New Roman" w:cs="Times New Roman"/>
        </w:rPr>
      </w:pPr>
      <w:r w:rsidRPr="006D754D">
        <w:rPr>
          <w:rFonts w:ascii="Times New Roman" w:hAnsi="Times New Roman" w:cs="Times New Roman"/>
        </w:rPr>
        <w:t xml:space="preserve">Crotty, M. (1998) </w:t>
      </w:r>
      <w:r w:rsidRPr="006D754D">
        <w:rPr>
          <w:rFonts w:ascii="Times New Roman" w:hAnsi="Times New Roman" w:cs="Times New Roman"/>
          <w:i/>
          <w:iCs/>
        </w:rPr>
        <w:t>The foundations of social research: Meaning and perspective in the research process</w:t>
      </w:r>
      <w:r w:rsidRPr="006D754D">
        <w:rPr>
          <w:rFonts w:ascii="Times New Roman" w:hAnsi="Times New Roman" w:cs="Times New Roman"/>
        </w:rPr>
        <w:t>. London: SAGE Publications.</w:t>
      </w:r>
      <w:r w:rsidR="006D754D" w:rsidRPr="006D754D">
        <w:rPr>
          <w:rFonts w:ascii="Times New Roman" w:hAnsi="Times New Roman" w:cs="Times New Roman"/>
        </w:rPr>
        <w:t xml:space="preserve"> </w:t>
      </w:r>
      <w:r w:rsidR="006D754D" w:rsidRPr="006D754D">
        <w:rPr>
          <w:rFonts w:ascii="Times New Roman" w:hAnsi="Times New Roman" w:cs="Times New Roman"/>
        </w:rPr>
        <w:t xml:space="preserve">Available at </w:t>
      </w:r>
      <w:hyperlink r:id="rId14" w:history="1">
        <w:r w:rsidR="006D754D" w:rsidRPr="006D754D">
          <w:rPr>
            <w:rStyle w:val="Hyperlink"/>
            <w:rFonts w:ascii="Times New Roman" w:hAnsi="Times New Roman" w:cs="Times New Roman"/>
          </w:rPr>
          <w:t>The Foundations of Social Research : Meaning and Perspective in the Research Process - EBSCO</w:t>
        </w:r>
      </w:hyperlink>
      <w:r w:rsidR="006D754D" w:rsidRPr="006D754D">
        <w:rPr>
          <w:rFonts w:ascii="Times New Roman" w:hAnsi="Times New Roman" w:cs="Times New Roman"/>
        </w:rPr>
        <w:t xml:space="preserve"> (accessed 25/02/26). </w:t>
      </w:r>
    </w:p>
    <w:p w14:paraId="3450FF71" w14:textId="5FB9BE5F"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Deci, E.L. and Ryan, R.M. (2000) ‘The “what” and “why” of goal pursuits: Human needs and the self-determination of </w:t>
      </w:r>
      <w:proofErr w:type="spellStart"/>
      <w:r w:rsidRPr="001E20A3">
        <w:rPr>
          <w:rFonts w:ascii="Times New Roman" w:hAnsi="Times New Roman" w:cs="Times New Roman"/>
        </w:rPr>
        <w:t>behavior</w:t>
      </w:r>
      <w:proofErr w:type="spellEnd"/>
      <w:r w:rsidRPr="001E20A3">
        <w:rPr>
          <w:rFonts w:ascii="Times New Roman" w:hAnsi="Times New Roman" w:cs="Times New Roman"/>
        </w:rPr>
        <w:t xml:space="preserve">’, </w:t>
      </w:r>
      <w:r w:rsidRPr="001E20A3">
        <w:rPr>
          <w:rFonts w:ascii="Times New Roman" w:hAnsi="Times New Roman" w:cs="Times New Roman"/>
          <w:i/>
          <w:iCs/>
        </w:rPr>
        <w:t>Psychological Inquiry</w:t>
      </w:r>
      <w:r w:rsidRPr="001E20A3">
        <w:rPr>
          <w:rFonts w:ascii="Times New Roman" w:hAnsi="Times New Roman" w:cs="Times New Roman"/>
        </w:rPr>
        <w:t xml:space="preserve">, 11(4), pp. 227–268. Available at: </w:t>
      </w:r>
      <w:hyperlink r:id="rId15" w:tgtFrame="_new" w:history="1">
        <w:r w:rsidRPr="001E20A3">
          <w:rPr>
            <w:rStyle w:val="Hyperlink"/>
            <w:rFonts w:ascii="Times New Roman" w:hAnsi="Times New Roman" w:cs="Times New Roman"/>
          </w:rPr>
          <w:t>https://www.jstor.org</w:t>
        </w:r>
      </w:hyperlink>
      <w:r w:rsidRPr="001E20A3">
        <w:rPr>
          <w:rFonts w:ascii="Times New Roman" w:hAnsi="Times New Roman" w:cs="Times New Roman"/>
        </w:rPr>
        <w:t xml:space="preserve"> (Accessed: </w:t>
      </w:r>
      <w:r w:rsidR="00FE47BB">
        <w:rPr>
          <w:rFonts w:ascii="Times New Roman" w:hAnsi="Times New Roman" w:cs="Times New Roman"/>
        </w:rPr>
        <w:t>10/02/26</w:t>
      </w:r>
      <w:r w:rsidRPr="001E20A3">
        <w:rPr>
          <w:rFonts w:ascii="Times New Roman" w:hAnsi="Times New Roman" w:cs="Times New Roman"/>
        </w:rPr>
        <w:t>).</w:t>
      </w:r>
    </w:p>
    <w:p w14:paraId="22646706"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Denzin, N.K. and Lincoln, Y.S. (2018) </w:t>
      </w:r>
      <w:r w:rsidRPr="001E20A3">
        <w:rPr>
          <w:rFonts w:ascii="Times New Roman" w:hAnsi="Times New Roman" w:cs="Times New Roman"/>
          <w:i/>
          <w:iCs/>
        </w:rPr>
        <w:t>The SAGE handbook of qualitative research</w:t>
      </w:r>
      <w:r w:rsidRPr="001E20A3">
        <w:rPr>
          <w:rFonts w:ascii="Times New Roman" w:hAnsi="Times New Roman" w:cs="Times New Roman"/>
        </w:rPr>
        <w:t xml:space="preserve">. 5th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00D103E9"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Ecclestone, K. and Hayes, D. (2009) </w:t>
      </w:r>
      <w:r w:rsidRPr="001E20A3">
        <w:rPr>
          <w:rFonts w:ascii="Times New Roman" w:hAnsi="Times New Roman" w:cs="Times New Roman"/>
          <w:i/>
          <w:iCs/>
        </w:rPr>
        <w:t>The dangerous rise of therapeutic education</w:t>
      </w:r>
      <w:r w:rsidRPr="001E20A3">
        <w:rPr>
          <w:rFonts w:ascii="Times New Roman" w:hAnsi="Times New Roman" w:cs="Times New Roman"/>
        </w:rPr>
        <w:t>. London: Routledge.</w:t>
      </w:r>
    </w:p>
    <w:p w14:paraId="6D8FB3FE" w14:textId="1EE48D2E"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Fang, J., Ren, X. and </w:t>
      </w:r>
      <w:proofErr w:type="spellStart"/>
      <w:r w:rsidRPr="001E20A3">
        <w:rPr>
          <w:rFonts w:ascii="Times New Roman" w:hAnsi="Times New Roman" w:cs="Times New Roman"/>
        </w:rPr>
        <w:t>Sotardi</w:t>
      </w:r>
      <w:proofErr w:type="spellEnd"/>
      <w:r w:rsidRPr="001E20A3">
        <w:rPr>
          <w:rFonts w:ascii="Times New Roman" w:hAnsi="Times New Roman" w:cs="Times New Roman"/>
        </w:rPr>
        <w:t xml:space="preserve">, V.A. (2025) ‘Rethinking student wellbeing in higher education: A multifaceted approach to stress management’, </w:t>
      </w:r>
      <w:r w:rsidRPr="001E20A3">
        <w:rPr>
          <w:rFonts w:ascii="Times New Roman" w:hAnsi="Times New Roman" w:cs="Times New Roman"/>
          <w:i/>
          <w:iCs/>
        </w:rPr>
        <w:t>Education Sciences</w:t>
      </w:r>
      <w:r w:rsidRPr="001E20A3">
        <w:rPr>
          <w:rFonts w:ascii="Times New Roman" w:hAnsi="Times New Roman" w:cs="Times New Roman"/>
        </w:rPr>
        <w:t xml:space="preserve">, 15(7), p. 872. Available at: </w:t>
      </w:r>
      <w:hyperlink r:id="rId16" w:tgtFrame="_new" w:history="1">
        <w:r w:rsidRPr="001E20A3">
          <w:rPr>
            <w:rStyle w:val="Hyperlink"/>
            <w:rFonts w:ascii="Times New Roman" w:hAnsi="Times New Roman" w:cs="Times New Roman"/>
          </w:rPr>
          <w:t>https://doi.org/10.3390/educsci15070872</w:t>
        </w:r>
      </w:hyperlink>
      <w:r w:rsidRPr="001E20A3">
        <w:rPr>
          <w:rFonts w:ascii="Times New Roman" w:hAnsi="Times New Roman" w:cs="Times New Roman"/>
        </w:rPr>
        <w:t xml:space="preserve"> (Accessed: </w:t>
      </w:r>
      <w:r w:rsidR="00FE47BB">
        <w:rPr>
          <w:rFonts w:ascii="Times New Roman" w:hAnsi="Times New Roman" w:cs="Times New Roman"/>
        </w:rPr>
        <w:t>20/02/26</w:t>
      </w:r>
      <w:r w:rsidRPr="001E20A3">
        <w:rPr>
          <w:rFonts w:ascii="Times New Roman" w:hAnsi="Times New Roman" w:cs="Times New Roman"/>
        </w:rPr>
        <w:t>).</w:t>
      </w:r>
    </w:p>
    <w:p w14:paraId="3CF919E0"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Felten, P. and Lambert, L.M. (2020) </w:t>
      </w:r>
      <w:r w:rsidRPr="001E20A3">
        <w:rPr>
          <w:rFonts w:ascii="Times New Roman" w:hAnsi="Times New Roman" w:cs="Times New Roman"/>
          <w:i/>
          <w:iCs/>
        </w:rPr>
        <w:t>Relationship-rich education: How human connections drive success in college</w:t>
      </w:r>
      <w:r w:rsidRPr="001E20A3">
        <w:rPr>
          <w:rFonts w:ascii="Times New Roman" w:hAnsi="Times New Roman" w:cs="Times New Roman"/>
        </w:rPr>
        <w:t>. Baltimore, MD: Johns Hopkins University Press.</w:t>
      </w:r>
    </w:p>
    <w:p w14:paraId="3B627C78" w14:textId="798A1E8B"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Fielding, M. (2004) ‘Transformative approaches to student voice: Theoretical underpinnings, recalcitrant realities’, </w:t>
      </w:r>
      <w:r w:rsidRPr="001E20A3">
        <w:rPr>
          <w:rFonts w:ascii="Times New Roman" w:hAnsi="Times New Roman" w:cs="Times New Roman"/>
          <w:i/>
          <w:iCs/>
        </w:rPr>
        <w:t>British Educational Research Journal</w:t>
      </w:r>
      <w:r w:rsidRPr="001E20A3">
        <w:rPr>
          <w:rFonts w:ascii="Times New Roman" w:hAnsi="Times New Roman" w:cs="Times New Roman"/>
        </w:rPr>
        <w:t xml:space="preserve">, 30(2), pp. 295–311. Available at: </w:t>
      </w:r>
      <w:hyperlink r:id="rId17" w:tgtFrame="_new" w:history="1">
        <w:r w:rsidRPr="001E20A3">
          <w:rPr>
            <w:rStyle w:val="Hyperlink"/>
            <w:rFonts w:ascii="Times New Roman" w:hAnsi="Times New Roman" w:cs="Times New Roman"/>
          </w:rPr>
          <w:t>https://doi.org/10.1080/0141192042000195236</w:t>
        </w:r>
      </w:hyperlink>
      <w:r w:rsidRPr="001E20A3">
        <w:rPr>
          <w:rFonts w:ascii="Times New Roman" w:hAnsi="Times New Roman" w:cs="Times New Roman"/>
        </w:rPr>
        <w:t xml:space="preserve"> (Accessed: </w:t>
      </w:r>
      <w:r w:rsidR="00FE47BB">
        <w:rPr>
          <w:rFonts w:ascii="Times New Roman" w:hAnsi="Times New Roman" w:cs="Times New Roman"/>
        </w:rPr>
        <w:t>25/02/26</w:t>
      </w:r>
      <w:r w:rsidRPr="001E20A3">
        <w:rPr>
          <w:rFonts w:ascii="Times New Roman" w:hAnsi="Times New Roman" w:cs="Times New Roman"/>
        </w:rPr>
        <w:t>).</w:t>
      </w:r>
    </w:p>
    <w:p w14:paraId="4C4DD61E" w14:textId="0208FD8B"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Foster, C. (2024) ‘Methodological pragmatism in educational research’, </w:t>
      </w:r>
      <w:r w:rsidRPr="001E20A3">
        <w:rPr>
          <w:rFonts w:ascii="Times New Roman" w:hAnsi="Times New Roman" w:cs="Times New Roman"/>
          <w:i/>
          <w:iCs/>
        </w:rPr>
        <w:t>International Journal of Research &amp; Method in Education</w:t>
      </w:r>
      <w:r w:rsidRPr="001E20A3">
        <w:rPr>
          <w:rFonts w:ascii="Times New Roman" w:hAnsi="Times New Roman" w:cs="Times New Roman"/>
        </w:rPr>
        <w:t xml:space="preserve">, 47(1), pp. 4–19. Available at: </w:t>
      </w:r>
      <w:hyperlink r:id="rId18" w:tgtFrame="_new" w:history="1">
        <w:r w:rsidRPr="001E20A3">
          <w:rPr>
            <w:rStyle w:val="Hyperlink"/>
            <w:rFonts w:ascii="Times New Roman" w:hAnsi="Times New Roman" w:cs="Times New Roman"/>
          </w:rPr>
          <w:t>https://doi.org/10.1080/1743727X.2023.2210063</w:t>
        </w:r>
      </w:hyperlink>
      <w:r w:rsidRPr="001E20A3">
        <w:rPr>
          <w:rFonts w:ascii="Times New Roman" w:hAnsi="Times New Roman" w:cs="Times New Roman"/>
        </w:rPr>
        <w:t xml:space="preserve"> (Accessed: </w:t>
      </w:r>
      <w:r w:rsidR="00FE47BB">
        <w:rPr>
          <w:rFonts w:ascii="Times New Roman" w:hAnsi="Times New Roman" w:cs="Times New Roman"/>
        </w:rPr>
        <w:t>12/02/26)</w:t>
      </w:r>
      <w:r w:rsidRPr="001E20A3">
        <w:rPr>
          <w:rFonts w:ascii="Times New Roman" w:hAnsi="Times New Roman" w:cs="Times New Roman"/>
        </w:rPr>
        <w:t>.</w:t>
      </w:r>
    </w:p>
    <w:p w14:paraId="2DE3E65D" w14:textId="77777777" w:rsidR="00FE47BB" w:rsidRPr="00FE47BB" w:rsidRDefault="001E20A3" w:rsidP="00FE47BB">
      <w:pPr>
        <w:rPr>
          <w:rFonts w:ascii="Times New Roman" w:hAnsi="Times New Roman" w:cs="Times New Roman"/>
        </w:rPr>
      </w:pPr>
      <w:r w:rsidRPr="00FE47BB">
        <w:rPr>
          <w:rFonts w:ascii="Times New Roman" w:hAnsi="Times New Roman" w:cs="Times New Roman"/>
        </w:rPr>
        <w:t xml:space="preserve">Gliem, J.A. and Gliem, R.R. (2003) ‘Calculating, interpreting, and reporting Cronbach’s alpha reliability coefficient’, in </w:t>
      </w:r>
      <w:r w:rsidRPr="00FE47BB">
        <w:rPr>
          <w:rFonts w:ascii="Times New Roman" w:hAnsi="Times New Roman" w:cs="Times New Roman"/>
          <w:i/>
          <w:iCs/>
        </w:rPr>
        <w:t>Midwest Research-to-Practice Conference</w:t>
      </w:r>
      <w:r w:rsidRPr="00FE47BB">
        <w:rPr>
          <w:rFonts w:ascii="Times New Roman" w:hAnsi="Times New Roman" w:cs="Times New Roman"/>
        </w:rPr>
        <w:t xml:space="preserve">. Columbus, OH: </w:t>
      </w:r>
      <w:r w:rsidRPr="00FE47BB">
        <w:rPr>
          <w:rFonts w:ascii="Times New Roman" w:hAnsi="Times New Roman" w:cs="Times New Roman"/>
        </w:rPr>
        <w:lastRenderedPageBreak/>
        <w:t>Ohio State University, pp. 82–88.</w:t>
      </w:r>
      <w:r w:rsidR="00FE47BB" w:rsidRPr="00FE47BB">
        <w:rPr>
          <w:rFonts w:ascii="Times New Roman" w:hAnsi="Times New Roman" w:cs="Times New Roman"/>
        </w:rPr>
        <w:t xml:space="preserve"> </w:t>
      </w:r>
      <w:r w:rsidR="00FE47BB" w:rsidRPr="00FE47BB">
        <w:rPr>
          <w:rFonts w:ascii="Times New Roman" w:hAnsi="Times New Roman" w:cs="Times New Roman"/>
        </w:rPr>
        <w:t xml:space="preserve">Available at </w:t>
      </w:r>
      <w:hyperlink r:id="rId19" w:history="1">
        <w:r w:rsidR="00FE47BB" w:rsidRPr="00FE47BB">
          <w:rPr>
            <w:rStyle w:val="Hyperlink"/>
            <w:rFonts w:ascii="Times New Roman" w:hAnsi="Times New Roman" w:cs="Times New Roman"/>
          </w:rPr>
          <w:t>Microsoft Word - Gliem &amp; Gliem-</w:t>
        </w:r>
      </w:hyperlink>
      <w:r w:rsidR="00FE47BB" w:rsidRPr="00FE47BB">
        <w:rPr>
          <w:rFonts w:ascii="Times New Roman" w:hAnsi="Times New Roman" w:cs="Times New Roman"/>
        </w:rPr>
        <w:t xml:space="preserve"> (Accessed 12/03/26).</w:t>
      </w:r>
    </w:p>
    <w:p w14:paraId="0FB20A8A"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Guba, E.G. and Lincoln, Y.S. (1994) ‘Competing paradigms in qualitative research’, in Denzin, N.K. and Lincoln, Y.S. (eds.) </w:t>
      </w:r>
      <w:r w:rsidRPr="001E20A3">
        <w:rPr>
          <w:rFonts w:ascii="Times New Roman" w:hAnsi="Times New Roman" w:cs="Times New Roman"/>
          <w:i/>
          <w:iCs/>
        </w:rPr>
        <w:t>Handbook of qualitative research</w:t>
      </w:r>
      <w:r w:rsidRPr="001E20A3">
        <w:rPr>
          <w:rFonts w:ascii="Times New Roman" w:hAnsi="Times New Roman" w:cs="Times New Roman"/>
        </w:rPr>
        <w:t>. Thousand Oaks, CA: SAGE Publications, pp. 105–117.</w:t>
      </w:r>
    </w:p>
    <w:p w14:paraId="3C4B0C27" w14:textId="04EE3620" w:rsidR="001E20A3" w:rsidRPr="001E20A3" w:rsidRDefault="001E20A3" w:rsidP="001E20A3">
      <w:pPr>
        <w:spacing w:line="360" w:lineRule="auto"/>
        <w:rPr>
          <w:rFonts w:ascii="Times New Roman" w:hAnsi="Times New Roman" w:cs="Times New Roman"/>
        </w:rPr>
      </w:pPr>
      <w:proofErr w:type="spellStart"/>
      <w:r w:rsidRPr="001E20A3">
        <w:rPr>
          <w:rFonts w:ascii="Times New Roman" w:hAnsi="Times New Roman" w:cs="Times New Roman"/>
        </w:rPr>
        <w:t>Guraya</w:t>
      </w:r>
      <w:proofErr w:type="spellEnd"/>
      <w:r w:rsidRPr="001E20A3">
        <w:rPr>
          <w:rFonts w:ascii="Times New Roman" w:hAnsi="Times New Roman" w:cs="Times New Roman"/>
        </w:rPr>
        <w:t xml:space="preserve">, S.S. et al. (2023) ‘Paradigms unfolded’, </w:t>
      </w:r>
      <w:r w:rsidRPr="001E20A3">
        <w:rPr>
          <w:rFonts w:ascii="Times New Roman" w:hAnsi="Times New Roman" w:cs="Times New Roman"/>
          <w:i/>
          <w:iCs/>
        </w:rPr>
        <w:t>Frontiers in Medicine</w:t>
      </w:r>
      <w:r w:rsidRPr="001E20A3">
        <w:rPr>
          <w:rFonts w:ascii="Times New Roman" w:hAnsi="Times New Roman" w:cs="Times New Roman"/>
        </w:rPr>
        <w:t xml:space="preserve">, 10, 1230620. Available at: </w:t>
      </w:r>
      <w:hyperlink r:id="rId20" w:tgtFrame="_new" w:history="1">
        <w:r w:rsidRPr="001E20A3">
          <w:rPr>
            <w:rStyle w:val="Hyperlink"/>
            <w:rFonts w:ascii="Times New Roman" w:hAnsi="Times New Roman" w:cs="Times New Roman"/>
          </w:rPr>
          <w:t>https://doi.org/10.3389/fmed.2023.1230620</w:t>
        </w:r>
      </w:hyperlink>
      <w:r w:rsidRPr="001E20A3">
        <w:rPr>
          <w:rFonts w:ascii="Times New Roman" w:hAnsi="Times New Roman" w:cs="Times New Roman"/>
        </w:rPr>
        <w:t xml:space="preserve"> (Accessed: 25</w:t>
      </w:r>
      <w:r w:rsidR="00FE47BB">
        <w:rPr>
          <w:rFonts w:ascii="Times New Roman" w:hAnsi="Times New Roman" w:cs="Times New Roman"/>
        </w:rPr>
        <w:t>/03/26</w:t>
      </w:r>
      <w:r w:rsidRPr="001E20A3">
        <w:rPr>
          <w:rFonts w:ascii="Times New Roman" w:hAnsi="Times New Roman" w:cs="Times New Roman"/>
        </w:rPr>
        <w:t>).</w:t>
      </w:r>
    </w:p>
    <w:p w14:paraId="261DFA9A"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Hargreaves, A. and Fullan, M. (2012) </w:t>
      </w:r>
      <w:r w:rsidRPr="001E20A3">
        <w:rPr>
          <w:rFonts w:ascii="Times New Roman" w:hAnsi="Times New Roman" w:cs="Times New Roman"/>
          <w:i/>
          <w:iCs/>
        </w:rPr>
        <w:t>Professional capital: Transforming teaching in every school</w:t>
      </w:r>
      <w:r w:rsidRPr="001E20A3">
        <w:rPr>
          <w:rFonts w:ascii="Times New Roman" w:hAnsi="Times New Roman" w:cs="Times New Roman"/>
        </w:rPr>
        <w:t>. London: Routledge.</w:t>
      </w:r>
    </w:p>
    <w:p w14:paraId="6723B5E4" w14:textId="57AF5A0E"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Joshi, A. et al. (2015) ‘Likert scale: explored and explained’, </w:t>
      </w:r>
      <w:r w:rsidRPr="001E20A3">
        <w:rPr>
          <w:rFonts w:ascii="Times New Roman" w:hAnsi="Times New Roman" w:cs="Times New Roman"/>
          <w:i/>
          <w:iCs/>
        </w:rPr>
        <w:t>British Journal of Applied Science &amp; Technology</w:t>
      </w:r>
      <w:r w:rsidRPr="001E20A3">
        <w:rPr>
          <w:rFonts w:ascii="Times New Roman" w:hAnsi="Times New Roman" w:cs="Times New Roman"/>
        </w:rPr>
        <w:t>, 7(4), pp. 396–403.</w:t>
      </w:r>
      <w:r w:rsidR="00FE47BB">
        <w:rPr>
          <w:rFonts w:ascii="Times New Roman" w:hAnsi="Times New Roman" w:cs="Times New Roman"/>
        </w:rPr>
        <w:t xml:space="preserve"> </w:t>
      </w:r>
      <w:r w:rsidR="00FE47BB">
        <w:rPr>
          <w:rFonts w:ascii="Times New Roman" w:hAnsi="Times New Roman" w:cs="Times New Roman"/>
        </w:rPr>
        <w:t xml:space="preserve">Available at </w:t>
      </w:r>
      <w:hyperlink r:id="rId21" w:history="1">
        <w:r w:rsidR="00FE47BB" w:rsidRPr="00CF765F">
          <w:rPr>
            <w:rStyle w:val="Hyperlink"/>
            <w:rFonts w:ascii="Times New Roman" w:hAnsi="Times New Roman" w:cs="Times New Roman"/>
          </w:rPr>
          <w:t>5a7cc366dd963113c6923ac4a73c3286ab22.pdf</w:t>
        </w:r>
      </w:hyperlink>
      <w:r w:rsidR="00FE47BB">
        <w:rPr>
          <w:rFonts w:ascii="Times New Roman" w:hAnsi="Times New Roman" w:cs="Times New Roman"/>
        </w:rPr>
        <w:t xml:space="preserve"> (</w:t>
      </w:r>
      <w:r w:rsidR="00FE47BB" w:rsidRPr="0003586B">
        <w:rPr>
          <w:rFonts w:ascii="Times New Roman" w:hAnsi="Times New Roman" w:cs="Times New Roman"/>
        </w:rPr>
        <w:t xml:space="preserve">Accessed </w:t>
      </w:r>
      <w:r w:rsidR="00FE47BB">
        <w:rPr>
          <w:rFonts w:ascii="Times New Roman" w:hAnsi="Times New Roman" w:cs="Times New Roman"/>
        </w:rPr>
        <w:t>01/04/26</w:t>
      </w:r>
      <w:r w:rsidR="00FE47BB">
        <w:rPr>
          <w:rFonts w:ascii="Times New Roman" w:hAnsi="Times New Roman" w:cs="Times New Roman"/>
        </w:rPr>
        <w:t>).</w:t>
      </w:r>
    </w:p>
    <w:p w14:paraId="6005E4C3" w14:textId="63110B61"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Jebb, A.T., Ng, V. and Tay, L. (2021) ‘A review of key Likert scale development advances’, </w:t>
      </w:r>
      <w:r w:rsidRPr="001E20A3">
        <w:rPr>
          <w:rFonts w:ascii="Times New Roman" w:hAnsi="Times New Roman" w:cs="Times New Roman"/>
          <w:i/>
          <w:iCs/>
        </w:rPr>
        <w:t>Frontiers in Psychology</w:t>
      </w:r>
      <w:r w:rsidRPr="001E20A3">
        <w:rPr>
          <w:rFonts w:ascii="Times New Roman" w:hAnsi="Times New Roman" w:cs="Times New Roman"/>
        </w:rPr>
        <w:t xml:space="preserve">, 12, 637547. Available at: </w:t>
      </w:r>
      <w:hyperlink r:id="rId22" w:tgtFrame="_new" w:history="1">
        <w:r w:rsidRPr="001E20A3">
          <w:rPr>
            <w:rStyle w:val="Hyperlink"/>
            <w:rFonts w:ascii="Times New Roman" w:hAnsi="Times New Roman" w:cs="Times New Roman"/>
          </w:rPr>
          <w:t>https://doi.org/10.3389/fpsyg.2021.637547</w:t>
        </w:r>
      </w:hyperlink>
      <w:r w:rsidRPr="001E20A3">
        <w:rPr>
          <w:rFonts w:ascii="Times New Roman" w:hAnsi="Times New Roman" w:cs="Times New Roman"/>
        </w:rPr>
        <w:t xml:space="preserve"> (Accessed: 9</w:t>
      </w:r>
      <w:r w:rsidR="00FE47BB">
        <w:rPr>
          <w:rFonts w:ascii="Times New Roman" w:hAnsi="Times New Roman" w:cs="Times New Roman"/>
        </w:rPr>
        <w:t>/03/26</w:t>
      </w:r>
      <w:r w:rsidRPr="001E20A3">
        <w:rPr>
          <w:rFonts w:ascii="Times New Roman" w:hAnsi="Times New Roman" w:cs="Times New Roman"/>
        </w:rPr>
        <w:t>).</w:t>
      </w:r>
    </w:p>
    <w:p w14:paraId="5D25ED1F" w14:textId="7C89A544"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Kaya, M. and Erdem, C. (2021) ‘Students’ well-being and academic achievement: A meta-analysis study’, </w:t>
      </w:r>
      <w:r w:rsidRPr="001E20A3">
        <w:rPr>
          <w:rFonts w:ascii="Times New Roman" w:hAnsi="Times New Roman" w:cs="Times New Roman"/>
          <w:i/>
          <w:iCs/>
        </w:rPr>
        <w:t>Child Indicators Research</w:t>
      </w:r>
      <w:r w:rsidRPr="001E20A3">
        <w:rPr>
          <w:rFonts w:ascii="Times New Roman" w:hAnsi="Times New Roman" w:cs="Times New Roman"/>
        </w:rPr>
        <w:t xml:space="preserve">, 14(5), pp. 1743–1767. Available at: </w:t>
      </w:r>
      <w:hyperlink r:id="rId23" w:tgtFrame="_new" w:history="1">
        <w:r w:rsidRPr="001E20A3">
          <w:rPr>
            <w:rStyle w:val="Hyperlink"/>
            <w:rFonts w:ascii="Times New Roman" w:hAnsi="Times New Roman" w:cs="Times New Roman"/>
          </w:rPr>
          <w:t>https://doi.org/10.1007/s12187-021-09821-4</w:t>
        </w:r>
      </w:hyperlink>
      <w:r w:rsidRPr="001E20A3">
        <w:rPr>
          <w:rFonts w:ascii="Times New Roman" w:hAnsi="Times New Roman" w:cs="Times New Roman"/>
        </w:rPr>
        <w:t xml:space="preserve"> (Accessed: 18</w:t>
      </w:r>
      <w:r w:rsidR="00FE47BB">
        <w:rPr>
          <w:rFonts w:ascii="Times New Roman" w:hAnsi="Times New Roman" w:cs="Times New Roman"/>
        </w:rPr>
        <w:t>/02/26</w:t>
      </w:r>
      <w:r w:rsidRPr="001E20A3">
        <w:rPr>
          <w:rFonts w:ascii="Times New Roman" w:hAnsi="Times New Roman" w:cs="Times New Roman"/>
        </w:rPr>
        <w:t>).</w:t>
      </w:r>
    </w:p>
    <w:p w14:paraId="1306A7C4" w14:textId="3432002E"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Kaushik, V. and Walsh, C.A. (2019) ‘Pragmatism as a research paradigm’, </w:t>
      </w:r>
      <w:r w:rsidRPr="001E20A3">
        <w:rPr>
          <w:rFonts w:ascii="Times New Roman" w:hAnsi="Times New Roman" w:cs="Times New Roman"/>
          <w:i/>
          <w:iCs/>
        </w:rPr>
        <w:t>Social Sciences</w:t>
      </w:r>
      <w:r w:rsidRPr="001E20A3">
        <w:rPr>
          <w:rFonts w:ascii="Times New Roman" w:hAnsi="Times New Roman" w:cs="Times New Roman"/>
        </w:rPr>
        <w:t xml:space="preserve">, 8(9), p. 255. Available at: </w:t>
      </w:r>
      <w:hyperlink r:id="rId24" w:tgtFrame="_new" w:history="1">
        <w:r w:rsidRPr="001E20A3">
          <w:rPr>
            <w:rStyle w:val="Hyperlink"/>
            <w:rFonts w:ascii="Times New Roman" w:hAnsi="Times New Roman" w:cs="Times New Roman"/>
          </w:rPr>
          <w:t>https://doi.org/10.3390/socsci8090255</w:t>
        </w:r>
      </w:hyperlink>
      <w:r w:rsidRPr="001E20A3">
        <w:rPr>
          <w:rFonts w:ascii="Times New Roman" w:hAnsi="Times New Roman" w:cs="Times New Roman"/>
        </w:rPr>
        <w:t xml:space="preserve"> (Accessed: 12</w:t>
      </w:r>
      <w:r w:rsidR="00FE47BB">
        <w:rPr>
          <w:rFonts w:ascii="Times New Roman" w:hAnsi="Times New Roman" w:cs="Times New Roman"/>
        </w:rPr>
        <w:t>/04/26</w:t>
      </w:r>
      <w:r w:rsidRPr="001E20A3">
        <w:rPr>
          <w:rFonts w:ascii="Times New Roman" w:hAnsi="Times New Roman" w:cs="Times New Roman"/>
        </w:rPr>
        <w:t>).</w:t>
      </w:r>
    </w:p>
    <w:p w14:paraId="015EB418" w14:textId="3A14FAC3"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Khatri, P. et al. (2024) ‘Student well-being in higher education’, </w:t>
      </w:r>
      <w:r w:rsidRPr="001E20A3">
        <w:rPr>
          <w:rFonts w:ascii="Times New Roman" w:hAnsi="Times New Roman" w:cs="Times New Roman"/>
          <w:i/>
          <w:iCs/>
        </w:rPr>
        <w:t>The International Journal of Management Education</w:t>
      </w:r>
      <w:r w:rsidRPr="001E20A3">
        <w:rPr>
          <w:rFonts w:ascii="Times New Roman" w:hAnsi="Times New Roman" w:cs="Times New Roman"/>
        </w:rPr>
        <w:t>, 22, 100933.</w:t>
      </w:r>
      <w:r w:rsidR="00FE47BB">
        <w:rPr>
          <w:rFonts w:ascii="Times New Roman" w:hAnsi="Times New Roman" w:cs="Times New Roman"/>
        </w:rPr>
        <w:t xml:space="preserve"> </w:t>
      </w:r>
      <w:r w:rsidR="00FE47BB">
        <w:rPr>
          <w:rFonts w:ascii="Times New Roman" w:hAnsi="Times New Roman" w:cs="Times New Roman"/>
        </w:rPr>
        <w:t>Available at</w:t>
      </w:r>
      <w:r w:rsidR="00FE47BB">
        <w:rPr>
          <w:rFonts w:ascii="Times New Roman" w:hAnsi="Times New Roman" w:cs="Times New Roman"/>
        </w:rPr>
        <w:t>:</w:t>
      </w:r>
      <w:r w:rsidR="00FE47BB">
        <w:rPr>
          <w:rFonts w:ascii="Times New Roman" w:hAnsi="Times New Roman" w:cs="Times New Roman"/>
        </w:rPr>
        <w:t xml:space="preserve"> </w:t>
      </w:r>
      <w:hyperlink r:id="rId25" w:history="1">
        <w:r w:rsidR="00FE47BB" w:rsidRPr="00E92D06">
          <w:rPr>
            <w:rStyle w:val="Hyperlink"/>
            <w:rFonts w:ascii="Times New Roman" w:hAnsi="Times New Roman" w:cs="Times New Roman"/>
          </w:rPr>
          <w:t>Student well-being in higher education: Scale development and validation with implications for management education</w:t>
        </w:r>
      </w:hyperlink>
      <w:r w:rsidR="00FE47BB">
        <w:rPr>
          <w:rFonts w:ascii="Times New Roman" w:hAnsi="Times New Roman" w:cs="Times New Roman"/>
        </w:rPr>
        <w:t xml:space="preserve"> (</w:t>
      </w:r>
      <w:r w:rsidR="00FE47BB">
        <w:rPr>
          <w:rFonts w:ascii="Times New Roman" w:hAnsi="Times New Roman" w:cs="Times New Roman"/>
        </w:rPr>
        <w:t>A</w:t>
      </w:r>
      <w:r w:rsidR="00FE47BB" w:rsidRPr="00821C31">
        <w:rPr>
          <w:rFonts w:ascii="Times New Roman" w:hAnsi="Times New Roman" w:cs="Times New Roman"/>
        </w:rPr>
        <w:t>ccessed 01/04/26</w:t>
      </w:r>
      <w:r w:rsidR="00FE47BB">
        <w:rPr>
          <w:rFonts w:ascii="Times New Roman" w:hAnsi="Times New Roman" w:cs="Times New Roman"/>
        </w:rPr>
        <w:t>).</w:t>
      </w:r>
    </w:p>
    <w:p w14:paraId="292F9E70"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Kvale, S. and Brinkmann, S. (2015) </w:t>
      </w:r>
      <w:r w:rsidRPr="001E20A3">
        <w:rPr>
          <w:rFonts w:ascii="Times New Roman" w:hAnsi="Times New Roman" w:cs="Times New Roman"/>
          <w:i/>
          <w:iCs/>
        </w:rPr>
        <w:t>Interviews: Learning the craft of qualitative research interviewing</w:t>
      </w:r>
      <w:r w:rsidRPr="001E20A3">
        <w:rPr>
          <w:rFonts w:ascii="Times New Roman" w:hAnsi="Times New Roman" w:cs="Times New Roman"/>
        </w:rPr>
        <w:t xml:space="preserve">. 3rd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22DDFE7D" w14:textId="033FC456"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Lombardi, A. et al. (2016) ‘Social support and academic success’, </w:t>
      </w:r>
      <w:r w:rsidRPr="001E20A3">
        <w:rPr>
          <w:rFonts w:ascii="Times New Roman" w:hAnsi="Times New Roman" w:cs="Times New Roman"/>
          <w:i/>
          <w:iCs/>
        </w:rPr>
        <w:t>Journal of Vocational Rehabilitation</w:t>
      </w:r>
      <w:r w:rsidRPr="001E20A3">
        <w:rPr>
          <w:rFonts w:ascii="Times New Roman" w:hAnsi="Times New Roman" w:cs="Times New Roman"/>
        </w:rPr>
        <w:t>, 44(1), pp. 1–13.</w:t>
      </w:r>
      <w:r w:rsidR="00FE47BB">
        <w:rPr>
          <w:rFonts w:ascii="Times New Roman" w:hAnsi="Times New Roman" w:cs="Times New Roman"/>
        </w:rPr>
        <w:t xml:space="preserve">  Available at: </w:t>
      </w:r>
      <w:hyperlink r:id="rId26" w:history="1">
        <w:r w:rsidR="00FE47BB" w:rsidRPr="00E357CC">
          <w:rPr>
            <w:rStyle w:val="Hyperlink"/>
            <w:rFonts w:ascii="Times New Roman" w:hAnsi="Times New Roman" w:cs="Times New Roman"/>
          </w:rPr>
          <w:t>https://doi.org/10.3233/JVR-150776 28. (Accessed 22/02/26</w:t>
        </w:r>
      </w:hyperlink>
      <w:r w:rsidR="00FE47BB">
        <w:t>)</w:t>
      </w:r>
      <w:r w:rsidR="00FE47BB">
        <w:rPr>
          <w:rFonts w:ascii="Times New Roman" w:hAnsi="Times New Roman" w:cs="Times New Roman"/>
        </w:rPr>
        <w:t>.</w:t>
      </w:r>
    </w:p>
    <w:p w14:paraId="3978D18C"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lastRenderedPageBreak/>
        <w:t xml:space="preserve">Maxwell, J.A. (2012) </w:t>
      </w:r>
      <w:r w:rsidRPr="001E20A3">
        <w:rPr>
          <w:rFonts w:ascii="Times New Roman" w:hAnsi="Times New Roman" w:cs="Times New Roman"/>
          <w:i/>
          <w:iCs/>
        </w:rPr>
        <w:t>Qualitative research design: An interactive approach</w:t>
      </w:r>
      <w:r w:rsidRPr="001E20A3">
        <w:rPr>
          <w:rFonts w:ascii="Times New Roman" w:hAnsi="Times New Roman" w:cs="Times New Roman"/>
        </w:rPr>
        <w:t xml:space="preserve">. 3rd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6B0BB8AB" w14:textId="42F6A9D6"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Nieminen, J. (2025) ‘Assessment as an identity-shaping process’, </w:t>
      </w:r>
      <w:r w:rsidRPr="001E20A3">
        <w:rPr>
          <w:rFonts w:ascii="Times New Roman" w:hAnsi="Times New Roman" w:cs="Times New Roman"/>
          <w:i/>
          <w:iCs/>
        </w:rPr>
        <w:t>Assessment &amp; Evaluation in Higher Education</w:t>
      </w:r>
      <w:r w:rsidRPr="001E20A3">
        <w:rPr>
          <w:rFonts w:ascii="Times New Roman" w:hAnsi="Times New Roman" w:cs="Times New Roman"/>
        </w:rPr>
        <w:t>.</w:t>
      </w:r>
      <w:r w:rsidR="00FE47BB" w:rsidRPr="00FE47BB">
        <w:rPr>
          <w:rFonts w:ascii="Times New Roman" w:hAnsi="Times New Roman" w:cs="Times New Roman"/>
        </w:rPr>
        <w:t xml:space="preserve"> </w:t>
      </w:r>
      <w:r w:rsidR="00FE47BB">
        <w:rPr>
          <w:rFonts w:ascii="Times New Roman" w:hAnsi="Times New Roman" w:cs="Times New Roman"/>
        </w:rPr>
        <w:t>Available at</w:t>
      </w:r>
      <w:r w:rsidR="00FE47BB">
        <w:rPr>
          <w:rFonts w:ascii="Times New Roman" w:hAnsi="Times New Roman" w:cs="Times New Roman"/>
        </w:rPr>
        <w:t>:</w:t>
      </w:r>
      <w:r w:rsidR="00FE47BB">
        <w:rPr>
          <w:rFonts w:ascii="Times New Roman" w:hAnsi="Times New Roman" w:cs="Times New Roman"/>
        </w:rPr>
        <w:t xml:space="preserve"> </w:t>
      </w:r>
      <w:hyperlink r:id="rId27" w:history="1">
        <w:r w:rsidR="00FE47BB" w:rsidRPr="009F4144">
          <w:rPr>
            <w:rStyle w:val="Hyperlink"/>
            <w:rFonts w:ascii="Times New Roman" w:hAnsi="Times New Roman" w:cs="Times New Roman"/>
          </w:rPr>
          <w:t>How does assessment shape student identities? An integrative review</w:t>
        </w:r>
      </w:hyperlink>
      <w:r w:rsidR="00FE47BB">
        <w:rPr>
          <w:rFonts w:ascii="Times New Roman" w:hAnsi="Times New Roman" w:cs="Times New Roman"/>
        </w:rPr>
        <w:t xml:space="preserve"> (</w:t>
      </w:r>
      <w:r w:rsidR="00FE47BB" w:rsidRPr="0003586B">
        <w:rPr>
          <w:rFonts w:ascii="Times New Roman" w:hAnsi="Times New Roman" w:cs="Times New Roman"/>
        </w:rPr>
        <w:t>Accessed</w:t>
      </w:r>
      <w:r w:rsidR="00FE47BB">
        <w:rPr>
          <w:rFonts w:ascii="Times New Roman" w:hAnsi="Times New Roman" w:cs="Times New Roman"/>
        </w:rPr>
        <w:t xml:space="preserve"> 20/</w:t>
      </w:r>
      <w:r w:rsidR="00FE47BB">
        <w:rPr>
          <w:rFonts w:ascii="Times New Roman" w:hAnsi="Times New Roman" w:cs="Times New Roman"/>
        </w:rPr>
        <w:t>02</w:t>
      </w:r>
      <w:r w:rsidR="00FE47BB">
        <w:rPr>
          <w:rFonts w:ascii="Times New Roman" w:hAnsi="Times New Roman" w:cs="Times New Roman"/>
        </w:rPr>
        <w:t>/26</w:t>
      </w:r>
      <w:r w:rsidR="00FE47BB">
        <w:rPr>
          <w:rFonts w:ascii="Times New Roman" w:hAnsi="Times New Roman" w:cs="Times New Roman"/>
        </w:rPr>
        <w:t xml:space="preserve">). </w:t>
      </w:r>
    </w:p>
    <w:p w14:paraId="3BB86152" w14:textId="648864B3"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Rawdin, C. and Dhillon, S. (2025) ‘Confronting well-being and mental health’, </w:t>
      </w:r>
      <w:r w:rsidRPr="001E20A3">
        <w:rPr>
          <w:rFonts w:ascii="Times New Roman" w:hAnsi="Times New Roman" w:cs="Times New Roman"/>
          <w:i/>
          <w:iCs/>
        </w:rPr>
        <w:t>Studies in Higher Education</w:t>
      </w:r>
      <w:r w:rsidRPr="001E20A3">
        <w:rPr>
          <w:rFonts w:ascii="Times New Roman" w:hAnsi="Times New Roman" w:cs="Times New Roman"/>
        </w:rPr>
        <w:t>, 50(2), pp. 321–332.</w:t>
      </w:r>
      <w:r w:rsidR="00FE47BB">
        <w:rPr>
          <w:rFonts w:ascii="Times New Roman" w:hAnsi="Times New Roman" w:cs="Times New Roman"/>
        </w:rPr>
        <w:t xml:space="preserve"> </w:t>
      </w:r>
      <w:r w:rsidR="00FE47BB">
        <w:rPr>
          <w:rFonts w:ascii="Times New Roman" w:hAnsi="Times New Roman" w:cs="Times New Roman"/>
        </w:rPr>
        <w:t xml:space="preserve">Available at: </w:t>
      </w:r>
      <w:hyperlink r:id="rId28" w:history="1">
        <w:r w:rsidR="00FE47BB" w:rsidRPr="00E357CC">
          <w:rPr>
            <w:rStyle w:val="Hyperlink"/>
            <w:rFonts w:ascii="Times New Roman" w:hAnsi="Times New Roman" w:cs="Times New Roman"/>
          </w:rPr>
          <w:t>https://doi.org/10.1080/03075079.2024.2337805</w:t>
        </w:r>
      </w:hyperlink>
      <w:r w:rsidR="00FE47BB">
        <w:rPr>
          <w:rFonts w:ascii="Times New Roman" w:hAnsi="Times New Roman" w:cs="Times New Roman"/>
        </w:rPr>
        <w:t xml:space="preserve"> (</w:t>
      </w:r>
      <w:r w:rsidR="00FE47BB" w:rsidRPr="0003586B">
        <w:rPr>
          <w:rFonts w:ascii="Times New Roman" w:hAnsi="Times New Roman" w:cs="Times New Roman"/>
        </w:rPr>
        <w:t xml:space="preserve">Accessed </w:t>
      </w:r>
      <w:r w:rsidR="00FE47BB">
        <w:rPr>
          <w:rFonts w:ascii="Times New Roman" w:hAnsi="Times New Roman" w:cs="Times New Roman"/>
        </w:rPr>
        <w:t>20/02/26).</w:t>
      </w:r>
    </w:p>
    <w:p w14:paraId="67F28A97" w14:textId="77777777" w:rsidR="00FE47BB" w:rsidRPr="00FE47BB" w:rsidRDefault="001E20A3" w:rsidP="00FE47BB">
      <w:pPr>
        <w:rPr>
          <w:rFonts w:ascii="Times New Roman" w:hAnsi="Times New Roman" w:cs="Times New Roman"/>
        </w:rPr>
      </w:pPr>
      <w:r w:rsidRPr="00FE47BB">
        <w:rPr>
          <w:rFonts w:ascii="Times New Roman" w:hAnsi="Times New Roman" w:cs="Times New Roman"/>
        </w:rPr>
        <w:t xml:space="preserve">Renshaw, T.L., Long, A.C.J. and Cook, C.R. (2015) ‘Assessing adolescents’ positive psychological functioning’, </w:t>
      </w:r>
      <w:r w:rsidRPr="00FE47BB">
        <w:rPr>
          <w:rFonts w:ascii="Times New Roman" w:hAnsi="Times New Roman" w:cs="Times New Roman"/>
          <w:i/>
          <w:iCs/>
        </w:rPr>
        <w:t>School Psychology Quarterly</w:t>
      </w:r>
      <w:r w:rsidRPr="00FE47BB">
        <w:rPr>
          <w:rFonts w:ascii="Times New Roman" w:hAnsi="Times New Roman" w:cs="Times New Roman"/>
        </w:rPr>
        <w:t>, 30(4), pp. 534–552.</w:t>
      </w:r>
      <w:r w:rsidR="00FE47BB" w:rsidRPr="00FE47BB">
        <w:rPr>
          <w:rFonts w:ascii="Times New Roman" w:hAnsi="Times New Roman" w:cs="Times New Roman"/>
        </w:rPr>
        <w:t xml:space="preserve"> Available at: </w:t>
      </w:r>
      <w:hyperlink r:id="rId29" w:history="1">
        <w:r w:rsidR="00FE47BB" w:rsidRPr="00FE47BB">
          <w:rPr>
            <w:rStyle w:val="Hyperlink"/>
            <w:rFonts w:ascii="Times New Roman" w:hAnsi="Times New Roman" w:cs="Times New Roman"/>
          </w:rPr>
          <w:t>https://doi.org/10.1037/spq0000088</w:t>
        </w:r>
      </w:hyperlink>
      <w:r w:rsidR="00FE47BB" w:rsidRPr="00FE47BB">
        <w:rPr>
          <w:rFonts w:ascii="Times New Roman" w:hAnsi="Times New Roman" w:cs="Times New Roman"/>
        </w:rPr>
        <w:t xml:space="preserve"> (Accessed 02/04/26).</w:t>
      </w:r>
    </w:p>
    <w:p w14:paraId="10FC509D"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Rossman, G.B. and Rallis, S.F. (2016) </w:t>
      </w:r>
      <w:r w:rsidRPr="001E20A3">
        <w:rPr>
          <w:rFonts w:ascii="Times New Roman" w:hAnsi="Times New Roman" w:cs="Times New Roman"/>
          <w:i/>
          <w:iCs/>
        </w:rPr>
        <w:t>An introduction to qualitative research</w:t>
      </w:r>
      <w:r w:rsidRPr="001E20A3">
        <w:rPr>
          <w:rFonts w:ascii="Times New Roman" w:hAnsi="Times New Roman" w:cs="Times New Roman"/>
        </w:rPr>
        <w:t xml:space="preserve">. 4th </w:t>
      </w:r>
      <w:proofErr w:type="spellStart"/>
      <w:r w:rsidRPr="001E20A3">
        <w:rPr>
          <w:rFonts w:ascii="Times New Roman" w:hAnsi="Times New Roman" w:cs="Times New Roman"/>
        </w:rPr>
        <w:t>edn</w:t>
      </w:r>
      <w:proofErr w:type="spellEnd"/>
      <w:r w:rsidRPr="001E20A3">
        <w:rPr>
          <w:rFonts w:ascii="Times New Roman" w:hAnsi="Times New Roman" w:cs="Times New Roman"/>
        </w:rPr>
        <w:t>. Thousand Oaks, CA: SAGE Publications.</w:t>
      </w:r>
    </w:p>
    <w:p w14:paraId="3F4DB57F" w14:textId="37BB6306" w:rsidR="00FE47BB" w:rsidRPr="00FE47BB" w:rsidRDefault="001E20A3" w:rsidP="00FE47BB">
      <w:pPr>
        <w:rPr>
          <w:rFonts w:ascii="Times New Roman" w:hAnsi="Times New Roman" w:cs="Times New Roman"/>
        </w:rPr>
      </w:pPr>
      <w:r w:rsidRPr="00FE47BB">
        <w:rPr>
          <w:rFonts w:ascii="Times New Roman" w:hAnsi="Times New Roman" w:cs="Times New Roman"/>
        </w:rPr>
        <w:t xml:space="preserve">Rudduck, J. and Flutter, J. (2004) </w:t>
      </w:r>
      <w:r w:rsidRPr="00FE47BB">
        <w:rPr>
          <w:rFonts w:ascii="Times New Roman" w:hAnsi="Times New Roman" w:cs="Times New Roman"/>
          <w:i/>
          <w:iCs/>
        </w:rPr>
        <w:t>How to improve your school: Giving pupils a voice</w:t>
      </w:r>
      <w:r w:rsidRPr="00FE47BB">
        <w:rPr>
          <w:rFonts w:ascii="Times New Roman" w:hAnsi="Times New Roman" w:cs="Times New Roman"/>
        </w:rPr>
        <w:t>. London: Continuum.</w:t>
      </w:r>
      <w:r w:rsidR="00FE47BB" w:rsidRPr="00FE47BB">
        <w:rPr>
          <w:rFonts w:ascii="Times New Roman" w:hAnsi="Times New Roman" w:cs="Times New Roman"/>
        </w:rPr>
        <w:t xml:space="preserve"> </w:t>
      </w:r>
      <w:r w:rsidR="00FE47BB" w:rsidRPr="00FE47BB">
        <w:rPr>
          <w:rFonts w:ascii="Times New Roman" w:hAnsi="Times New Roman" w:cs="Times New Roman"/>
        </w:rPr>
        <w:t>Available at</w:t>
      </w:r>
      <w:r w:rsidR="00FE47BB">
        <w:rPr>
          <w:rFonts w:ascii="Times New Roman" w:hAnsi="Times New Roman" w:cs="Times New Roman"/>
        </w:rPr>
        <w:t>:</w:t>
      </w:r>
      <w:r w:rsidR="00FE47BB" w:rsidRPr="00FE47BB">
        <w:rPr>
          <w:rFonts w:ascii="Times New Roman" w:hAnsi="Times New Roman" w:cs="Times New Roman"/>
        </w:rPr>
        <w:t xml:space="preserve"> </w:t>
      </w:r>
      <w:hyperlink r:id="rId30" w:history="1">
        <w:r w:rsidR="00FE47BB" w:rsidRPr="00FE47BB">
          <w:rPr>
            <w:rStyle w:val="Hyperlink"/>
            <w:rFonts w:ascii="Times New Roman" w:hAnsi="Times New Roman" w:cs="Times New Roman"/>
          </w:rPr>
          <w:t>How To Improve Your School - EBSCO</w:t>
        </w:r>
      </w:hyperlink>
      <w:r w:rsidR="00FE47BB" w:rsidRPr="00FE47BB">
        <w:rPr>
          <w:rFonts w:ascii="Times New Roman" w:hAnsi="Times New Roman" w:cs="Times New Roman"/>
        </w:rPr>
        <w:t xml:space="preserve"> (Accessed 15/04/26).</w:t>
      </w:r>
    </w:p>
    <w:p w14:paraId="3F08E34B" w14:textId="219EF3A9" w:rsidR="005D564E" w:rsidRPr="001E20A3" w:rsidRDefault="001E20A3" w:rsidP="005D564E">
      <w:pPr>
        <w:rPr>
          <w:rFonts w:ascii="Times New Roman" w:hAnsi="Times New Roman" w:cs="Times New Roman"/>
        </w:rPr>
      </w:pPr>
      <w:r w:rsidRPr="005D564E">
        <w:rPr>
          <w:rFonts w:ascii="Times New Roman" w:hAnsi="Times New Roman" w:cs="Times New Roman"/>
        </w:rPr>
        <w:t xml:space="preserve">Selwyn, N. (2015) ‘Data entry: towards the critical study of digital data and education’, </w:t>
      </w:r>
      <w:r w:rsidRPr="005D564E">
        <w:rPr>
          <w:rFonts w:ascii="Times New Roman" w:hAnsi="Times New Roman" w:cs="Times New Roman"/>
          <w:i/>
          <w:iCs/>
        </w:rPr>
        <w:t>Learning, Media and Technology</w:t>
      </w:r>
      <w:r w:rsidRPr="005D564E">
        <w:rPr>
          <w:rFonts w:ascii="Times New Roman" w:hAnsi="Times New Roman" w:cs="Times New Roman"/>
        </w:rPr>
        <w:t>, 40(1), pp. 64–82.</w:t>
      </w:r>
      <w:r w:rsidR="005D564E" w:rsidRPr="005D564E">
        <w:rPr>
          <w:rFonts w:ascii="Times New Roman" w:hAnsi="Times New Roman" w:cs="Times New Roman"/>
        </w:rPr>
        <w:t xml:space="preserve"> </w:t>
      </w:r>
      <w:r w:rsidR="005D564E">
        <w:rPr>
          <w:rFonts w:ascii="Times New Roman" w:hAnsi="Times New Roman" w:cs="Times New Roman"/>
        </w:rPr>
        <w:t xml:space="preserve"> Available at: </w:t>
      </w:r>
      <w:hyperlink r:id="rId31" w:history="1">
        <w:r w:rsidR="00FE47BB" w:rsidRPr="00E357CC">
          <w:rPr>
            <w:rStyle w:val="Hyperlink"/>
            <w:rFonts w:ascii="Times New Roman" w:hAnsi="Times New Roman" w:cs="Times New Roman"/>
          </w:rPr>
          <w:t>https://doi.org/10.1080/17439884.2014.921628</w:t>
        </w:r>
      </w:hyperlink>
      <w:r w:rsidR="005D564E" w:rsidRPr="005D564E">
        <w:rPr>
          <w:rFonts w:ascii="Times New Roman" w:hAnsi="Times New Roman" w:cs="Times New Roman"/>
        </w:rPr>
        <w:t xml:space="preserve"> (Accessed 15/02/26).</w:t>
      </w:r>
    </w:p>
    <w:p w14:paraId="28481192" w14:textId="56E019C0"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Smithson, J. (2000) ‘Using and analysing focus groups’, </w:t>
      </w:r>
      <w:r w:rsidRPr="001E20A3">
        <w:rPr>
          <w:rFonts w:ascii="Times New Roman" w:hAnsi="Times New Roman" w:cs="Times New Roman"/>
          <w:i/>
          <w:iCs/>
        </w:rPr>
        <w:t>International Journal of Social Research Methodology</w:t>
      </w:r>
      <w:r w:rsidRPr="001E20A3">
        <w:rPr>
          <w:rFonts w:ascii="Times New Roman" w:hAnsi="Times New Roman" w:cs="Times New Roman"/>
        </w:rPr>
        <w:t>, 3(2), pp. 103–119.</w:t>
      </w:r>
      <w:r w:rsidR="005D564E">
        <w:rPr>
          <w:rFonts w:ascii="Times New Roman" w:hAnsi="Times New Roman" w:cs="Times New Roman"/>
        </w:rPr>
        <w:t xml:space="preserve"> Available at: </w:t>
      </w:r>
      <w:hyperlink r:id="rId32" w:history="1">
        <w:r w:rsidR="005D564E" w:rsidRPr="00B31BD6">
          <w:rPr>
            <w:rStyle w:val="Hyperlink"/>
            <w:rFonts w:ascii="Times New Roman" w:hAnsi="Times New Roman" w:cs="Times New Roman"/>
          </w:rPr>
          <w:t>https://doi.org/10.1080/136455700405172</w:t>
        </w:r>
      </w:hyperlink>
      <w:r w:rsidR="005D564E">
        <w:rPr>
          <w:rFonts w:ascii="Times New Roman" w:hAnsi="Times New Roman" w:cs="Times New Roman"/>
        </w:rPr>
        <w:t xml:space="preserve"> (</w:t>
      </w:r>
      <w:r w:rsidR="005D564E">
        <w:rPr>
          <w:rFonts w:ascii="Times New Roman" w:hAnsi="Times New Roman" w:cs="Times New Roman"/>
        </w:rPr>
        <w:t>A</w:t>
      </w:r>
      <w:r w:rsidR="005D564E" w:rsidRPr="00EB4F6D">
        <w:rPr>
          <w:rFonts w:ascii="Times New Roman" w:hAnsi="Times New Roman" w:cs="Times New Roman"/>
        </w:rPr>
        <w:t xml:space="preserve">ccessed </w:t>
      </w:r>
      <w:r w:rsidR="005D564E">
        <w:rPr>
          <w:rFonts w:ascii="Times New Roman" w:hAnsi="Times New Roman" w:cs="Times New Roman"/>
        </w:rPr>
        <w:t>02/04/26).</w:t>
      </w:r>
    </w:p>
    <w:p w14:paraId="12B1FEF5" w14:textId="45F31F31" w:rsidR="005D564E" w:rsidRPr="005D564E" w:rsidRDefault="001E20A3" w:rsidP="005D564E">
      <w:pPr>
        <w:rPr>
          <w:rFonts w:ascii="Times New Roman" w:hAnsi="Times New Roman" w:cs="Times New Roman"/>
        </w:rPr>
      </w:pPr>
      <w:r w:rsidRPr="005D564E">
        <w:rPr>
          <w:rFonts w:ascii="Times New Roman" w:hAnsi="Times New Roman" w:cs="Times New Roman"/>
        </w:rPr>
        <w:t xml:space="preserve">Smothers, A., Johnson, L. and Patel, R. (2022) ‘Data-driven decision making in higher education’, </w:t>
      </w:r>
      <w:r w:rsidRPr="005D564E">
        <w:rPr>
          <w:rFonts w:ascii="Times New Roman" w:hAnsi="Times New Roman" w:cs="Times New Roman"/>
          <w:i/>
          <w:iCs/>
        </w:rPr>
        <w:t>Journal of Higher Education Policy and Management</w:t>
      </w:r>
      <w:r w:rsidRPr="005D564E">
        <w:rPr>
          <w:rFonts w:ascii="Times New Roman" w:hAnsi="Times New Roman" w:cs="Times New Roman"/>
        </w:rPr>
        <w:t>, 44(3), pp. 245–259.</w:t>
      </w:r>
      <w:r w:rsidR="005D564E" w:rsidRPr="005D564E">
        <w:rPr>
          <w:rFonts w:ascii="Times New Roman" w:hAnsi="Times New Roman" w:cs="Times New Roman"/>
        </w:rPr>
        <w:t xml:space="preserve"> </w:t>
      </w:r>
      <w:r w:rsidR="005D564E" w:rsidRPr="005D564E">
        <w:rPr>
          <w:rFonts w:ascii="Times New Roman" w:hAnsi="Times New Roman" w:cs="Times New Roman"/>
        </w:rPr>
        <w:t>Available at</w:t>
      </w:r>
      <w:r w:rsidR="005D564E">
        <w:rPr>
          <w:rFonts w:ascii="Times New Roman" w:hAnsi="Times New Roman" w:cs="Times New Roman"/>
        </w:rPr>
        <w:t xml:space="preserve">: </w:t>
      </w:r>
      <w:hyperlink r:id="rId33" w:history="1">
        <w:r w:rsidR="005D564E" w:rsidRPr="005D564E">
          <w:rPr>
            <w:rStyle w:val="Hyperlink"/>
            <w:rFonts w:ascii="Times New Roman" w:hAnsi="Times New Roman" w:cs="Times New Roman"/>
          </w:rPr>
          <w:t>(PDF) Data-driven Decision Making in Higher Education Institutions: State-of-play</w:t>
        </w:r>
      </w:hyperlink>
      <w:r w:rsidR="005D564E" w:rsidRPr="005D564E">
        <w:rPr>
          <w:rFonts w:ascii="Times New Roman" w:hAnsi="Times New Roman" w:cs="Times New Roman"/>
        </w:rPr>
        <w:t xml:space="preserve"> (Accessed 22/02/26).</w:t>
      </w:r>
    </w:p>
    <w:p w14:paraId="418D7E02" w14:textId="43E4C6DC" w:rsidR="005D564E" w:rsidRPr="005D564E" w:rsidRDefault="001E20A3" w:rsidP="005D564E">
      <w:pPr>
        <w:rPr>
          <w:rFonts w:ascii="Times New Roman" w:hAnsi="Times New Roman" w:cs="Times New Roman"/>
        </w:rPr>
      </w:pPr>
      <w:proofErr w:type="spellStart"/>
      <w:r w:rsidRPr="005D564E">
        <w:rPr>
          <w:rFonts w:ascii="Times New Roman" w:hAnsi="Times New Roman" w:cs="Times New Roman"/>
        </w:rPr>
        <w:t>Sweller</w:t>
      </w:r>
      <w:proofErr w:type="spellEnd"/>
      <w:r w:rsidRPr="005D564E">
        <w:rPr>
          <w:rFonts w:ascii="Times New Roman" w:hAnsi="Times New Roman" w:cs="Times New Roman"/>
        </w:rPr>
        <w:t xml:space="preserve">, J. (2011) ‘Cognitive load theory’, in Plass, J.L., Moreno, R. and </w:t>
      </w:r>
      <w:proofErr w:type="spellStart"/>
      <w:r w:rsidRPr="005D564E">
        <w:rPr>
          <w:rFonts w:ascii="Times New Roman" w:hAnsi="Times New Roman" w:cs="Times New Roman"/>
        </w:rPr>
        <w:t>Brünken</w:t>
      </w:r>
      <w:proofErr w:type="spellEnd"/>
      <w:r w:rsidRPr="005D564E">
        <w:rPr>
          <w:rFonts w:ascii="Times New Roman" w:hAnsi="Times New Roman" w:cs="Times New Roman"/>
        </w:rPr>
        <w:t xml:space="preserve">, R. (eds.) </w:t>
      </w:r>
      <w:r w:rsidRPr="005D564E">
        <w:rPr>
          <w:rFonts w:ascii="Times New Roman" w:hAnsi="Times New Roman" w:cs="Times New Roman"/>
          <w:i/>
          <w:iCs/>
        </w:rPr>
        <w:t>Cognitive load theory</w:t>
      </w:r>
      <w:r w:rsidRPr="005D564E">
        <w:rPr>
          <w:rFonts w:ascii="Times New Roman" w:hAnsi="Times New Roman" w:cs="Times New Roman"/>
        </w:rPr>
        <w:t>. Cambridge: Cambridge University Press, pp. 29–47.</w:t>
      </w:r>
      <w:r w:rsidR="005D564E" w:rsidRPr="005D564E">
        <w:rPr>
          <w:rFonts w:ascii="Times New Roman" w:hAnsi="Times New Roman" w:cs="Times New Roman"/>
        </w:rPr>
        <w:t xml:space="preserve"> </w:t>
      </w:r>
      <w:r w:rsidR="005D564E" w:rsidRPr="005D564E">
        <w:rPr>
          <w:rFonts w:ascii="Times New Roman" w:hAnsi="Times New Roman" w:cs="Times New Roman"/>
        </w:rPr>
        <w:t>Available at</w:t>
      </w:r>
      <w:r w:rsidR="005D564E">
        <w:rPr>
          <w:rFonts w:ascii="Times New Roman" w:hAnsi="Times New Roman" w:cs="Times New Roman"/>
        </w:rPr>
        <w:t xml:space="preserve">: </w:t>
      </w:r>
      <w:r w:rsidR="005D564E" w:rsidRPr="005D564E">
        <w:rPr>
          <w:rFonts w:ascii="Times New Roman" w:hAnsi="Times New Roman" w:cs="Times New Roman"/>
        </w:rPr>
        <w:t xml:space="preserve"> </w:t>
      </w:r>
      <w:hyperlink r:id="rId34" w:history="1">
        <w:r w:rsidR="005D564E" w:rsidRPr="005D564E">
          <w:rPr>
            <w:rStyle w:val="Hyperlink"/>
            <w:rFonts w:ascii="Times New Roman" w:hAnsi="Times New Roman" w:cs="Times New Roman"/>
          </w:rPr>
          <w:t>Cognitive Load Theory - ScienceDirect</w:t>
        </w:r>
      </w:hyperlink>
      <w:r w:rsidR="005D564E" w:rsidRPr="005D564E">
        <w:rPr>
          <w:rFonts w:ascii="Times New Roman" w:hAnsi="Times New Roman" w:cs="Times New Roman"/>
        </w:rPr>
        <w:t xml:space="preserve"> (Accessed 25/02/26).</w:t>
      </w:r>
    </w:p>
    <w:p w14:paraId="09102E25" w14:textId="77777777" w:rsidR="005D564E" w:rsidRPr="005D564E" w:rsidRDefault="001E20A3" w:rsidP="005D564E">
      <w:pPr>
        <w:rPr>
          <w:rFonts w:ascii="Times New Roman" w:hAnsi="Times New Roman" w:cs="Times New Roman"/>
        </w:rPr>
      </w:pPr>
      <w:r w:rsidRPr="005D564E">
        <w:rPr>
          <w:rFonts w:ascii="Times New Roman" w:hAnsi="Times New Roman" w:cs="Times New Roman"/>
        </w:rPr>
        <w:t xml:space="preserve">Tracy, S.J. (2013) </w:t>
      </w:r>
      <w:r w:rsidRPr="005D564E">
        <w:rPr>
          <w:rFonts w:ascii="Times New Roman" w:hAnsi="Times New Roman" w:cs="Times New Roman"/>
          <w:i/>
          <w:iCs/>
        </w:rPr>
        <w:t>Qualitative research methods: Collecting evidence, crafting analysis, communicating impact</w:t>
      </w:r>
      <w:r w:rsidRPr="005D564E">
        <w:rPr>
          <w:rFonts w:ascii="Times New Roman" w:hAnsi="Times New Roman" w:cs="Times New Roman"/>
        </w:rPr>
        <w:t>. Chichester: Wiley-Blackwell.</w:t>
      </w:r>
      <w:r w:rsidR="005D564E" w:rsidRPr="005D564E">
        <w:rPr>
          <w:rFonts w:ascii="Times New Roman" w:hAnsi="Times New Roman" w:cs="Times New Roman"/>
        </w:rPr>
        <w:t xml:space="preserve"> Available at: </w:t>
      </w:r>
      <w:hyperlink r:id="rId35" w:anchor="v=onepage&amp;q&amp;f=false" w:history="1">
        <w:r w:rsidR="005D564E" w:rsidRPr="005D564E">
          <w:rPr>
            <w:rStyle w:val="Hyperlink"/>
            <w:rFonts w:ascii="Times New Roman" w:hAnsi="Times New Roman" w:cs="Times New Roman"/>
          </w:rPr>
          <w:t>Qualitative Research Methods: Collecting Evidence, Crafting Analysis ... - Sarah J. Tracy - Google Books</w:t>
        </w:r>
      </w:hyperlink>
      <w:r w:rsidR="005D564E" w:rsidRPr="005D564E">
        <w:rPr>
          <w:rFonts w:ascii="Times New Roman" w:hAnsi="Times New Roman" w:cs="Times New Roman"/>
        </w:rPr>
        <w:t xml:space="preserve">  (Accessed 10/04/26).</w:t>
      </w:r>
    </w:p>
    <w:p w14:paraId="42E0071F" w14:textId="77777777"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lastRenderedPageBreak/>
        <w:t xml:space="preserve">Welsh Government (2015) </w:t>
      </w:r>
      <w:r w:rsidRPr="001E20A3">
        <w:rPr>
          <w:rFonts w:ascii="Times New Roman" w:hAnsi="Times New Roman" w:cs="Times New Roman"/>
          <w:i/>
          <w:iCs/>
        </w:rPr>
        <w:t>Well-being of Future Generations (Wales) Act 2015</w:t>
      </w:r>
      <w:r w:rsidRPr="001E20A3">
        <w:rPr>
          <w:rFonts w:ascii="Times New Roman" w:hAnsi="Times New Roman" w:cs="Times New Roman"/>
        </w:rPr>
        <w:t xml:space="preserve">. Cardiff: Welsh Government. Available at: </w:t>
      </w:r>
      <w:hyperlink r:id="rId36" w:tgtFrame="_new" w:history="1">
        <w:r w:rsidRPr="001E20A3">
          <w:rPr>
            <w:rStyle w:val="Hyperlink"/>
            <w:rFonts w:ascii="Times New Roman" w:hAnsi="Times New Roman" w:cs="Times New Roman"/>
          </w:rPr>
          <w:t>https://www.legislation.gov.uk/anaw/2015/2/contents/enacted</w:t>
        </w:r>
      </w:hyperlink>
      <w:r w:rsidRPr="001E20A3">
        <w:rPr>
          <w:rFonts w:ascii="Times New Roman" w:hAnsi="Times New Roman" w:cs="Times New Roman"/>
        </w:rPr>
        <w:t xml:space="preserve"> (Accessed: 10 February 2026).</w:t>
      </w:r>
    </w:p>
    <w:p w14:paraId="277E1AE3" w14:textId="45900FB6"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Welsh Government (2021) </w:t>
      </w:r>
      <w:r w:rsidRPr="001E20A3">
        <w:rPr>
          <w:rFonts w:ascii="Times New Roman" w:hAnsi="Times New Roman" w:cs="Times New Roman"/>
          <w:i/>
          <w:iCs/>
        </w:rPr>
        <w:t>Framework on embedding a whole-school approach to emotional and mental well-being</w:t>
      </w:r>
      <w:r w:rsidRPr="001E20A3">
        <w:rPr>
          <w:rFonts w:ascii="Times New Roman" w:hAnsi="Times New Roman" w:cs="Times New Roman"/>
        </w:rPr>
        <w:t xml:space="preserve">. Cardiff: Welsh Government. Available at: </w:t>
      </w:r>
      <w:hyperlink r:id="rId37" w:tgtFrame="_new" w:history="1">
        <w:r w:rsidRPr="001E20A3">
          <w:rPr>
            <w:rStyle w:val="Hyperlink"/>
            <w:rFonts w:ascii="Times New Roman" w:hAnsi="Times New Roman" w:cs="Times New Roman"/>
          </w:rPr>
          <w:t>https://www.gov.wales</w:t>
        </w:r>
      </w:hyperlink>
      <w:r w:rsidRPr="001E20A3">
        <w:rPr>
          <w:rFonts w:ascii="Times New Roman" w:hAnsi="Times New Roman" w:cs="Times New Roman"/>
        </w:rPr>
        <w:t xml:space="preserve"> (Accessed: 11</w:t>
      </w:r>
      <w:r w:rsidR="00FE47BB">
        <w:rPr>
          <w:rFonts w:ascii="Times New Roman" w:hAnsi="Times New Roman" w:cs="Times New Roman"/>
        </w:rPr>
        <w:t>/02/</w:t>
      </w:r>
      <w:r w:rsidRPr="001E20A3">
        <w:rPr>
          <w:rFonts w:ascii="Times New Roman" w:hAnsi="Times New Roman" w:cs="Times New Roman"/>
        </w:rPr>
        <w:t>26).</w:t>
      </w:r>
    </w:p>
    <w:p w14:paraId="2BDA3C26" w14:textId="6BBD0BB9" w:rsidR="001E20A3" w:rsidRPr="001E20A3" w:rsidRDefault="001E20A3" w:rsidP="001E20A3">
      <w:pPr>
        <w:spacing w:line="360" w:lineRule="auto"/>
        <w:rPr>
          <w:rFonts w:ascii="Times New Roman" w:hAnsi="Times New Roman" w:cs="Times New Roman"/>
        </w:rPr>
      </w:pPr>
      <w:r w:rsidRPr="001E20A3">
        <w:rPr>
          <w:rFonts w:ascii="Times New Roman" w:hAnsi="Times New Roman" w:cs="Times New Roman"/>
        </w:rPr>
        <w:t xml:space="preserve">Williamson, B. (2017) </w:t>
      </w:r>
      <w:r w:rsidRPr="001E20A3">
        <w:rPr>
          <w:rFonts w:ascii="Times New Roman" w:hAnsi="Times New Roman" w:cs="Times New Roman"/>
          <w:i/>
          <w:iCs/>
        </w:rPr>
        <w:t>Big data in education: The digital future of learning, policy and practice</w:t>
      </w:r>
      <w:r w:rsidRPr="001E20A3">
        <w:rPr>
          <w:rFonts w:ascii="Times New Roman" w:hAnsi="Times New Roman" w:cs="Times New Roman"/>
        </w:rPr>
        <w:t>. London: S</w:t>
      </w:r>
      <w:r w:rsidR="005D564E">
        <w:rPr>
          <w:rFonts w:ascii="Times New Roman" w:hAnsi="Times New Roman" w:cs="Times New Roman"/>
        </w:rPr>
        <w:t>age</w:t>
      </w:r>
      <w:r w:rsidRPr="001E20A3">
        <w:rPr>
          <w:rFonts w:ascii="Times New Roman" w:hAnsi="Times New Roman" w:cs="Times New Roman"/>
        </w:rPr>
        <w:t xml:space="preserve"> Publications.</w:t>
      </w:r>
      <w:r w:rsidR="005D564E">
        <w:rPr>
          <w:rFonts w:ascii="Times New Roman" w:hAnsi="Times New Roman" w:cs="Times New Roman"/>
        </w:rPr>
        <w:t xml:space="preserve"> </w:t>
      </w:r>
      <w:r w:rsidR="005D564E" w:rsidRPr="00BB1E1D">
        <w:rPr>
          <w:rFonts w:ascii="Times New Roman" w:hAnsi="Times New Roman" w:cs="Times New Roman"/>
        </w:rPr>
        <w:t>Available at</w:t>
      </w:r>
      <w:r w:rsidR="005D564E">
        <w:rPr>
          <w:rFonts w:ascii="Times New Roman" w:hAnsi="Times New Roman" w:cs="Times New Roman"/>
        </w:rPr>
        <w:t>:</w:t>
      </w:r>
      <w:r w:rsidR="005D564E" w:rsidRPr="00BB1E1D">
        <w:rPr>
          <w:rFonts w:ascii="Times New Roman" w:hAnsi="Times New Roman" w:cs="Times New Roman"/>
        </w:rPr>
        <w:t xml:space="preserve"> </w:t>
      </w:r>
      <w:hyperlink r:id="rId38" w:history="1">
        <w:r w:rsidR="005D564E" w:rsidRPr="00BB1E1D">
          <w:rPr>
            <w:rStyle w:val="Hyperlink"/>
            <w:rFonts w:ascii="Times New Roman" w:hAnsi="Times New Roman" w:cs="Times New Roman"/>
          </w:rPr>
          <w:t xml:space="preserve">ProQuest </w:t>
        </w:r>
        <w:proofErr w:type="spellStart"/>
        <w:r w:rsidR="005D564E" w:rsidRPr="00BB1E1D">
          <w:rPr>
            <w:rStyle w:val="Hyperlink"/>
            <w:rFonts w:ascii="Times New Roman" w:hAnsi="Times New Roman" w:cs="Times New Roman"/>
          </w:rPr>
          <w:t>Ebook</w:t>
        </w:r>
        <w:proofErr w:type="spellEnd"/>
        <w:r w:rsidR="005D564E" w:rsidRPr="00BB1E1D">
          <w:rPr>
            <w:rStyle w:val="Hyperlink"/>
            <w:rFonts w:ascii="Times New Roman" w:hAnsi="Times New Roman" w:cs="Times New Roman"/>
          </w:rPr>
          <w:t xml:space="preserve"> Central - Reader</w:t>
        </w:r>
      </w:hyperlink>
      <w:r w:rsidR="005D564E" w:rsidRPr="00BB1E1D">
        <w:rPr>
          <w:rFonts w:ascii="Times New Roman" w:hAnsi="Times New Roman" w:cs="Times New Roman"/>
        </w:rPr>
        <w:t xml:space="preserve"> (Accessed 15/02/26).</w:t>
      </w:r>
    </w:p>
    <w:p w14:paraId="73E109EA" w14:textId="77777777" w:rsidR="005D564E" w:rsidRPr="005D564E" w:rsidRDefault="005D564E" w:rsidP="005D564E">
      <w:pPr>
        <w:spacing w:line="360" w:lineRule="auto"/>
        <w:rPr>
          <w:rFonts w:ascii="Times New Roman" w:hAnsi="Times New Roman" w:cs="Times New Roman"/>
        </w:rPr>
      </w:pPr>
      <w:proofErr w:type="spellStart"/>
      <w:r w:rsidRPr="005D564E">
        <w:rPr>
          <w:rFonts w:ascii="Times New Roman" w:hAnsi="Times New Roman" w:cs="Times New Roman"/>
        </w:rPr>
        <w:t>Wixcey</w:t>
      </w:r>
      <w:proofErr w:type="spellEnd"/>
      <w:r w:rsidRPr="005D564E">
        <w:rPr>
          <w:rFonts w:ascii="Times New Roman" w:hAnsi="Times New Roman" w:cs="Times New Roman"/>
        </w:rPr>
        <w:t>, H. Cropley, B. and Shearer, D. (2025) An examination of the influence of mental well-being and resilience on academic outcomes in Further Education learners in Wales. </w:t>
      </w:r>
      <w:r w:rsidRPr="005D564E">
        <w:rPr>
          <w:rFonts w:ascii="Times New Roman" w:hAnsi="Times New Roman" w:cs="Times New Roman"/>
          <w:i/>
          <w:iCs/>
        </w:rPr>
        <w:t>Journal of Further and Higher Education</w:t>
      </w:r>
      <w:r w:rsidRPr="005D564E">
        <w:rPr>
          <w:rFonts w:ascii="Times New Roman" w:hAnsi="Times New Roman" w:cs="Times New Roman"/>
        </w:rPr>
        <w:t>, </w:t>
      </w:r>
      <w:r w:rsidRPr="005D564E">
        <w:rPr>
          <w:rFonts w:ascii="Times New Roman" w:hAnsi="Times New Roman" w:cs="Times New Roman"/>
          <w:i/>
          <w:iCs/>
        </w:rPr>
        <w:t>49</w:t>
      </w:r>
      <w:r w:rsidRPr="005D564E">
        <w:rPr>
          <w:rFonts w:ascii="Times New Roman" w:hAnsi="Times New Roman" w:cs="Times New Roman"/>
        </w:rPr>
        <w:t xml:space="preserve">(2), 137–152. </w:t>
      </w:r>
      <w:hyperlink r:id="rId39" w:history="1">
        <w:r w:rsidRPr="005D564E">
          <w:rPr>
            <w:rStyle w:val="Hyperlink"/>
            <w:rFonts w:ascii="Times New Roman" w:hAnsi="Times New Roman" w:cs="Times New Roman"/>
          </w:rPr>
          <w:t>https://doi.org/10.1080/0309877X.2024.2440501</w:t>
        </w:r>
      </w:hyperlink>
      <w:r w:rsidRPr="005D564E">
        <w:rPr>
          <w:rFonts w:ascii="Times New Roman" w:hAnsi="Times New Roman" w:cs="Times New Roman"/>
        </w:rPr>
        <w:t xml:space="preserve"> (Accessed 11/02/26)</w:t>
      </w:r>
    </w:p>
    <w:p w14:paraId="5339514B" w14:textId="77777777" w:rsidR="005D564E" w:rsidRPr="005D564E" w:rsidRDefault="005D564E" w:rsidP="005D564E">
      <w:pPr>
        <w:spacing w:line="360" w:lineRule="auto"/>
        <w:rPr>
          <w:rFonts w:ascii="Times New Roman" w:hAnsi="Times New Roman" w:cs="Times New Roman"/>
        </w:rPr>
      </w:pPr>
      <w:proofErr w:type="spellStart"/>
      <w:r w:rsidRPr="005D564E">
        <w:rPr>
          <w:rFonts w:ascii="Times New Roman" w:hAnsi="Times New Roman" w:cs="Times New Roman"/>
        </w:rPr>
        <w:t>Wixcey</w:t>
      </w:r>
      <w:proofErr w:type="spellEnd"/>
      <w:r w:rsidRPr="005D564E">
        <w:rPr>
          <w:rFonts w:ascii="Times New Roman" w:hAnsi="Times New Roman" w:cs="Times New Roman"/>
        </w:rPr>
        <w:t>, H. Cropley, B. Shearer, D. Evans, L. and Kingston, K. (2023) Does well-being matter? Exploring the reasons for learner withdrawal from further education in Wales. </w:t>
      </w:r>
      <w:r w:rsidRPr="005D564E">
        <w:rPr>
          <w:rFonts w:ascii="Times New Roman" w:hAnsi="Times New Roman" w:cs="Times New Roman"/>
          <w:i/>
          <w:iCs/>
        </w:rPr>
        <w:t>Journal of Further and Higher Education</w:t>
      </w:r>
      <w:r w:rsidRPr="005D564E">
        <w:rPr>
          <w:rFonts w:ascii="Times New Roman" w:hAnsi="Times New Roman" w:cs="Times New Roman"/>
        </w:rPr>
        <w:t>, </w:t>
      </w:r>
      <w:r w:rsidRPr="005D564E">
        <w:rPr>
          <w:rFonts w:ascii="Times New Roman" w:hAnsi="Times New Roman" w:cs="Times New Roman"/>
          <w:i/>
          <w:iCs/>
        </w:rPr>
        <w:t>47</w:t>
      </w:r>
      <w:r w:rsidRPr="005D564E">
        <w:rPr>
          <w:rFonts w:ascii="Times New Roman" w:hAnsi="Times New Roman" w:cs="Times New Roman"/>
        </w:rPr>
        <w:t xml:space="preserve">(4), 435–449. </w:t>
      </w:r>
      <w:hyperlink r:id="rId40" w:history="1">
        <w:r w:rsidRPr="005D564E">
          <w:rPr>
            <w:rStyle w:val="Hyperlink"/>
            <w:rFonts w:ascii="Times New Roman" w:hAnsi="Times New Roman" w:cs="Times New Roman"/>
          </w:rPr>
          <w:t>https://doi.org/10.1080/0309877X.2022.2138285</w:t>
        </w:r>
      </w:hyperlink>
      <w:r w:rsidRPr="005D564E">
        <w:rPr>
          <w:rFonts w:ascii="Times New Roman" w:hAnsi="Times New Roman" w:cs="Times New Roman"/>
        </w:rPr>
        <w:t xml:space="preserve"> (Accessed 11/02/26).</w:t>
      </w:r>
    </w:p>
    <w:p w14:paraId="21477695" w14:textId="101184C7" w:rsidR="001E20A3" w:rsidRPr="001E20A3" w:rsidRDefault="001E20A3" w:rsidP="001E20A3">
      <w:pPr>
        <w:spacing w:line="360" w:lineRule="auto"/>
        <w:rPr>
          <w:rFonts w:ascii="Times New Roman" w:hAnsi="Times New Roman" w:cs="Times New Roman"/>
        </w:rPr>
      </w:pPr>
      <w:proofErr w:type="spellStart"/>
      <w:r w:rsidRPr="001E20A3">
        <w:rPr>
          <w:rFonts w:ascii="Times New Roman" w:hAnsi="Times New Roman" w:cs="Times New Roman"/>
        </w:rPr>
        <w:t>WiSC</w:t>
      </w:r>
      <w:proofErr w:type="spellEnd"/>
      <w:r w:rsidRPr="001E20A3">
        <w:rPr>
          <w:rFonts w:ascii="Times New Roman" w:hAnsi="Times New Roman" w:cs="Times New Roman"/>
        </w:rPr>
        <w:t xml:space="preserve"> (2025) </w:t>
      </w:r>
      <w:r w:rsidRPr="001E20A3">
        <w:rPr>
          <w:rFonts w:ascii="Times New Roman" w:hAnsi="Times New Roman" w:cs="Times New Roman"/>
          <w:i/>
          <w:iCs/>
        </w:rPr>
        <w:t>Wellbeing in Schools and Colleges study: Briefing report</w:t>
      </w:r>
      <w:r w:rsidRPr="001E20A3">
        <w:rPr>
          <w:rFonts w:ascii="Times New Roman" w:hAnsi="Times New Roman" w:cs="Times New Roman"/>
        </w:rPr>
        <w:t xml:space="preserve">. Available at: </w:t>
      </w:r>
      <w:hyperlink r:id="rId41" w:tgtFrame="_new" w:history="1">
        <w:r w:rsidRPr="001E20A3">
          <w:rPr>
            <w:rStyle w:val="Hyperlink"/>
            <w:rFonts w:ascii="Times New Roman" w:hAnsi="Times New Roman" w:cs="Times New Roman"/>
          </w:rPr>
          <w:t>https://www.shrn.org.uk</w:t>
        </w:r>
      </w:hyperlink>
      <w:r w:rsidRPr="001E20A3">
        <w:rPr>
          <w:rFonts w:ascii="Times New Roman" w:hAnsi="Times New Roman" w:cs="Times New Roman"/>
        </w:rPr>
        <w:t xml:space="preserve"> (Accessed: 12</w:t>
      </w:r>
      <w:r w:rsidR="00FE47BB">
        <w:rPr>
          <w:rFonts w:ascii="Times New Roman" w:hAnsi="Times New Roman" w:cs="Times New Roman"/>
        </w:rPr>
        <w:t>/04/26</w:t>
      </w:r>
      <w:r w:rsidRPr="001E20A3">
        <w:rPr>
          <w:rFonts w:ascii="Times New Roman" w:hAnsi="Times New Roman" w:cs="Times New Roman"/>
        </w:rPr>
        <w:t>).</w:t>
      </w:r>
    </w:p>
    <w:p w14:paraId="729E3762" w14:textId="77777777" w:rsidR="008645E9" w:rsidRPr="00E03085" w:rsidRDefault="008645E9" w:rsidP="00E03085">
      <w:pPr>
        <w:spacing w:line="360" w:lineRule="auto"/>
        <w:rPr>
          <w:rFonts w:ascii="Times New Roman" w:hAnsi="Times New Roman" w:cs="Times New Roman"/>
        </w:rPr>
      </w:pPr>
    </w:p>
    <w:p w14:paraId="3ABFA928" w14:textId="77777777" w:rsidR="008645E9" w:rsidRPr="00E03085" w:rsidRDefault="008645E9" w:rsidP="00E03085">
      <w:pPr>
        <w:spacing w:line="360" w:lineRule="auto"/>
        <w:rPr>
          <w:rFonts w:ascii="Times New Roman" w:hAnsi="Times New Roman" w:cs="Times New Roman"/>
          <w:vanish/>
        </w:rPr>
      </w:pPr>
      <w:r w:rsidRPr="00E03085">
        <w:rPr>
          <w:rFonts w:ascii="Times New Roman" w:hAnsi="Times New Roman" w:cs="Times New Roman"/>
          <w:vanish/>
        </w:rPr>
        <w:t>Bottom of Form</w:t>
      </w:r>
    </w:p>
    <w:p w14:paraId="4A6DDB9C" w14:textId="77777777" w:rsidR="008645E9" w:rsidRPr="00E03085" w:rsidRDefault="008645E9" w:rsidP="00E03085">
      <w:pPr>
        <w:spacing w:line="360" w:lineRule="auto"/>
        <w:rPr>
          <w:rFonts w:ascii="Times New Roman" w:hAnsi="Times New Roman" w:cs="Times New Roman"/>
        </w:rPr>
      </w:pPr>
    </w:p>
    <w:p w14:paraId="4787DBC1" w14:textId="77777777" w:rsidR="008645E9" w:rsidRPr="00E03085" w:rsidRDefault="008645E9" w:rsidP="00E03085">
      <w:pPr>
        <w:spacing w:line="360" w:lineRule="auto"/>
        <w:rPr>
          <w:rFonts w:ascii="Times New Roman" w:hAnsi="Times New Roman" w:cs="Times New Roman"/>
        </w:rPr>
      </w:pPr>
    </w:p>
    <w:sectPr w:rsidR="008645E9" w:rsidRPr="00E0308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E2EFA" w14:textId="77777777" w:rsidR="00E46B71" w:rsidRDefault="00E46B71" w:rsidP="00E46B71">
      <w:pPr>
        <w:spacing w:after="0" w:line="240" w:lineRule="auto"/>
      </w:pPr>
      <w:r>
        <w:separator/>
      </w:r>
    </w:p>
  </w:endnote>
  <w:endnote w:type="continuationSeparator" w:id="0">
    <w:p w14:paraId="2C8939DB" w14:textId="77777777" w:rsidR="00E46B71" w:rsidRDefault="00E46B71" w:rsidP="00E46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03033"/>
      <w:docPartObj>
        <w:docPartGallery w:val="Page Numbers (Bottom of Page)"/>
        <w:docPartUnique/>
      </w:docPartObj>
    </w:sdtPr>
    <w:sdtEndPr>
      <w:rPr>
        <w:noProof/>
      </w:rPr>
    </w:sdtEndPr>
    <w:sdtContent>
      <w:p w14:paraId="40BFAC57" w14:textId="75BA60B7" w:rsidR="00E46B71" w:rsidRDefault="00E46B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11D54D" w14:textId="77777777" w:rsidR="00E46B71" w:rsidRDefault="00E46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82D89" w14:textId="77777777" w:rsidR="00E46B71" w:rsidRDefault="00E46B71" w:rsidP="00E46B71">
      <w:pPr>
        <w:spacing w:after="0" w:line="240" w:lineRule="auto"/>
      </w:pPr>
      <w:r>
        <w:separator/>
      </w:r>
    </w:p>
  </w:footnote>
  <w:footnote w:type="continuationSeparator" w:id="0">
    <w:p w14:paraId="26988328" w14:textId="77777777" w:rsidR="00E46B71" w:rsidRDefault="00E46B71" w:rsidP="00E46B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93707" w14:textId="77777777" w:rsidR="008F4614" w:rsidRDefault="008F46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5A1CBF"/>
    <w:multiLevelType w:val="hybridMultilevel"/>
    <w:tmpl w:val="C6846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970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3DA"/>
    <w:rsid w:val="0003586B"/>
    <w:rsid w:val="000D6635"/>
    <w:rsid w:val="000E2836"/>
    <w:rsid w:val="001772D5"/>
    <w:rsid w:val="001A1222"/>
    <w:rsid w:val="001D431F"/>
    <w:rsid w:val="001E20A3"/>
    <w:rsid w:val="0026131F"/>
    <w:rsid w:val="00261D30"/>
    <w:rsid w:val="00290D11"/>
    <w:rsid w:val="002B02B8"/>
    <w:rsid w:val="00335BF7"/>
    <w:rsid w:val="00393C3C"/>
    <w:rsid w:val="003A6734"/>
    <w:rsid w:val="003C66E9"/>
    <w:rsid w:val="00410A3B"/>
    <w:rsid w:val="004121A6"/>
    <w:rsid w:val="00431820"/>
    <w:rsid w:val="0049356A"/>
    <w:rsid w:val="00493C73"/>
    <w:rsid w:val="00497770"/>
    <w:rsid w:val="004A362A"/>
    <w:rsid w:val="004B2C6B"/>
    <w:rsid w:val="004F2AFB"/>
    <w:rsid w:val="0054162B"/>
    <w:rsid w:val="00545C8D"/>
    <w:rsid w:val="0054772E"/>
    <w:rsid w:val="005539EA"/>
    <w:rsid w:val="00577752"/>
    <w:rsid w:val="0059218D"/>
    <w:rsid w:val="005C5AB2"/>
    <w:rsid w:val="005D564E"/>
    <w:rsid w:val="006052D7"/>
    <w:rsid w:val="00646A50"/>
    <w:rsid w:val="006B14C7"/>
    <w:rsid w:val="006C5741"/>
    <w:rsid w:val="006D754D"/>
    <w:rsid w:val="006E7A38"/>
    <w:rsid w:val="00716F1E"/>
    <w:rsid w:val="00760B6B"/>
    <w:rsid w:val="00821C31"/>
    <w:rsid w:val="00864593"/>
    <w:rsid w:val="008645E9"/>
    <w:rsid w:val="00876E55"/>
    <w:rsid w:val="00880E57"/>
    <w:rsid w:val="00897C22"/>
    <w:rsid w:val="008F22E6"/>
    <w:rsid w:val="008F4614"/>
    <w:rsid w:val="009013DA"/>
    <w:rsid w:val="009726FB"/>
    <w:rsid w:val="009F4144"/>
    <w:rsid w:val="00A13AD3"/>
    <w:rsid w:val="00A2407D"/>
    <w:rsid w:val="00A33D67"/>
    <w:rsid w:val="00A359A4"/>
    <w:rsid w:val="00A73B78"/>
    <w:rsid w:val="00AB43FE"/>
    <w:rsid w:val="00B540B7"/>
    <w:rsid w:val="00BB0349"/>
    <w:rsid w:val="00BB1E1D"/>
    <w:rsid w:val="00BB7D1F"/>
    <w:rsid w:val="00C438F8"/>
    <w:rsid w:val="00CE3AC1"/>
    <w:rsid w:val="00CF0AFE"/>
    <w:rsid w:val="00CF41B3"/>
    <w:rsid w:val="00CF765F"/>
    <w:rsid w:val="00D03F3F"/>
    <w:rsid w:val="00E03085"/>
    <w:rsid w:val="00E07901"/>
    <w:rsid w:val="00E46B71"/>
    <w:rsid w:val="00E92D06"/>
    <w:rsid w:val="00EA5B77"/>
    <w:rsid w:val="00EB4AA4"/>
    <w:rsid w:val="00EB4F6D"/>
    <w:rsid w:val="00FC2282"/>
    <w:rsid w:val="00FE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27D42"/>
  <w15:chartTrackingRefBased/>
  <w15:docId w15:val="{552E192C-A4DA-451C-86AB-C5DFD01D6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1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1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1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1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1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1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1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1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1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1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1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1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1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1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1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13DA"/>
    <w:rPr>
      <w:rFonts w:eastAsiaTheme="majorEastAsia" w:cstheme="majorBidi"/>
      <w:color w:val="272727" w:themeColor="text1" w:themeTint="D8"/>
    </w:rPr>
  </w:style>
  <w:style w:type="paragraph" w:styleId="Title">
    <w:name w:val="Title"/>
    <w:basedOn w:val="Normal"/>
    <w:next w:val="Normal"/>
    <w:link w:val="TitleChar"/>
    <w:uiPriority w:val="10"/>
    <w:qFormat/>
    <w:rsid w:val="00901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1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1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13DA"/>
    <w:pPr>
      <w:spacing w:before="160"/>
      <w:jc w:val="center"/>
    </w:pPr>
    <w:rPr>
      <w:i/>
      <w:iCs/>
      <w:color w:val="404040" w:themeColor="text1" w:themeTint="BF"/>
    </w:rPr>
  </w:style>
  <w:style w:type="character" w:customStyle="1" w:styleId="QuoteChar">
    <w:name w:val="Quote Char"/>
    <w:basedOn w:val="DefaultParagraphFont"/>
    <w:link w:val="Quote"/>
    <w:uiPriority w:val="29"/>
    <w:rsid w:val="009013DA"/>
    <w:rPr>
      <w:i/>
      <w:iCs/>
      <w:color w:val="404040" w:themeColor="text1" w:themeTint="BF"/>
    </w:rPr>
  </w:style>
  <w:style w:type="paragraph" w:styleId="ListParagraph">
    <w:name w:val="List Paragraph"/>
    <w:basedOn w:val="Normal"/>
    <w:uiPriority w:val="34"/>
    <w:qFormat/>
    <w:rsid w:val="009013DA"/>
    <w:pPr>
      <w:ind w:left="720"/>
      <w:contextualSpacing/>
    </w:pPr>
  </w:style>
  <w:style w:type="character" w:styleId="IntenseEmphasis">
    <w:name w:val="Intense Emphasis"/>
    <w:basedOn w:val="DefaultParagraphFont"/>
    <w:uiPriority w:val="21"/>
    <w:qFormat/>
    <w:rsid w:val="009013DA"/>
    <w:rPr>
      <w:i/>
      <w:iCs/>
      <w:color w:val="0F4761" w:themeColor="accent1" w:themeShade="BF"/>
    </w:rPr>
  </w:style>
  <w:style w:type="paragraph" w:styleId="IntenseQuote">
    <w:name w:val="Intense Quote"/>
    <w:basedOn w:val="Normal"/>
    <w:next w:val="Normal"/>
    <w:link w:val="IntenseQuoteChar"/>
    <w:uiPriority w:val="30"/>
    <w:qFormat/>
    <w:rsid w:val="00901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3DA"/>
    <w:rPr>
      <w:i/>
      <w:iCs/>
      <w:color w:val="0F4761" w:themeColor="accent1" w:themeShade="BF"/>
    </w:rPr>
  </w:style>
  <w:style w:type="character" w:styleId="IntenseReference">
    <w:name w:val="Intense Reference"/>
    <w:basedOn w:val="DefaultParagraphFont"/>
    <w:uiPriority w:val="32"/>
    <w:qFormat/>
    <w:rsid w:val="009013DA"/>
    <w:rPr>
      <w:b/>
      <w:bCs/>
      <w:smallCaps/>
      <w:color w:val="0F4761" w:themeColor="accent1" w:themeShade="BF"/>
      <w:spacing w:val="5"/>
    </w:rPr>
  </w:style>
  <w:style w:type="character" w:styleId="Hyperlink">
    <w:name w:val="Hyperlink"/>
    <w:basedOn w:val="DefaultParagraphFont"/>
    <w:uiPriority w:val="99"/>
    <w:unhideWhenUsed/>
    <w:rsid w:val="001A1222"/>
    <w:rPr>
      <w:color w:val="467886" w:themeColor="hyperlink"/>
      <w:u w:val="single"/>
    </w:rPr>
  </w:style>
  <w:style w:type="character" w:styleId="UnresolvedMention">
    <w:name w:val="Unresolved Mention"/>
    <w:basedOn w:val="DefaultParagraphFont"/>
    <w:uiPriority w:val="99"/>
    <w:semiHidden/>
    <w:unhideWhenUsed/>
    <w:rsid w:val="001A1222"/>
    <w:rPr>
      <w:color w:val="605E5C"/>
      <w:shd w:val="clear" w:color="auto" w:fill="E1DFDD"/>
    </w:rPr>
  </w:style>
  <w:style w:type="paragraph" w:styleId="Header">
    <w:name w:val="header"/>
    <w:basedOn w:val="Normal"/>
    <w:link w:val="HeaderChar"/>
    <w:uiPriority w:val="99"/>
    <w:unhideWhenUsed/>
    <w:rsid w:val="00E46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B71"/>
  </w:style>
  <w:style w:type="paragraph" w:styleId="Footer">
    <w:name w:val="footer"/>
    <w:basedOn w:val="Normal"/>
    <w:link w:val="FooterChar"/>
    <w:uiPriority w:val="99"/>
    <w:unhideWhenUsed/>
    <w:rsid w:val="00E46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B71"/>
  </w:style>
  <w:style w:type="paragraph" w:styleId="TOCHeading">
    <w:name w:val="TOC Heading"/>
    <w:basedOn w:val="Heading1"/>
    <w:next w:val="Normal"/>
    <w:uiPriority w:val="39"/>
    <w:unhideWhenUsed/>
    <w:qFormat/>
    <w:rsid w:val="0026131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6131F"/>
    <w:pPr>
      <w:spacing w:after="100"/>
      <w:ind w:left="240"/>
    </w:pPr>
  </w:style>
  <w:style w:type="character" w:styleId="FollowedHyperlink">
    <w:name w:val="FollowedHyperlink"/>
    <w:basedOn w:val="DefaultParagraphFont"/>
    <w:uiPriority w:val="99"/>
    <w:semiHidden/>
    <w:unhideWhenUsed/>
    <w:rsid w:val="00EB4F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3711">
      <w:bodyDiv w:val="1"/>
      <w:marLeft w:val="0"/>
      <w:marRight w:val="0"/>
      <w:marTop w:val="0"/>
      <w:marBottom w:val="0"/>
      <w:divBdr>
        <w:top w:val="none" w:sz="0" w:space="0" w:color="auto"/>
        <w:left w:val="none" w:sz="0" w:space="0" w:color="auto"/>
        <w:bottom w:val="none" w:sz="0" w:space="0" w:color="auto"/>
        <w:right w:val="none" w:sz="0" w:space="0" w:color="auto"/>
      </w:divBdr>
    </w:div>
    <w:div w:id="53167092">
      <w:bodyDiv w:val="1"/>
      <w:marLeft w:val="0"/>
      <w:marRight w:val="0"/>
      <w:marTop w:val="0"/>
      <w:marBottom w:val="0"/>
      <w:divBdr>
        <w:top w:val="none" w:sz="0" w:space="0" w:color="auto"/>
        <w:left w:val="none" w:sz="0" w:space="0" w:color="auto"/>
        <w:bottom w:val="none" w:sz="0" w:space="0" w:color="auto"/>
        <w:right w:val="none" w:sz="0" w:space="0" w:color="auto"/>
      </w:divBdr>
    </w:div>
    <w:div w:id="78478843">
      <w:bodyDiv w:val="1"/>
      <w:marLeft w:val="0"/>
      <w:marRight w:val="0"/>
      <w:marTop w:val="0"/>
      <w:marBottom w:val="0"/>
      <w:divBdr>
        <w:top w:val="none" w:sz="0" w:space="0" w:color="auto"/>
        <w:left w:val="none" w:sz="0" w:space="0" w:color="auto"/>
        <w:bottom w:val="none" w:sz="0" w:space="0" w:color="auto"/>
        <w:right w:val="none" w:sz="0" w:space="0" w:color="auto"/>
      </w:divBdr>
    </w:div>
    <w:div w:id="102190350">
      <w:bodyDiv w:val="1"/>
      <w:marLeft w:val="0"/>
      <w:marRight w:val="0"/>
      <w:marTop w:val="0"/>
      <w:marBottom w:val="0"/>
      <w:divBdr>
        <w:top w:val="none" w:sz="0" w:space="0" w:color="auto"/>
        <w:left w:val="none" w:sz="0" w:space="0" w:color="auto"/>
        <w:bottom w:val="none" w:sz="0" w:space="0" w:color="auto"/>
        <w:right w:val="none" w:sz="0" w:space="0" w:color="auto"/>
      </w:divBdr>
    </w:div>
    <w:div w:id="217784614">
      <w:bodyDiv w:val="1"/>
      <w:marLeft w:val="0"/>
      <w:marRight w:val="0"/>
      <w:marTop w:val="0"/>
      <w:marBottom w:val="0"/>
      <w:divBdr>
        <w:top w:val="none" w:sz="0" w:space="0" w:color="auto"/>
        <w:left w:val="none" w:sz="0" w:space="0" w:color="auto"/>
        <w:bottom w:val="none" w:sz="0" w:space="0" w:color="auto"/>
        <w:right w:val="none" w:sz="0" w:space="0" w:color="auto"/>
      </w:divBdr>
    </w:div>
    <w:div w:id="402799083">
      <w:bodyDiv w:val="1"/>
      <w:marLeft w:val="0"/>
      <w:marRight w:val="0"/>
      <w:marTop w:val="0"/>
      <w:marBottom w:val="0"/>
      <w:divBdr>
        <w:top w:val="none" w:sz="0" w:space="0" w:color="auto"/>
        <w:left w:val="none" w:sz="0" w:space="0" w:color="auto"/>
        <w:bottom w:val="none" w:sz="0" w:space="0" w:color="auto"/>
        <w:right w:val="none" w:sz="0" w:space="0" w:color="auto"/>
      </w:divBdr>
    </w:div>
    <w:div w:id="412897973">
      <w:bodyDiv w:val="1"/>
      <w:marLeft w:val="0"/>
      <w:marRight w:val="0"/>
      <w:marTop w:val="0"/>
      <w:marBottom w:val="0"/>
      <w:divBdr>
        <w:top w:val="none" w:sz="0" w:space="0" w:color="auto"/>
        <w:left w:val="none" w:sz="0" w:space="0" w:color="auto"/>
        <w:bottom w:val="none" w:sz="0" w:space="0" w:color="auto"/>
        <w:right w:val="none" w:sz="0" w:space="0" w:color="auto"/>
      </w:divBdr>
    </w:div>
    <w:div w:id="443810718">
      <w:bodyDiv w:val="1"/>
      <w:marLeft w:val="0"/>
      <w:marRight w:val="0"/>
      <w:marTop w:val="0"/>
      <w:marBottom w:val="0"/>
      <w:divBdr>
        <w:top w:val="none" w:sz="0" w:space="0" w:color="auto"/>
        <w:left w:val="none" w:sz="0" w:space="0" w:color="auto"/>
        <w:bottom w:val="none" w:sz="0" w:space="0" w:color="auto"/>
        <w:right w:val="none" w:sz="0" w:space="0" w:color="auto"/>
      </w:divBdr>
    </w:div>
    <w:div w:id="488525603">
      <w:bodyDiv w:val="1"/>
      <w:marLeft w:val="0"/>
      <w:marRight w:val="0"/>
      <w:marTop w:val="0"/>
      <w:marBottom w:val="0"/>
      <w:divBdr>
        <w:top w:val="none" w:sz="0" w:space="0" w:color="auto"/>
        <w:left w:val="none" w:sz="0" w:space="0" w:color="auto"/>
        <w:bottom w:val="none" w:sz="0" w:space="0" w:color="auto"/>
        <w:right w:val="none" w:sz="0" w:space="0" w:color="auto"/>
      </w:divBdr>
    </w:div>
    <w:div w:id="497354317">
      <w:bodyDiv w:val="1"/>
      <w:marLeft w:val="0"/>
      <w:marRight w:val="0"/>
      <w:marTop w:val="0"/>
      <w:marBottom w:val="0"/>
      <w:divBdr>
        <w:top w:val="none" w:sz="0" w:space="0" w:color="auto"/>
        <w:left w:val="none" w:sz="0" w:space="0" w:color="auto"/>
        <w:bottom w:val="none" w:sz="0" w:space="0" w:color="auto"/>
        <w:right w:val="none" w:sz="0" w:space="0" w:color="auto"/>
      </w:divBdr>
    </w:div>
    <w:div w:id="538396452">
      <w:bodyDiv w:val="1"/>
      <w:marLeft w:val="0"/>
      <w:marRight w:val="0"/>
      <w:marTop w:val="0"/>
      <w:marBottom w:val="0"/>
      <w:divBdr>
        <w:top w:val="none" w:sz="0" w:space="0" w:color="auto"/>
        <w:left w:val="none" w:sz="0" w:space="0" w:color="auto"/>
        <w:bottom w:val="none" w:sz="0" w:space="0" w:color="auto"/>
        <w:right w:val="none" w:sz="0" w:space="0" w:color="auto"/>
      </w:divBdr>
    </w:div>
    <w:div w:id="664823410">
      <w:bodyDiv w:val="1"/>
      <w:marLeft w:val="0"/>
      <w:marRight w:val="0"/>
      <w:marTop w:val="0"/>
      <w:marBottom w:val="0"/>
      <w:divBdr>
        <w:top w:val="none" w:sz="0" w:space="0" w:color="auto"/>
        <w:left w:val="none" w:sz="0" w:space="0" w:color="auto"/>
        <w:bottom w:val="none" w:sz="0" w:space="0" w:color="auto"/>
        <w:right w:val="none" w:sz="0" w:space="0" w:color="auto"/>
      </w:divBdr>
    </w:div>
    <w:div w:id="684983426">
      <w:bodyDiv w:val="1"/>
      <w:marLeft w:val="0"/>
      <w:marRight w:val="0"/>
      <w:marTop w:val="0"/>
      <w:marBottom w:val="0"/>
      <w:divBdr>
        <w:top w:val="none" w:sz="0" w:space="0" w:color="auto"/>
        <w:left w:val="none" w:sz="0" w:space="0" w:color="auto"/>
        <w:bottom w:val="none" w:sz="0" w:space="0" w:color="auto"/>
        <w:right w:val="none" w:sz="0" w:space="0" w:color="auto"/>
      </w:divBdr>
    </w:div>
    <w:div w:id="729889057">
      <w:bodyDiv w:val="1"/>
      <w:marLeft w:val="0"/>
      <w:marRight w:val="0"/>
      <w:marTop w:val="0"/>
      <w:marBottom w:val="0"/>
      <w:divBdr>
        <w:top w:val="none" w:sz="0" w:space="0" w:color="auto"/>
        <w:left w:val="none" w:sz="0" w:space="0" w:color="auto"/>
        <w:bottom w:val="none" w:sz="0" w:space="0" w:color="auto"/>
        <w:right w:val="none" w:sz="0" w:space="0" w:color="auto"/>
      </w:divBdr>
    </w:div>
    <w:div w:id="754935556">
      <w:bodyDiv w:val="1"/>
      <w:marLeft w:val="0"/>
      <w:marRight w:val="0"/>
      <w:marTop w:val="0"/>
      <w:marBottom w:val="0"/>
      <w:divBdr>
        <w:top w:val="none" w:sz="0" w:space="0" w:color="auto"/>
        <w:left w:val="none" w:sz="0" w:space="0" w:color="auto"/>
        <w:bottom w:val="none" w:sz="0" w:space="0" w:color="auto"/>
        <w:right w:val="none" w:sz="0" w:space="0" w:color="auto"/>
      </w:divBdr>
    </w:div>
    <w:div w:id="758017175">
      <w:bodyDiv w:val="1"/>
      <w:marLeft w:val="0"/>
      <w:marRight w:val="0"/>
      <w:marTop w:val="0"/>
      <w:marBottom w:val="0"/>
      <w:divBdr>
        <w:top w:val="none" w:sz="0" w:space="0" w:color="auto"/>
        <w:left w:val="none" w:sz="0" w:space="0" w:color="auto"/>
        <w:bottom w:val="none" w:sz="0" w:space="0" w:color="auto"/>
        <w:right w:val="none" w:sz="0" w:space="0" w:color="auto"/>
      </w:divBdr>
    </w:div>
    <w:div w:id="770010800">
      <w:bodyDiv w:val="1"/>
      <w:marLeft w:val="0"/>
      <w:marRight w:val="0"/>
      <w:marTop w:val="0"/>
      <w:marBottom w:val="0"/>
      <w:divBdr>
        <w:top w:val="none" w:sz="0" w:space="0" w:color="auto"/>
        <w:left w:val="none" w:sz="0" w:space="0" w:color="auto"/>
        <w:bottom w:val="none" w:sz="0" w:space="0" w:color="auto"/>
        <w:right w:val="none" w:sz="0" w:space="0" w:color="auto"/>
      </w:divBdr>
    </w:div>
    <w:div w:id="802502201">
      <w:bodyDiv w:val="1"/>
      <w:marLeft w:val="0"/>
      <w:marRight w:val="0"/>
      <w:marTop w:val="0"/>
      <w:marBottom w:val="0"/>
      <w:divBdr>
        <w:top w:val="none" w:sz="0" w:space="0" w:color="auto"/>
        <w:left w:val="none" w:sz="0" w:space="0" w:color="auto"/>
        <w:bottom w:val="none" w:sz="0" w:space="0" w:color="auto"/>
        <w:right w:val="none" w:sz="0" w:space="0" w:color="auto"/>
      </w:divBdr>
    </w:div>
    <w:div w:id="840047590">
      <w:bodyDiv w:val="1"/>
      <w:marLeft w:val="0"/>
      <w:marRight w:val="0"/>
      <w:marTop w:val="0"/>
      <w:marBottom w:val="0"/>
      <w:divBdr>
        <w:top w:val="none" w:sz="0" w:space="0" w:color="auto"/>
        <w:left w:val="none" w:sz="0" w:space="0" w:color="auto"/>
        <w:bottom w:val="none" w:sz="0" w:space="0" w:color="auto"/>
        <w:right w:val="none" w:sz="0" w:space="0" w:color="auto"/>
      </w:divBdr>
    </w:div>
    <w:div w:id="847594156">
      <w:bodyDiv w:val="1"/>
      <w:marLeft w:val="0"/>
      <w:marRight w:val="0"/>
      <w:marTop w:val="0"/>
      <w:marBottom w:val="0"/>
      <w:divBdr>
        <w:top w:val="none" w:sz="0" w:space="0" w:color="auto"/>
        <w:left w:val="none" w:sz="0" w:space="0" w:color="auto"/>
        <w:bottom w:val="none" w:sz="0" w:space="0" w:color="auto"/>
        <w:right w:val="none" w:sz="0" w:space="0" w:color="auto"/>
      </w:divBdr>
    </w:div>
    <w:div w:id="867255557">
      <w:bodyDiv w:val="1"/>
      <w:marLeft w:val="0"/>
      <w:marRight w:val="0"/>
      <w:marTop w:val="0"/>
      <w:marBottom w:val="0"/>
      <w:divBdr>
        <w:top w:val="none" w:sz="0" w:space="0" w:color="auto"/>
        <w:left w:val="none" w:sz="0" w:space="0" w:color="auto"/>
        <w:bottom w:val="none" w:sz="0" w:space="0" w:color="auto"/>
        <w:right w:val="none" w:sz="0" w:space="0" w:color="auto"/>
      </w:divBdr>
    </w:div>
    <w:div w:id="880214355">
      <w:bodyDiv w:val="1"/>
      <w:marLeft w:val="0"/>
      <w:marRight w:val="0"/>
      <w:marTop w:val="0"/>
      <w:marBottom w:val="0"/>
      <w:divBdr>
        <w:top w:val="none" w:sz="0" w:space="0" w:color="auto"/>
        <w:left w:val="none" w:sz="0" w:space="0" w:color="auto"/>
        <w:bottom w:val="none" w:sz="0" w:space="0" w:color="auto"/>
        <w:right w:val="none" w:sz="0" w:space="0" w:color="auto"/>
      </w:divBdr>
    </w:div>
    <w:div w:id="894970210">
      <w:bodyDiv w:val="1"/>
      <w:marLeft w:val="0"/>
      <w:marRight w:val="0"/>
      <w:marTop w:val="0"/>
      <w:marBottom w:val="0"/>
      <w:divBdr>
        <w:top w:val="none" w:sz="0" w:space="0" w:color="auto"/>
        <w:left w:val="none" w:sz="0" w:space="0" w:color="auto"/>
        <w:bottom w:val="none" w:sz="0" w:space="0" w:color="auto"/>
        <w:right w:val="none" w:sz="0" w:space="0" w:color="auto"/>
      </w:divBdr>
    </w:div>
    <w:div w:id="966203097">
      <w:bodyDiv w:val="1"/>
      <w:marLeft w:val="0"/>
      <w:marRight w:val="0"/>
      <w:marTop w:val="0"/>
      <w:marBottom w:val="0"/>
      <w:divBdr>
        <w:top w:val="none" w:sz="0" w:space="0" w:color="auto"/>
        <w:left w:val="none" w:sz="0" w:space="0" w:color="auto"/>
        <w:bottom w:val="none" w:sz="0" w:space="0" w:color="auto"/>
        <w:right w:val="none" w:sz="0" w:space="0" w:color="auto"/>
      </w:divBdr>
    </w:div>
    <w:div w:id="987513510">
      <w:bodyDiv w:val="1"/>
      <w:marLeft w:val="0"/>
      <w:marRight w:val="0"/>
      <w:marTop w:val="0"/>
      <w:marBottom w:val="0"/>
      <w:divBdr>
        <w:top w:val="none" w:sz="0" w:space="0" w:color="auto"/>
        <w:left w:val="none" w:sz="0" w:space="0" w:color="auto"/>
        <w:bottom w:val="none" w:sz="0" w:space="0" w:color="auto"/>
        <w:right w:val="none" w:sz="0" w:space="0" w:color="auto"/>
      </w:divBdr>
    </w:div>
    <w:div w:id="994996288">
      <w:bodyDiv w:val="1"/>
      <w:marLeft w:val="0"/>
      <w:marRight w:val="0"/>
      <w:marTop w:val="0"/>
      <w:marBottom w:val="0"/>
      <w:divBdr>
        <w:top w:val="none" w:sz="0" w:space="0" w:color="auto"/>
        <w:left w:val="none" w:sz="0" w:space="0" w:color="auto"/>
        <w:bottom w:val="none" w:sz="0" w:space="0" w:color="auto"/>
        <w:right w:val="none" w:sz="0" w:space="0" w:color="auto"/>
      </w:divBdr>
    </w:div>
    <w:div w:id="1028261275">
      <w:bodyDiv w:val="1"/>
      <w:marLeft w:val="0"/>
      <w:marRight w:val="0"/>
      <w:marTop w:val="0"/>
      <w:marBottom w:val="0"/>
      <w:divBdr>
        <w:top w:val="none" w:sz="0" w:space="0" w:color="auto"/>
        <w:left w:val="none" w:sz="0" w:space="0" w:color="auto"/>
        <w:bottom w:val="none" w:sz="0" w:space="0" w:color="auto"/>
        <w:right w:val="none" w:sz="0" w:space="0" w:color="auto"/>
      </w:divBdr>
    </w:div>
    <w:div w:id="1047535502">
      <w:bodyDiv w:val="1"/>
      <w:marLeft w:val="0"/>
      <w:marRight w:val="0"/>
      <w:marTop w:val="0"/>
      <w:marBottom w:val="0"/>
      <w:divBdr>
        <w:top w:val="none" w:sz="0" w:space="0" w:color="auto"/>
        <w:left w:val="none" w:sz="0" w:space="0" w:color="auto"/>
        <w:bottom w:val="none" w:sz="0" w:space="0" w:color="auto"/>
        <w:right w:val="none" w:sz="0" w:space="0" w:color="auto"/>
      </w:divBdr>
    </w:div>
    <w:div w:id="1135564958">
      <w:bodyDiv w:val="1"/>
      <w:marLeft w:val="0"/>
      <w:marRight w:val="0"/>
      <w:marTop w:val="0"/>
      <w:marBottom w:val="0"/>
      <w:divBdr>
        <w:top w:val="none" w:sz="0" w:space="0" w:color="auto"/>
        <w:left w:val="none" w:sz="0" w:space="0" w:color="auto"/>
        <w:bottom w:val="none" w:sz="0" w:space="0" w:color="auto"/>
        <w:right w:val="none" w:sz="0" w:space="0" w:color="auto"/>
      </w:divBdr>
      <w:divsChild>
        <w:div w:id="377363206">
          <w:marLeft w:val="0"/>
          <w:marRight w:val="0"/>
          <w:marTop w:val="0"/>
          <w:marBottom w:val="0"/>
          <w:divBdr>
            <w:top w:val="none" w:sz="0" w:space="0" w:color="auto"/>
            <w:left w:val="none" w:sz="0" w:space="0" w:color="auto"/>
            <w:bottom w:val="none" w:sz="0" w:space="0" w:color="auto"/>
            <w:right w:val="none" w:sz="0" w:space="0" w:color="auto"/>
          </w:divBdr>
          <w:divsChild>
            <w:div w:id="79256112">
              <w:marLeft w:val="0"/>
              <w:marRight w:val="0"/>
              <w:marTop w:val="0"/>
              <w:marBottom w:val="0"/>
              <w:divBdr>
                <w:top w:val="none" w:sz="0" w:space="0" w:color="auto"/>
                <w:left w:val="none" w:sz="0" w:space="0" w:color="auto"/>
                <w:bottom w:val="none" w:sz="0" w:space="0" w:color="auto"/>
                <w:right w:val="none" w:sz="0" w:space="0" w:color="auto"/>
              </w:divBdr>
              <w:divsChild>
                <w:div w:id="1920796225">
                  <w:marLeft w:val="0"/>
                  <w:marRight w:val="0"/>
                  <w:marTop w:val="0"/>
                  <w:marBottom w:val="0"/>
                  <w:divBdr>
                    <w:top w:val="none" w:sz="0" w:space="0" w:color="auto"/>
                    <w:left w:val="none" w:sz="0" w:space="0" w:color="auto"/>
                    <w:bottom w:val="none" w:sz="0" w:space="0" w:color="auto"/>
                    <w:right w:val="none" w:sz="0" w:space="0" w:color="auto"/>
                  </w:divBdr>
                  <w:divsChild>
                    <w:div w:id="1809516554">
                      <w:marLeft w:val="0"/>
                      <w:marRight w:val="0"/>
                      <w:marTop w:val="0"/>
                      <w:marBottom w:val="0"/>
                      <w:divBdr>
                        <w:top w:val="none" w:sz="0" w:space="0" w:color="auto"/>
                        <w:left w:val="none" w:sz="0" w:space="0" w:color="auto"/>
                        <w:bottom w:val="none" w:sz="0" w:space="0" w:color="auto"/>
                        <w:right w:val="none" w:sz="0" w:space="0" w:color="auto"/>
                      </w:divBdr>
                      <w:divsChild>
                        <w:div w:id="2044741396">
                          <w:marLeft w:val="0"/>
                          <w:marRight w:val="0"/>
                          <w:marTop w:val="0"/>
                          <w:marBottom w:val="0"/>
                          <w:divBdr>
                            <w:top w:val="none" w:sz="0" w:space="0" w:color="auto"/>
                            <w:left w:val="none" w:sz="0" w:space="0" w:color="auto"/>
                            <w:bottom w:val="none" w:sz="0" w:space="0" w:color="auto"/>
                            <w:right w:val="none" w:sz="0" w:space="0" w:color="auto"/>
                          </w:divBdr>
                          <w:divsChild>
                            <w:div w:id="1928735033">
                              <w:marLeft w:val="0"/>
                              <w:marRight w:val="0"/>
                              <w:marTop w:val="0"/>
                              <w:marBottom w:val="0"/>
                              <w:divBdr>
                                <w:top w:val="none" w:sz="0" w:space="0" w:color="auto"/>
                                <w:left w:val="none" w:sz="0" w:space="0" w:color="auto"/>
                                <w:bottom w:val="none" w:sz="0" w:space="0" w:color="auto"/>
                                <w:right w:val="none" w:sz="0" w:space="0" w:color="auto"/>
                              </w:divBdr>
                              <w:divsChild>
                                <w:div w:id="1061902655">
                                  <w:marLeft w:val="0"/>
                                  <w:marRight w:val="0"/>
                                  <w:marTop w:val="0"/>
                                  <w:marBottom w:val="0"/>
                                  <w:divBdr>
                                    <w:top w:val="none" w:sz="0" w:space="0" w:color="auto"/>
                                    <w:left w:val="none" w:sz="0" w:space="0" w:color="auto"/>
                                    <w:bottom w:val="none" w:sz="0" w:space="0" w:color="auto"/>
                                    <w:right w:val="none" w:sz="0" w:space="0" w:color="auto"/>
                                  </w:divBdr>
                                  <w:divsChild>
                                    <w:div w:id="1422796841">
                                      <w:marLeft w:val="0"/>
                                      <w:marRight w:val="0"/>
                                      <w:marTop w:val="0"/>
                                      <w:marBottom w:val="0"/>
                                      <w:divBdr>
                                        <w:top w:val="none" w:sz="0" w:space="0" w:color="auto"/>
                                        <w:left w:val="none" w:sz="0" w:space="0" w:color="auto"/>
                                        <w:bottom w:val="none" w:sz="0" w:space="0" w:color="auto"/>
                                        <w:right w:val="none" w:sz="0" w:space="0" w:color="auto"/>
                                      </w:divBdr>
                                      <w:divsChild>
                                        <w:div w:id="628588331">
                                          <w:marLeft w:val="0"/>
                                          <w:marRight w:val="0"/>
                                          <w:marTop w:val="0"/>
                                          <w:marBottom w:val="0"/>
                                          <w:divBdr>
                                            <w:top w:val="none" w:sz="0" w:space="0" w:color="auto"/>
                                            <w:left w:val="none" w:sz="0" w:space="0" w:color="auto"/>
                                            <w:bottom w:val="none" w:sz="0" w:space="0" w:color="auto"/>
                                            <w:right w:val="none" w:sz="0" w:space="0" w:color="auto"/>
                                          </w:divBdr>
                                          <w:divsChild>
                                            <w:div w:id="1528519434">
                                              <w:marLeft w:val="0"/>
                                              <w:marRight w:val="0"/>
                                              <w:marTop w:val="0"/>
                                              <w:marBottom w:val="0"/>
                                              <w:divBdr>
                                                <w:top w:val="none" w:sz="0" w:space="0" w:color="auto"/>
                                                <w:left w:val="none" w:sz="0" w:space="0" w:color="auto"/>
                                                <w:bottom w:val="none" w:sz="0" w:space="0" w:color="auto"/>
                                                <w:right w:val="none" w:sz="0" w:space="0" w:color="auto"/>
                                              </w:divBdr>
                                              <w:divsChild>
                                                <w:div w:id="168312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68248820">
          <w:marLeft w:val="0"/>
          <w:marRight w:val="0"/>
          <w:marTop w:val="0"/>
          <w:marBottom w:val="0"/>
          <w:divBdr>
            <w:top w:val="none" w:sz="0" w:space="0" w:color="auto"/>
            <w:left w:val="none" w:sz="0" w:space="0" w:color="auto"/>
            <w:bottom w:val="none" w:sz="0" w:space="0" w:color="auto"/>
            <w:right w:val="none" w:sz="0" w:space="0" w:color="auto"/>
          </w:divBdr>
          <w:divsChild>
            <w:div w:id="776758031">
              <w:marLeft w:val="0"/>
              <w:marRight w:val="0"/>
              <w:marTop w:val="0"/>
              <w:marBottom w:val="0"/>
              <w:divBdr>
                <w:top w:val="none" w:sz="0" w:space="0" w:color="auto"/>
                <w:left w:val="none" w:sz="0" w:space="0" w:color="auto"/>
                <w:bottom w:val="none" w:sz="0" w:space="0" w:color="auto"/>
                <w:right w:val="none" w:sz="0" w:space="0" w:color="auto"/>
              </w:divBdr>
              <w:divsChild>
                <w:div w:id="1156142407">
                  <w:marLeft w:val="0"/>
                  <w:marRight w:val="0"/>
                  <w:marTop w:val="0"/>
                  <w:marBottom w:val="0"/>
                  <w:divBdr>
                    <w:top w:val="none" w:sz="0" w:space="0" w:color="auto"/>
                    <w:left w:val="none" w:sz="0" w:space="0" w:color="auto"/>
                    <w:bottom w:val="none" w:sz="0" w:space="0" w:color="auto"/>
                    <w:right w:val="none" w:sz="0" w:space="0" w:color="auto"/>
                  </w:divBdr>
                  <w:divsChild>
                    <w:div w:id="368378732">
                      <w:marLeft w:val="0"/>
                      <w:marRight w:val="0"/>
                      <w:marTop w:val="0"/>
                      <w:marBottom w:val="0"/>
                      <w:divBdr>
                        <w:top w:val="none" w:sz="0" w:space="0" w:color="auto"/>
                        <w:left w:val="none" w:sz="0" w:space="0" w:color="auto"/>
                        <w:bottom w:val="none" w:sz="0" w:space="0" w:color="auto"/>
                        <w:right w:val="none" w:sz="0" w:space="0" w:color="auto"/>
                      </w:divBdr>
                      <w:divsChild>
                        <w:div w:id="1087380789">
                          <w:marLeft w:val="0"/>
                          <w:marRight w:val="0"/>
                          <w:marTop w:val="0"/>
                          <w:marBottom w:val="0"/>
                          <w:divBdr>
                            <w:top w:val="none" w:sz="0" w:space="0" w:color="auto"/>
                            <w:left w:val="none" w:sz="0" w:space="0" w:color="auto"/>
                            <w:bottom w:val="none" w:sz="0" w:space="0" w:color="auto"/>
                            <w:right w:val="none" w:sz="0" w:space="0" w:color="auto"/>
                          </w:divBdr>
                          <w:divsChild>
                            <w:div w:id="205026644">
                              <w:marLeft w:val="0"/>
                              <w:marRight w:val="0"/>
                              <w:marTop w:val="0"/>
                              <w:marBottom w:val="0"/>
                              <w:divBdr>
                                <w:top w:val="none" w:sz="0" w:space="0" w:color="auto"/>
                                <w:left w:val="none" w:sz="0" w:space="0" w:color="auto"/>
                                <w:bottom w:val="none" w:sz="0" w:space="0" w:color="auto"/>
                                <w:right w:val="none" w:sz="0" w:space="0" w:color="auto"/>
                              </w:divBdr>
                              <w:divsChild>
                                <w:div w:id="1773165374">
                                  <w:marLeft w:val="0"/>
                                  <w:marRight w:val="0"/>
                                  <w:marTop w:val="0"/>
                                  <w:marBottom w:val="0"/>
                                  <w:divBdr>
                                    <w:top w:val="none" w:sz="0" w:space="0" w:color="auto"/>
                                    <w:left w:val="none" w:sz="0" w:space="0" w:color="auto"/>
                                    <w:bottom w:val="none" w:sz="0" w:space="0" w:color="auto"/>
                                    <w:right w:val="none" w:sz="0" w:space="0" w:color="auto"/>
                                  </w:divBdr>
                                  <w:divsChild>
                                    <w:div w:id="41933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4224572">
      <w:bodyDiv w:val="1"/>
      <w:marLeft w:val="0"/>
      <w:marRight w:val="0"/>
      <w:marTop w:val="0"/>
      <w:marBottom w:val="0"/>
      <w:divBdr>
        <w:top w:val="none" w:sz="0" w:space="0" w:color="auto"/>
        <w:left w:val="none" w:sz="0" w:space="0" w:color="auto"/>
        <w:bottom w:val="none" w:sz="0" w:space="0" w:color="auto"/>
        <w:right w:val="none" w:sz="0" w:space="0" w:color="auto"/>
      </w:divBdr>
    </w:div>
    <w:div w:id="1205098271">
      <w:bodyDiv w:val="1"/>
      <w:marLeft w:val="0"/>
      <w:marRight w:val="0"/>
      <w:marTop w:val="0"/>
      <w:marBottom w:val="0"/>
      <w:divBdr>
        <w:top w:val="none" w:sz="0" w:space="0" w:color="auto"/>
        <w:left w:val="none" w:sz="0" w:space="0" w:color="auto"/>
        <w:bottom w:val="none" w:sz="0" w:space="0" w:color="auto"/>
        <w:right w:val="none" w:sz="0" w:space="0" w:color="auto"/>
      </w:divBdr>
    </w:div>
    <w:div w:id="1221599871">
      <w:bodyDiv w:val="1"/>
      <w:marLeft w:val="0"/>
      <w:marRight w:val="0"/>
      <w:marTop w:val="0"/>
      <w:marBottom w:val="0"/>
      <w:divBdr>
        <w:top w:val="none" w:sz="0" w:space="0" w:color="auto"/>
        <w:left w:val="none" w:sz="0" w:space="0" w:color="auto"/>
        <w:bottom w:val="none" w:sz="0" w:space="0" w:color="auto"/>
        <w:right w:val="none" w:sz="0" w:space="0" w:color="auto"/>
      </w:divBdr>
    </w:div>
    <w:div w:id="1224877776">
      <w:bodyDiv w:val="1"/>
      <w:marLeft w:val="0"/>
      <w:marRight w:val="0"/>
      <w:marTop w:val="0"/>
      <w:marBottom w:val="0"/>
      <w:divBdr>
        <w:top w:val="none" w:sz="0" w:space="0" w:color="auto"/>
        <w:left w:val="none" w:sz="0" w:space="0" w:color="auto"/>
        <w:bottom w:val="none" w:sz="0" w:space="0" w:color="auto"/>
        <w:right w:val="none" w:sz="0" w:space="0" w:color="auto"/>
      </w:divBdr>
    </w:div>
    <w:div w:id="1226646786">
      <w:bodyDiv w:val="1"/>
      <w:marLeft w:val="0"/>
      <w:marRight w:val="0"/>
      <w:marTop w:val="0"/>
      <w:marBottom w:val="0"/>
      <w:divBdr>
        <w:top w:val="none" w:sz="0" w:space="0" w:color="auto"/>
        <w:left w:val="none" w:sz="0" w:space="0" w:color="auto"/>
        <w:bottom w:val="none" w:sz="0" w:space="0" w:color="auto"/>
        <w:right w:val="none" w:sz="0" w:space="0" w:color="auto"/>
      </w:divBdr>
    </w:div>
    <w:div w:id="1237596739">
      <w:bodyDiv w:val="1"/>
      <w:marLeft w:val="0"/>
      <w:marRight w:val="0"/>
      <w:marTop w:val="0"/>
      <w:marBottom w:val="0"/>
      <w:divBdr>
        <w:top w:val="none" w:sz="0" w:space="0" w:color="auto"/>
        <w:left w:val="none" w:sz="0" w:space="0" w:color="auto"/>
        <w:bottom w:val="none" w:sz="0" w:space="0" w:color="auto"/>
        <w:right w:val="none" w:sz="0" w:space="0" w:color="auto"/>
      </w:divBdr>
    </w:div>
    <w:div w:id="1250843941">
      <w:bodyDiv w:val="1"/>
      <w:marLeft w:val="0"/>
      <w:marRight w:val="0"/>
      <w:marTop w:val="0"/>
      <w:marBottom w:val="0"/>
      <w:divBdr>
        <w:top w:val="none" w:sz="0" w:space="0" w:color="auto"/>
        <w:left w:val="none" w:sz="0" w:space="0" w:color="auto"/>
        <w:bottom w:val="none" w:sz="0" w:space="0" w:color="auto"/>
        <w:right w:val="none" w:sz="0" w:space="0" w:color="auto"/>
      </w:divBdr>
    </w:div>
    <w:div w:id="1262761397">
      <w:bodyDiv w:val="1"/>
      <w:marLeft w:val="0"/>
      <w:marRight w:val="0"/>
      <w:marTop w:val="0"/>
      <w:marBottom w:val="0"/>
      <w:divBdr>
        <w:top w:val="none" w:sz="0" w:space="0" w:color="auto"/>
        <w:left w:val="none" w:sz="0" w:space="0" w:color="auto"/>
        <w:bottom w:val="none" w:sz="0" w:space="0" w:color="auto"/>
        <w:right w:val="none" w:sz="0" w:space="0" w:color="auto"/>
      </w:divBdr>
    </w:div>
    <w:div w:id="1265068908">
      <w:bodyDiv w:val="1"/>
      <w:marLeft w:val="0"/>
      <w:marRight w:val="0"/>
      <w:marTop w:val="0"/>
      <w:marBottom w:val="0"/>
      <w:divBdr>
        <w:top w:val="none" w:sz="0" w:space="0" w:color="auto"/>
        <w:left w:val="none" w:sz="0" w:space="0" w:color="auto"/>
        <w:bottom w:val="none" w:sz="0" w:space="0" w:color="auto"/>
        <w:right w:val="none" w:sz="0" w:space="0" w:color="auto"/>
      </w:divBdr>
    </w:div>
    <w:div w:id="1275669012">
      <w:bodyDiv w:val="1"/>
      <w:marLeft w:val="0"/>
      <w:marRight w:val="0"/>
      <w:marTop w:val="0"/>
      <w:marBottom w:val="0"/>
      <w:divBdr>
        <w:top w:val="none" w:sz="0" w:space="0" w:color="auto"/>
        <w:left w:val="none" w:sz="0" w:space="0" w:color="auto"/>
        <w:bottom w:val="none" w:sz="0" w:space="0" w:color="auto"/>
        <w:right w:val="none" w:sz="0" w:space="0" w:color="auto"/>
      </w:divBdr>
    </w:div>
    <w:div w:id="1367481470">
      <w:bodyDiv w:val="1"/>
      <w:marLeft w:val="0"/>
      <w:marRight w:val="0"/>
      <w:marTop w:val="0"/>
      <w:marBottom w:val="0"/>
      <w:divBdr>
        <w:top w:val="none" w:sz="0" w:space="0" w:color="auto"/>
        <w:left w:val="none" w:sz="0" w:space="0" w:color="auto"/>
        <w:bottom w:val="none" w:sz="0" w:space="0" w:color="auto"/>
        <w:right w:val="none" w:sz="0" w:space="0" w:color="auto"/>
      </w:divBdr>
    </w:div>
    <w:div w:id="1404906993">
      <w:bodyDiv w:val="1"/>
      <w:marLeft w:val="0"/>
      <w:marRight w:val="0"/>
      <w:marTop w:val="0"/>
      <w:marBottom w:val="0"/>
      <w:divBdr>
        <w:top w:val="none" w:sz="0" w:space="0" w:color="auto"/>
        <w:left w:val="none" w:sz="0" w:space="0" w:color="auto"/>
        <w:bottom w:val="none" w:sz="0" w:space="0" w:color="auto"/>
        <w:right w:val="none" w:sz="0" w:space="0" w:color="auto"/>
      </w:divBdr>
    </w:div>
    <w:div w:id="1407531542">
      <w:bodyDiv w:val="1"/>
      <w:marLeft w:val="0"/>
      <w:marRight w:val="0"/>
      <w:marTop w:val="0"/>
      <w:marBottom w:val="0"/>
      <w:divBdr>
        <w:top w:val="none" w:sz="0" w:space="0" w:color="auto"/>
        <w:left w:val="none" w:sz="0" w:space="0" w:color="auto"/>
        <w:bottom w:val="none" w:sz="0" w:space="0" w:color="auto"/>
        <w:right w:val="none" w:sz="0" w:space="0" w:color="auto"/>
      </w:divBdr>
    </w:div>
    <w:div w:id="1434744542">
      <w:bodyDiv w:val="1"/>
      <w:marLeft w:val="0"/>
      <w:marRight w:val="0"/>
      <w:marTop w:val="0"/>
      <w:marBottom w:val="0"/>
      <w:divBdr>
        <w:top w:val="none" w:sz="0" w:space="0" w:color="auto"/>
        <w:left w:val="none" w:sz="0" w:space="0" w:color="auto"/>
        <w:bottom w:val="none" w:sz="0" w:space="0" w:color="auto"/>
        <w:right w:val="none" w:sz="0" w:space="0" w:color="auto"/>
      </w:divBdr>
    </w:div>
    <w:div w:id="1439912393">
      <w:bodyDiv w:val="1"/>
      <w:marLeft w:val="0"/>
      <w:marRight w:val="0"/>
      <w:marTop w:val="0"/>
      <w:marBottom w:val="0"/>
      <w:divBdr>
        <w:top w:val="none" w:sz="0" w:space="0" w:color="auto"/>
        <w:left w:val="none" w:sz="0" w:space="0" w:color="auto"/>
        <w:bottom w:val="none" w:sz="0" w:space="0" w:color="auto"/>
        <w:right w:val="none" w:sz="0" w:space="0" w:color="auto"/>
      </w:divBdr>
    </w:div>
    <w:div w:id="1466236951">
      <w:bodyDiv w:val="1"/>
      <w:marLeft w:val="0"/>
      <w:marRight w:val="0"/>
      <w:marTop w:val="0"/>
      <w:marBottom w:val="0"/>
      <w:divBdr>
        <w:top w:val="none" w:sz="0" w:space="0" w:color="auto"/>
        <w:left w:val="none" w:sz="0" w:space="0" w:color="auto"/>
        <w:bottom w:val="none" w:sz="0" w:space="0" w:color="auto"/>
        <w:right w:val="none" w:sz="0" w:space="0" w:color="auto"/>
      </w:divBdr>
    </w:div>
    <w:div w:id="1494492017">
      <w:bodyDiv w:val="1"/>
      <w:marLeft w:val="0"/>
      <w:marRight w:val="0"/>
      <w:marTop w:val="0"/>
      <w:marBottom w:val="0"/>
      <w:divBdr>
        <w:top w:val="none" w:sz="0" w:space="0" w:color="auto"/>
        <w:left w:val="none" w:sz="0" w:space="0" w:color="auto"/>
        <w:bottom w:val="none" w:sz="0" w:space="0" w:color="auto"/>
        <w:right w:val="none" w:sz="0" w:space="0" w:color="auto"/>
      </w:divBdr>
    </w:div>
    <w:div w:id="1505827663">
      <w:bodyDiv w:val="1"/>
      <w:marLeft w:val="0"/>
      <w:marRight w:val="0"/>
      <w:marTop w:val="0"/>
      <w:marBottom w:val="0"/>
      <w:divBdr>
        <w:top w:val="none" w:sz="0" w:space="0" w:color="auto"/>
        <w:left w:val="none" w:sz="0" w:space="0" w:color="auto"/>
        <w:bottom w:val="none" w:sz="0" w:space="0" w:color="auto"/>
        <w:right w:val="none" w:sz="0" w:space="0" w:color="auto"/>
      </w:divBdr>
    </w:div>
    <w:div w:id="1508716503">
      <w:bodyDiv w:val="1"/>
      <w:marLeft w:val="0"/>
      <w:marRight w:val="0"/>
      <w:marTop w:val="0"/>
      <w:marBottom w:val="0"/>
      <w:divBdr>
        <w:top w:val="none" w:sz="0" w:space="0" w:color="auto"/>
        <w:left w:val="none" w:sz="0" w:space="0" w:color="auto"/>
        <w:bottom w:val="none" w:sz="0" w:space="0" w:color="auto"/>
        <w:right w:val="none" w:sz="0" w:space="0" w:color="auto"/>
      </w:divBdr>
    </w:div>
    <w:div w:id="1515456364">
      <w:bodyDiv w:val="1"/>
      <w:marLeft w:val="0"/>
      <w:marRight w:val="0"/>
      <w:marTop w:val="0"/>
      <w:marBottom w:val="0"/>
      <w:divBdr>
        <w:top w:val="none" w:sz="0" w:space="0" w:color="auto"/>
        <w:left w:val="none" w:sz="0" w:space="0" w:color="auto"/>
        <w:bottom w:val="none" w:sz="0" w:space="0" w:color="auto"/>
        <w:right w:val="none" w:sz="0" w:space="0" w:color="auto"/>
      </w:divBdr>
    </w:div>
    <w:div w:id="1531070393">
      <w:bodyDiv w:val="1"/>
      <w:marLeft w:val="0"/>
      <w:marRight w:val="0"/>
      <w:marTop w:val="0"/>
      <w:marBottom w:val="0"/>
      <w:divBdr>
        <w:top w:val="none" w:sz="0" w:space="0" w:color="auto"/>
        <w:left w:val="none" w:sz="0" w:space="0" w:color="auto"/>
        <w:bottom w:val="none" w:sz="0" w:space="0" w:color="auto"/>
        <w:right w:val="none" w:sz="0" w:space="0" w:color="auto"/>
      </w:divBdr>
    </w:div>
    <w:div w:id="1534151003">
      <w:bodyDiv w:val="1"/>
      <w:marLeft w:val="0"/>
      <w:marRight w:val="0"/>
      <w:marTop w:val="0"/>
      <w:marBottom w:val="0"/>
      <w:divBdr>
        <w:top w:val="none" w:sz="0" w:space="0" w:color="auto"/>
        <w:left w:val="none" w:sz="0" w:space="0" w:color="auto"/>
        <w:bottom w:val="none" w:sz="0" w:space="0" w:color="auto"/>
        <w:right w:val="none" w:sz="0" w:space="0" w:color="auto"/>
      </w:divBdr>
    </w:div>
    <w:div w:id="1565483192">
      <w:bodyDiv w:val="1"/>
      <w:marLeft w:val="0"/>
      <w:marRight w:val="0"/>
      <w:marTop w:val="0"/>
      <w:marBottom w:val="0"/>
      <w:divBdr>
        <w:top w:val="none" w:sz="0" w:space="0" w:color="auto"/>
        <w:left w:val="none" w:sz="0" w:space="0" w:color="auto"/>
        <w:bottom w:val="none" w:sz="0" w:space="0" w:color="auto"/>
        <w:right w:val="none" w:sz="0" w:space="0" w:color="auto"/>
      </w:divBdr>
    </w:div>
    <w:div w:id="1631477044">
      <w:bodyDiv w:val="1"/>
      <w:marLeft w:val="0"/>
      <w:marRight w:val="0"/>
      <w:marTop w:val="0"/>
      <w:marBottom w:val="0"/>
      <w:divBdr>
        <w:top w:val="none" w:sz="0" w:space="0" w:color="auto"/>
        <w:left w:val="none" w:sz="0" w:space="0" w:color="auto"/>
        <w:bottom w:val="none" w:sz="0" w:space="0" w:color="auto"/>
        <w:right w:val="none" w:sz="0" w:space="0" w:color="auto"/>
      </w:divBdr>
    </w:div>
    <w:div w:id="1638804931">
      <w:bodyDiv w:val="1"/>
      <w:marLeft w:val="0"/>
      <w:marRight w:val="0"/>
      <w:marTop w:val="0"/>
      <w:marBottom w:val="0"/>
      <w:divBdr>
        <w:top w:val="none" w:sz="0" w:space="0" w:color="auto"/>
        <w:left w:val="none" w:sz="0" w:space="0" w:color="auto"/>
        <w:bottom w:val="none" w:sz="0" w:space="0" w:color="auto"/>
        <w:right w:val="none" w:sz="0" w:space="0" w:color="auto"/>
      </w:divBdr>
    </w:div>
    <w:div w:id="1670869036">
      <w:bodyDiv w:val="1"/>
      <w:marLeft w:val="0"/>
      <w:marRight w:val="0"/>
      <w:marTop w:val="0"/>
      <w:marBottom w:val="0"/>
      <w:divBdr>
        <w:top w:val="none" w:sz="0" w:space="0" w:color="auto"/>
        <w:left w:val="none" w:sz="0" w:space="0" w:color="auto"/>
        <w:bottom w:val="none" w:sz="0" w:space="0" w:color="auto"/>
        <w:right w:val="none" w:sz="0" w:space="0" w:color="auto"/>
      </w:divBdr>
    </w:div>
    <w:div w:id="1680617373">
      <w:bodyDiv w:val="1"/>
      <w:marLeft w:val="0"/>
      <w:marRight w:val="0"/>
      <w:marTop w:val="0"/>
      <w:marBottom w:val="0"/>
      <w:divBdr>
        <w:top w:val="none" w:sz="0" w:space="0" w:color="auto"/>
        <w:left w:val="none" w:sz="0" w:space="0" w:color="auto"/>
        <w:bottom w:val="none" w:sz="0" w:space="0" w:color="auto"/>
        <w:right w:val="none" w:sz="0" w:space="0" w:color="auto"/>
      </w:divBdr>
    </w:div>
    <w:div w:id="1689912185">
      <w:bodyDiv w:val="1"/>
      <w:marLeft w:val="0"/>
      <w:marRight w:val="0"/>
      <w:marTop w:val="0"/>
      <w:marBottom w:val="0"/>
      <w:divBdr>
        <w:top w:val="none" w:sz="0" w:space="0" w:color="auto"/>
        <w:left w:val="none" w:sz="0" w:space="0" w:color="auto"/>
        <w:bottom w:val="none" w:sz="0" w:space="0" w:color="auto"/>
        <w:right w:val="none" w:sz="0" w:space="0" w:color="auto"/>
      </w:divBdr>
    </w:div>
    <w:div w:id="1693072046">
      <w:bodyDiv w:val="1"/>
      <w:marLeft w:val="0"/>
      <w:marRight w:val="0"/>
      <w:marTop w:val="0"/>
      <w:marBottom w:val="0"/>
      <w:divBdr>
        <w:top w:val="none" w:sz="0" w:space="0" w:color="auto"/>
        <w:left w:val="none" w:sz="0" w:space="0" w:color="auto"/>
        <w:bottom w:val="none" w:sz="0" w:space="0" w:color="auto"/>
        <w:right w:val="none" w:sz="0" w:space="0" w:color="auto"/>
      </w:divBdr>
    </w:div>
    <w:div w:id="1723600102">
      <w:bodyDiv w:val="1"/>
      <w:marLeft w:val="0"/>
      <w:marRight w:val="0"/>
      <w:marTop w:val="0"/>
      <w:marBottom w:val="0"/>
      <w:divBdr>
        <w:top w:val="none" w:sz="0" w:space="0" w:color="auto"/>
        <w:left w:val="none" w:sz="0" w:space="0" w:color="auto"/>
        <w:bottom w:val="none" w:sz="0" w:space="0" w:color="auto"/>
        <w:right w:val="none" w:sz="0" w:space="0" w:color="auto"/>
      </w:divBdr>
    </w:div>
    <w:div w:id="1769616357">
      <w:bodyDiv w:val="1"/>
      <w:marLeft w:val="0"/>
      <w:marRight w:val="0"/>
      <w:marTop w:val="0"/>
      <w:marBottom w:val="0"/>
      <w:divBdr>
        <w:top w:val="none" w:sz="0" w:space="0" w:color="auto"/>
        <w:left w:val="none" w:sz="0" w:space="0" w:color="auto"/>
        <w:bottom w:val="none" w:sz="0" w:space="0" w:color="auto"/>
        <w:right w:val="none" w:sz="0" w:space="0" w:color="auto"/>
      </w:divBdr>
    </w:div>
    <w:div w:id="1830437933">
      <w:bodyDiv w:val="1"/>
      <w:marLeft w:val="0"/>
      <w:marRight w:val="0"/>
      <w:marTop w:val="0"/>
      <w:marBottom w:val="0"/>
      <w:divBdr>
        <w:top w:val="none" w:sz="0" w:space="0" w:color="auto"/>
        <w:left w:val="none" w:sz="0" w:space="0" w:color="auto"/>
        <w:bottom w:val="none" w:sz="0" w:space="0" w:color="auto"/>
        <w:right w:val="none" w:sz="0" w:space="0" w:color="auto"/>
      </w:divBdr>
    </w:div>
    <w:div w:id="1834712307">
      <w:bodyDiv w:val="1"/>
      <w:marLeft w:val="0"/>
      <w:marRight w:val="0"/>
      <w:marTop w:val="0"/>
      <w:marBottom w:val="0"/>
      <w:divBdr>
        <w:top w:val="none" w:sz="0" w:space="0" w:color="auto"/>
        <w:left w:val="none" w:sz="0" w:space="0" w:color="auto"/>
        <w:bottom w:val="none" w:sz="0" w:space="0" w:color="auto"/>
        <w:right w:val="none" w:sz="0" w:space="0" w:color="auto"/>
      </w:divBdr>
    </w:div>
    <w:div w:id="1877351790">
      <w:bodyDiv w:val="1"/>
      <w:marLeft w:val="0"/>
      <w:marRight w:val="0"/>
      <w:marTop w:val="0"/>
      <w:marBottom w:val="0"/>
      <w:divBdr>
        <w:top w:val="none" w:sz="0" w:space="0" w:color="auto"/>
        <w:left w:val="none" w:sz="0" w:space="0" w:color="auto"/>
        <w:bottom w:val="none" w:sz="0" w:space="0" w:color="auto"/>
        <w:right w:val="none" w:sz="0" w:space="0" w:color="auto"/>
      </w:divBdr>
    </w:div>
    <w:div w:id="1879969717">
      <w:bodyDiv w:val="1"/>
      <w:marLeft w:val="0"/>
      <w:marRight w:val="0"/>
      <w:marTop w:val="0"/>
      <w:marBottom w:val="0"/>
      <w:divBdr>
        <w:top w:val="none" w:sz="0" w:space="0" w:color="auto"/>
        <w:left w:val="none" w:sz="0" w:space="0" w:color="auto"/>
        <w:bottom w:val="none" w:sz="0" w:space="0" w:color="auto"/>
        <w:right w:val="none" w:sz="0" w:space="0" w:color="auto"/>
      </w:divBdr>
      <w:divsChild>
        <w:div w:id="598682503">
          <w:marLeft w:val="0"/>
          <w:marRight w:val="0"/>
          <w:marTop w:val="0"/>
          <w:marBottom w:val="0"/>
          <w:divBdr>
            <w:top w:val="none" w:sz="0" w:space="0" w:color="auto"/>
            <w:left w:val="none" w:sz="0" w:space="0" w:color="auto"/>
            <w:bottom w:val="none" w:sz="0" w:space="0" w:color="auto"/>
            <w:right w:val="none" w:sz="0" w:space="0" w:color="auto"/>
          </w:divBdr>
          <w:divsChild>
            <w:div w:id="1751274646">
              <w:marLeft w:val="0"/>
              <w:marRight w:val="0"/>
              <w:marTop w:val="0"/>
              <w:marBottom w:val="0"/>
              <w:divBdr>
                <w:top w:val="none" w:sz="0" w:space="0" w:color="auto"/>
                <w:left w:val="none" w:sz="0" w:space="0" w:color="auto"/>
                <w:bottom w:val="none" w:sz="0" w:space="0" w:color="auto"/>
                <w:right w:val="none" w:sz="0" w:space="0" w:color="auto"/>
              </w:divBdr>
              <w:divsChild>
                <w:div w:id="994843899">
                  <w:marLeft w:val="0"/>
                  <w:marRight w:val="0"/>
                  <w:marTop w:val="0"/>
                  <w:marBottom w:val="0"/>
                  <w:divBdr>
                    <w:top w:val="none" w:sz="0" w:space="0" w:color="auto"/>
                    <w:left w:val="none" w:sz="0" w:space="0" w:color="auto"/>
                    <w:bottom w:val="none" w:sz="0" w:space="0" w:color="auto"/>
                    <w:right w:val="none" w:sz="0" w:space="0" w:color="auto"/>
                  </w:divBdr>
                  <w:divsChild>
                    <w:div w:id="320890949">
                      <w:marLeft w:val="0"/>
                      <w:marRight w:val="0"/>
                      <w:marTop w:val="0"/>
                      <w:marBottom w:val="0"/>
                      <w:divBdr>
                        <w:top w:val="none" w:sz="0" w:space="0" w:color="auto"/>
                        <w:left w:val="none" w:sz="0" w:space="0" w:color="auto"/>
                        <w:bottom w:val="none" w:sz="0" w:space="0" w:color="auto"/>
                        <w:right w:val="none" w:sz="0" w:space="0" w:color="auto"/>
                      </w:divBdr>
                      <w:divsChild>
                        <w:div w:id="348527745">
                          <w:marLeft w:val="0"/>
                          <w:marRight w:val="0"/>
                          <w:marTop w:val="0"/>
                          <w:marBottom w:val="0"/>
                          <w:divBdr>
                            <w:top w:val="none" w:sz="0" w:space="0" w:color="auto"/>
                            <w:left w:val="none" w:sz="0" w:space="0" w:color="auto"/>
                            <w:bottom w:val="none" w:sz="0" w:space="0" w:color="auto"/>
                            <w:right w:val="none" w:sz="0" w:space="0" w:color="auto"/>
                          </w:divBdr>
                          <w:divsChild>
                            <w:div w:id="1074887636">
                              <w:marLeft w:val="0"/>
                              <w:marRight w:val="0"/>
                              <w:marTop w:val="0"/>
                              <w:marBottom w:val="0"/>
                              <w:divBdr>
                                <w:top w:val="none" w:sz="0" w:space="0" w:color="auto"/>
                                <w:left w:val="none" w:sz="0" w:space="0" w:color="auto"/>
                                <w:bottom w:val="none" w:sz="0" w:space="0" w:color="auto"/>
                                <w:right w:val="none" w:sz="0" w:space="0" w:color="auto"/>
                              </w:divBdr>
                              <w:divsChild>
                                <w:div w:id="407046873">
                                  <w:marLeft w:val="0"/>
                                  <w:marRight w:val="0"/>
                                  <w:marTop w:val="0"/>
                                  <w:marBottom w:val="0"/>
                                  <w:divBdr>
                                    <w:top w:val="none" w:sz="0" w:space="0" w:color="auto"/>
                                    <w:left w:val="none" w:sz="0" w:space="0" w:color="auto"/>
                                    <w:bottom w:val="none" w:sz="0" w:space="0" w:color="auto"/>
                                    <w:right w:val="none" w:sz="0" w:space="0" w:color="auto"/>
                                  </w:divBdr>
                                  <w:divsChild>
                                    <w:div w:id="1487670670">
                                      <w:marLeft w:val="0"/>
                                      <w:marRight w:val="0"/>
                                      <w:marTop w:val="0"/>
                                      <w:marBottom w:val="0"/>
                                      <w:divBdr>
                                        <w:top w:val="none" w:sz="0" w:space="0" w:color="auto"/>
                                        <w:left w:val="none" w:sz="0" w:space="0" w:color="auto"/>
                                        <w:bottom w:val="none" w:sz="0" w:space="0" w:color="auto"/>
                                        <w:right w:val="none" w:sz="0" w:space="0" w:color="auto"/>
                                      </w:divBdr>
                                      <w:divsChild>
                                        <w:div w:id="139619344">
                                          <w:marLeft w:val="0"/>
                                          <w:marRight w:val="0"/>
                                          <w:marTop w:val="0"/>
                                          <w:marBottom w:val="0"/>
                                          <w:divBdr>
                                            <w:top w:val="none" w:sz="0" w:space="0" w:color="auto"/>
                                            <w:left w:val="none" w:sz="0" w:space="0" w:color="auto"/>
                                            <w:bottom w:val="none" w:sz="0" w:space="0" w:color="auto"/>
                                            <w:right w:val="none" w:sz="0" w:space="0" w:color="auto"/>
                                          </w:divBdr>
                                          <w:divsChild>
                                            <w:div w:id="402916679">
                                              <w:marLeft w:val="0"/>
                                              <w:marRight w:val="0"/>
                                              <w:marTop w:val="0"/>
                                              <w:marBottom w:val="0"/>
                                              <w:divBdr>
                                                <w:top w:val="none" w:sz="0" w:space="0" w:color="auto"/>
                                                <w:left w:val="none" w:sz="0" w:space="0" w:color="auto"/>
                                                <w:bottom w:val="none" w:sz="0" w:space="0" w:color="auto"/>
                                                <w:right w:val="none" w:sz="0" w:space="0" w:color="auto"/>
                                              </w:divBdr>
                                              <w:divsChild>
                                                <w:div w:id="197351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64967681">
          <w:marLeft w:val="0"/>
          <w:marRight w:val="0"/>
          <w:marTop w:val="0"/>
          <w:marBottom w:val="0"/>
          <w:divBdr>
            <w:top w:val="none" w:sz="0" w:space="0" w:color="auto"/>
            <w:left w:val="none" w:sz="0" w:space="0" w:color="auto"/>
            <w:bottom w:val="none" w:sz="0" w:space="0" w:color="auto"/>
            <w:right w:val="none" w:sz="0" w:space="0" w:color="auto"/>
          </w:divBdr>
          <w:divsChild>
            <w:div w:id="569196296">
              <w:marLeft w:val="0"/>
              <w:marRight w:val="0"/>
              <w:marTop w:val="0"/>
              <w:marBottom w:val="0"/>
              <w:divBdr>
                <w:top w:val="none" w:sz="0" w:space="0" w:color="auto"/>
                <w:left w:val="none" w:sz="0" w:space="0" w:color="auto"/>
                <w:bottom w:val="none" w:sz="0" w:space="0" w:color="auto"/>
                <w:right w:val="none" w:sz="0" w:space="0" w:color="auto"/>
              </w:divBdr>
              <w:divsChild>
                <w:div w:id="1100565240">
                  <w:marLeft w:val="0"/>
                  <w:marRight w:val="0"/>
                  <w:marTop w:val="0"/>
                  <w:marBottom w:val="0"/>
                  <w:divBdr>
                    <w:top w:val="none" w:sz="0" w:space="0" w:color="auto"/>
                    <w:left w:val="none" w:sz="0" w:space="0" w:color="auto"/>
                    <w:bottom w:val="none" w:sz="0" w:space="0" w:color="auto"/>
                    <w:right w:val="none" w:sz="0" w:space="0" w:color="auto"/>
                  </w:divBdr>
                  <w:divsChild>
                    <w:div w:id="227695330">
                      <w:marLeft w:val="0"/>
                      <w:marRight w:val="0"/>
                      <w:marTop w:val="0"/>
                      <w:marBottom w:val="0"/>
                      <w:divBdr>
                        <w:top w:val="none" w:sz="0" w:space="0" w:color="auto"/>
                        <w:left w:val="none" w:sz="0" w:space="0" w:color="auto"/>
                        <w:bottom w:val="none" w:sz="0" w:space="0" w:color="auto"/>
                        <w:right w:val="none" w:sz="0" w:space="0" w:color="auto"/>
                      </w:divBdr>
                      <w:divsChild>
                        <w:div w:id="6366768">
                          <w:marLeft w:val="0"/>
                          <w:marRight w:val="0"/>
                          <w:marTop w:val="0"/>
                          <w:marBottom w:val="0"/>
                          <w:divBdr>
                            <w:top w:val="none" w:sz="0" w:space="0" w:color="auto"/>
                            <w:left w:val="none" w:sz="0" w:space="0" w:color="auto"/>
                            <w:bottom w:val="none" w:sz="0" w:space="0" w:color="auto"/>
                            <w:right w:val="none" w:sz="0" w:space="0" w:color="auto"/>
                          </w:divBdr>
                          <w:divsChild>
                            <w:div w:id="1843667750">
                              <w:marLeft w:val="0"/>
                              <w:marRight w:val="0"/>
                              <w:marTop w:val="0"/>
                              <w:marBottom w:val="0"/>
                              <w:divBdr>
                                <w:top w:val="none" w:sz="0" w:space="0" w:color="auto"/>
                                <w:left w:val="none" w:sz="0" w:space="0" w:color="auto"/>
                                <w:bottom w:val="none" w:sz="0" w:space="0" w:color="auto"/>
                                <w:right w:val="none" w:sz="0" w:space="0" w:color="auto"/>
                              </w:divBdr>
                              <w:divsChild>
                                <w:div w:id="1673023099">
                                  <w:marLeft w:val="0"/>
                                  <w:marRight w:val="0"/>
                                  <w:marTop w:val="0"/>
                                  <w:marBottom w:val="0"/>
                                  <w:divBdr>
                                    <w:top w:val="none" w:sz="0" w:space="0" w:color="auto"/>
                                    <w:left w:val="none" w:sz="0" w:space="0" w:color="auto"/>
                                    <w:bottom w:val="none" w:sz="0" w:space="0" w:color="auto"/>
                                    <w:right w:val="none" w:sz="0" w:space="0" w:color="auto"/>
                                  </w:divBdr>
                                  <w:divsChild>
                                    <w:div w:id="12435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8806331">
      <w:bodyDiv w:val="1"/>
      <w:marLeft w:val="0"/>
      <w:marRight w:val="0"/>
      <w:marTop w:val="0"/>
      <w:marBottom w:val="0"/>
      <w:divBdr>
        <w:top w:val="none" w:sz="0" w:space="0" w:color="auto"/>
        <w:left w:val="none" w:sz="0" w:space="0" w:color="auto"/>
        <w:bottom w:val="none" w:sz="0" w:space="0" w:color="auto"/>
        <w:right w:val="none" w:sz="0" w:space="0" w:color="auto"/>
      </w:divBdr>
    </w:div>
    <w:div w:id="1909684688">
      <w:bodyDiv w:val="1"/>
      <w:marLeft w:val="0"/>
      <w:marRight w:val="0"/>
      <w:marTop w:val="0"/>
      <w:marBottom w:val="0"/>
      <w:divBdr>
        <w:top w:val="none" w:sz="0" w:space="0" w:color="auto"/>
        <w:left w:val="none" w:sz="0" w:space="0" w:color="auto"/>
        <w:bottom w:val="none" w:sz="0" w:space="0" w:color="auto"/>
        <w:right w:val="none" w:sz="0" w:space="0" w:color="auto"/>
      </w:divBdr>
    </w:div>
    <w:div w:id="1964538429">
      <w:bodyDiv w:val="1"/>
      <w:marLeft w:val="0"/>
      <w:marRight w:val="0"/>
      <w:marTop w:val="0"/>
      <w:marBottom w:val="0"/>
      <w:divBdr>
        <w:top w:val="none" w:sz="0" w:space="0" w:color="auto"/>
        <w:left w:val="none" w:sz="0" w:space="0" w:color="auto"/>
        <w:bottom w:val="none" w:sz="0" w:space="0" w:color="auto"/>
        <w:right w:val="none" w:sz="0" w:space="0" w:color="auto"/>
      </w:divBdr>
    </w:div>
    <w:div w:id="1999311091">
      <w:bodyDiv w:val="1"/>
      <w:marLeft w:val="0"/>
      <w:marRight w:val="0"/>
      <w:marTop w:val="0"/>
      <w:marBottom w:val="0"/>
      <w:divBdr>
        <w:top w:val="none" w:sz="0" w:space="0" w:color="auto"/>
        <w:left w:val="none" w:sz="0" w:space="0" w:color="auto"/>
        <w:bottom w:val="none" w:sz="0" w:space="0" w:color="auto"/>
        <w:right w:val="none" w:sz="0" w:space="0" w:color="auto"/>
      </w:divBdr>
    </w:div>
    <w:div w:id="2071228684">
      <w:bodyDiv w:val="1"/>
      <w:marLeft w:val="0"/>
      <w:marRight w:val="0"/>
      <w:marTop w:val="0"/>
      <w:marBottom w:val="0"/>
      <w:divBdr>
        <w:top w:val="none" w:sz="0" w:space="0" w:color="auto"/>
        <w:left w:val="none" w:sz="0" w:space="0" w:color="auto"/>
        <w:bottom w:val="none" w:sz="0" w:space="0" w:color="auto"/>
        <w:right w:val="none" w:sz="0" w:space="0" w:color="auto"/>
      </w:divBdr>
    </w:div>
    <w:div w:id="2091465305">
      <w:bodyDiv w:val="1"/>
      <w:marLeft w:val="0"/>
      <w:marRight w:val="0"/>
      <w:marTop w:val="0"/>
      <w:marBottom w:val="0"/>
      <w:divBdr>
        <w:top w:val="none" w:sz="0" w:space="0" w:color="auto"/>
        <w:left w:val="none" w:sz="0" w:space="0" w:color="auto"/>
        <w:bottom w:val="none" w:sz="0" w:space="0" w:color="auto"/>
        <w:right w:val="none" w:sz="0" w:space="0" w:color="auto"/>
      </w:divBdr>
    </w:div>
    <w:div w:id="2105835378">
      <w:bodyDiv w:val="1"/>
      <w:marLeft w:val="0"/>
      <w:marRight w:val="0"/>
      <w:marTop w:val="0"/>
      <w:marBottom w:val="0"/>
      <w:divBdr>
        <w:top w:val="none" w:sz="0" w:space="0" w:color="auto"/>
        <w:left w:val="none" w:sz="0" w:space="0" w:color="auto"/>
        <w:bottom w:val="none" w:sz="0" w:space="0" w:color="auto"/>
        <w:right w:val="none" w:sz="0" w:space="0" w:color="auto"/>
      </w:divBdr>
    </w:div>
    <w:div w:id="211743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lebooks-com.uwtsd.idm.oclc.org/Product/Index/1010573?page=0&amp;startBookmarkId=-1" TargetMode="External"/><Relationship Id="rId18" Type="http://schemas.openxmlformats.org/officeDocument/2006/relationships/hyperlink" Target="https://doi.org/10.1080/1743727X.2023.2210063" TargetMode="External"/><Relationship Id="rId26" Type="http://schemas.openxmlformats.org/officeDocument/2006/relationships/hyperlink" Target="https://doi.org/10.3233/JVR-150776%2028.%20(Accessed%2022/02/26" TargetMode="External"/><Relationship Id="rId39" Type="http://schemas.openxmlformats.org/officeDocument/2006/relationships/hyperlink" Target="https://doi.org/10.1080/0309877X.2024.2440501" TargetMode="External"/><Relationship Id="rId21" Type="http://schemas.openxmlformats.org/officeDocument/2006/relationships/hyperlink" Target="https://eclass.aspete.gr/modules/document/file.php/EPPAIK269/5a7cc366dd963113c6923ac4a73c3286ab22.pdf" TargetMode="External"/><Relationship Id="rId34" Type="http://schemas.openxmlformats.org/officeDocument/2006/relationships/hyperlink" Target="https://www.sciencedirect.com/science/chapter/bookseries/abs/pii/B9780123876911000028"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educsci15070872" TargetMode="External"/><Relationship Id="rId29" Type="http://schemas.openxmlformats.org/officeDocument/2006/relationships/hyperlink" Target="https://doi.org/10.1037/spq00000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ispace.com/papers/a-realist-theory-of-science-2f4urlqyxl" TargetMode="External"/><Relationship Id="rId24" Type="http://schemas.openxmlformats.org/officeDocument/2006/relationships/hyperlink" Target="https://doi.org/10.3390/socsci8090255" TargetMode="External"/><Relationship Id="rId32" Type="http://schemas.openxmlformats.org/officeDocument/2006/relationships/hyperlink" Target="https://doi.org/10.1080/136455700405172" TargetMode="External"/><Relationship Id="rId37" Type="http://schemas.openxmlformats.org/officeDocument/2006/relationships/hyperlink" Target="https://www.gov.wales" TargetMode="External"/><Relationship Id="rId40" Type="http://schemas.openxmlformats.org/officeDocument/2006/relationships/hyperlink" Target="https://doi.org/10.1080/0309877X.2022.2138285"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stor.org" TargetMode="External"/><Relationship Id="rId23" Type="http://schemas.openxmlformats.org/officeDocument/2006/relationships/hyperlink" Target="https://doi.org/10.1007/s12187-021-09821-4" TargetMode="External"/><Relationship Id="rId28" Type="http://schemas.openxmlformats.org/officeDocument/2006/relationships/hyperlink" Target="https://doi.org/10.1080/03075079.2024.2337805" TargetMode="External"/><Relationship Id="rId36" Type="http://schemas.openxmlformats.org/officeDocument/2006/relationships/hyperlink" Target="https://www.legislation.gov.uk/anaw/2015/2/contents/enacted" TargetMode="External"/><Relationship Id="rId10" Type="http://schemas.openxmlformats.org/officeDocument/2006/relationships/hyperlink" Target="https://doi.org/10.1080/0268093022000043065" TargetMode="External"/><Relationship Id="rId19" Type="http://schemas.openxmlformats.org/officeDocument/2006/relationships/hyperlink" Target="http://pioneer.netserv.chula.ac.th/~ppongsa/2013605/Cronbach.pdf" TargetMode="External"/><Relationship Id="rId31" Type="http://schemas.openxmlformats.org/officeDocument/2006/relationships/hyperlink" Target="https://doi.org/10.1080/17439884.2014.921628"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research-ebsco-com.uwtsd.idm.oclc.org/c/onvpsy/ebook-viewer/pdf/3examcfld5/page/pp_19?location=https%3A%2F%2Fresearch-ebsco-com.uwtsd.idm.oclc.org%2Fc%2Fonvpsy%2Fsearch%2Fdetails%2F3examcfld5%3Fdb%3Dnlebk" TargetMode="External"/><Relationship Id="rId22" Type="http://schemas.openxmlformats.org/officeDocument/2006/relationships/hyperlink" Target="https://doi.org/10.3389/fpsyg.2021.637547" TargetMode="External"/><Relationship Id="rId27" Type="http://schemas.openxmlformats.org/officeDocument/2006/relationships/hyperlink" Target="https://www.tandfonline.com/doi/epdf/10.1080/03075079.2024.2334844?needAccess=true" TargetMode="External"/><Relationship Id="rId30" Type="http://schemas.openxmlformats.org/officeDocument/2006/relationships/hyperlink" Target="https://research-ebsco-com.uwtsd.idm.oclc.org/c/onvpsy/ebook-viewer/pdf/e3tvmjky6n/page/pp_iii?location=https%25253A%25252F%25252Fresearch-ebsco-com.uwtsd.idm.oclc.org%25252Fc%25252Fonvpsy%25252Fsearch%25252Fdetails%25252Fe3tvmjky6n%25253Fdb%25253Dnlebk" TargetMode="External"/><Relationship Id="rId35" Type="http://schemas.openxmlformats.org/officeDocument/2006/relationships/hyperlink" Target="https://books.google.co.uk/books?id=ipOgDwAAQBAJ&amp;pg=PA71&amp;source=gbs_toc_r&amp;cad=2"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ublication/41529875_Good_Education_in_an_Age_of_Measurement_On_the_Need_to_Reconnect_with_the_Question_of_Purpose_in_Education" TargetMode="External"/><Relationship Id="rId17" Type="http://schemas.openxmlformats.org/officeDocument/2006/relationships/hyperlink" Target="https://doi.org/10.1080/0141192042000195236" TargetMode="External"/><Relationship Id="rId25" Type="http://schemas.openxmlformats.org/officeDocument/2006/relationships/hyperlink" Target="https://pdf.sciencedirectassets.com/282139/1-s2.0-S1472811723X00044/1-s2.0-S1472811724000041/main.pdf?X-Amz-Security-Token=IQoJb3JpZ2luX2VjENv%2F%2F%2F%2F%2F%2F%2F%2F%2F%2FwEaCXVzLWVhc3QtMSJHMEUCIA8W6TewjLkURrETCNviQJKV%2Bpeogorp7hbtIrdaUIX9AiEA5Ay989bxn9%2FkiowvUBR4zVF3zw1G9XN87P7sVAIUG48qugUIpP%2F%2F%2F%2F%2F%2F%2F%2F%2F%2FARAFGgwwNTkwMDM1NDY4NjUiDNNtkXe0uutne31SUiqOBR%2FgLJNQ4Ku2L7wZlWnblfwfaAktaVUYKYKG6AkiJYkbqcjlAnPh5Ct3JZcjspnARBXg%2BxkWnAglImlgDTCJ3C6pvNwONhRzlczA8gUGfap8LEpVrs%2BnN%2Fz9IYK3FA3B70FKs0%2BslS%2FliUmTI5acV7N8AMr8zyABPrDVD3AqFyURR511pznBB7%2Fs5CwyuyP8NhE9eFLNa6xc%2FPj%2B9aJpqZtGK3%2FX2zSLC2i7ZPknh8mrsjPMzLsX9osU29JoooO1uC%2FDdlujbQbDF1qeNIS7IRq4HsvfB0GVtE62VsGuiTTWfUKJe9WBUtwGwVdgx2xwmKZI6B7PnYar0FB%2BwzqO%2FiLPFbvss6g3Zx1J%2Fv8Kd9NsrYkmGXZKzwO2lNY7N5RhdUZkQMRZqBM4h7Th%2B8L8crR07rZrqVyQ%2BqR0NBttivKA1ktd5ZolgQJj217TZvxx5BrmTk0csZAcnYqI0l%2FNjUJp2%2Bc%2BcJKiBnvt5gEhoEH0MOTPUWWF0zjVliRjKDz%2FXU65R914fG1DrzWGrwplCuKgHU%2BtuDs2ndHKdrybIwfcdQiGDAeWuAn2i%2Bg17J%2FSOnNW0Sqw2n9QiEimPN87FD%2Bn8hEjW6sEe7lPE%2BGvuFVfEv3fwq7iFtNHlb2P7qra%2BcMhGfcLe3z8FDeymty56uZTi86wHCPJ03%2F97WEQJ9F%2FChvCYLSN2EAktycK8pt1IGCMcYRi8lc2r6jMtBn%2B89MWIJxJRp8u3zLUYDblE1bxwkLBLpQTBw0N6lZTVCICG09a%2BNQ9V6%2FUfKkPdEOiPmuGBWtPTjJiD6UzAjGqZS0%2BgQqiz3rOdSLj2242iKg0vKpQx%2FLjQGT7Zz4uOZbZ1iMm%2B6bE2Mxp8LM3NZInPjDq1P3OBjqxAW9kReCTn5%2F8frU%2FHl6dQcWBZHgqZDOO9Um8VvwSdD7QWxoLGmBAp1rVxbQNi%2BIgWuvN%2F4H4IToNhhrdIL2MIkEfy5fgDd75mVACF7iVd%2BSV7NAlvvmBUowGrdTrs0ItvLx59sEJp9kAOXLu2IHauygWa6DIhnkTYIuzOWJ5o2LXENsmL3JLUT7dDk0JJgbNKsIsQDxXjA0MlATnoK9LqHrRjDjIpMH38aggmTnOeYXJZw%3D%3D&amp;X-Amz-Algorithm=AWS4-HMAC-SHA256&amp;X-Amz-Date=20260415T113722Z&amp;X-Amz-SignedHeaders=host&amp;X-Amz-Expires=300&amp;X-Amz-Credential=ASIAQ3PHCVTYYHDYTQU5%2F20260415%2Fus-east-1%2Fs3%2Faws4_request&amp;X-Amz-Signature=b863edd3e3ee2df7ea8d843f26d2c8b874f927384bf385fcdd8c19f8da2bf783&amp;hash=598ce02a8ac013232ca571290a7b82fc8ee11009510c5f7802f2a364924da0b3&amp;host=68042c943591013ac2b2430a89b270f6af2c76d8dfd086a07176afe7c76c2c61&amp;pii=S1472811724000041&amp;tid=spdf-84181911-5894-42bd-b297-9f9fc5f1361c&amp;sid=49b394012480c446849972b6283ac8a42e4dgxrqb&amp;type=client&amp;tsoh=d3d3LnNjaWVuY2VkaXJlY3QuY29t&amp;rh=d3d3LnNjaWVuY2VkaXJlY3QuY29t&amp;ua=1d045b0503030059590752&amp;rr=9ecaa86b58cfef58&amp;cc=gb" TargetMode="External"/><Relationship Id="rId33" Type="http://schemas.openxmlformats.org/officeDocument/2006/relationships/hyperlink" Target="https://www.researchgate.net/publication/372178193_Data-driven_Decision_Making_in_Higher_Education_Institutions_State-of-play" TargetMode="External"/><Relationship Id="rId38" Type="http://schemas.openxmlformats.org/officeDocument/2006/relationships/hyperlink" Target="https://ebookcentral.proquest.com/lib/trinity/reader.action?docID=4923811&amp;ppg=82&amp;c=RVBVQg" TargetMode="External"/><Relationship Id="rId20" Type="http://schemas.openxmlformats.org/officeDocument/2006/relationships/hyperlink" Target="https://doi.org/10.3389/fmed.2023.1230620" TargetMode="External"/><Relationship Id="rId41" Type="http://schemas.openxmlformats.org/officeDocument/2006/relationships/hyperlink" Target="https://www.shr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89171-61FC-4B9A-B3D2-094C1EBEE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6462</Words>
  <Characters>36834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43210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Rees</dc:creator>
  <cp:keywords/>
  <dc:description/>
  <cp:lastModifiedBy>Sarah Rees</cp:lastModifiedBy>
  <cp:revision>2</cp:revision>
  <cp:lastPrinted>2026-04-27T08:57:00Z</cp:lastPrinted>
  <dcterms:created xsi:type="dcterms:W3CDTF">2026-04-27T11:03:00Z</dcterms:created>
  <dcterms:modified xsi:type="dcterms:W3CDTF">2026-04-27T11:03:00Z</dcterms:modified>
</cp:coreProperties>
</file>