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00"/>
        <w:ind w:firstLine="720"/>
        <w:jc w:val="center"/>
        <w:rPr>
          <w:rFonts w:cs="Arial"/>
          <w:b/>
          <w:sz w:val="22"/>
          <w:szCs w:val="22"/>
        </w:rPr>
      </w:pPr>
      <w:r>
        <w:rPr>
          <w:rFonts w:cs="Arial"/>
          <w:b/>
          <w:sz w:val="22"/>
          <w:szCs w:val="22"/>
        </w:rPr>
        <w:t>ECDE7018 Research Proposal</w:t>
      </w:r>
    </w:p>
    <w:p>
      <w:pPr>
        <w:rPr>
          <w:rFonts w:cs="Arial"/>
          <w:b/>
          <w:sz w:val="22"/>
          <w:szCs w:val="22"/>
        </w:rPr>
      </w:pPr>
    </w:p>
    <w:p>
      <w:pPr>
        <w:rPr>
          <w:rFonts w:cs="Arial"/>
          <w:b/>
          <w:sz w:val="22"/>
          <w:szCs w:val="22"/>
        </w:rPr>
      </w:pPr>
    </w:p>
    <w:p>
      <w:pPr>
        <w:spacing w:before="240"/>
        <w:rPr>
          <w:rFonts w:cs="Arial"/>
          <w:b/>
          <w:sz w:val="22"/>
          <w:szCs w:val="22"/>
        </w:rPr>
      </w:pPr>
      <w:r>
        <w:rPr>
          <w:rFonts w:cs="Arial"/>
          <w:b/>
          <w:sz w:val="22"/>
          <w:szCs w:val="22"/>
        </w:rPr>
        <w:t xml:space="preserve">Student Details </w:t>
      </w:r>
    </w:p>
    <w:p>
      <w:pPr>
        <w:spacing w:before="240"/>
        <w:rPr>
          <w:rFonts w:cs="Arial"/>
          <w:b/>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tabs>
                <w:tab w:val="center" w:pos="2202"/>
              </w:tabs>
              <w:rPr>
                <w:rFonts w:cs="Arial"/>
                <w:sz w:val="22"/>
                <w:szCs w:val="22"/>
              </w:rPr>
            </w:pPr>
            <w:r>
              <w:rPr>
                <w:rFonts w:cs="Arial"/>
                <w:sz w:val="22"/>
                <w:szCs w:val="22"/>
              </w:rPr>
              <w:t>Student Family / Surname:</w:t>
            </w:r>
          </w:p>
          <w:p>
            <w:pPr>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Huang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sz w:val="22"/>
                <w:szCs w:val="22"/>
              </w:rPr>
            </w:pPr>
            <w:r>
              <w:rPr>
                <w:rFonts w:cs="Arial"/>
                <w:sz w:val="22"/>
                <w:szCs w:val="22"/>
              </w:rPr>
              <w:t>Student Given / First name:</w:t>
            </w:r>
          </w:p>
          <w:p>
            <w:pPr>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Mengying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pPr>
              <w:rPr>
                <w:rFonts w:cs="Arial"/>
                <w:sz w:val="22"/>
                <w:szCs w:val="22"/>
              </w:rPr>
            </w:pPr>
            <w:r>
              <w:rPr>
                <w:rFonts w:cs="Arial"/>
                <w:sz w:val="22"/>
                <w:szCs w:val="22"/>
              </w:rPr>
              <w:t>Student Number</w:t>
            </w:r>
          </w:p>
          <w:p>
            <w:pPr>
              <w:tabs>
                <w:tab w:val="center" w:pos="2202"/>
              </w:tabs>
              <w:rPr>
                <w:rFonts w:cs="Arial"/>
                <w:sz w:val="22"/>
                <w:szCs w:val="22"/>
              </w:rPr>
            </w:pPr>
          </w:p>
        </w:tc>
        <w:tc>
          <w:tcPr>
            <w:tcW w:w="5670" w:type="dxa"/>
            <w:gridSpan w:val="2"/>
            <w:shd w:val="clear" w:color="auto" w:fill="auto"/>
          </w:tcPr>
          <w:p>
            <w:pPr>
              <w:rPr>
                <w:rFonts w:hint="default" w:cs="Arial"/>
                <w:sz w:val="22"/>
                <w:szCs w:val="22"/>
                <w:lang w:val="en-US"/>
              </w:rPr>
            </w:pPr>
            <w:r>
              <w:rPr>
                <w:rFonts w:hint="default" w:cs="Arial"/>
                <w:sz w:val="22"/>
                <w:szCs w:val="22"/>
                <w:lang w:val="en-US"/>
              </w:rPr>
              <w:t>2306791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55" w:type="dxa"/>
            <w:shd w:val="clear" w:color="auto" w:fill="F1F1F1" w:themeFill="background1" w:themeFillShade="F2"/>
          </w:tcPr>
          <w:p>
            <w:pPr>
              <w:rPr>
                <w:rFonts w:cs="Arial"/>
                <w:sz w:val="22"/>
                <w:szCs w:val="22"/>
              </w:rPr>
            </w:pPr>
            <w:r>
              <w:rPr>
                <w:rFonts w:cs="Arial"/>
                <w:sz w:val="22"/>
                <w:szCs w:val="22"/>
              </w:rPr>
              <w:t>Start Date</w:t>
            </w:r>
          </w:p>
        </w:tc>
        <w:tc>
          <w:tcPr>
            <w:tcW w:w="2056" w:type="dxa"/>
            <w:shd w:val="clear" w:color="auto" w:fill="FFFFFF" w:themeFill="background1"/>
          </w:tcPr>
          <w:p>
            <w:pPr>
              <w:rPr>
                <w:rFonts w:cs="Arial"/>
                <w:sz w:val="22"/>
                <w:szCs w:val="22"/>
              </w:rPr>
            </w:pPr>
            <w:r>
              <w:rPr>
                <w:rFonts w:cs="Arial"/>
                <w:sz w:val="22"/>
                <w:szCs w:val="22"/>
              </w:rPr>
              <w:t>October 2024</w:t>
            </w:r>
          </w:p>
        </w:tc>
        <w:tc>
          <w:tcPr>
            <w:tcW w:w="2835" w:type="dxa"/>
            <w:shd w:val="clear" w:color="auto" w:fill="F1F1F1" w:themeFill="background1" w:themeFillShade="F2"/>
          </w:tcPr>
          <w:p>
            <w:pPr>
              <w:rPr>
                <w:rFonts w:cs="Arial"/>
                <w:sz w:val="22"/>
                <w:szCs w:val="22"/>
              </w:rPr>
            </w:pPr>
            <w:r>
              <w:rPr>
                <w:rFonts w:cs="Arial"/>
                <w:sz w:val="22"/>
                <w:szCs w:val="22"/>
              </w:rPr>
              <w:t>End Date</w:t>
            </w:r>
          </w:p>
        </w:tc>
        <w:tc>
          <w:tcPr>
            <w:tcW w:w="2835" w:type="dxa"/>
            <w:shd w:val="clear" w:color="auto" w:fill="auto"/>
          </w:tcPr>
          <w:p>
            <w:pPr>
              <w:rPr>
                <w:rFonts w:cs="Arial"/>
                <w:sz w:val="22"/>
                <w:szCs w:val="22"/>
              </w:rPr>
            </w:pPr>
            <w:r>
              <w:rPr>
                <w:rFonts w:cs="Arial"/>
                <w:sz w:val="22"/>
                <w:szCs w:val="22"/>
              </w:rPr>
              <w:t>January 2025</w:t>
            </w:r>
          </w:p>
        </w:tc>
      </w:tr>
    </w:tbl>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F1F1F1" w:themeFill="background1" w:themeFillShade="F2"/>
          </w:tcPr>
          <w:p>
            <w:pPr>
              <w:rPr>
                <w:rFonts w:cs="Arial"/>
                <w:sz w:val="22"/>
                <w:szCs w:val="22"/>
              </w:rPr>
            </w:pPr>
            <w:r>
              <w:rPr>
                <w:rFonts w:cs="Arial"/>
                <w:sz w:val="22"/>
                <w:szCs w:val="22"/>
              </w:rPr>
              <w:t>PhD</w:t>
            </w:r>
          </w:p>
          <w:p>
            <w:pPr>
              <w:rPr>
                <w:rFonts w:cs="Arial"/>
                <w:sz w:val="22"/>
                <w:szCs w:val="22"/>
              </w:rPr>
            </w:pPr>
            <w:r>
              <w:rPr>
                <w:rFonts w:cs="Arial"/>
                <w:sz w:val="22"/>
                <w:szCs w:val="22"/>
              </w:rPr>
              <w:t>by Research</w:t>
            </w:r>
          </w:p>
        </w:tc>
        <w:tc>
          <w:tcPr>
            <w:tcW w:w="1660" w:type="dxa"/>
            <w:shd w:val="clear" w:color="auto" w:fill="F1F1F1" w:themeFill="background1" w:themeFillShade="F2"/>
          </w:tcPr>
          <w:p>
            <w:pPr>
              <w:rPr>
                <w:rFonts w:cs="Arial"/>
                <w:sz w:val="22"/>
                <w:szCs w:val="22"/>
              </w:rPr>
            </w:pPr>
            <w:r>
              <w:rPr>
                <w:rFonts w:cs="Arial"/>
                <w:sz w:val="22"/>
                <w:szCs w:val="22"/>
              </w:rPr>
              <w:t xml:space="preserve">PhD </w:t>
            </w:r>
          </w:p>
          <w:p>
            <w:pPr>
              <w:rPr>
                <w:rFonts w:cs="Arial"/>
                <w:sz w:val="22"/>
                <w:szCs w:val="22"/>
              </w:rPr>
            </w:pPr>
            <w:r>
              <w:rPr>
                <w:rFonts w:cs="Arial"/>
                <w:sz w:val="22"/>
                <w:szCs w:val="22"/>
              </w:rPr>
              <w:t>Practice Based</w:t>
            </w:r>
          </w:p>
        </w:tc>
        <w:tc>
          <w:tcPr>
            <w:tcW w:w="1648" w:type="dxa"/>
            <w:shd w:val="clear" w:color="auto" w:fill="F1F1F1" w:themeFill="background1" w:themeFillShade="F2"/>
          </w:tcPr>
          <w:p>
            <w:pPr>
              <w:rPr>
                <w:rFonts w:cs="Arial"/>
                <w:sz w:val="22"/>
                <w:szCs w:val="22"/>
              </w:rPr>
            </w:pPr>
            <w:r>
              <w:rPr>
                <w:rFonts w:cs="Arial"/>
                <w:sz w:val="22"/>
                <w:szCs w:val="22"/>
              </w:rPr>
              <w:t xml:space="preserve">PhD by </w:t>
            </w:r>
          </w:p>
          <w:p>
            <w:pPr>
              <w:rPr>
                <w:rFonts w:cs="Arial"/>
                <w:sz w:val="22"/>
                <w:szCs w:val="22"/>
              </w:rPr>
            </w:pPr>
            <w:r>
              <w:rPr>
                <w:rFonts w:cs="Arial"/>
                <w:sz w:val="22"/>
                <w:szCs w:val="22"/>
              </w:rPr>
              <w:t>Published Works</w:t>
            </w:r>
          </w:p>
        </w:tc>
        <w:tc>
          <w:tcPr>
            <w:tcW w:w="1662" w:type="dxa"/>
            <w:shd w:val="clear" w:color="auto" w:fill="F1F1F1" w:themeFill="background1" w:themeFillShade="F2"/>
          </w:tcPr>
          <w:p>
            <w:pPr>
              <w:rPr>
                <w:rFonts w:cs="Arial"/>
                <w:sz w:val="22"/>
                <w:szCs w:val="22"/>
              </w:rPr>
            </w:pPr>
            <w:r>
              <w:rPr>
                <w:rFonts w:cs="Arial"/>
                <w:sz w:val="22"/>
                <w:szCs w:val="22"/>
              </w:rPr>
              <w:t>Professional Doctorate</w:t>
            </w:r>
          </w:p>
          <w:p>
            <w:pPr>
              <w:rPr>
                <w:rFonts w:cs="Arial"/>
                <w:sz w:val="22"/>
                <w:szCs w:val="22"/>
              </w:rPr>
            </w:pPr>
            <w:r>
              <w:rPr>
                <w:rFonts w:cs="Arial"/>
                <w:szCs w:val="22"/>
              </w:rPr>
              <w:t>(including DBA, DProf, Ed D)</w:t>
            </w:r>
          </w:p>
        </w:tc>
        <w:tc>
          <w:tcPr>
            <w:tcW w:w="1629" w:type="dxa"/>
            <w:shd w:val="clear" w:color="auto" w:fill="F1F1F1" w:themeFill="background1" w:themeFillShade="F2"/>
          </w:tcPr>
          <w:p>
            <w:pPr>
              <w:rPr>
                <w:rFonts w:cs="Arial"/>
                <w:sz w:val="22"/>
                <w:szCs w:val="22"/>
              </w:rPr>
            </w:pPr>
            <w:r>
              <w:rPr>
                <w:rFonts w:cs="Arial"/>
                <w:sz w:val="22"/>
                <w:szCs w:val="22"/>
              </w:rPr>
              <w:t>MPhil by Research</w:t>
            </w:r>
          </w:p>
          <w:p>
            <w:pPr>
              <w:rPr>
                <w:rFonts w:cs="Arial"/>
                <w:sz w:val="22"/>
                <w:szCs w:val="22"/>
              </w:rPr>
            </w:pPr>
          </w:p>
        </w:tc>
        <w:tc>
          <w:tcPr>
            <w:tcW w:w="1525" w:type="dxa"/>
            <w:shd w:val="clear" w:color="auto" w:fill="F1F1F1" w:themeFill="background1" w:themeFillShade="F2"/>
          </w:tcPr>
          <w:p>
            <w:pPr>
              <w:rPr>
                <w:rFonts w:cs="Arial"/>
                <w:sz w:val="22"/>
                <w:szCs w:val="22"/>
              </w:rPr>
            </w:pPr>
            <w:r>
              <w:rPr>
                <w:rFonts w:cs="Arial"/>
                <w:sz w:val="22"/>
                <w:szCs w:val="22"/>
              </w:rPr>
              <w:t>MPhil</w:t>
            </w:r>
          </w:p>
          <w:p>
            <w:pPr>
              <w:rPr>
                <w:rFonts w:cs="Arial"/>
                <w:sz w:val="22"/>
                <w:szCs w:val="22"/>
              </w:rPr>
            </w:pPr>
            <w:r>
              <w:rPr>
                <w:rFonts w:cs="Arial"/>
                <w:sz w:val="22"/>
                <w:szCs w:val="22"/>
              </w:rPr>
              <w:t xml:space="preserve">Practice Based </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tc>
              <w:tcPr>
                <w:tcW w:w="1660"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
            <w14:checkbox>
              <w14:checked w14:val="1"/>
              <w14:checkedState w14:val="2612" w14:font="MS Gothic"/>
              <w14:uncheckedState w14:val="2610" w14:font="MS Gothic"/>
            </w14:checkbox>
          </w:sdtPr>
          <w:sdtEndPr>
            <w:rPr>
              <w:rFonts w:cs="Arial"/>
              <w:sz w:val="22"/>
              <w:szCs w:val="22"/>
            </w:rPr>
          </w:sdtEndPr>
          <w:sdtContent>
            <w:tc>
              <w:tcPr>
                <w:tcW w:w="1662" w:type="dxa"/>
              </w:tcPr>
              <w:p>
                <w:pPr>
                  <w:jc w:val="center"/>
                  <w:rPr>
                    <w:rFonts w:cs="Arial"/>
                    <w:sz w:val="22"/>
                    <w:szCs w:val="22"/>
                  </w:rPr>
                </w:pPr>
                <w:r>
                  <w:rPr>
                    <w:rFonts w:hint="eastAsia" w:ascii="MS Gothic" w:hAnsi="MS Gothic" w:eastAsia="MS Gothic" w:cs="Arial"/>
                    <w:sz w:val="22"/>
                    <w:szCs w:val="22"/>
                    <w:lang w:val="en-GB" w:eastAsia="en-GB" w:bidi="ar-SA"/>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pPr>
                  <w:jc w:val="center"/>
                  <w:rPr>
                    <w:rFonts w:cs="Arial"/>
                    <w:sz w:val="22"/>
                    <w:szCs w:val="22"/>
                  </w:rPr>
                </w:pPr>
                <w:r>
                  <w:rPr>
                    <w:rFonts w:ascii="MS Gothic" w:hAnsi="MS Gothic" w:eastAsia="MS Gothic" w:cs="Arial"/>
                    <w:sz w:val="22"/>
                    <w:szCs w:val="22"/>
                    <w:lang w:val="en-GB" w:eastAsia="en-GB"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D8D8D8" w:themeFill="background1" w:themeFillShade="D9"/>
          </w:tcPr>
          <w:p>
            <w:pPr>
              <w:jc w:val="center"/>
              <w:rPr>
                <w:rFonts w:cs="Arial"/>
                <w:sz w:val="22"/>
                <w:szCs w:val="22"/>
              </w:rPr>
            </w:pPr>
            <w:r>
              <w:rPr>
                <w:rFonts w:cs="Arial"/>
                <w:sz w:val="22"/>
                <w:szCs w:val="22"/>
              </w:rPr>
              <w:t>MA by Research</w:t>
            </w:r>
          </w:p>
        </w:tc>
        <w:tc>
          <w:tcPr>
            <w:tcW w:w="1660" w:type="dxa"/>
            <w:shd w:val="clear" w:color="auto" w:fill="D8D8D8" w:themeFill="background1" w:themeFillShade="D9"/>
          </w:tcPr>
          <w:p>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pPr>
              <w:jc w:val="center"/>
              <w:rPr>
                <w:rFonts w:cs="Arial"/>
                <w:sz w:val="22"/>
                <w:szCs w:val="22"/>
              </w:rPr>
            </w:pPr>
            <w:r>
              <w:rPr>
                <w:rFonts w:cs="Arial"/>
                <w:sz w:val="22"/>
                <w:szCs w:val="22"/>
              </w:rPr>
              <w:t>MRes</w:t>
            </w:r>
          </w:p>
        </w:tc>
        <w:tc>
          <w:tcPr>
            <w:tcW w:w="1662" w:type="dxa"/>
            <w:shd w:val="clear" w:color="auto" w:fill="D8D8D8" w:themeFill="background1" w:themeFillShade="D9"/>
          </w:tcPr>
          <w:p>
            <w:pPr>
              <w:jc w:val="center"/>
              <w:rPr>
                <w:rFonts w:cs="Arial"/>
                <w:sz w:val="22"/>
                <w:szCs w:val="22"/>
              </w:rPr>
            </w:pPr>
          </w:p>
        </w:tc>
        <w:tc>
          <w:tcPr>
            <w:tcW w:w="1629" w:type="dxa"/>
            <w:shd w:val="clear" w:color="auto" w:fill="D8D8D8" w:themeFill="background1" w:themeFillShade="D9"/>
          </w:tcPr>
          <w:p>
            <w:pPr>
              <w:jc w:val="center"/>
              <w:rPr>
                <w:rFonts w:cs="Arial"/>
                <w:sz w:val="22"/>
                <w:szCs w:val="22"/>
              </w:rPr>
            </w:pPr>
          </w:p>
        </w:tc>
        <w:tc>
          <w:tcPr>
            <w:tcW w:w="1525" w:type="dxa"/>
            <w:shd w:val="clear" w:color="auto" w:fill="D8D8D8" w:themeFill="background1" w:themeFillShade="D9"/>
          </w:tcPr>
          <w:p>
            <w:pPr>
              <w:jc w:val="cente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pPr>
                  <w:jc w:val="center"/>
                  <w:rPr>
                    <w:rFonts w:cs="Arial"/>
                    <w:sz w:val="22"/>
                    <w:szCs w:val="22"/>
                  </w:rPr>
                </w:pPr>
                <w:r>
                  <w:rPr>
                    <w:rFonts w:ascii="MS Gothic" w:hAnsi="MS Gothic" w:eastAsia="MS Gothic" w:cs="Arial"/>
                    <w:sz w:val="22"/>
                    <w:szCs w:val="22"/>
                  </w:rPr>
                  <w:t>☐</w:t>
                </w:r>
              </w:p>
            </w:sdtContent>
          </w:sdt>
          <w:p>
            <w:pPr>
              <w:jc w:val="center"/>
              <w:rPr>
                <w:rFonts w:cs="Arial"/>
                <w:sz w:val="22"/>
                <w:szCs w:val="22"/>
              </w:rPr>
            </w:pPr>
          </w:p>
        </w:tc>
        <w:tc>
          <w:tcPr>
            <w:tcW w:w="1662" w:type="dxa"/>
          </w:tcPr>
          <w:p>
            <w:pPr>
              <w:jc w:val="center"/>
              <w:rPr>
                <w:rFonts w:cs="Arial"/>
                <w:sz w:val="22"/>
                <w:szCs w:val="22"/>
              </w:rPr>
            </w:pPr>
          </w:p>
        </w:tc>
        <w:tc>
          <w:tcPr>
            <w:tcW w:w="1629" w:type="dxa"/>
          </w:tcPr>
          <w:p>
            <w:pPr>
              <w:jc w:val="center"/>
              <w:rPr>
                <w:rFonts w:cs="Arial"/>
                <w:sz w:val="22"/>
                <w:szCs w:val="22"/>
              </w:rPr>
            </w:pPr>
          </w:p>
        </w:tc>
        <w:tc>
          <w:tcPr>
            <w:tcW w:w="1525" w:type="dxa"/>
          </w:tcPr>
          <w:p>
            <w:pPr>
              <w:jc w:val="center"/>
              <w:rPr>
                <w:rFonts w:cs="Arial"/>
                <w:sz w:val="22"/>
                <w:szCs w:val="22"/>
              </w:rPr>
            </w:pPr>
          </w:p>
        </w:tc>
      </w:tr>
    </w:tbl>
    <w:p>
      <w:pPr>
        <w:ind w:left="180" w:hanging="270"/>
        <w:rPr>
          <w:rFonts w:cs="Arial"/>
          <w:b/>
          <w:sz w:val="22"/>
          <w:szCs w:val="22"/>
        </w:rPr>
      </w:pPr>
    </w:p>
    <w:p>
      <w:pPr>
        <w:rPr>
          <w:rFonts w:cs="Arial"/>
          <w:sz w:val="22"/>
          <w:szCs w:val="22"/>
        </w:rPr>
      </w:pPr>
    </w:p>
    <w:p>
      <w:pPr>
        <w:ind w:left="-142"/>
        <w:rPr>
          <w:rFonts w:cs="Arial"/>
          <w:bCs/>
          <w:sz w:val="22"/>
          <w:szCs w:val="22"/>
        </w:rPr>
      </w:pPr>
      <w:r>
        <w:rPr>
          <w:rFonts w:cs="Arial"/>
          <w:b/>
          <w:bCs/>
          <w:sz w:val="22"/>
          <w:szCs w:val="22"/>
        </w:rPr>
        <w:t>Proposed Research</w:t>
      </w:r>
    </w:p>
    <w:p>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Title / Question (20 / 30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hint="default" w:cs="Arial"/>
                <w:sz w:val="22"/>
                <w:szCs w:val="22"/>
                <w:lang w:val="en-US"/>
              </w:rPr>
            </w:pPr>
            <w:r>
              <w:rPr>
                <w:rFonts w:hint="default" w:cs="Arial"/>
                <w:sz w:val="22"/>
                <w:szCs w:val="22"/>
                <w:lang w:val="en-US"/>
              </w:rPr>
              <w:t>What are the relationships between teacher’s support and students’ learning motivation in mathematics according to the analysis of database in the Pisa 2022?</w:t>
            </w:r>
          </w:p>
          <w:p>
            <w:pPr>
              <w:rPr>
                <w:rFonts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 xml:space="preserve"> Background &amp; Context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autoSpaceDE w:val="0"/>
              <w:autoSpaceDN w:val="0"/>
              <w:adjustRightInd w:val="0"/>
              <w:contextualSpacing/>
              <w:rPr>
                <w:rFonts w:hint="default" w:cs="Arial"/>
                <w:sz w:val="22"/>
                <w:szCs w:val="22"/>
                <w:lang w:val="en-US" w:eastAsia="zh-CN"/>
              </w:rPr>
            </w:pPr>
            <w:r>
              <w:rPr>
                <w:rFonts w:hint="default" w:cs="Arial"/>
                <w:sz w:val="22"/>
                <w:szCs w:val="22"/>
                <w:lang w:val="en-US" w:eastAsia="zh-CN"/>
              </w:rPr>
              <w:t>Mathematics plays an important role in the whole education system. Stacey (2006) pointed out that mathematics can support science and technology as well as economic development. Especially in science and technology, mathematics is leading the way all the time, from the mobile smartphones used every day to the rockets that fly into space. The progress of society needs science and technology, and the innovation of science and technology needs mathematics. Therefore, the education of mathematics subject is an aspect that cannot be ignored.</w:t>
            </w:r>
          </w:p>
          <w:p>
            <w:pPr>
              <w:autoSpaceDE w:val="0"/>
              <w:autoSpaceDN w:val="0"/>
              <w:adjustRightInd w:val="0"/>
              <w:contextualSpacing/>
              <w:rPr>
                <w:rFonts w:hint="default" w:cs="Arial"/>
                <w:sz w:val="22"/>
                <w:szCs w:val="22"/>
                <w:lang w:val="en-US" w:eastAsia="zh-CN"/>
              </w:rPr>
            </w:pPr>
          </w:p>
          <w:p>
            <w:pPr>
              <w:autoSpaceDE w:val="0"/>
              <w:autoSpaceDN w:val="0"/>
              <w:adjustRightInd w:val="0"/>
              <w:contextualSpacing/>
              <w:rPr>
                <w:rFonts w:hint="default" w:cs="Arial"/>
                <w:sz w:val="22"/>
                <w:szCs w:val="22"/>
                <w:lang w:val="en-US" w:eastAsia="zh-CN"/>
              </w:rPr>
            </w:pPr>
            <w:r>
              <w:rPr>
                <w:rFonts w:hint="default" w:cs="Arial"/>
                <w:sz w:val="22"/>
                <w:szCs w:val="22"/>
                <w:lang w:val="en-US" w:eastAsia="zh-CN"/>
              </w:rPr>
              <w:t>Juan (2023) reported that Former British Prime Minister Sunak asked British citizens must study mathematics until the age of 18. But the current policy is that people have to study maths until they are 16. This suggestion suggests that it is more necessary to improve the mathematical quality of the British people. Juan (2023) also pointed out that around 8 million adults in England only have primary school maths skills, and only 50% of 16-19 years old continue to study maths. It can be seen that it is urgent to improve the mathematical literacy of the British people.</w:t>
            </w:r>
          </w:p>
          <w:p>
            <w:pPr>
              <w:autoSpaceDE w:val="0"/>
              <w:autoSpaceDN w:val="0"/>
              <w:adjustRightInd w:val="0"/>
              <w:contextualSpacing/>
              <w:rPr>
                <w:rFonts w:hint="default" w:cs="Arial"/>
                <w:sz w:val="22"/>
                <w:szCs w:val="22"/>
                <w:lang w:val="en-US" w:eastAsia="zh-CN"/>
              </w:rPr>
            </w:pPr>
          </w:p>
          <w:p>
            <w:pPr>
              <w:autoSpaceDE w:val="0"/>
              <w:autoSpaceDN w:val="0"/>
              <w:adjustRightInd w:val="0"/>
              <w:contextualSpacing/>
              <w:rPr>
                <w:rFonts w:hint="default" w:cs="Arial"/>
                <w:sz w:val="22"/>
                <w:szCs w:val="22"/>
                <w:lang w:val="en-US" w:eastAsia="zh-CN"/>
              </w:rPr>
            </w:pPr>
            <w:r>
              <w:rPr>
                <w:rFonts w:hint="default" w:cs="Arial"/>
                <w:sz w:val="22"/>
                <w:szCs w:val="22"/>
                <w:lang w:val="en-US" w:eastAsia="zh-CN"/>
              </w:rPr>
              <w:t>At present, the main problem in the mathematics education system in Britain comes from the elite education. Maxwell and Aggleton (2015) suggested that meritocratic education system may have begun by providing opportunities for the most academically able to take on leadership roles. Meritocratic education can lead to a huge gap between advantaged and disadvantaged students. In this context, advantaged students were better at mathematical learning and disadvantaged students were worse at mathematical learning. As a result, improving the mathematical literacy of students, particularly those disadvantaged students, was based on a broader issue in mathematics education.</w:t>
            </w:r>
          </w:p>
          <w:p>
            <w:pPr>
              <w:autoSpaceDE w:val="0"/>
              <w:autoSpaceDN w:val="0"/>
              <w:adjustRightInd w:val="0"/>
              <w:contextualSpacing/>
              <w:rPr>
                <w:rFonts w:hint="default" w:cs="Arial"/>
                <w:sz w:val="22"/>
                <w:szCs w:val="22"/>
                <w:lang w:val="en-US" w:eastAsia="zh-CN"/>
              </w:rPr>
            </w:pPr>
          </w:p>
          <w:p>
            <w:pPr>
              <w:autoSpaceDE w:val="0"/>
              <w:autoSpaceDN w:val="0"/>
              <w:adjustRightInd w:val="0"/>
              <w:contextualSpacing/>
              <w:rPr>
                <w:rFonts w:hint="default" w:cs="Arial"/>
                <w:sz w:val="22"/>
                <w:szCs w:val="22"/>
                <w:lang w:val="en-US" w:eastAsia="zh-CN"/>
              </w:rPr>
            </w:pPr>
            <w:r>
              <w:rPr>
                <w:rFonts w:hint="default" w:cs="Arial"/>
                <w:sz w:val="22"/>
                <w:szCs w:val="22"/>
                <w:lang w:val="en-US" w:eastAsia="zh-CN"/>
              </w:rPr>
              <w:t xml:space="preserve">Many students are bad at math and lack math literacy simply because they don't like math. Therefore, learning interest and motivation are crucial. How to help students improve their motivation and thus their achievement in mathematics is also a topic worthy of discussion. Students spend a lot of time in school. In addition, there are two factors that affect students in school, namely teachers and classmates. Teachers often play a guiding role in students' study and life, and this is less likely to happen to classmates. Therefore, we can explore the relationship between teacher's support and students' motivation in mathematics learning from the aspect of teacher's support that has the greatest impact on students. </w:t>
            </w:r>
          </w:p>
          <w:p>
            <w:pPr>
              <w:autoSpaceDE w:val="0"/>
              <w:autoSpaceDN w:val="0"/>
              <w:adjustRightInd w:val="0"/>
              <w:contextualSpacing/>
              <w:rPr>
                <w:rFonts w:hint="default" w:cs="Arial"/>
                <w:sz w:val="22"/>
                <w:szCs w:val="22"/>
                <w:lang w:val="en-US" w:eastAsia="zh-CN"/>
              </w:rPr>
            </w:pPr>
          </w:p>
          <w:p>
            <w:pPr>
              <w:autoSpaceDE w:val="0"/>
              <w:autoSpaceDN w:val="0"/>
              <w:adjustRightInd w:val="0"/>
              <w:contextualSpacing/>
              <w:rPr>
                <w:rFonts w:cs="Arial"/>
                <w:sz w:val="22"/>
                <w:szCs w:val="22"/>
              </w:rPr>
            </w:pPr>
            <w:r>
              <w:rPr>
                <w:rFonts w:hint="default" w:cs="Arial"/>
                <w:sz w:val="22"/>
                <w:szCs w:val="22"/>
                <w:lang w:val="en-US" w:eastAsia="zh-CN"/>
              </w:rPr>
              <w:t>In addition, Pisa 2022 collects a large number of mathematics learning data of 15-year-olds in the United Kingdom. With mathematics as the main assessment theme, PISA 2022 has made significant changes in the connotation of mathematical literacy and the structural system of the assessment framework, including the inclusion of computational thinking in the mathematics assessment framework for the first time, which is in line with the demand of citizens to keep pace with The Times in mathematical literacy in the 21st century, becoming one of the biggest highlights of this framework change. Since the problems in world education reflected in PISA evaluation have attracted the attention of many countries, and it includes the relevant data of teacher’s support and students' motivation for mathematics learning required by this paper, the relevant analysis will be carried out considering the authoritative aspects.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Aims &amp; Objectives (approx. 250 –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numPr>
                <w:ilvl w:val="0"/>
                <w:numId w:val="0"/>
              </w:numPr>
              <w:autoSpaceDE w:val="0"/>
              <w:autoSpaceDN w:val="0"/>
              <w:adjustRightInd w:val="0"/>
              <w:contextualSpacing/>
              <w:rPr>
                <w:rFonts w:hint="default" w:cs="Arial"/>
                <w:sz w:val="22"/>
                <w:szCs w:val="22"/>
                <w:lang w:val="en-US" w:eastAsia="zh-CN"/>
              </w:rPr>
            </w:pPr>
            <w:r>
              <w:rPr>
                <w:rFonts w:hint="default" w:cs="Arial"/>
                <w:sz w:val="22"/>
                <w:szCs w:val="22"/>
                <w:lang w:val="en-US" w:eastAsia="zh-CN"/>
              </w:rPr>
              <w:t>The main line of this paper is to analyze the relationship between teacher's support and mathematics learning motivation of 15-year-olds in British education based on the database provided by Pisa 2022. And Pisa 2022 will cover most of the data from four regions across the UK, including England, Ireland, Wales and Scotland.</w:t>
            </w:r>
            <w:r>
              <w:rPr>
                <w:rFonts w:hint="eastAsia" w:cs="Arial"/>
                <w:sz w:val="22"/>
                <w:szCs w:val="22"/>
                <w:lang w:val="en-US" w:eastAsia="zh-CN"/>
              </w:rPr>
              <w:t xml:space="preserve"> </w:t>
            </w:r>
            <w:r>
              <w:rPr>
                <w:rFonts w:hint="default" w:cs="Arial"/>
                <w:sz w:val="22"/>
                <w:szCs w:val="22"/>
                <w:lang w:val="en-US" w:eastAsia="zh-CN"/>
              </w:rPr>
              <w:t>In addition, gender, escs(economic, social and cultural status) and students' learning anxiety will also be involved in this paper, but will not be discussed as the main content.</w:t>
            </w:r>
          </w:p>
          <w:p>
            <w:pPr>
              <w:numPr>
                <w:ilvl w:val="0"/>
                <w:numId w:val="0"/>
              </w:numPr>
              <w:autoSpaceDE w:val="0"/>
              <w:autoSpaceDN w:val="0"/>
              <w:adjustRightInd w:val="0"/>
              <w:contextualSpacing/>
              <w:rPr>
                <w:rFonts w:hint="default" w:cs="Arial"/>
                <w:sz w:val="22"/>
                <w:szCs w:val="22"/>
                <w:lang w:val="en-US" w:eastAsia="zh-CN"/>
              </w:rPr>
            </w:pPr>
          </w:p>
          <w:p>
            <w:pPr>
              <w:numPr>
                <w:ilvl w:val="0"/>
                <w:numId w:val="0"/>
              </w:numPr>
              <w:autoSpaceDE w:val="0"/>
              <w:autoSpaceDN w:val="0"/>
              <w:adjustRightInd w:val="0"/>
              <w:contextualSpacing/>
              <w:rPr>
                <w:rFonts w:hint="default" w:cs="Arial"/>
                <w:sz w:val="22"/>
                <w:szCs w:val="22"/>
                <w:lang w:val="en-US" w:eastAsia="zh-CN"/>
              </w:rPr>
            </w:pPr>
            <w:r>
              <w:rPr>
                <w:rFonts w:hint="default" w:cs="Arial"/>
                <w:sz w:val="22"/>
                <w:szCs w:val="22"/>
                <w:lang w:val="en-US" w:eastAsia="zh-CN"/>
              </w:rPr>
              <w:t>Therefore, the research objectives of this paper can be detailed as follows:</w:t>
            </w:r>
          </w:p>
          <w:p>
            <w:pPr>
              <w:numPr>
                <w:ilvl w:val="0"/>
                <w:numId w:val="0"/>
              </w:numPr>
              <w:autoSpaceDE w:val="0"/>
              <w:autoSpaceDN w:val="0"/>
              <w:adjustRightInd w:val="0"/>
              <w:contextualSpacing/>
              <w:rPr>
                <w:rFonts w:hint="default" w:cs="Arial"/>
                <w:sz w:val="22"/>
                <w:szCs w:val="22"/>
                <w:lang w:val="en-US" w:eastAsia="zh-CN"/>
              </w:rPr>
            </w:pPr>
            <w:r>
              <w:rPr>
                <w:rFonts w:hint="default" w:cs="Arial"/>
                <w:sz w:val="22"/>
                <w:szCs w:val="22"/>
                <w:lang w:val="en-US" w:eastAsia="zh-CN"/>
              </w:rPr>
              <w:t>1. What are the relationships between teacher’s support and students' math learning motivation in general according to the analysis of database in Pisa 2022?</w:t>
            </w:r>
          </w:p>
          <w:p>
            <w:pPr>
              <w:keepNext w:val="0"/>
              <w:keepLines w:val="0"/>
              <w:widowControl/>
              <w:suppressLineNumbers w:val="0"/>
              <w:spacing w:before="0" w:beforeAutospacing="0" w:after="0" w:afterAutospacing="0"/>
              <w:ind w:left="0" w:right="0"/>
              <w:jc w:val="left"/>
              <w:rPr>
                <w:rFonts w:hint="default" w:cs="Arial"/>
                <w:sz w:val="22"/>
                <w:szCs w:val="22"/>
                <w:lang w:val="en-US" w:eastAsia="zh-CN"/>
              </w:rPr>
            </w:pPr>
            <w:r>
              <w:rPr>
                <w:rFonts w:hint="default" w:cs="Arial"/>
                <w:sz w:val="22"/>
                <w:szCs w:val="22"/>
                <w:lang w:val="en-US" w:eastAsia="zh-CN"/>
              </w:rPr>
              <w:t xml:space="preserve">2. What effect does teacher’s support have on math motivation of students of different genders </w:t>
            </w:r>
            <w:r>
              <w:rPr>
                <w:rFonts w:hint="default" w:ascii="Arial" w:hAnsi="Arial" w:eastAsia="Times New Roman" w:cs="Arial"/>
                <w:kern w:val="0"/>
                <w:sz w:val="22"/>
                <w:szCs w:val="22"/>
                <w:lang w:val="en-US" w:eastAsia="zh-CN" w:bidi="ar"/>
              </w:rPr>
              <w:t>according to the analysis of database in Pisa 2022</w:t>
            </w:r>
            <w:r>
              <w:rPr>
                <w:rFonts w:hint="default" w:cs="Arial"/>
                <w:sz w:val="22"/>
                <w:szCs w:val="22"/>
                <w:lang w:val="en-US" w:eastAsia="zh-CN"/>
              </w:rPr>
              <w:t>?</w:t>
            </w:r>
          </w:p>
          <w:p>
            <w:pPr>
              <w:keepNext w:val="0"/>
              <w:keepLines w:val="0"/>
              <w:widowControl/>
              <w:suppressLineNumbers w:val="0"/>
              <w:spacing w:before="0" w:beforeAutospacing="0" w:after="0" w:afterAutospacing="0"/>
              <w:ind w:left="0" w:right="0"/>
              <w:jc w:val="left"/>
              <w:rPr>
                <w:rFonts w:hint="default" w:cs="Arial"/>
                <w:sz w:val="22"/>
                <w:szCs w:val="22"/>
                <w:lang w:val="en-US" w:eastAsia="zh-CN"/>
              </w:rPr>
            </w:pPr>
            <w:r>
              <w:rPr>
                <w:rFonts w:hint="default" w:cs="Arial"/>
                <w:sz w:val="22"/>
                <w:szCs w:val="22"/>
                <w:lang w:val="en-US" w:eastAsia="zh-CN"/>
              </w:rPr>
              <w:t xml:space="preserve">3. What effect does teacher’s support have on math motivation for students from different escs backgrounds </w:t>
            </w:r>
            <w:r>
              <w:rPr>
                <w:rFonts w:hint="default" w:ascii="Arial" w:hAnsi="Arial" w:eastAsia="Times New Roman" w:cs="Arial"/>
                <w:kern w:val="0"/>
                <w:sz w:val="22"/>
                <w:szCs w:val="22"/>
                <w:lang w:val="en-US" w:eastAsia="zh-CN" w:bidi="ar"/>
              </w:rPr>
              <w:t>according to the analysis of database in Pisa 2022</w:t>
            </w:r>
            <w:r>
              <w:rPr>
                <w:rFonts w:hint="default" w:cs="Arial"/>
                <w:sz w:val="22"/>
                <w:szCs w:val="22"/>
                <w:lang w:val="en-US" w:eastAsia="zh-CN"/>
              </w:rPr>
              <w:t>?</w:t>
            </w:r>
          </w:p>
          <w:p>
            <w:pPr>
              <w:keepNext w:val="0"/>
              <w:keepLines w:val="0"/>
              <w:widowControl/>
              <w:suppressLineNumbers w:val="0"/>
              <w:spacing w:before="0" w:beforeAutospacing="0" w:after="0" w:afterAutospacing="0"/>
              <w:ind w:left="0" w:right="0"/>
              <w:jc w:val="left"/>
              <w:rPr>
                <w:rFonts w:hint="default" w:cs="Arial"/>
                <w:sz w:val="22"/>
                <w:szCs w:val="22"/>
                <w:lang w:val="en-US" w:eastAsia="zh-CN"/>
              </w:rPr>
            </w:pPr>
            <w:r>
              <w:rPr>
                <w:rFonts w:hint="default" w:cs="Arial"/>
                <w:sz w:val="22"/>
                <w:szCs w:val="22"/>
                <w:lang w:val="en-US" w:eastAsia="zh-CN"/>
              </w:rPr>
              <w:t xml:space="preserve">4. How does teacher's support affect students' math anxiety </w:t>
            </w:r>
            <w:r>
              <w:rPr>
                <w:rFonts w:hint="default" w:ascii="Arial" w:hAnsi="Arial" w:eastAsia="Times New Roman" w:cs="Arial"/>
                <w:kern w:val="0"/>
                <w:sz w:val="22"/>
                <w:szCs w:val="22"/>
                <w:lang w:val="en-US" w:eastAsia="zh-CN" w:bidi="ar"/>
              </w:rPr>
              <w:t>according to the analysis of database in Pisa 2022</w:t>
            </w:r>
            <w:r>
              <w:rPr>
                <w:rFonts w:hint="default" w:cs="Arial"/>
                <w:sz w:val="22"/>
                <w:szCs w:val="22"/>
                <w:lang w:val="en-US" w:eastAsia="zh-CN"/>
              </w:rPr>
              <w:t>?</w:t>
            </w:r>
          </w:p>
          <w:p>
            <w:pPr>
              <w:keepNext w:val="0"/>
              <w:keepLines w:val="0"/>
              <w:widowControl/>
              <w:suppressLineNumbers w:val="0"/>
              <w:spacing w:before="0" w:beforeAutospacing="0" w:after="0" w:afterAutospacing="0"/>
              <w:ind w:left="0" w:right="0"/>
              <w:jc w:val="left"/>
              <w:rPr>
                <w:rFonts w:hint="default" w:cs="Arial"/>
                <w:sz w:val="22"/>
                <w:szCs w:val="22"/>
                <w:lang w:val="en-US" w:eastAsia="zh-CN"/>
              </w:rPr>
            </w:pPr>
            <w:r>
              <w:rPr>
                <w:rFonts w:hint="default" w:cs="Arial"/>
                <w:sz w:val="22"/>
                <w:szCs w:val="22"/>
                <w:lang w:val="en-US" w:eastAsia="zh-CN"/>
              </w:rPr>
              <w:t xml:space="preserve">5. What are the relationships between students' math learning anxiety and their math learning motivation </w:t>
            </w:r>
            <w:r>
              <w:rPr>
                <w:rFonts w:hint="default" w:ascii="Arial" w:hAnsi="Arial" w:eastAsia="Times New Roman" w:cs="Arial"/>
                <w:kern w:val="0"/>
                <w:sz w:val="22"/>
                <w:szCs w:val="22"/>
                <w:lang w:val="en-US" w:eastAsia="zh-CN" w:bidi="ar"/>
              </w:rPr>
              <w:t>according to the analysis of database in Pisa 2022</w:t>
            </w:r>
            <w:r>
              <w:rPr>
                <w:rFonts w:hint="default" w:cs="Arial"/>
                <w:sz w:val="22"/>
                <w:szCs w:val="22"/>
                <w:lang w:val="en-US" w:eastAsia="zh-CN"/>
              </w:rPr>
              <w:t>?</w:t>
            </w:r>
          </w:p>
          <w:p>
            <w:pPr>
              <w:keepNext w:val="0"/>
              <w:keepLines w:val="0"/>
              <w:widowControl/>
              <w:suppressLineNumbers w:val="0"/>
              <w:spacing w:before="0" w:beforeAutospacing="0" w:after="0" w:afterAutospacing="0"/>
              <w:ind w:left="0" w:right="0"/>
              <w:jc w:val="left"/>
              <w:rPr>
                <w:rFonts w:hint="default" w:cs="Arial"/>
                <w:sz w:val="22"/>
                <w:szCs w:val="22"/>
                <w:lang w:val="en-US" w:eastAsia="zh-CN"/>
              </w:rPr>
            </w:pPr>
          </w:p>
          <w:p>
            <w:pPr>
              <w:numPr>
                <w:ilvl w:val="0"/>
                <w:numId w:val="0"/>
              </w:numPr>
              <w:autoSpaceDE w:val="0"/>
              <w:autoSpaceDN w:val="0"/>
              <w:adjustRightInd w:val="0"/>
              <w:contextualSpacing/>
              <w:rPr>
                <w:rFonts w:hint="default" w:cs="Arial"/>
                <w:sz w:val="22"/>
                <w:szCs w:val="22"/>
                <w:lang w:val="en-US" w:eastAsia="zh-CN"/>
              </w:rPr>
            </w:pPr>
            <w:r>
              <w:rPr>
                <w:rFonts w:hint="default" w:cs="Arial"/>
                <w:sz w:val="22"/>
                <w:szCs w:val="22"/>
                <w:lang w:val="en-US" w:eastAsia="zh-CN"/>
              </w:rPr>
              <w:t>Therefore, in general speaking, the main purpose of this research is to find out the main relationship between teacher's support and students' motivation in mathematics learning through the analysis of Pisa 2022 database, and then teachers can appropriately adjust teachers' support in mathematics, so as to improve learners' motivation and interest in learning to the greatest extent. In this way, it would be helpful for students to improve their mathematical ability and literacy.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Proposed Methodology (approx. 500 words)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rPr>
                <w:rFonts w:hint="eastAsia" w:cs="Arial"/>
                <w:sz w:val="22"/>
                <w:szCs w:val="22"/>
              </w:rPr>
            </w:pPr>
            <w:r>
              <w:rPr>
                <w:rFonts w:hint="eastAsia" w:cs="Arial"/>
                <w:sz w:val="22"/>
                <w:szCs w:val="22"/>
              </w:rPr>
              <w:t>In view of the 5 research questions discussed in this paper, it is necessary to adopt a proper combination of qualitative and quantitative methods for research, that is, the method of mixed methods. Stadtl</w:t>
            </w:r>
            <w:r>
              <w:rPr>
                <w:rFonts w:ascii="Arial" w:hAnsi="Arial" w:eastAsia="宋体" w:cs="Arial"/>
                <w:b w:val="0"/>
                <w:bCs w:val="0"/>
                <w:i w:val="0"/>
                <w:iCs w:val="0"/>
                <w:caps w:val="0"/>
                <w:color w:val="222222"/>
                <w:spacing w:val="0"/>
                <w:kern w:val="0"/>
                <w:sz w:val="22"/>
                <w:szCs w:val="22"/>
                <w:u w:val="none"/>
                <w:shd w:val="clear" w:fill="FFFFFF"/>
                <w:lang w:val="en-US" w:eastAsia="zh-CN" w:bidi="ar"/>
              </w:rPr>
              <w:t>ä</w:t>
            </w:r>
            <w:r>
              <w:rPr>
                <w:rFonts w:hint="eastAsia" w:cs="Arial"/>
                <w:sz w:val="22"/>
                <w:szCs w:val="22"/>
              </w:rPr>
              <w:t>nder (2009) believes that quantitative research is mainly driven by hypothesis and has the characteristics of hard data and statistical data analysis. However, qualitative research mainly uses descriptive language to express certain phenomena. Although the research method used in this paper is analysis of documents. It is mainly based on the corresponding comparative analysis of data in Pisa 2022. However, if only this research method is used as the main keynote of this paper, it is too simple and lacks of persuasion and authority. Therefore, in addition to the quantitative analysis of Pisa 2022, it is necessary to use appropriate interviews to make up for it. The interview is part of qualitative research.</w:t>
            </w:r>
          </w:p>
          <w:p>
            <w:pPr>
              <w:rPr>
                <w:rFonts w:hint="eastAsia" w:cs="Arial"/>
                <w:sz w:val="22"/>
                <w:szCs w:val="22"/>
              </w:rPr>
            </w:pPr>
          </w:p>
          <w:p>
            <w:pPr>
              <w:rPr>
                <w:rFonts w:hint="eastAsia" w:cs="Arial"/>
                <w:sz w:val="22"/>
                <w:szCs w:val="22"/>
              </w:rPr>
            </w:pPr>
            <w:r>
              <w:rPr>
                <w:rFonts w:hint="eastAsia" w:cs="Arial"/>
                <w:sz w:val="22"/>
                <w:szCs w:val="22"/>
              </w:rPr>
              <w:t xml:space="preserve">First of all, the analysis of documents is chosen because this paper investigates the mathematics learning motivation of 15-year-olds in the UK. Since the survey covers the whole region of the UK rather than one or several schools, it is difficult and unrealistic to cover the whole region of the UK only by distributing questionnaires by the experimenters themselves. In addition, researchers may conduct selective spot checks on schools according to their own preferences, which will affect the credibility and universality of the research analysis. Morgan(2022) proposed that the advantage of analysis of documents is that it can provide valuable research resources and information for some researchers who lack investigation resources and time or have problems in research techniques. Therefore, based on the benefits of this research method, it was adopted in this study. The file form of Pisa 2022 is similar to a database of questionnaires, so the analysis of documents discussed in this article is to analyze questionnaires on different scales in more detail. Addressing the elements involved in the research questions, including </w:t>
            </w:r>
            <w:r>
              <w:rPr>
                <w:rFonts w:hint="default" w:cs="Arial"/>
                <w:sz w:val="22"/>
                <w:szCs w:val="22"/>
                <w:lang w:val="en-US"/>
              </w:rPr>
              <w:t>teacher's support</w:t>
            </w:r>
            <w:r>
              <w:rPr>
                <w:rFonts w:hint="eastAsia" w:cs="Arial"/>
                <w:sz w:val="22"/>
                <w:szCs w:val="22"/>
              </w:rPr>
              <w:t>, student motivation, gender, escs, and learning anxiety. Each of these five components has its own scale in Pisa 2022. In addition, each scale consists of one or more questionnaire questions. The scales of these elements are studied and analyzed to get the relationship between them.</w:t>
            </w:r>
          </w:p>
          <w:p>
            <w:pPr>
              <w:rPr>
                <w:rFonts w:hint="eastAsia" w:cs="Arial"/>
                <w:sz w:val="22"/>
                <w:szCs w:val="22"/>
              </w:rPr>
            </w:pPr>
          </w:p>
          <w:p>
            <w:pPr>
              <w:rPr>
                <w:rFonts w:cs="Arial"/>
                <w:sz w:val="22"/>
                <w:szCs w:val="22"/>
              </w:rPr>
            </w:pPr>
            <w:r>
              <w:rPr>
                <w:rFonts w:hint="eastAsia" w:cs="Arial"/>
                <w:sz w:val="22"/>
                <w:szCs w:val="22"/>
              </w:rPr>
              <w:t xml:space="preserve">Secondly, there are also various types of interviews that need to be carefully selected. Opdenakker (2006) believes that there are three main interview methods: face to face interview, telephone interview and MSN messenger interview, and different interview methods have different characteristics. Among them, face to face interview can provide researchers with the maximum information, because it can observe the voice, intonation and movements of the interviewees at the same time and place. Therefore, this paper will try to use the face to face interview method for research. However, due to the shortage of funds, we cannot travel to different places for interviews, so we also use the video interview method to make up for it. In the analysis of documents, questionnaire data of students are mainly analyzed. Therefore, this face to face interview will be conducted from the perspective of teachers. open-ended interviews were conducted on three dimensions: how teachers provide support in math learning, the relationship between </w:t>
            </w:r>
            <w:r>
              <w:rPr>
                <w:rFonts w:hint="default" w:cs="Arial"/>
                <w:sz w:val="22"/>
                <w:szCs w:val="22"/>
                <w:lang w:val="en-US"/>
              </w:rPr>
              <w:t>teacher's support</w:t>
            </w:r>
            <w:r>
              <w:rPr>
                <w:rFonts w:hint="eastAsia" w:cs="Arial"/>
                <w:sz w:val="22"/>
                <w:szCs w:val="22"/>
              </w:rPr>
              <w:t xml:space="preserve"> and students' math learning motivation, and the relationship between math learning motivation and achievement. Morgan(2002) believes that 80% to 92% of key content and information can be obtained from the mouth of the first 10 interviewees in an interview. Therefore, the number of people to be interviewed will be set at 10 teachers from different parts of the UK who teach GCSE mathematics of different seniority.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pPr>
              <w:rPr>
                <w:rFonts w:cs="Arial"/>
                <w:sz w:val="22"/>
                <w:szCs w:val="22"/>
              </w:rPr>
            </w:pPr>
            <w:r>
              <w:rPr>
                <w:rFonts w:cs="Arial"/>
                <w:sz w:val="22"/>
                <w:szCs w:val="22"/>
              </w:rPr>
              <w:t>Introductory Bibliography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pPr>
              <w:keepNext w:val="0"/>
              <w:keepLines w:val="0"/>
              <w:widowControl/>
              <w:numPr>
                <w:ilvl w:val="0"/>
                <w:numId w:val="1"/>
              </w:numPr>
              <w:suppressLineNumbers w:val="0"/>
              <w:ind w:left="425" w:leftChars="0" w:hanging="425" w:firstLineChars="0"/>
              <w:jc w:val="left"/>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xml:space="preserve">Eccles, J. S. and Roeser, R. W. (2011) ‘Schools as developmental contexts during adolescence’, </w:t>
            </w:r>
            <w:r>
              <w:rPr>
                <w:rFonts w:hint="default" w:ascii="Arial Regular" w:hAnsi="Arial Regular" w:eastAsia="宋体" w:cs="Arial Regular"/>
                <w:b w:val="0"/>
                <w:bCs w:val="0"/>
                <w:i/>
                <w:iCs/>
                <w:caps w:val="0"/>
                <w:color w:val="222222"/>
                <w:spacing w:val="0"/>
                <w:kern w:val="0"/>
                <w:sz w:val="22"/>
                <w:szCs w:val="22"/>
                <w:u w:val="none"/>
                <w:shd w:val="clear" w:fill="FFFFFF"/>
                <w:lang w:val="en-US" w:eastAsia="zh-CN" w:bidi="ar"/>
              </w:rPr>
              <w:t>Journal of Research on Adolescence</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21(1), 225–241.</w:t>
            </w:r>
          </w:p>
          <w:p>
            <w:pPr>
              <w:keepNext w:val="0"/>
              <w:keepLines w:val="0"/>
              <w:widowControl/>
              <w:numPr>
                <w:ilvl w:val="0"/>
                <w:numId w:val="1"/>
              </w:numPr>
              <w:suppressLineNumbers w:val="0"/>
              <w:ind w:left="425" w:leftChars="0" w:hanging="425" w:firstLineChars="0"/>
              <w:jc w:val="left"/>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xml:space="preserve">Eccles, J. S. and Wigfield, A. (2020) ‘From expectancy-value theory to situated expectancy-value theory: A developmental, social cognitive, and sociocultural perspective on motivation’, </w:t>
            </w:r>
            <w:r>
              <w:rPr>
                <w:rFonts w:hint="default" w:ascii="Arial Regular" w:hAnsi="Arial Regular" w:eastAsia="宋体" w:cs="Arial Regular"/>
                <w:b w:val="0"/>
                <w:bCs w:val="0"/>
                <w:i/>
                <w:iCs/>
                <w:caps w:val="0"/>
                <w:color w:val="222222"/>
                <w:spacing w:val="0"/>
                <w:kern w:val="0"/>
                <w:sz w:val="22"/>
                <w:szCs w:val="22"/>
                <w:u w:val="none"/>
                <w:shd w:val="clear" w:fill="FFFFFF"/>
                <w:lang w:val="en-US" w:eastAsia="zh-CN" w:bidi="ar"/>
              </w:rPr>
              <w:t>Contemporary Educational Psychology</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xml:space="preserve">, 61, 101859. </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fldChar w:fldCharType="begin"/>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instrText xml:space="preserve"> HYPERLINK "https://doi.org/10.1016/j.cedpsych.2020.101859" </w:instrTex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fldChar w:fldCharType="separate"/>
            </w:r>
            <w:r>
              <w:rPr>
                <w:rStyle w:val="19"/>
                <w:rFonts w:hint="default" w:ascii="Arial Regular" w:hAnsi="Arial Regular" w:eastAsia="宋体" w:cs="Arial Regular"/>
                <w:b w:val="0"/>
                <w:bCs w:val="0"/>
                <w:i w:val="0"/>
                <w:iCs w:val="0"/>
                <w:caps w:val="0"/>
                <w:spacing w:val="0"/>
                <w:kern w:val="0"/>
                <w:sz w:val="22"/>
                <w:szCs w:val="22"/>
                <w:shd w:val="clear" w:fill="FFFFFF"/>
                <w:lang w:val="en-US" w:eastAsia="zh-CN" w:bidi="ar"/>
              </w:rPr>
              <w:t>https://doi.org/10.1016/j.cedpsych.2020.101859</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fldChar w:fldCharType="end"/>
            </w:r>
          </w:p>
          <w:p>
            <w:pPr>
              <w:keepNext w:val="0"/>
              <w:keepLines w:val="0"/>
              <w:widowControl/>
              <w:numPr>
                <w:ilvl w:val="0"/>
                <w:numId w:val="1"/>
              </w:numPr>
              <w:suppressLineNumbers w:val="0"/>
              <w:ind w:left="425" w:leftChars="0" w:hanging="425" w:firstLineChars="0"/>
              <w:jc w:val="left"/>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xml:space="preserve">Eccles, J., Wigfield, A., Harold, R. D. and Blumenfeld, P. (1993) ‘Age and gender differences in children's self‐and task perceptions during elementary school’, </w:t>
            </w:r>
            <w:r>
              <w:rPr>
                <w:rFonts w:hint="default" w:ascii="Arial Regular" w:hAnsi="Arial Regular" w:eastAsia="宋体" w:cs="Arial Regular"/>
                <w:b w:val="0"/>
                <w:bCs w:val="0"/>
                <w:i/>
                <w:iCs/>
                <w:caps w:val="0"/>
                <w:color w:val="222222"/>
                <w:spacing w:val="0"/>
                <w:kern w:val="0"/>
                <w:sz w:val="22"/>
                <w:szCs w:val="22"/>
                <w:u w:val="none"/>
                <w:shd w:val="clear" w:fill="FFFFFF"/>
                <w:lang w:val="en-US" w:eastAsia="zh-CN" w:bidi="ar"/>
              </w:rPr>
              <w:t>Child development</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xml:space="preserve">, 64(3), 830-847. </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fldChar w:fldCharType="begin"/>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instrText xml:space="preserve"> HYPERLINK "https://doi.org/10.1111/j.1467-8624.1993.tb02946.x" </w:instrTex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fldChar w:fldCharType="separate"/>
            </w:r>
            <w:r>
              <w:rPr>
                <w:rStyle w:val="19"/>
                <w:rFonts w:hint="default" w:ascii="Arial Regular" w:hAnsi="Arial Regular" w:eastAsia="宋体" w:cs="Arial Regular"/>
                <w:b w:val="0"/>
                <w:bCs w:val="0"/>
                <w:i w:val="0"/>
                <w:iCs w:val="0"/>
                <w:caps w:val="0"/>
                <w:spacing w:val="0"/>
                <w:kern w:val="0"/>
                <w:sz w:val="22"/>
                <w:szCs w:val="22"/>
                <w:shd w:val="clear" w:fill="FFFFFF"/>
                <w:lang w:val="en-US" w:eastAsia="zh-CN" w:bidi="ar"/>
              </w:rPr>
              <w:t>https://doi.org/10.1111/j.1467-8624.1993.tb02946.x</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fldChar w:fldCharType="end"/>
            </w:r>
          </w:p>
          <w:p>
            <w:pPr>
              <w:keepNext w:val="0"/>
              <w:keepLines w:val="0"/>
              <w:widowControl/>
              <w:numPr>
                <w:ilvl w:val="0"/>
                <w:numId w:val="1"/>
              </w:numPr>
              <w:suppressLineNumbers w:val="0"/>
              <w:ind w:left="425" w:leftChars="0" w:hanging="425" w:firstLineChars="0"/>
              <w:jc w:val="left"/>
              <w:rPr>
                <w:rFonts w:hint="default" w:ascii="Arial Regular" w:hAnsi="Arial Regular" w:cs="Arial Regular"/>
                <w:sz w:val="22"/>
                <w:szCs w:val="22"/>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xml:space="preserve">Juan, D. (2023) ‘Are British people really bad at maths? Why does the Prime Minister want a baby to be 18’, </w:t>
            </w:r>
            <w:r>
              <w:rPr>
                <w:rFonts w:hint="default" w:ascii="Arial Regular" w:hAnsi="Arial Regular" w:eastAsia="宋体" w:cs="Arial Regular"/>
                <w:b w:val="0"/>
                <w:bCs w:val="0"/>
                <w:i/>
                <w:iCs/>
                <w:caps w:val="0"/>
                <w:color w:val="222222"/>
                <w:spacing w:val="0"/>
                <w:kern w:val="0"/>
                <w:sz w:val="22"/>
                <w:szCs w:val="22"/>
                <w:u w:val="none"/>
                <w:shd w:val="clear" w:fill="FFFFFF"/>
                <w:lang w:val="en-US" w:eastAsia="zh-CN" w:bidi="ar"/>
              </w:rPr>
              <w:t>Xinhua International Headlines</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15 January. Available at: https://m.gmw.cn/baijia/2023-01/15/1303255207.html (Accessed: 15 January 2023).</w:t>
            </w:r>
          </w:p>
          <w:p>
            <w:pPr>
              <w:keepNext w:val="0"/>
              <w:keepLines w:val="0"/>
              <w:widowControl/>
              <w:numPr>
                <w:ilvl w:val="0"/>
                <w:numId w:val="1"/>
              </w:numPr>
              <w:suppressLineNumbers w:val="0"/>
              <w:ind w:left="425" w:leftChars="0" w:hanging="425" w:firstLineChars="0"/>
              <w:jc w:val="left"/>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pPr>
            <w:r>
              <w:rPr>
                <w:rFonts w:hint="default" w:ascii="Arial Regular" w:hAnsi="Arial Regular" w:cs="Arial Regular"/>
                <w:b w:val="0"/>
                <w:bCs w:val="0"/>
                <w:i w:val="0"/>
                <w:iCs w:val="0"/>
                <w:caps w:val="0"/>
                <w:color w:val="000000"/>
                <w:spacing w:val="0"/>
                <w:sz w:val="22"/>
                <w:szCs w:val="22"/>
                <w:u w:val="none"/>
              </w:rPr>
              <w:t>Klem, A.M. and Connell, J.P. (2004)</w:t>
            </w:r>
            <w:r>
              <w:rPr>
                <w:rFonts w:hint="default" w:ascii="Arial Regular" w:hAnsi="Arial Regular" w:cs="Arial Regular"/>
                <w:b w:val="0"/>
                <w:bCs w:val="0"/>
                <w:i w:val="0"/>
                <w:iCs w:val="0"/>
                <w:caps w:val="0"/>
                <w:color w:val="000000"/>
                <w:spacing w:val="0"/>
                <w:sz w:val="22"/>
                <w:szCs w:val="22"/>
                <w:u w:val="none"/>
                <w:lang w:val="en-US"/>
              </w:rPr>
              <w:t xml:space="preserve"> ‘</w:t>
            </w:r>
            <w:r>
              <w:rPr>
                <w:rFonts w:hint="default" w:ascii="Arial Regular" w:hAnsi="Arial Regular" w:cs="Arial Regular"/>
                <w:b w:val="0"/>
                <w:bCs w:val="0"/>
                <w:i w:val="0"/>
                <w:iCs w:val="0"/>
                <w:caps w:val="0"/>
                <w:color w:val="000000"/>
                <w:spacing w:val="0"/>
                <w:sz w:val="22"/>
                <w:szCs w:val="22"/>
                <w:u w:val="none"/>
              </w:rPr>
              <w:t>Relationships Matter: Linking Teacher Support to Student Engagement and Achievement</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w:t>
            </w:r>
            <w:r>
              <w:rPr>
                <w:rFonts w:hint="default" w:ascii="Arial Regular" w:hAnsi="Arial Regular" w:cs="Arial Regular"/>
                <w:b w:val="0"/>
                <w:bCs w:val="0"/>
                <w:i/>
                <w:iCs/>
                <w:caps w:val="0"/>
                <w:color w:val="000000"/>
                <w:spacing w:val="0"/>
                <w:sz w:val="22"/>
                <w:szCs w:val="22"/>
                <w:u w:val="none"/>
              </w:rPr>
              <w:t>Journal of School Health</w:t>
            </w:r>
            <w:r>
              <w:rPr>
                <w:rFonts w:hint="default" w:ascii="Arial Regular" w:hAnsi="Arial Regular" w:cs="Arial Regular"/>
                <w:b w:val="0"/>
                <w:bCs w:val="0"/>
                <w:i w:val="0"/>
                <w:iCs w:val="0"/>
                <w:caps w:val="0"/>
                <w:color w:val="000000"/>
                <w:spacing w:val="0"/>
                <w:sz w:val="22"/>
                <w:szCs w:val="22"/>
                <w:u w:val="none"/>
              </w:rPr>
              <w:t>, 74(7), pp.262–273.</w:t>
            </w:r>
          </w:p>
          <w:p>
            <w:pPr>
              <w:keepNext w:val="0"/>
              <w:keepLines w:val="0"/>
              <w:widowControl/>
              <w:numPr>
                <w:ilvl w:val="0"/>
                <w:numId w:val="1"/>
              </w:numPr>
              <w:suppressLineNumbers w:val="0"/>
              <w:ind w:left="425" w:leftChars="0" w:hanging="425" w:firstLineChars="0"/>
              <w:jc w:val="left"/>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xml:space="preserve">Maxwell, C. and Aggleton, P. (2015) </w:t>
            </w:r>
            <w:r>
              <w:rPr>
                <w:rFonts w:hint="default" w:ascii="Arial Regular" w:hAnsi="Arial Regular" w:eastAsia="宋体" w:cs="Arial Regular"/>
                <w:b w:val="0"/>
                <w:bCs w:val="0"/>
                <w:i/>
                <w:iCs/>
                <w:caps w:val="0"/>
                <w:color w:val="222222"/>
                <w:spacing w:val="0"/>
                <w:kern w:val="0"/>
                <w:sz w:val="22"/>
                <w:szCs w:val="22"/>
                <w:u w:val="none"/>
                <w:shd w:val="clear" w:fill="FFFFFF"/>
                <w:lang w:val="en-US" w:eastAsia="zh-CN" w:bidi="ar"/>
              </w:rPr>
              <w:t>ELITE EDUCATION</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Routledge Press.</w:t>
            </w:r>
          </w:p>
          <w:p>
            <w:pPr>
              <w:keepNext w:val="0"/>
              <w:keepLines w:val="0"/>
              <w:widowControl/>
              <w:numPr>
                <w:ilvl w:val="0"/>
                <w:numId w:val="1"/>
              </w:numPr>
              <w:suppressLineNumbers w:val="0"/>
              <w:ind w:left="425" w:leftChars="0" w:hanging="425" w:firstLineChars="0"/>
              <w:jc w:val="left"/>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Morgan, H. (2022) ‘Conducting a qualitative document analysis’, </w:t>
            </w:r>
            <w:r>
              <w:rPr>
                <w:rFonts w:hint="default" w:ascii="Arial Regular" w:hAnsi="Arial Regular" w:eastAsia="宋体" w:cs="Arial Regular"/>
                <w:b w:val="0"/>
                <w:bCs w:val="0"/>
                <w:i/>
                <w:iCs/>
                <w:caps w:val="0"/>
                <w:color w:val="222222"/>
                <w:spacing w:val="0"/>
                <w:kern w:val="0"/>
                <w:sz w:val="22"/>
                <w:szCs w:val="22"/>
                <w:u w:val="none"/>
                <w:lang w:val="en-US" w:eastAsia="zh-CN" w:bidi="ar"/>
              </w:rPr>
              <w:t>The Qualitative Report</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27.1 (2022): 64-77.</w:t>
            </w:r>
          </w:p>
          <w:p>
            <w:pPr>
              <w:keepNext w:val="0"/>
              <w:keepLines w:val="0"/>
              <w:widowControl/>
              <w:numPr>
                <w:ilvl w:val="0"/>
                <w:numId w:val="1"/>
              </w:numPr>
              <w:suppressLineNumbers w:val="0"/>
              <w:ind w:left="425" w:leftChars="0" w:hanging="425" w:firstLineChars="0"/>
              <w:jc w:val="left"/>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xml:space="preserve">Morgan, M. G. (2002) </w:t>
            </w:r>
            <w:r>
              <w:rPr>
                <w:rFonts w:hint="default" w:ascii="Arial Regular" w:hAnsi="Arial Regular" w:eastAsia="宋体" w:cs="Arial Regular"/>
                <w:b w:val="0"/>
                <w:bCs w:val="0"/>
                <w:i/>
                <w:iCs/>
                <w:caps w:val="0"/>
                <w:color w:val="222222"/>
                <w:spacing w:val="0"/>
                <w:kern w:val="0"/>
                <w:sz w:val="22"/>
                <w:szCs w:val="22"/>
                <w:u w:val="none"/>
                <w:lang w:val="en-US" w:eastAsia="zh-CN" w:bidi="ar"/>
              </w:rPr>
              <w:t>Risk communication: A mental models approach</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 Cambridge University Press.</w:t>
            </w:r>
          </w:p>
          <w:p>
            <w:pPr>
              <w:keepNext w:val="0"/>
              <w:keepLines w:val="0"/>
              <w:widowControl/>
              <w:numPr>
                <w:ilvl w:val="0"/>
                <w:numId w:val="1"/>
              </w:numPr>
              <w:suppressLineNumbers w:val="0"/>
              <w:ind w:left="425" w:leftChars="0" w:hanging="425" w:firstLineChars="0"/>
              <w:jc w:val="left"/>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OECD (2024), ‘PISA 2022 Technical Report’, PISA, 1 March. Available at: https://doi.org/10.1787/01820d6d-en (Accessed: 1 March 2024).</w:t>
            </w:r>
          </w:p>
          <w:p>
            <w:pPr>
              <w:keepNext w:val="0"/>
              <w:keepLines w:val="0"/>
              <w:widowControl/>
              <w:numPr>
                <w:ilvl w:val="0"/>
                <w:numId w:val="1"/>
              </w:numPr>
              <w:suppressLineNumbers w:val="0"/>
              <w:ind w:left="425" w:leftChars="0" w:hanging="425" w:firstLineChars="0"/>
              <w:jc w:val="left"/>
              <w:rPr>
                <w:rFonts w:hint="default" w:ascii="Arial Regular" w:hAnsi="Arial Regular" w:cs="Arial Regular"/>
                <w:sz w:val="22"/>
                <w:szCs w:val="22"/>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Opdenakker, R. J. G. (2006) ‘Advantages and disadvantages of four interview techniques in qualitative research’, </w:t>
            </w:r>
            <w:r>
              <w:rPr>
                <w:rFonts w:hint="default" w:ascii="Arial Regular" w:hAnsi="Arial Regular" w:eastAsia="宋体" w:cs="Arial Regular"/>
                <w:b w:val="0"/>
                <w:bCs w:val="0"/>
                <w:i/>
                <w:iCs/>
                <w:caps w:val="0"/>
                <w:color w:val="222222"/>
                <w:spacing w:val="0"/>
                <w:kern w:val="0"/>
                <w:sz w:val="22"/>
                <w:szCs w:val="22"/>
                <w:u w:val="none"/>
                <w:lang w:val="en-US" w:eastAsia="zh-CN" w:bidi="ar"/>
              </w:rPr>
              <w:t>Forum Qualitative Sozialforschung= Forum: Qualitative Social Research</w:t>
            </w:r>
            <w:r>
              <w:rPr>
                <w:rFonts w:hint="default" w:ascii="Arial Regular" w:hAnsi="Arial Regular" w:eastAsia="宋体" w:cs="Arial Regular"/>
                <w:b w:val="0"/>
                <w:bCs w:val="0"/>
                <w:i w:val="0"/>
                <w:iCs w:val="0"/>
                <w:caps w:val="0"/>
                <w:color w:val="222222"/>
                <w:spacing w:val="0"/>
                <w:kern w:val="0"/>
                <w:sz w:val="22"/>
                <w:szCs w:val="22"/>
                <w:u w:val="none"/>
                <w:lang w:val="en-US" w:eastAsia="zh-CN" w:bidi="ar"/>
              </w:rPr>
              <w:t xml:space="preserve">, </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Vol. 7. No. 4. Institut fur Klinische Sychologie and Gemeindesychologie.</w:t>
            </w:r>
          </w:p>
          <w:p>
            <w:pPr>
              <w:keepNext w:val="0"/>
              <w:keepLines w:val="0"/>
              <w:widowControl/>
              <w:numPr>
                <w:ilvl w:val="0"/>
                <w:numId w:val="1"/>
              </w:numPr>
              <w:suppressLineNumbers w:val="0"/>
              <w:ind w:left="425" w:leftChars="0" w:hanging="425" w:firstLineChars="0"/>
              <w:jc w:val="left"/>
              <w:rPr>
                <w:rFonts w:hint="default" w:ascii="Arial Regular" w:hAnsi="Arial Regular" w:cs="Arial Regular"/>
                <w:sz w:val="22"/>
                <w:szCs w:val="22"/>
              </w:rPr>
            </w:pPr>
            <w:r>
              <w:rPr>
                <w:rFonts w:hint="default" w:ascii="Arial Regular" w:hAnsi="Arial Regular" w:cs="Arial Regular"/>
                <w:b w:val="0"/>
                <w:bCs w:val="0"/>
                <w:i w:val="0"/>
                <w:iCs w:val="0"/>
                <w:caps w:val="0"/>
                <w:color w:val="000000"/>
                <w:spacing w:val="0"/>
                <w:sz w:val="22"/>
                <w:szCs w:val="22"/>
                <w:u w:val="none"/>
              </w:rPr>
              <w:t>Reeve, J., Ryan, R.M., Sung</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H</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C</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Matos, L. and Kaplan, H. (2022). </w:t>
            </w:r>
            <w:r>
              <w:rPr>
                <w:rFonts w:hint="default" w:ascii="Arial Regular" w:hAnsi="Arial Regular" w:cs="Arial Regular"/>
                <w:b w:val="0"/>
                <w:bCs w:val="0"/>
                <w:i/>
                <w:iCs/>
                <w:caps w:val="0"/>
                <w:color w:val="000000"/>
                <w:spacing w:val="0"/>
                <w:sz w:val="22"/>
                <w:szCs w:val="22"/>
                <w:u w:val="none"/>
              </w:rPr>
              <w:t>Supporting Students’ Motivation</w:t>
            </w:r>
            <w:r>
              <w:rPr>
                <w:rFonts w:hint="default" w:ascii="Arial Regular" w:hAnsi="Arial Regular" w:cs="Arial Regular"/>
                <w:b w:val="0"/>
                <w:bCs w:val="0"/>
                <w:i w:val="0"/>
                <w:iCs w:val="0"/>
                <w:caps w:val="0"/>
                <w:color w:val="000000"/>
                <w:spacing w:val="0"/>
                <w:sz w:val="22"/>
                <w:szCs w:val="22"/>
                <w:u w:val="none"/>
              </w:rPr>
              <w:t>. Taylor &amp; Francis</w:t>
            </w:r>
            <w:r>
              <w:rPr>
                <w:rFonts w:hint="default" w:ascii="Arial Regular" w:hAnsi="Arial Regular" w:cs="Arial Regular"/>
                <w:b w:val="0"/>
                <w:bCs w:val="0"/>
                <w:i w:val="0"/>
                <w:iCs w:val="0"/>
                <w:caps w:val="0"/>
                <w:color w:val="000000"/>
                <w:spacing w:val="0"/>
                <w:sz w:val="22"/>
                <w:szCs w:val="22"/>
                <w:u w:val="none"/>
                <w:lang w:val="en-US"/>
              </w:rPr>
              <w:t xml:space="preserve"> Press</w:t>
            </w:r>
            <w:r>
              <w:rPr>
                <w:rFonts w:hint="default" w:ascii="Arial Regular" w:hAnsi="Arial Regular" w:cs="Arial Regular"/>
                <w:b w:val="0"/>
                <w:bCs w:val="0"/>
                <w:i w:val="0"/>
                <w:iCs w:val="0"/>
                <w:caps w:val="0"/>
                <w:color w:val="000000"/>
                <w:spacing w:val="0"/>
                <w:sz w:val="22"/>
                <w:szCs w:val="22"/>
                <w:u w:val="none"/>
              </w:rPr>
              <w:t>.</w:t>
            </w:r>
          </w:p>
          <w:p>
            <w:pPr>
              <w:keepNext w:val="0"/>
              <w:keepLines w:val="0"/>
              <w:widowControl/>
              <w:numPr>
                <w:ilvl w:val="0"/>
                <w:numId w:val="1"/>
              </w:numPr>
              <w:suppressLineNumbers w:val="0"/>
              <w:ind w:left="425" w:leftChars="0" w:hanging="425" w:firstLineChars="0"/>
              <w:jc w:val="left"/>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pPr>
            <w:r>
              <w:rPr>
                <w:rFonts w:hint="default" w:ascii="Arial Regular" w:hAnsi="Arial Regular" w:cs="Arial Regular"/>
                <w:b w:val="0"/>
                <w:bCs w:val="0"/>
                <w:i w:val="0"/>
                <w:iCs w:val="0"/>
                <w:caps w:val="0"/>
                <w:color w:val="000000"/>
                <w:spacing w:val="0"/>
                <w:sz w:val="22"/>
                <w:szCs w:val="22"/>
                <w:u w:val="none"/>
              </w:rPr>
              <w:t>Rodríguez</w:t>
            </w:r>
            <w:r>
              <w:rPr>
                <w:rFonts w:hint="default" w:ascii="Arial Regular" w:hAnsi="Arial Regular" w:cs="Arial Regular"/>
                <w:b w:val="0"/>
                <w:bCs w:val="0"/>
                <w:i w:val="0"/>
                <w:iCs w:val="0"/>
                <w:caps w:val="0"/>
                <w:color w:val="000000"/>
                <w:spacing w:val="0"/>
                <w:sz w:val="22"/>
                <w:szCs w:val="22"/>
                <w:u w:val="none"/>
                <w:lang w:val="en-US"/>
              </w:rPr>
              <w:t xml:space="preserve">, </w:t>
            </w:r>
            <w:r>
              <w:rPr>
                <w:rFonts w:hint="default" w:ascii="Arial Regular" w:hAnsi="Arial Regular" w:cs="Arial Regular"/>
                <w:b w:val="0"/>
                <w:bCs w:val="0"/>
                <w:i w:val="0"/>
                <w:iCs w:val="0"/>
                <w:caps w:val="0"/>
                <w:color w:val="000000"/>
                <w:spacing w:val="0"/>
                <w:sz w:val="22"/>
                <w:szCs w:val="22"/>
                <w:u w:val="none"/>
              </w:rPr>
              <w:t>M</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S., Regueiro</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F</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B., Piñeiro</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A</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I.</w:t>
            </w:r>
            <w:r>
              <w:rPr>
                <w:rFonts w:hint="default" w:ascii="Arial Regular" w:hAnsi="Arial Regular" w:cs="Arial Regular"/>
                <w:b w:val="0"/>
                <w:bCs w:val="0"/>
                <w:i w:val="0"/>
                <w:iCs w:val="0"/>
                <w:caps w:val="0"/>
                <w:color w:val="000000"/>
                <w:spacing w:val="0"/>
                <w:sz w:val="22"/>
                <w:szCs w:val="22"/>
                <w:u w:val="none"/>
                <w:lang w:val="en-US"/>
              </w:rPr>
              <w:t xml:space="preserve">, </w:t>
            </w:r>
            <w:r>
              <w:rPr>
                <w:rFonts w:hint="default" w:ascii="Arial Regular" w:hAnsi="Arial Regular" w:cs="Arial Regular"/>
                <w:b w:val="0"/>
                <w:bCs w:val="0"/>
                <w:i w:val="0"/>
                <w:iCs w:val="0"/>
                <w:caps w:val="0"/>
                <w:color w:val="000000"/>
                <w:spacing w:val="0"/>
                <w:sz w:val="22"/>
                <w:szCs w:val="22"/>
                <w:u w:val="none"/>
              </w:rPr>
              <w:t>Estévez</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B</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I. and Valle</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A</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xml:space="preserve"> A. (2020) </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Gender Differences in Mathematics Motivation: Differential Effects on Performance in Primary Education</w:t>
            </w:r>
            <w:r>
              <w:rPr>
                <w:rFonts w:hint="default" w:ascii="Arial Regular" w:hAnsi="Arial Regular" w:cs="Arial Regular"/>
                <w:b w:val="0"/>
                <w:bCs w:val="0"/>
                <w:i w:val="0"/>
                <w:iCs w:val="0"/>
                <w:caps w:val="0"/>
                <w:color w:val="000000"/>
                <w:spacing w:val="0"/>
                <w:sz w:val="22"/>
                <w:szCs w:val="22"/>
                <w:u w:val="none"/>
                <w:lang w:val="en-US"/>
              </w:rPr>
              <w:t>’,</w:t>
            </w:r>
            <w:r>
              <w:rPr>
                <w:rFonts w:hint="default" w:ascii="Arial Regular" w:hAnsi="Arial Regular" w:cs="Arial Regular"/>
                <w:b w:val="0"/>
                <w:bCs w:val="0"/>
                <w:i w:val="0"/>
                <w:iCs w:val="0"/>
                <w:caps w:val="0"/>
                <w:color w:val="000000"/>
                <w:spacing w:val="0"/>
                <w:sz w:val="22"/>
                <w:szCs w:val="22"/>
                <w:u w:val="none"/>
              </w:rPr>
              <w:t> </w:t>
            </w:r>
            <w:r>
              <w:rPr>
                <w:rFonts w:hint="default" w:ascii="Arial Regular" w:hAnsi="Arial Regular" w:cs="Arial Regular"/>
                <w:b w:val="0"/>
                <w:bCs w:val="0"/>
                <w:i/>
                <w:iCs/>
                <w:caps w:val="0"/>
                <w:color w:val="000000"/>
                <w:spacing w:val="0"/>
                <w:sz w:val="22"/>
                <w:szCs w:val="22"/>
                <w:u w:val="none"/>
              </w:rPr>
              <w:t>minerva.usc.es</w:t>
            </w:r>
            <w:r>
              <w:rPr>
                <w:rFonts w:hint="default" w:ascii="Arial Regular" w:hAnsi="Arial Regular" w:cs="Arial Regular"/>
                <w:b w:val="0"/>
                <w:bCs w:val="0"/>
                <w:i w:val="0"/>
                <w:iCs w:val="0"/>
                <w:caps w:val="0"/>
                <w:color w:val="000000"/>
                <w:spacing w:val="0"/>
                <w:sz w:val="22"/>
                <w:szCs w:val="22"/>
                <w:u w:val="none"/>
              </w:rPr>
              <w:t>, [online] 10. doi:https://doi.org/10.3389/fpsyg.2019.03050.</w:t>
            </w:r>
          </w:p>
          <w:p>
            <w:pPr>
              <w:keepNext w:val="0"/>
              <w:keepLines w:val="0"/>
              <w:widowControl/>
              <w:numPr>
                <w:ilvl w:val="0"/>
                <w:numId w:val="1"/>
              </w:numPr>
              <w:suppressLineNumbers w:val="0"/>
              <w:ind w:left="425" w:leftChars="0" w:hanging="425" w:firstLineChars="0"/>
              <w:jc w:val="left"/>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Stacey, K. (2006) ‘What is mathematical thinking and why is it important’, </w:t>
            </w:r>
            <w:r>
              <w:rPr>
                <w:rFonts w:hint="default" w:ascii="Arial Regular" w:hAnsi="Arial Regular" w:eastAsia="宋体" w:cs="Arial Regular"/>
                <w:b w:val="0"/>
                <w:bCs w:val="0"/>
                <w:i/>
                <w:iCs/>
                <w:caps w:val="0"/>
                <w:color w:val="222222"/>
                <w:spacing w:val="0"/>
                <w:kern w:val="0"/>
                <w:sz w:val="22"/>
                <w:szCs w:val="22"/>
                <w:u w:val="none"/>
                <w:lang w:val="en-US" w:eastAsia="zh-CN" w:bidi="ar"/>
              </w:rPr>
              <w:t>Progress report of the APEC project: collaborative studies on innovations for teaching and learning mathematics in different cultures (II)—Lesson study focusing on mathematical thinking</w:t>
            </w:r>
            <w:r>
              <w:rPr>
                <w:rFonts w:hint="default" w:ascii="Arial Regular" w:hAnsi="Arial Regular" w:eastAsia="宋体" w:cs="Arial Regular"/>
                <w:b w:val="0"/>
                <w:bCs w:val="0"/>
                <w:i w:val="0"/>
                <w:iCs w:val="0"/>
                <w:caps w:val="0"/>
                <w:color w:val="222222"/>
                <w:spacing w:val="0"/>
                <w:kern w:val="0"/>
                <w:sz w:val="22"/>
                <w:szCs w:val="22"/>
                <w:u w:val="none"/>
                <w:lang w:val="en-US" w:eastAsia="zh-CN" w:bidi="ar"/>
              </w:rPr>
              <w:t>, 38-49</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w:t>
            </w:r>
          </w:p>
          <w:p>
            <w:pPr>
              <w:keepNext w:val="0"/>
              <w:keepLines w:val="0"/>
              <w:widowControl/>
              <w:numPr>
                <w:ilvl w:val="0"/>
                <w:numId w:val="1"/>
              </w:numPr>
              <w:suppressLineNumbers w:val="0"/>
              <w:ind w:left="425" w:leftChars="0" w:hanging="425" w:firstLineChars="0"/>
              <w:jc w:val="left"/>
              <w:rPr>
                <w:rFonts w:cs="Arial"/>
                <w:sz w:val="22"/>
                <w:szCs w:val="22"/>
              </w:rPr>
            </w:pP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Stadtländer, C. T. (2009) ‘Qualitative, quantitative, and mixed-methods research’, </w:t>
            </w:r>
            <w:r>
              <w:rPr>
                <w:rFonts w:hint="default" w:ascii="Arial Regular" w:hAnsi="Arial Regular" w:eastAsia="宋体" w:cs="Arial Regular"/>
                <w:b w:val="0"/>
                <w:bCs w:val="0"/>
                <w:i/>
                <w:iCs/>
                <w:caps w:val="0"/>
                <w:color w:val="222222"/>
                <w:spacing w:val="0"/>
                <w:kern w:val="0"/>
                <w:sz w:val="22"/>
                <w:szCs w:val="22"/>
                <w:u w:val="none"/>
                <w:lang w:val="en-US" w:eastAsia="zh-CN" w:bidi="ar"/>
              </w:rPr>
              <w:t>Microbe Magazine</w:t>
            </w:r>
            <w:r>
              <w:rPr>
                <w:rFonts w:hint="default" w:ascii="Arial Regular" w:hAnsi="Arial Regular" w:eastAsia="宋体" w:cs="Arial Regular"/>
                <w:b w:val="0"/>
                <w:bCs w:val="0"/>
                <w:i w:val="0"/>
                <w:iCs w:val="0"/>
                <w:caps w:val="0"/>
                <w:color w:val="222222"/>
                <w:spacing w:val="0"/>
                <w:kern w:val="0"/>
                <w:sz w:val="22"/>
                <w:szCs w:val="22"/>
                <w:u w:val="none"/>
                <w:lang w:val="en-US" w:eastAsia="zh-CN" w:bidi="ar"/>
              </w:rPr>
              <w:t>, Vol. 4, Issue 11</w:t>
            </w:r>
            <w:r>
              <w:rPr>
                <w:rFonts w:hint="default" w:ascii="Arial Regular" w:hAnsi="Arial Regular" w:eastAsia="宋体" w:cs="Arial Regular"/>
                <w:b w:val="0"/>
                <w:bCs w:val="0"/>
                <w:i/>
                <w:iCs/>
                <w:caps w:val="0"/>
                <w:color w:val="222222"/>
                <w:spacing w:val="0"/>
                <w:kern w:val="0"/>
                <w:sz w:val="22"/>
                <w:szCs w:val="22"/>
                <w:u w:val="none"/>
                <w:lang w:val="en-US" w:eastAsia="zh-CN" w:bidi="ar"/>
              </w:rPr>
              <w:t xml:space="preserve">. </w:t>
            </w:r>
            <w:r>
              <w:rPr>
                <w:rFonts w:hint="default" w:ascii="Arial Regular" w:hAnsi="Arial Regular" w:eastAsia="宋体" w:cs="Arial Regular"/>
                <w:b w:val="0"/>
                <w:bCs w:val="0"/>
                <w:i w:val="0"/>
                <w:iCs w:val="0"/>
                <w:caps w:val="0"/>
                <w:color w:val="222222"/>
                <w:spacing w:val="0"/>
                <w:kern w:val="0"/>
                <w:sz w:val="22"/>
                <w:szCs w:val="22"/>
                <w:u w:val="none"/>
                <w:lang w:val="en-US" w:eastAsia="zh-CN" w:bidi="ar"/>
              </w:rPr>
              <w:t>Sage Publications. https://doi. org/10.1128/microbe</w:t>
            </w:r>
            <w:r>
              <w:rPr>
                <w:rFonts w:hint="default" w:ascii="Arial Regular" w:hAnsi="Arial Regular" w:eastAsia="宋体" w:cs="Arial Regular"/>
                <w:b w:val="0"/>
                <w:bCs w:val="0"/>
                <w:i w:val="0"/>
                <w:iCs w:val="0"/>
                <w:caps w:val="0"/>
                <w:color w:val="222222"/>
                <w:spacing w:val="0"/>
                <w:kern w:val="0"/>
                <w:sz w:val="22"/>
                <w:szCs w:val="22"/>
                <w:u w:val="none"/>
                <w:shd w:val="clear" w:fill="FFFFFF"/>
                <w:lang w:val="en-US" w:eastAsia="zh-CN" w:bidi="ar"/>
              </w:rPr>
              <w:t>4.1 (2009).</w:t>
            </w:r>
            <w:bookmarkStart w:id="0" w:name="_GoBack"/>
            <w:bookmarkEnd w:id="0"/>
          </w:p>
        </w:tc>
      </w:tr>
    </w:tbl>
    <w:p>
      <w:pPr>
        <w:jc w:val="center"/>
        <w:rPr>
          <w:rFonts w:cs="Arial"/>
          <w:sz w:val="22"/>
          <w:szCs w:val="22"/>
        </w:rPr>
      </w:pPr>
    </w:p>
    <w:sectPr>
      <w:headerReference r:id="rId3" w:type="default"/>
      <w:footerReference r:id="rId4" w:type="default"/>
      <w:pgSz w:w="11906" w:h="16838"/>
      <w:pgMar w:top="1701"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ahoma">
    <w:panose1 w:val="020B08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Arial Italic">
    <w:panose1 w:val="020B06040202020902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Arial">
    <w:panose1 w:val="020B0604020202090204"/>
    <w:charset w:val="00"/>
    <w:family w:val="auto"/>
    <w:pitch w:val="default"/>
    <w:sig w:usb0="E0000AFF" w:usb1="00007843" w:usb2="00000001" w:usb3="00000000" w:csb0="400001BF" w:csb1="DFF70000"/>
  </w:font>
  <w:font w:name="Songti SC Regular">
    <w:panose1 w:val="02010800040101010101"/>
    <w:charset w:val="86"/>
    <w:family w:val="auto"/>
    <w:pitch w:val="default"/>
    <w:sig w:usb0="00000001" w:usb1="080F0000" w:usb2="00000000" w:usb3="00000000" w:csb0="00040000" w:csb1="00000000"/>
  </w:font>
  <w:font w:name="Arial Regular">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sdt>
      <w:sdtPr>
        <w:id w:val="1691110303"/>
        <w:docPartObj>
          <w:docPartGallery w:val="autotext"/>
        </w:docPartObj>
      </w:sdtPr>
      <w:sdtContent>
        <w:r>
          <w:t>E</w:t>
        </w:r>
      </w:sdtContent>
    </w:sdt>
    <w:r>
      <w:t>CDE7018 Proposal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p>
    <w:pPr>
      <w:pStyle w:val="9"/>
      <w:jc w:val="right"/>
    </w:pPr>
    <w:r>
      <w:drawing>
        <wp:anchor distT="0" distB="0" distL="114300" distR="114300" simplePos="0" relativeHeight="251659264" behindDoc="0" locked="0" layoutInCell="1" allowOverlap="1">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r>
      <w:tab/>
    </w:r>
    <w:r>
      <w:t>Assessment Component 1</w:t>
    </w:r>
  </w:p>
  <w:p>
    <w:pPr>
      <w:pStyle w:val="9"/>
    </w:pPr>
  </w:p>
  <w:p>
    <w:pPr>
      <w:pStyle w:val="9"/>
    </w:pPr>
  </w:p>
  <w:p>
    <w:pPr>
      <w:pStyle w:val="9"/>
    </w:pPr>
  </w:p>
  <w:p>
    <w:pPr>
      <w:pStyle w:val="9"/>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77A7AD"/>
    <w:multiLevelType w:val="singleLevel"/>
    <w:tmpl w:val="EF77A7AD"/>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5554"/>
    <w:rsid w:val="001B1EEF"/>
    <w:rsid w:val="001C367F"/>
    <w:rsid w:val="001C6B27"/>
    <w:rsid w:val="001D074C"/>
    <w:rsid w:val="001F47B0"/>
    <w:rsid w:val="001F5E3E"/>
    <w:rsid w:val="002114E6"/>
    <w:rsid w:val="0022098F"/>
    <w:rsid w:val="00221A9E"/>
    <w:rsid w:val="00222D05"/>
    <w:rsid w:val="0022643E"/>
    <w:rsid w:val="002370BA"/>
    <w:rsid w:val="0024548B"/>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19CA"/>
    <w:rsid w:val="00353C75"/>
    <w:rsid w:val="00363F74"/>
    <w:rsid w:val="00370831"/>
    <w:rsid w:val="00376A02"/>
    <w:rsid w:val="00391D2C"/>
    <w:rsid w:val="003A11E9"/>
    <w:rsid w:val="003A748D"/>
    <w:rsid w:val="003B4AF0"/>
    <w:rsid w:val="003C062E"/>
    <w:rsid w:val="003C5892"/>
    <w:rsid w:val="003C7969"/>
    <w:rsid w:val="003D62AF"/>
    <w:rsid w:val="003D7CD9"/>
    <w:rsid w:val="003E5663"/>
    <w:rsid w:val="003E7D6B"/>
    <w:rsid w:val="003F068E"/>
    <w:rsid w:val="003F4C86"/>
    <w:rsid w:val="003F7948"/>
    <w:rsid w:val="003F7D77"/>
    <w:rsid w:val="00404C72"/>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5A06"/>
    <w:rsid w:val="00512288"/>
    <w:rsid w:val="005140FB"/>
    <w:rsid w:val="00516A38"/>
    <w:rsid w:val="005302A6"/>
    <w:rsid w:val="005363FE"/>
    <w:rsid w:val="005419D3"/>
    <w:rsid w:val="00541CFE"/>
    <w:rsid w:val="00542F6F"/>
    <w:rsid w:val="005513E3"/>
    <w:rsid w:val="0055230D"/>
    <w:rsid w:val="00555319"/>
    <w:rsid w:val="00556BFF"/>
    <w:rsid w:val="00557BD7"/>
    <w:rsid w:val="005608A4"/>
    <w:rsid w:val="005831C1"/>
    <w:rsid w:val="00595F5B"/>
    <w:rsid w:val="00595FC4"/>
    <w:rsid w:val="005A6F56"/>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4556F"/>
    <w:rsid w:val="00654638"/>
    <w:rsid w:val="00654D91"/>
    <w:rsid w:val="006551B2"/>
    <w:rsid w:val="00660727"/>
    <w:rsid w:val="006731F3"/>
    <w:rsid w:val="00677F77"/>
    <w:rsid w:val="00682636"/>
    <w:rsid w:val="0069594C"/>
    <w:rsid w:val="006B0899"/>
    <w:rsid w:val="006B20A7"/>
    <w:rsid w:val="006B582D"/>
    <w:rsid w:val="006C0F0D"/>
    <w:rsid w:val="006C170C"/>
    <w:rsid w:val="006C40EC"/>
    <w:rsid w:val="006C45FB"/>
    <w:rsid w:val="006D04D5"/>
    <w:rsid w:val="006D05CF"/>
    <w:rsid w:val="006D4C27"/>
    <w:rsid w:val="006D503F"/>
    <w:rsid w:val="006D7C2A"/>
    <w:rsid w:val="006F1BDC"/>
    <w:rsid w:val="006F4865"/>
    <w:rsid w:val="00702A7E"/>
    <w:rsid w:val="00703A24"/>
    <w:rsid w:val="00707BDE"/>
    <w:rsid w:val="0071332A"/>
    <w:rsid w:val="00717DFA"/>
    <w:rsid w:val="00753EDE"/>
    <w:rsid w:val="00763457"/>
    <w:rsid w:val="00795C79"/>
    <w:rsid w:val="007A0692"/>
    <w:rsid w:val="007A3641"/>
    <w:rsid w:val="007C2004"/>
    <w:rsid w:val="007C2A63"/>
    <w:rsid w:val="007C512A"/>
    <w:rsid w:val="007C755A"/>
    <w:rsid w:val="007E550E"/>
    <w:rsid w:val="007F6FC1"/>
    <w:rsid w:val="00802E0D"/>
    <w:rsid w:val="00816ED8"/>
    <w:rsid w:val="00820E04"/>
    <w:rsid w:val="00825E70"/>
    <w:rsid w:val="0083144B"/>
    <w:rsid w:val="00831EF8"/>
    <w:rsid w:val="00832FEA"/>
    <w:rsid w:val="00836FA9"/>
    <w:rsid w:val="008422EE"/>
    <w:rsid w:val="00855925"/>
    <w:rsid w:val="008571F8"/>
    <w:rsid w:val="00877A6B"/>
    <w:rsid w:val="008812C3"/>
    <w:rsid w:val="008859B3"/>
    <w:rsid w:val="0088683F"/>
    <w:rsid w:val="008876C0"/>
    <w:rsid w:val="008944DE"/>
    <w:rsid w:val="00896244"/>
    <w:rsid w:val="008A397A"/>
    <w:rsid w:val="008B15C8"/>
    <w:rsid w:val="008C0ACE"/>
    <w:rsid w:val="008C1EE6"/>
    <w:rsid w:val="008D129A"/>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63EBE"/>
    <w:rsid w:val="009803A2"/>
    <w:rsid w:val="009905BC"/>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408B"/>
    <w:rsid w:val="00B40C3F"/>
    <w:rsid w:val="00B65D5E"/>
    <w:rsid w:val="00B70B7E"/>
    <w:rsid w:val="00B718D3"/>
    <w:rsid w:val="00B84A54"/>
    <w:rsid w:val="00B8515A"/>
    <w:rsid w:val="00B95514"/>
    <w:rsid w:val="00BA3707"/>
    <w:rsid w:val="00BB2F10"/>
    <w:rsid w:val="00BD2727"/>
    <w:rsid w:val="00BD589F"/>
    <w:rsid w:val="00BD7EF3"/>
    <w:rsid w:val="00BE24D4"/>
    <w:rsid w:val="00BF0916"/>
    <w:rsid w:val="00C037ED"/>
    <w:rsid w:val="00C056C2"/>
    <w:rsid w:val="00C14717"/>
    <w:rsid w:val="00C20E5F"/>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D01434"/>
    <w:rsid w:val="00D03BB7"/>
    <w:rsid w:val="00D122D0"/>
    <w:rsid w:val="00D215F0"/>
    <w:rsid w:val="00D25A52"/>
    <w:rsid w:val="00D46D22"/>
    <w:rsid w:val="00D56242"/>
    <w:rsid w:val="00D60565"/>
    <w:rsid w:val="00D62737"/>
    <w:rsid w:val="00D63189"/>
    <w:rsid w:val="00D70714"/>
    <w:rsid w:val="00D732FC"/>
    <w:rsid w:val="00D81082"/>
    <w:rsid w:val="00D83BB1"/>
    <w:rsid w:val="00DB03EA"/>
    <w:rsid w:val="00DB3960"/>
    <w:rsid w:val="00DC2AE7"/>
    <w:rsid w:val="00DD1E66"/>
    <w:rsid w:val="00DE3885"/>
    <w:rsid w:val="00DE54F9"/>
    <w:rsid w:val="00DF2827"/>
    <w:rsid w:val="00DF3FF2"/>
    <w:rsid w:val="00DF7459"/>
    <w:rsid w:val="00E03A7C"/>
    <w:rsid w:val="00E127C8"/>
    <w:rsid w:val="00E17B09"/>
    <w:rsid w:val="00E26E40"/>
    <w:rsid w:val="00E60894"/>
    <w:rsid w:val="00E76DFC"/>
    <w:rsid w:val="00E800B4"/>
    <w:rsid w:val="00E8752A"/>
    <w:rsid w:val="00E90E39"/>
    <w:rsid w:val="00E90FFB"/>
    <w:rsid w:val="00EA4DDB"/>
    <w:rsid w:val="00EB29E8"/>
    <w:rsid w:val="00EC2239"/>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C1870"/>
    <w:rsid w:val="00FD60D8"/>
    <w:rsid w:val="00FD70D5"/>
    <w:rsid w:val="00FE3258"/>
    <w:rsid w:val="00FF5FBE"/>
    <w:rsid w:val="FBDBA32C"/>
    <w:rsid w:val="FF7D68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4"/>
    <w:semiHidden/>
    <w:unhideWhenUsed/>
    <w:qFormat/>
    <w:uiPriority w:val="99"/>
    <w:rPr>
      <w:lang w:val="zh-CN" w:eastAsia="zh-CN"/>
    </w:rPr>
  </w:style>
  <w:style w:type="paragraph" w:styleId="5">
    <w:name w:val="Body Text"/>
    <w:basedOn w:val="1"/>
    <w:qFormat/>
    <w:uiPriority w:val="0"/>
    <w:pPr>
      <w:jc w:val="both"/>
    </w:pPr>
    <w:rPr>
      <w:b/>
    </w:rPr>
  </w:style>
  <w:style w:type="paragraph" w:styleId="6">
    <w:name w:val="Block Text"/>
    <w:basedOn w:val="1"/>
    <w:qFormat/>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qFormat/>
    <w:uiPriority w:val="0"/>
    <w:rPr>
      <w:rFonts w:ascii="Tahoma" w:hAnsi="Tahoma" w:cs="Tahoma"/>
      <w:sz w:val="16"/>
      <w:szCs w:val="16"/>
    </w:rPr>
  </w:style>
  <w:style w:type="paragraph" w:styleId="8">
    <w:name w:val="footer"/>
    <w:basedOn w:val="1"/>
    <w:link w:val="26"/>
    <w:qFormat/>
    <w:uiPriority w:val="99"/>
    <w:pPr>
      <w:tabs>
        <w:tab w:val="center" w:pos="4320"/>
        <w:tab w:val="right" w:pos="8640"/>
      </w:tabs>
    </w:pPr>
  </w:style>
  <w:style w:type="paragraph" w:styleId="9">
    <w:name w:val="header"/>
    <w:basedOn w:val="1"/>
    <w:qFormat/>
    <w:uiPriority w:val="0"/>
    <w:pPr>
      <w:tabs>
        <w:tab w:val="center" w:pos="4320"/>
        <w:tab w:val="right" w:pos="8640"/>
      </w:tabs>
    </w:pPr>
  </w:style>
  <w:style w:type="paragraph" w:styleId="10">
    <w:name w:val="footnote text"/>
    <w:basedOn w:val="1"/>
    <w:semiHidden/>
    <w:qFormat/>
    <w:uiPriority w:val="0"/>
  </w:style>
  <w:style w:type="paragraph" w:styleId="11">
    <w:name w:val="Normal (Web)"/>
    <w:basedOn w:val="1"/>
    <w:semiHidden/>
    <w:unhideWhenUsed/>
    <w:qFormat/>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5"/>
    <w:semiHidden/>
    <w:unhideWhenUsed/>
    <w:qFormat/>
    <w:uiPriority w:val="99"/>
    <w:rPr>
      <w:b/>
      <w:bCs/>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qFormat/>
    <w:uiPriority w:val="0"/>
    <w:rPr>
      <w:color w:val="800080"/>
      <w:u w:val="single"/>
    </w:rPr>
  </w:style>
  <w:style w:type="character" w:styleId="18">
    <w:name w:val="Emphasis"/>
    <w:basedOn w:val="15"/>
    <w:qFormat/>
    <w:uiPriority w:val="20"/>
    <w:rPr>
      <w:i/>
    </w:rPr>
  </w:style>
  <w:style w:type="character" w:styleId="19">
    <w:name w:val="Hyperlink"/>
    <w:qFormat/>
    <w:uiPriority w:val="0"/>
    <w:rPr>
      <w:color w:val="0000FF"/>
      <w:u w:val="single"/>
    </w:rPr>
  </w:style>
  <w:style w:type="character" w:styleId="20">
    <w:name w:val="annotation reference"/>
    <w:semiHidden/>
    <w:unhideWhenUsed/>
    <w:qFormat/>
    <w:uiPriority w:val="99"/>
    <w:rPr>
      <w:sz w:val="16"/>
      <w:szCs w:val="16"/>
    </w:rPr>
  </w:style>
  <w:style w:type="character" w:styleId="21">
    <w:name w:val="footnote reference"/>
    <w:semiHidden/>
    <w:qFormat/>
    <w:uiPriority w:val="0"/>
    <w:rPr>
      <w:vertAlign w:val="superscript"/>
    </w:rPr>
  </w:style>
  <w:style w:type="paragraph" w:customStyle="1" w:styleId="22">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3">
    <w:name w:val="Medium List 2 - Accent 21"/>
    <w:hidden/>
    <w:semiHidden/>
    <w:qFormat/>
    <w:uiPriority w:val="99"/>
    <w:rPr>
      <w:rFonts w:ascii="Arial" w:hAnsi="Arial" w:eastAsia="Times New Roman" w:cs="Times New Roman"/>
      <w:lang w:val="en-GB" w:eastAsia="en-GB" w:bidi="ar-SA"/>
    </w:rPr>
  </w:style>
  <w:style w:type="character" w:customStyle="1" w:styleId="24">
    <w:name w:val="Comment Text Char"/>
    <w:link w:val="4"/>
    <w:semiHidden/>
    <w:qFormat/>
    <w:uiPriority w:val="99"/>
    <w:rPr>
      <w:rFonts w:ascii="Arial" w:hAnsi="Arial"/>
    </w:rPr>
  </w:style>
  <w:style w:type="character" w:customStyle="1" w:styleId="25">
    <w:name w:val="Comment Subject Char"/>
    <w:link w:val="12"/>
    <w:semiHidden/>
    <w:qFormat/>
    <w:uiPriority w:val="99"/>
    <w:rPr>
      <w:rFonts w:ascii="Arial" w:hAnsi="Arial"/>
      <w:b/>
      <w:bCs/>
    </w:rPr>
  </w:style>
  <w:style w:type="character" w:customStyle="1" w:styleId="26">
    <w:name w:val="Footer Char"/>
    <w:link w:val="8"/>
    <w:qFormat/>
    <w:uiPriority w:val="99"/>
    <w:rPr>
      <w:rFonts w:ascii="Arial" w:hAnsi="Arial"/>
    </w:rPr>
  </w:style>
  <w:style w:type="paragraph" w:styleId="27">
    <w:name w:val="List Paragraph"/>
    <w:basedOn w:val="1"/>
    <w:qFormat/>
    <w:uiPriority w:val="99"/>
    <w:pPr>
      <w:ind w:left="720"/>
    </w:pPr>
  </w:style>
  <w:style w:type="paragraph" w:customStyle="1" w:styleId="28">
    <w:name w:val="Revision"/>
    <w:hidden/>
    <w:semiHidden/>
    <w:qFormat/>
    <w:uiPriority w:val="99"/>
    <w:rPr>
      <w:rFonts w:ascii="Arial" w:hAnsi="Arial" w:eastAsia="Times New Roman" w:cs="Times New Roman"/>
      <w:lang w:val="en-GB" w:eastAsia="en-GB" w:bidi="ar-SA"/>
    </w:rPr>
  </w:style>
  <w:style w:type="paragraph" w:styleId="29">
    <w:name w:val="No Spacing"/>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30">
    <w:name w:val="Unresolved Mention1"/>
    <w:basedOn w:val="15"/>
    <w:semiHidden/>
    <w:unhideWhenUsed/>
    <w:qFormat/>
    <w:uiPriority w:val="99"/>
    <w:rPr>
      <w:color w:val="605E5C"/>
      <w:shd w:val="clear" w:color="auto" w:fill="E1DFDD"/>
    </w:rPr>
  </w:style>
  <w:style w:type="character" w:customStyle="1" w:styleId="31">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UWTSD</Company>
  <Pages>1</Pages>
  <Words>97</Words>
  <Characters>554</Characters>
  <Lines>1</Lines>
  <Paragraphs>1</Paragraphs>
  <TotalTime>14</TotalTime>
  <ScaleCrop>false</ScaleCrop>
  <LinksUpToDate>false</LinksUpToDate>
  <CharactersWithSpaces>650</CharactersWithSpaces>
  <Application>WPS Office_6.5.1.8687_F1E327BC-269C-435d-A152-05C5408002CA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2024-10-29T16:04:00Z</dcterms:created>
  <dc:creator>Academic Office</dc:creator>
  <cp:lastModifiedBy>黄梦莹</cp:lastModifiedBy>
  <cp:lastPrinted>2016-11-02T17:01:00Z</cp:lastPrinted>
  <dcterms:modified xsi:type="dcterms:W3CDTF">2024-11-06T04:53:46Z</dcterms:modified>
  <dc:title>PG1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y fmtid="{D5CDD505-2E9C-101B-9397-08002B2CF9AE}" pid="7" name="KSOProductBuildVer">
    <vt:lpwstr>2052-6.5.1.8687</vt:lpwstr>
  </property>
  <property fmtid="{D5CDD505-2E9C-101B-9397-08002B2CF9AE}" pid="8" name="ICV">
    <vt:lpwstr>4180178F7053832A5AEE2867CA36D2AC_42</vt:lpwstr>
  </property>
</Properties>
</file>