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68"/>
        <w:gridCol w:w="1310"/>
        <w:gridCol w:w="5148"/>
      </w:tblGrid>
      <w:tr w:rsidR="00CF659C" w:rsidRPr="00CF659C" w14:paraId="5BF40F8C" w14:textId="77777777" w:rsidTr="00CF659C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616A384" w14:textId="77777777" w:rsidR="00CF659C" w:rsidRPr="00CF659C" w:rsidRDefault="00CF659C" w:rsidP="00CF659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Research Topic</w:t>
            </w:r>
          </w:p>
        </w:tc>
        <w:tc>
          <w:tcPr>
            <w:tcW w:w="0" w:type="auto"/>
            <w:vAlign w:val="center"/>
            <w:hideMark/>
          </w:tcPr>
          <w:p w14:paraId="4D8BC409" w14:textId="77777777" w:rsidR="00CF659C" w:rsidRPr="00CF659C" w:rsidRDefault="00CF659C" w:rsidP="00CF659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Paradigm</w:t>
            </w:r>
          </w:p>
        </w:tc>
        <w:tc>
          <w:tcPr>
            <w:tcW w:w="0" w:type="auto"/>
            <w:vAlign w:val="center"/>
            <w:hideMark/>
          </w:tcPr>
          <w:p w14:paraId="05EC793F" w14:textId="77777777" w:rsidR="00CF659C" w:rsidRPr="00CF659C" w:rsidRDefault="00CF659C" w:rsidP="00CF659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14:ligatures w14:val="none"/>
              </w:rPr>
              <w:t>Justification</w:t>
            </w:r>
          </w:p>
        </w:tc>
      </w:tr>
      <w:tr w:rsidR="00CF659C" w:rsidRPr="00CF659C" w14:paraId="16A3394A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D054766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1. Digital Marketing &amp; Consumer Behaviour</w:t>
            </w:r>
          </w:p>
        </w:tc>
        <w:tc>
          <w:tcPr>
            <w:tcW w:w="0" w:type="auto"/>
            <w:vAlign w:val="center"/>
            <w:hideMark/>
          </w:tcPr>
          <w:p w14:paraId="0E90F038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Positivist</w:t>
            </w:r>
          </w:p>
        </w:tc>
        <w:tc>
          <w:tcPr>
            <w:tcW w:w="0" w:type="auto"/>
            <w:vAlign w:val="center"/>
            <w:hideMark/>
          </w:tcPr>
          <w:p w14:paraId="695C57DA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Suitable for measuring relationships between personalisation features and consumer trust/purchase intent through quantifiable data</w:t>
            </w:r>
          </w:p>
        </w:tc>
      </w:tr>
      <w:tr w:rsidR="00CF659C" w:rsidRPr="00CF659C" w14:paraId="54C09865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ED97F5D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48F7BE18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Postpositivist</w:t>
            </w:r>
          </w:p>
        </w:tc>
        <w:tc>
          <w:tcPr>
            <w:tcW w:w="0" w:type="auto"/>
            <w:vAlign w:val="center"/>
            <w:hideMark/>
          </w:tcPr>
          <w:p w14:paraId="6344781B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Acknowledges the need to understand context while maintaining objective measurements of consumer behaviour</w:t>
            </w:r>
          </w:p>
        </w:tc>
      </w:tr>
      <w:tr w:rsidR="00CF659C" w:rsidRPr="00CF659C" w14:paraId="1A1AC3B2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A34CCE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2. Sustainable Tourism Management</w:t>
            </w:r>
          </w:p>
        </w:tc>
        <w:tc>
          <w:tcPr>
            <w:tcW w:w="0" w:type="auto"/>
            <w:vAlign w:val="center"/>
            <w:hideMark/>
          </w:tcPr>
          <w:p w14:paraId="42C66D2D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Interpretivist</w:t>
            </w:r>
          </w:p>
        </w:tc>
        <w:tc>
          <w:tcPr>
            <w:tcW w:w="0" w:type="auto"/>
            <w:vAlign w:val="center"/>
            <w:hideMark/>
          </w:tcPr>
          <w:p w14:paraId="51573861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Needed to understand diverse stakeholder perspectives and experiences</w:t>
            </w:r>
          </w:p>
        </w:tc>
      </w:tr>
      <w:tr w:rsidR="00CF659C" w:rsidRPr="00CF659C" w14:paraId="782CD575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FD25111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127CC502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Pragmatism</w:t>
            </w:r>
          </w:p>
        </w:tc>
        <w:tc>
          <w:tcPr>
            <w:tcW w:w="0" w:type="auto"/>
            <w:vAlign w:val="center"/>
            <w:hideMark/>
          </w:tcPr>
          <w:p w14:paraId="579E8A4F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Suitable for examining practical solutions and outcomes in a real-world context</w:t>
            </w:r>
          </w:p>
        </w:tc>
      </w:tr>
      <w:tr w:rsidR="00CF659C" w:rsidRPr="00CF659C" w14:paraId="3CABD084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B05E4C2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3. Strategic Management (Digital Transformation)</w:t>
            </w:r>
          </w:p>
        </w:tc>
        <w:tc>
          <w:tcPr>
            <w:tcW w:w="0" w:type="auto"/>
            <w:vAlign w:val="center"/>
            <w:hideMark/>
          </w:tcPr>
          <w:p w14:paraId="5C25DF09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Pragmatism</w:t>
            </w:r>
          </w:p>
        </w:tc>
        <w:tc>
          <w:tcPr>
            <w:tcW w:w="0" w:type="auto"/>
            <w:vAlign w:val="center"/>
            <w:hideMark/>
          </w:tcPr>
          <w:p w14:paraId="33EA4026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Focuses on practical implementation and outcomes</w:t>
            </w:r>
          </w:p>
        </w:tc>
      </w:tr>
      <w:tr w:rsidR="00CF659C" w:rsidRPr="00CF659C" w14:paraId="357BA277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66B2235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70C2551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28007B01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Examines power dynamics and organizational change</w:t>
            </w:r>
          </w:p>
        </w:tc>
      </w:tr>
      <w:tr w:rsidR="00CF659C" w:rsidRPr="00CF659C" w14:paraId="077D3F6D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314858C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25542F4B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Constructivist</w:t>
            </w:r>
          </w:p>
        </w:tc>
        <w:tc>
          <w:tcPr>
            <w:tcW w:w="0" w:type="auto"/>
            <w:vAlign w:val="center"/>
            <w:hideMark/>
          </w:tcPr>
          <w:p w14:paraId="29A70526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Helps understand how different stakeholders make sense of digital transformation</w:t>
            </w:r>
          </w:p>
        </w:tc>
      </w:tr>
      <w:tr w:rsidR="00CF659C" w:rsidRPr="00CF659C" w14:paraId="740E1A5D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F6EA0C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4. Organisational Leadership</w:t>
            </w:r>
          </w:p>
        </w:tc>
        <w:tc>
          <w:tcPr>
            <w:tcW w:w="0" w:type="auto"/>
            <w:vAlign w:val="center"/>
            <w:hideMark/>
          </w:tcPr>
          <w:p w14:paraId="1D7DCA12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Interpretivist</w:t>
            </w:r>
          </w:p>
        </w:tc>
        <w:tc>
          <w:tcPr>
            <w:tcW w:w="0" w:type="auto"/>
            <w:vAlign w:val="center"/>
            <w:hideMark/>
          </w:tcPr>
          <w:p w14:paraId="7DBDC3D1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Essential for understanding managers' experiences and adaptations</w:t>
            </w:r>
          </w:p>
        </w:tc>
      </w:tr>
      <w:tr w:rsidR="00CF659C" w:rsidRPr="00CF659C" w14:paraId="3A29783E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C166249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61C57823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Constructivist</w:t>
            </w:r>
          </w:p>
        </w:tc>
        <w:tc>
          <w:tcPr>
            <w:tcW w:w="0" w:type="auto"/>
            <w:vAlign w:val="center"/>
            <w:hideMark/>
          </w:tcPr>
          <w:p w14:paraId="6F9ECCF3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Helps examine how leadership practices are socially constructed in hybrid environments</w:t>
            </w:r>
          </w:p>
        </w:tc>
      </w:tr>
      <w:tr w:rsidR="00CF659C" w:rsidRPr="00CF659C" w14:paraId="7E230E35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3F6C700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5. Business Ethics</w:t>
            </w:r>
          </w:p>
        </w:tc>
        <w:tc>
          <w:tcPr>
            <w:tcW w:w="0" w:type="auto"/>
            <w:vAlign w:val="center"/>
            <w:hideMark/>
          </w:tcPr>
          <w:p w14:paraId="0D3D3B19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0110D75F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Examines the gap between claims and actions, addressing power dynamics</w:t>
            </w:r>
          </w:p>
        </w:tc>
      </w:tr>
      <w:tr w:rsidR="00CF659C" w:rsidRPr="00CF659C" w14:paraId="2C225C2B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E4F806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680BCB6E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Positivist</w:t>
            </w:r>
          </w:p>
        </w:tc>
        <w:tc>
          <w:tcPr>
            <w:tcW w:w="0" w:type="auto"/>
            <w:vAlign w:val="center"/>
            <w:hideMark/>
          </w:tcPr>
          <w:p w14:paraId="27881F38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Suitable for measuring and comparing environmental commitments versus actions</w:t>
            </w:r>
          </w:p>
        </w:tc>
      </w:tr>
      <w:tr w:rsidR="00CF659C" w:rsidRPr="00CF659C" w14:paraId="657A16EF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D36B9A2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6. Supply Chain Management</w:t>
            </w:r>
          </w:p>
        </w:tc>
        <w:tc>
          <w:tcPr>
            <w:tcW w:w="0" w:type="auto"/>
            <w:vAlign w:val="center"/>
            <w:hideMark/>
          </w:tcPr>
          <w:p w14:paraId="777C57C9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Pragmatism</w:t>
            </w:r>
          </w:p>
        </w:tc>
        <w:tc>
          <w:tcPr>
            <w:tcW w:w="0" w:type="auto"/>
            <w:vAlign w:val="center"/>
            <w:hideMark/>
          </w:tcPr>
          <w:p w14:paraId="7840B559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Focuses on practical implementation and outcomes</w:t>
            </w:r>
          </w:p>
        </w:tc>
      </w:tr>
      <w:tr w:rsidR="00CF659C" w:rsidRPr="00CF659C" w14:paraId="745F39DE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7CEB58E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017BD2F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Positivist</w:t>
            </w:r>
          </w:p>
        </w:tc>
        <w:tc>
          <w:tcPr>
            <w:tcW w:w="0" w:type="auto"/>
            <w:vAlign w:val="center"/>
            <w:hideMark/>
          </w:tcPr>
          <w:p w14:paraId="59C1A18B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Suitable for measuring effectiveness and impact</w:t>
            </w:r>
          </w:p>
        </w:tc>
      </w:tr>
      <w:tr w:rsidR="00CF659C" w:rsidRPr="00CF659C" w14:paraId="18197F7F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43BFAD4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7. Organisational Behaviour</w:t>
            </w:r>
          </w:p>
        </w:tc>
        <w:tc>
          <w:tcPr>
            <w:tcW w:w="0" w:type="auto"/>
            <w:vAlign w:val="center"/>
            <w:hideMark/>
          </w:tcPr>
          <w:p w14:paraId="0C125030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Interpretivist</w:t>
            </w:r>
          </w:p>
        </w:tc>
        <w:tc>
          <w:tcPr>
            <w:tcW w:w="0" w:type="auto"/>
            <w:vAlign w:val="center"/>
            <w:hideMark/>
          </w:tcPr>
          <w:p w14:paraId="359B0B9E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Essential for understanding lived experiences</w:t>
            </w:r>
          </w:p>
        </w:tc>
      </w:tr>
      <w:tr w:rsidR="00CF659C" w:rsidRPr="00CF659C" w14:paraId="5BC1BA4A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53CEF79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2DBBC19C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16FF508C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Examines power structures and barriers to inclusion</w:t>
            </w:r>
          </w:p>
        </w:tc>
      </w:tr>
      <w:tr w:rsidR="00CF659C" w:rsidRPr="00CF659C" w14:paraId="1CE7DEFC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21481E6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8. Innovation Management</w:t>
            </w:r>
          </w:p>
        </w:tc>
        <w:tc>
          <w:tcPr>
            <w:tcW w:w="0" w:type="auto"/>
            <w:vAlign w:val="center"/>
            <w:hideMark/>
          </w:tcPr>
          <w:p w14:paraId="57C8264D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Constructivist</w:t>
            </w:r>
          </w:p>
        </w:tc>
        <w:tc>
          <w:tcPr>
            <w:tcW w:w="0" w:type="auto"/>
            <w:vAlign w:val="center"/>
            <w:hideMark/>
          </w:tcPr>
          <w:p w14:paraId="34723855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Helps understand how knowledge transfer is socially constructed</w:t>
            </w:r>
          </w:p>
        </w:tc>
      </w:tr>
      <w:tr w:rsidR="00CF659C" w:rsidRPr="00CF659C" w14:paraId="0DC98F6F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6235AE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00B1F64F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Interpretivist</w:t>
            </w:r>
          </w:p>
        </w:tc>
        <w:tc>
          <w:tcPr>
            <w:tcW w:w="0" w:type="auto"/>
            <w:vAlign w:val="center"/>
            <w:hideMark/>
          </w:tcPr>
          <w:p w14:paraId="4642DA9D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Essential for understanding family dynamics and generational perspectives</w:t>
            </w:r>
          </w:p>
        </w:tc>
      </w:tr>
      <w:tr w:rsidR="00CF659C" w:rsidRPr="00CF659C" w14:paraId="0FB293A0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8903E77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9. Corporate Governance</w:t>
            </w:r>
          </w:p>
        </w:tc>
        <w:tc>
          <w:tcPr>
            <w:tcW w:w="0" w:type="auto"/>
            <w:vAlign w:val="center"/>
            <w:hideMark/>
          </w:tcPr>
          <w:p w14:paraId="20B903FE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Positivist</w:t>
            </w:r>
          </w:p>
        </w:tc>
        <w:tc>
          <w:tcPr>
            <w:tcW w:w="0" w:type="auto"/>
            <w:vAlign w:val="center"/>
            <w:hideMark/>
          </w:tcPr>
          <w:p w14:paraId="74DAF9EB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Suitable for examining relationships between board composition and disclosure quality</w:t>
            </w:r>
          </w:p>
        </w:tc>
      </w:tr>
      <w:tr w:rsidR="00CF659C" w:rsidRPr="00CF659C" w14:paraId="5FE2D23D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D6204A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41A19571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6EEEF2BB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Examines power structures and governance effectiveness</w:t>
            </w:r>
          </w:p>
        </w:tc>
      </w:tr>
      <w:tr w:rsidR="00CF659C" w:rsidRPr="00CF659C" w14:paraId="4068C40B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A853FE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10. Hospitality Management</w:t>
            </w:r>
          </w:p>
        </w:tc>
        <w:tc>
          <w:tcPr>
            <w:tcW w:w="0" w:type="auto"/>
            <w:vAlign w:val="center"/>
            <w:hideMark/>
          </w:tcPr>
          <w:p w14:paraId="23AAE4FB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Pragmatism</w:t>
            </w:r>
          </w:p>
        </w:tc>
        <w:tc>
          <w:tcPr>
            <w:tcW w:w="0" w:type="auto"/>
            <w:vAlign w:val="center"/>
            <w:hideMark/>
          </w:tcPr>
          <w:p w14:paraId="6E1F4361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Focuses on practical service innovation solutions</w:t>
            </w:r>
          </w:p>
        </w:tc>
      </w:tr>
      <w:tr w:rsidR="00CF659C" w:rsidRPr="00CF659C" w14:paraId="76C22919" w14:textId="77777777" w:rsidTr="00CF659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E35B1BE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3CF06E09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Interpretivist</w:t>
            </w:r>
          </w:p>
        </w:tc>
        <w:tc>
          <w:tcPr>
            <w:tcW w:w="0" w:type="auto"/>
            <w:vAlign w:val="center"/>
            <w:hideMark/>
          </w:tcPr>
          <w:p w14:paraId="6EBA28F5" w14:textId="77777777" w:rsidR="00CF659C" w:rsidRPr="00CF659C" w:rsidRDefault="00CF659C" w:rsidP="00CF659C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CF659C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Helps understand guest experiences and perspectives</w:t>
            </w:r>
          </w:p>
        </w:tc>
      </w:tr>
    </w:tbl>
    <w:p w14:paraId="584D6326" w14:textId="77777777" w:rsidR="00447586" w:rsidRPr="00CF659C" w:rsidRDefault="00447586">
      <w:pPr>
        <w:rPr>
          <w:rFonts w:ascii="Calibri" w:hAnsi="Calibri" w:cs="Calibri"/>
          <w:sz w:val="22"/>
          <w:szCs w:val="22"/>
        </w:rPr>
      </w:pPr>
    </w:p>
    <w:sectPr w:rsidR="00447586" w:rsidRPr="00CF65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59C"/>
    <w:rsid w:val="00447586"/>
    <w:rsid w:val="005F3F8D"/>
    <w:rsid w:val="00CF65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53AC1"/>
  <w15:chartTrackingRefBased/>
  <w15:docId w15:val="{F7B620C4-83D5-4AED-BDFB-A6F5B2F3D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65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65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65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65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65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65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65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65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65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65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65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65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65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65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65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65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65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65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65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65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65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65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65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65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65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65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65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65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659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0803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314</Words>
  <Characters>1795</Characters>
  <Application>Microsoft Office Word</Application>
  <DocSecurity>0</DocSecurity>
  <Lines>14</Lines>
  <Paragraphs>4</Paragraphs>
  <ScaleCrop>false</ScaleCrop>
  <Company/>
  <LinksUpToDate>false</LinksUpToDate>
  <CharactersWithSpaces>2105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2025-01-19T12:40:00Z</dcterms:created>
  <dcterms:modified xsi:type="dcterms:W3CDTF">2025-01-19T12:42:00Z</dcterms:modified>
</cp:coreProperties>
</file>