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BDD63" w14:textId="172C9E11" w:rsidR="00D55068" w:rsidRPr="00434728" w:rsidRDefault="000145A9" w:rsidP="00F56EA7">
      <w:pPr>
        <w:rPr>
          <w:rFonts w:ascii="Arial" w:hAnsi="Arial" w:cs="Arial"/>
          <w:sz w:val="40"/>
          <w:szCs w:val="40"/>
        </w:rPr>
      </w:pPr>
      <w:r w:rsidRPr="00F56EA7">
        <w:rPr>
          <w:rFonts w:ascii="Arial" w:hAnsi="Arial" w:cs="Arial"/>
          <w:b/>
          <w:bCs/>
          <w:sz w:val="40"/>
          <w:szCs w:val="40"/>
        </w:rPr>
        <w:t>Module Name:</w:t>
      </w:r>
      <w:r w:rsidRPr="00434728">
        <w:rPr>
          <w:rFonts w:ascii="Arial" w:hAnsi="Arial" w:cs="Arial"/>
          <w:sz w:val="40"/>
          <w:szCs w:val="40"/>
        </w:rPr>
        <w:t xml:space="preserve"> </w:t>
      </w:r>
      <w:r w:rsidR="00507B57" w:rsidRPr="00434728">
        <w:rPr>
          <w:rFonts w:ascii="Arial" w:hAnsi="Arial" w:cs="Arial"/>
          <w:sz w:val="40"/>
          <w:szCs w:val="40"/>
        </w:rPr>
        <w:t xml:space="preserve">Understanding and Engaging </w:t>
      </w:r>
      <w:r w:rsidR="00022373" w:rsidRPr="00434728">
        <w:rPr>
          <w:rFonts w:ascii="Arial" w:hAnsi="Arial" w:cs="Arial"/>
          <w:sz w:val="40"/>
          <w:szCs w:val="40"/>
        </w:rPr>
        <w:t>Stakeholders</w:t>
      </w:r>
    </w:p>
    <w:p w14:paraId="37646D17" w14:textId="6F7FEF24" w:rsidR="00FC2706" w:rsidRPr="00434728" w:rsidRDefault="00FC2706" w:rsidP="00F56EA7">
      <w:pPr>
        <w:rPr>
          <w:rFonts w:ascii="Arial" w:hAnsi="Arial" w:cs="Arial"/>
          <w:sz w:val="40"/>
          <w:szCs w:val="40"/>
        </w:rPr>
      </w:pPr>
      <w:r w:rsidRPr="00F56EA7">
        <w:rPr>
          <w:rFonts w:ascii="Arial" w:hAnsi="Arial" w:cs="Arial"/>
          <w:b/>
          <w:bCs/>
          <w:sz w:val="40"/>
          <w:szCs w:val="40"/>
        </w:rPr>
        <w:t>Module Code:</w:t>
      </w:r>
      <w:r w:rsidRPr="00434728">
        <w:rPr>
          <w:rFonts w:ascii="Arial" w:hAnsi="Arial" w:cs="Arial"/>
          <w:sz w:val="40"/>
          <w:szCs w:val="40"/>
        </w:rPr>
        <w:t xml:space="preserve"> </w:t>
      </w:r>
      <w:r w:rsidR="00941E11" w:rsidRPr="00434728">
        <w:rPr>
          <w:rFonts w:ascii="Arial" w:hAnsi="Arial" w:cs="Arial"/>
          <w:sz w:val="40"/>
          <w:szCs w:val="40"/>
        </w:rPr>
        <w:t>LCLM5001</w:t>
      </w:r>
    </w:p>
    <w:p w14:paraId="57B31F80" w14:textId="2EAE1E6B" w:rsidR="00F42BBA" w:rsidRPr="00434728" w:rsidRDefault="00F42BBA" w:rsidP="00F56EA7">
      <w:pPr>
        <w:rPr>
          <w:rFonts w:ascii="Arial" w:hAnsi="Arial" w:cs="Arial"/>
          <w:sz w:val="40"/>
          <w:szCs w:val="40"/>
        </w:rPr>
      </w:pPr>
      <w:r w:rsidRPr="00F56EA7">
        <w:rPr>
          <w:rFonts w:ascii="Arial" w:hAnsi="Arial" w:cs="Arial"/>
          <w:b/>
          <w:bCs/>
          <w:sz w:val="40"/>
          <w:szCs w:val="40"/>
        </w:rPr>
        <w:t>Student name:</w:t>
      </w:r>
      <w:r w:rsidRPr="00434728">
        <w:rPr>
          <w:rFonts w:ascii="Arial" w:hAnsi="Arial" w:cs="Arial"/>
          <w:sz w:val="40"/>
          <w:szCs w:val="40"/>
        </w:rPr>
        <w:t xml:space="preserve"> </w:t>
      </w:r>
      <w:r w:rsidR="006228C2" w:rsidRPr="00434728">
        <w:rPr>
          <w:rFonts w:ascii="Arial" w:hAnsi="Arial" w:cs="Arial"/>
          <w:sz w:val="40"/>
          <w:szCs w:val="40"/>
        </w:rPr>
        <w:t>Daniel Pirjol</w:t>
      </w:r>
    </w:p>
    <w:p w14:paraId="2D784566" w14:textId="151D2C84" w:rsidR="006228C2" w:rsidRPr="00434728" w:rsidRDefault="006228C2" w:rsidP="00F56EA7">
      <w:pPr>
        <w:rPr>
          <w:rFonts w:ascii="Arial" w:hAnsi="Arial" w:cs="Arial"/>
          <w:sz w:val="40"/>
          <w:szCs w:val="40"/>
        </w:rPr>
      </w:pPr>
      <w:r w:rsidRPr="00F56EA7">
        <w:rPr>
          <w:rFonts w:ascii="Arial" w:hAnsi="Arial" w:cs="Arial"/>
          <w:b/>
          <w:bCs/>
          <w:sz w:val="40"/>
          <w:szCs w:val="40"/>
        </w:rPr>
        <w:t>Student ID:</w:t>
      </w:r>
      <w:r w:rsidRPr="00434728">
        <w:rPr>
          <w:rFonts w:ascii="Arial" w:hAnsi="Arial" w:cs="Arial"/>
          <w:sz w:val="40"/>
          <w:szCs w:val="40"/>
        </w:rPr>
        <w:t xml:space="preserve"> </w:t>
      </w:r>
      <w:r w:rsidR="00FF30C4" w:rsidRPr="00434728">
        <w:rPr>
          <w:rFonts w:ascii="Arial" w:hAnsi="Arial" w:cs="Arial"/>
          <w:sz w:val="40"/>
          <w:szCs w:val="40"/>
        </w:rPr>
        <w:t>2332927</w:t>
      </w:r>
    </w:p>
    <w:p w14:paraId="204149CA" w14:textId="1789210E" w:rsidR="00FF30C4" w:rsidRPr="00434728" w:rsidRDefault="00FF30C4" w:rsidP="00F56EA7">
      <w:pPr>
        <w:rPr>
          <w:rFonts w:ascii="Arial" w:hAnsi="Arial" w:cs="Arial"/>
          <w:sz w:val="40"/>
          <w:szCs w:val="40"/>
        </w:rPr>
      </w:pPr>
      <w:r w:rsidRPr="00F56EA7">
        <w:rPr>
          <w:rFonts w:ascii="Arial" w:hAnsi="Arial" w:cs="Arial"/>
          <w:b/>
          <w:bCs/>
          <w:sz w:val="40"/>
          <w:szCs w:val="40"/>
        </w:rPr>
        <w:t>Lecturer:</w:t>
      </w:r>
      <w:r w:rsidRPr="00434728">
        <w:rPr>
          <w:rFonts w:ascii="Arial" w:hAnsi="Arial" w:cs="Arial"/>
          <w:sz w:val="40"/>
          <w:szCs w:val="40"/>
        </w:rPr>
        <w:t xml:space="preserve"> Nadeem Mirza</w:t>
      </w:r>
    </w:p>
    <w:p w14:paraId="146DB609" w14:textId="4BF04CC6" w:rsidR="004E09B0" w:rsidRPr="00434728" w:rsidRDefault="004E09B0" w:rsidP="00F56EA7">
      <w:pPr>
        <w:rPr>
          <w:rFonts w:ascii="Arial" w:hAnsi="Arial" w:cs="Arial"/>
          <w:sz w:val="40"/>
          <w:szCs w:val="40"/>
        </w:rPr>
      </w:pPr>
      <w:r w:rsidRPr="00F56EA7">
        <w:rPr>
          <w:rFonts w:ascii="Arial" w:hAnsi="Arial" w:cs="Arial"/>
          <w:b/>
          <w:bCs/>
          <w:sz w:val="40"/>
          <w:szCs w:val="40"/>
        </w:rPr>
        <w:t>Title:</w:t>
      </w:r>
      <w:r w:rsidRPr="00434728">
        <w:rPr>
          <w:rFonts w:ascii="Arial" w:hAnsi="Arial" w:cs="Arial"/>
          <w:sz w:val="40"/>
          <w:szCs w:val="40"/>
        </w:rPr>
        <w:t xml:space="preserve"> </w:t>
      </w:r>
      <w:r w:rsidR="00E20D6A" w:rsidRPr="00434728">
        <w:rPr>
          <w:rFonts w:ascii="Arial" w:hAnsi="Arial" w:cs="Arial"/>
          <w:sz w:val="40"/>
          <w:szCs w:val="40"/>
        </w:rPr>
        <w:t>Understanding the importance of Stakeholder Engagement in successful commencement and completion of project.</w:t>
      </w:r>
    </w:p>
    <w:p w14:paraId="77ECBF0A" w14:textId="77777777" w:rsidR="00941E11" w:rsidRPr="00434728" w:rsidRDefault="00941E11" w:rsidP="00F56EA7">
      <w:pPr>
        <w:rPr>
          <w:rFonts w:ascii="Arial" w:hAnsi="Arial" w:cs="Arial"/>
          <w:sz w:val="40"/>
          <w:szCs w:val="40"/>
        </w:rPr>
      </w:pPr>
    </w:p>
    <w:p w14:paraId="4BB96733" w14:textId="77777777" w:rsidR="00D55068" w:rsidRPr="00434728" w:rsidRDefault="00D55068" w:rsidP="009F6E03">
      <w:pPr>
        <w:jc w:val="both"/>
        <w:rPr>
          <w:rFonts w:ascii="Arial" w:hAnsi="Arial" w:cs="Arial"/>
          <w:sz w:val="40"/>
          <w:szCs w:val="40"/>
        </w:rPr>
      </w:pPr>
    </w:p>
    <w:p w14:paraId="295F3E06" w14:textId="77777777" w:rsidR="00D55068" w:rsidRDefault="00D55068" w:rsidP="009F7EF1">
      <w:pPr>
        <w:jc w:val="center"/>
        <w:rPr>
          <w:rFonts w:ascii="Arial" w:hAnsi="Arial" w:cs="Arial"/>
          <w:b/>
          <w:bCs/>
          <w:sz w:val="28"/>
          <w:szCs w:val="28"/>
        </w:rPr>
      </w:pPr>
    </w:p>
    <w:p w14:paraId="03EF8F79" w14:textId="51BC2B9D" w:rsidR="00D55068" w:rsidRDefault="00D55068" w:rsidP="009F7EF1">
      <w:pPr>
        <w:jc w:val="center"/>
        <w:rPr>
          <w:rFonts w:ascii="Arial" w:hAnsi="Arial" w:cs="Arial"/>
          <w:b/>
          <w:bCs/>
          <w:sz w:val="28"/>
          <w:szCs w:val="28"/>
        </w:rPr>
      </w:pPr>
    </w:p>
    <w:p w14:paraId="2CB04679" w14:textId="77777777" w:rsidR="00D55068" w:rsidRDefault="00D55068" w:rsidP="009F7EF1">
      <w:pPr>
        <w:jc w:val="center"/>
        <w:rPr>
          <w:rFonts w:ascii="Arial" w:hAnsi="Arial" w:cs="Arial"/>
          <w:b/>
          <w:bCs/>
          <w:sz w:val="28"/>
          <w:szCs w:val="28"/>
        </w:rPr>
      </w:pPr>
    </w:p>
    <w:p w14:paraId="00FA7D59" w14:textId="682334D6" w:rsidR="00D55068" w:rsidRDefault="00D41C25" w:rsidP="009F7EF1">
      <w:pPr>
        <w:jc w:val="center"/>
        <w:rPr>
          <w:rFonts w:ascii="Arial" w:hAnsi="Arial" w:cs="Arial"/>
          <w:b/>
          <w:bCs/>
          <w:sz w:val="28"/>
          <w:szCs w:val="28"/>
        </w:rPr>
      </w:pPr>
      <w:r>
        <w:rPr>
          <w:rFonts w:ascii="Arial" w:hAnsi="Arial" w:cs="Arial"/>
          <w:b/>
          <w:bCs/>
          <w:noProof/>
          <w:sz w:val="28"/>
          <w:szCs w:val="28"/>
        </w:rPr>
        <w:drawing>
          <wp:inline distT="0" distB="0" distL="0" distR="0" wp14:anchorId="29AED6C7" wp14:editId="7CF890C6">
            <wp:extent cx="2273300" cy="962660"/>
            <wp:effectExtent l="0" t="0" r="0" b="8890"/>
            <wp:docPr id="632234208"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234208" name="Picture 1" descr="A close-up of a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343852" cy="992536"/>
                    </a:xfrm>
                    <a:prstGeom prst="rect">
                      <a:avLst/>
                    </a:prstGeom>
                  </pic:spPr>
                </pic:pic>
              </a:graphicData>
            </a:graphic>
          </wp:inline>
        </w:drawing>
      </w:r>
    </w:p>
    <w:p w14:paraId="4750E7D8" w14:textId="77777777" w:rsidR="00D55068" w:rsidRDefault="00D55068" w:rsidP="009F7EF1">
      <w:pPr>
        <w:jc w:val="center"/>
        <w:rPr>
          <w:rFonts w:ascii="Arial" w:hAnsi="Arial" w:cs="Arial"/>
          <w:b/>
          <w:bCs/>
          <w:sz w:val="28"/>
          <w:szCs w:val="28"/>
        </w:rPr>
      </w:pPr>
    </w:p>
    <w:p w14:paraId="42F62EB3" w14:textId="77777777" w:rsidR="00D55068" w:rsidRDefault="00D55068" w:rsidP="009F7EF1">
      <w:pPr>
        <w:jc w:val="center"/>
        <w:rPr>
          <w:rFonts w:ascii="Arial" w:hAnsi="Arial" w:cs="Arial"/>
          <w:b/>
          <w:bCs/>
          <w:sz w:val="28"/>
          <w:szCs w:val="28"/>
        </w:rPr>
      </w:pPr>
    </w:p>
    <w:p w14:paraId="7E6E9233" w14:textId="77777777" w:rsidR="00D55068" w:rsidRDefault="00D55068" w:rsidP="009F7EF1">
      <w:pPr>
        <w:jc w:val="center"/>
        <w:rPr>
          <w:rFonts w:ascii="Arial" w:hAnsi="Arial" w:cs="Arial"/>
          <w:b/>
          <w:bCs/>
          <w:sz w:val="28"/>
          <w:szCs w:val="28"/>
        </w:rPr>
      </w:pPr>
    </w:p>
    <w:p w14:paraId="575E84E3" w14:textId="77777777" w:rsidR="00D55068" w:rsidRDefault="00D55068" w:rsidP="009F7EF1">
      <w:pPr>
        <w:jc w:val="center"/>
        <w:rPr>
          <w:rFonts w:ascii="Arial" w:hAnsi="Arial" w:cs="Arial"/>
          <w:b/>
          <w:bCs/>
          <w:sz w:val="28"/>
          <w:szCs w:val="28"/>
        </w:rPr>
      </w:pPr>
    </w:p>
    <w:p w14:paraId="4BF954CD" w14:textId="77777777" w:rsidR="00D55068" w:rsidRDefault="00D55068" w:rsidP="009F7EF1">
      <w:pPr>
        <w:jc w:val="center"/>
        <w:rPr>
          <w:rFonts w:ascii="Arial" w:hAnsi="Arial" w:cs="Arial"/>
          <w:b/>
          <w:bCs/>
          <w:sz w:val="28"/>
          <w:szCs w:val="28"/>
        </w:rPr>
      </w:pPr>
    </w:p>
    <w:p w14:paraId="590EF956" w14:textId="73659F33" w:rsidR="00D55068" w:rsidRDefault="0018495B" w:rsidP="009F7EF1">
      <w:pPr>
        <w:jc w:val="center"/>
        <w:rPr>
          <w:rFonts w:ascii="Arial" w:hAnsi="Arial" w:cs="Arial"/>
          <w:b/>
          <w:bCs/>
          <w:sz w:val="28"/>
          <w:szCs w:val="28"/>
        </w:rPr>
      </w:pPr>
      <w:r w:rsidRPr="0018495B">
        <w:rPr>
          <w:rFonts w:ascii="Arial" w:hAnsi="Arial" w:cs="Arial"/>
          <w:b/>
          <w:bCs/>
          <w:noProof/>
          <w:sz w:val="28"/>
          <w:szCs w:val="28"/>
        </w:rPr>
        <w:lastRenderedPageBreak/>
        <w:drawing>
          <wp:inline distT="0" distB="0" distL="0" distR="0" wp14:anchorId="1C996EC7" wp14:editId="60F5D62F">
            <wp:extent cx="6172056" cy="5232400"/>
            <wp:effectExtent l="0" t="0" r="635" b="6350"/>
            <wp:docPr id="550051713" name="Picture 1" descr="A black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51713" name="Picture 1" descr="A black and white survey&#10;&#10;AI-generated content may be incorrect."/>
                    <pic:cNvPicPr/>
                  </pic:nvPicPr>
                  <pic:blipFill>
                    <a:blip r:embed="rId8"/>
                    <a:stretch>
                      <a:fillRect/>
                    </a:stretch>
                  </pic:blipFill>
                  <pic:spPr>
                    <a:xfrm>
                      <a:off x="0" y="0"/>
                      <a:ext cx="6178841" cy="5238152"/>
                    </a:xfrm>
                    <a:prstGeom prst="rect">
                      <a:avLst/>
                    </a:prstGeom>
                  </pic:spPr>
                </pic:pic>
              </a:graphicData>
            </a:graphic>
          </wp:inline>
        </w:drawing>
      </w:r>
    </w:p>
    <w:p w14:paraId="06562995" w14:textId="77777777" w:rsidR="00D55068" w:rsidRDefault="00D55068" w:rsidP="009F7EF1">
      <w:pPr>
        <w:jc w:val="center"/>
        <w:rPr>
          <w:rFonts w:ascii="Arial" w:hAnsi="Arial" w:cs="Arial"/>
          <w:b/>
          <w:bCs/>
          <w:sz w:val="28"/>
          <w:szCs w:val="28"/>
        </w:rPr>
      </w:pPr>
    </w:p>
    <w:p w14:paraId="56099108" w14:textId="61816C1E" w:rsidR="00D55068" w:rsidRDefault="00873023" w:rsidP="009F7EF1">
      <w:pPr>
        <w:jc w:val="center"/>
        <w:rPr>
          <w:rFonts w:ascii="Arial" w:hAnsi="Arial" w:cs="Arial"/>
          <w:b/>
          <w:bCs/>
          <w:sz w:val="28"/>
          <w:szCs w:val="28"/>
        </w:rPr>
      </w:pPr>
      <w:r>
        <w:rPr>
          <w:rFonts w:ascii="Arial" w:hAnsi="Arial" w:cs="Arial"/>
          <w:b/>
          <w:bCs/>
          <w:noProof/>
          <w:sz w:val="28"/>
          <w:szCs w:val="28"/>
        </w:rPr>
        <w:drawing>
          <wp:inline distT="0" distB="0" distL="0" distR="0" wp14:anchorId="3D1D9869" wp14:editId="171BC2AD">
            <wp:extent cx="2725961" cy="1035050"/>
            <wp:effectExtent l="0" t="0" r="0" b="0"/>
            <wp:docPr id="159996669"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6669" name="Picture 2" descr="A close-up of a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805459" cy="1065235"/>
                    </a:xfrm>
                    <a:prstGeom prst="rect">
                      <a:avLst/>
                    </a:prstGeom>
                  </pic:spPr>
                </pic:pic>
              </a:graphicData>
            </a:graphic>
          </wp:inline>
        </w:drawing>
      </w:r>
    </w:p>
    <w:p w14:paraId="5487046F" w14:textId="77777777" w:rsidR="00D55068" w:rsidRDefault="00D55068" w:rsidP="009F7EF1">
      <w:pPr>
        <w:jc w:val="center"/>
        <w:rPr>
          <w:rFonts w:ascii="Arial" w:hAnsi="Arial" w:cs="Arial"/>
          <w:b/>
          <w:bCs/>
          <w:sz w:val="28"/>
          <w:szCs w:val="28"/>
        </w:rPr>
      </w:pPr>
    </w:p>
    <w:p w14:paraId="5D7D890C" w14:textId="77777777" w:rsidR="00D55068" w:rsidRDefault="00D55068" w:rsidP="009F7EF1">
      <w:pPr>
        <w:jc w:val="center"/>
        <w:rPr>
          <w:rFonts w:ascii="Arial" w:hAnsi="Arial" w:cs="Arial"/>
          <w:b/>
          <w:bCs/>
          <w:sz w:val="28"/>
          <w:szCs w:val="28"/>
        </w:rPr>
      </w:pPr>
    </w:p>
    <w:p w14:paraId="6D272280" w14:textId="77777777" w:rsidR="00D55068" w:rsidRDefault="00D55068" w:rsidP="009F7EF1">
      <w:pPr>
        <w:jc w:val="center"/>
        <w:rPr>
          <w:rFonts w:ascii="Arial" w:hAnsi="Arial" w:cs="Arial"/>
          <w:b/>
          <w:bCs/>
          <w:sz w:val="28"/>
          <w:szCs w:val="28"/>
        </w:rPr>
      </w:pPr>
    </w:p>
    <w:p w14:paraId="31CDFB28" w14:textId="77777777" w:rsidR="00D55068" w:rsidRDefault="00D55068" w:rsidP="009F7EF1">
      <w:pPr>
        <w:jc w:val="center"/>
        <w:rPr>
          <w:rFonts w:ascii="Arial" w:hAnsi="Arial" w:cs="Arial"/>
          <w:b/>
          <w:bCs/>
          <w:sz w:val="28"/>
          <w:szCs w:val="28"/>
        </w:rPr>
      </w:pPr>
    </w:p>
    <w:p w14:paraId="2E128470" w14:textId="77777777" w:rsidR="00D55068" w:rsidRDefault="00D55068" w:rsidP="009F7EF1">
      <w:pPr>
        <w:jc w:val="center"/>
        <w:rPr>
          <w:rFonts w:ascii="Arial" w:hAnsi="Arial" w:cs="Arial"/>
          <w:b/>
          <w:bCs/>
          <w:sz w:val="28"/>
          <w:szCs w:val="28"/>
        </w:rPr>
      </w:pPr>
    </w:p>
    <w:p w14:paraId="37AF982B" w14:textId="77777777" w:rsidR="00F90937" w:rsidRDefault="00F90937" w:rsidP="00BF0161">
      <w:pPr>
        <w:rPr>
          <w:rFonts w:ascii="Arial" w:hAnsi="Arial" w:cs="Arial"/>
          <w:b/>
          <w:bCs/>
          <w:sz w:val="28"/>
          <w:szCs w:val="28"/>
        </w:rPr>
      </w:pPr>
    </w:p>
    <w:p w14:paraId="3A69A930" w14:textId="77777777" w:rsidR="00BF3DCB" w:rsidRDefault="00BF3DCB" w:rsidP="00F90937">
      <w:pPr>
        <w:jc w:val="center"/>
        <w:rPr>
          <w:rFonts w:ascii="Arial" w:hAnsi="Arial" w:cs="Arial"/>
          <w:b/>
          <w:bCs/>
          <w:sz w:val="28"/>
          <w:szCs w:val="28"/>
        </w:rPr>
      </w:pPr>
    </w:p>
    <w:p w14:paraId="679181B4" w14:textId="77777777" w:rsidR="00BB056B" w:rsidRDefault="00BB056B" w:rsidP="00F90937">
      <w:pPr>
        <w:jc w:val="center"/>
        <w:rPr>
          <w:rFonts w:ascii="Arial" w:hAnsi="Arial" w:cs="Arial"/>
          <w:b/>
          <w:bCs/>
          <w:sz w:val="40"/>
          <w:szCs w:val="40"/>
        </w:rPr>
      </w:pPr>
    </w:p>
    <w:p w14:paraId="6200F6D9" w14:textId="04B67ACB" w:rsidR="00BF3DCB" w:rsidRPr="00BB056B" w:rsidRDefault="00BF3DCB" w:rsidP="00F90937">
      <w:pPr>
        <w:jc w:val="center"/>
        <w:rPr>
          <w:rFonts w:ascii="Arial" w:hAnsi="Arial" w:cs="Arial"/>
          <w:b/>
          <w:bCs/>
          <w:sz w:val="40"/>
          <w:szCs w:val="40"/>
        </w:rPr>
      </w:pPr>
      <w:r w:rsidRPr="00BB056B">
        <w:rPr>
          <w:rFonts w:ascii="Arial" w:hAnsi="Arial" w:cs="Arial"/>
          <w:b/>
          <w:bCs/>
          <w:sz w:val="40"/>
          <w:szCs w:val="40"/>
        </w:rPr>
        <w:t xml:space="preserve">Table </w:t>
      </w:r>
      <w:r w:rsidR="008610F4" w:rsidRPr="00BB056B">
        <w:rPr>
          <w:rFonts w:ascii="Arial" w:hAnsi="Arial" w:cs="Arial"/>
          <w:b/>
          <w:bCs/>
          <w:sz w:val="40"/>
          <w:szCs w:val="40"/>
        </w:rPr>
        <w:t>of Contents</w:t>
      </w:r>
    </w:p>
    <w:p w14:paraId="2ED31E1C" w14:textId="7A0530FB" w:rsidR="008610F4" w:rsidRPr="00BB056B" w:rsidRDefault="00162914" w:rsidP="00BB056B">
      <w:pPr>
        <w:pStyle w:val="ListParagraph"/>
        <w:numPr>
          <w:ilvl w:val="0"/>
          <w:numId w:val="33"/>
        </w:numPr>
        <w:rPr>
          <w:rFonts w:ascii="Arial" w:hAnsi="Arial" w:cs="Arial"/>
          <w:sz w:val="40"/>
          <w:szCs w:val="40"/>
        </w:rPr>
      </w:pPr>
      <w:r w:rsidRPr="00BB056B">
        <w:rPr>
          <w:rFonts w:ascii="Arial" w:hAnsi="Arial" w:cs="Arial"/>
          <w:sz w:val="40"/>
          <w:szCs w:val="40"/>
        </w:rPr>
        <w:t>Introduction</w:t>
      </w:r>
    </w:p>
    <w:p w14:paraId="74210BC2" w14:textId="69041DDB" w:rsidR="00162914" w:rsidRPr="00BB056B" w:rsidRDefault="00441F22" w:rsidP="00BB056B">
      <w:pPr>
        <w:pStyle w:val="ListParagraph"/>
        <w:numPr>
          <w:ilvl w:val="0"/>
          <w:numId w:val="33"/>
        </w:numPr>
        <w:rPr>
          <w:rFonts w:ascii="Arial" w:hAnsi="Arial" w:cs="Arial"/>
          <w:sz w:val="40"/>
          <w:szCs w:val="40"/>
        </w:rPr>
      </w:pPr>
      <w:r w:rsidRPr="00BB056B">
        <w:rPr>
          <w:rFonts w:ascii="Arial" w:hAnsi="Arial" w:cs="Arial"/>
          <w:sz w:val="40"/>
          <w:szCs w:val="40"/>
        </w:rPr>
        <w:t>Swot Analysis</w:t>
      </w:r>
    </w:p>
    <w:p w14:paraId="6875DCA4" w14:textId="65677E3C" w:rsidR="00441F22" w:rsidRPr="00BB056B" w:rsidRDefault="00936058" w:rsidP="00BB056B">
      <w:pPr>
        <w:pStyle w:val="ListParagraph"/>
        <w:numPr>
          <w:ilvl w:val="0"/>
          <w:numId w:val="33"/>
        </w:numPr>
        <w:rPr>
          <w:rFonts w:ascii="Arial" w:hAnsi="Arial" w:cs="Arial"/>
          <w:sz w:val="40"/>
          <w:szCs w:val="40"/>
        </w:rPr>
      </w:pPr>
      <w:r w:rsidRPr="00BB056B">
        <w:rPr>
          <w:rFonts w:ascii="Arial" w:hAnsi="Arial" w:cs="Arial"/>
          <w:sz w:val="40"/>
          <w:szCs w:val="40"/>
        </w:rPr>
        <w:t xml:space="preserve">Key Internal and External </w:t>
      </w:r>
      <w:r w:rsidR="00080DD0" w:rsidRPr="00BB056B">
        <w:rPr>
          <w:rFonts w:ascii="Arial" w:hAnsi="Arial" w:cs="Arial"/>
          <w:sz w:val="40"/>
          <w:szCs w:val="40"/>
        </w:rPr>
        <w:t>S</w:t>
      </w:r>
      <w:r w:rsidRPr="00BB056B">
        <w:rPr>
          <w:rFonts w:ascii="Arial" w:hAnsi="Arial" w:cs="Arial"/>
          <w:sz w:val="40"/>
          <w:szCs w:val="40"/>
        </w:rPr>
        <w:t>takeholders</w:t>
      </w:r>
    </w:p>
    <w:p w14:paraId="7927748A" w14:textId="21FB0724" w:rsidR="00936058" w:rsidRPr="00BB056B" w:rsidRDefault="00080DD0" w:rsidP="00BB056B">
      <w:pPr>
        <w:pStyle w:val="ListParagraph"/>
        <w:numPr>
          <w:ilvl w:val="0"/>
          <w:numId w:val="33"/>
        </w:numPr>
        <w:rPr>
          <w:rFonts w:ascii="Arial" w:hAnsi="Arial" w:cs="Arial"/>
          <w:sz w:val="40"/>
          <w:szCs w:val="40"/>
        </w:rPr>
      </w:pPr>
      <w:r w:rsidRPr="00BB056B">
        <w:rPr>
          <w:rFonts w:ascii="Arial" w:hAnsi="Arial" w:cs="Arial"/>
          <w:sz w:val="40"/>
          <w:szCs w:val="40"/>
        </w:rPr>
        <w:t>Roles, Benefits &amp; Challenges of Stakeholders</w:t>
      </w:r>
    </w:p>
    <w:p w14:paraId="4D84C049" w14:textId="2448B230" w:rsidR="00080DD0" w:rsidRPr="00BB056B" w:rsidRDefault="00DF0094" w:rsidP="00BB056B">
      <w:pPr>
        <w:pStyle w:val="ListParagraph"/>
        <w:numPr>
          <w:ilvl w:val="0"/>
          <w:numId w:val="33"/>
        </w:numPr>
        <w:rPr>
          <w:rFonts w:ascii="Arial" w:hAnsi="Arial" w:cs="Arial"/>
          <w:sz w:val="40"/>
          <w:szCs w:val="40"/>
        </w:rPr>
      </w:pPr>
      <w:r w:rsidRPr="00BB056B">
        <w:rPr>
          <w:rFonts w:ascii="Arial" w:hAnsi="Arial" w:cs="Arial"/>
          <w:sz w:val="40"/>
          <w:szCs w:val="40"/>
        </w:rPr>
        <w:t>Engagement Frameworks &amp; Models</w:t>
      </w:r>
    </w:p>
    <w:p w14:paraId="2B8CF78F" w14:textId="78FA116A" w:rsidR="00DF0094" w:rsidRPr="00BB056B" w:rsidRDefault="00DF0094" w:rsidP="00BB056B">
      <w:pPr>
        <w:pStyle w:val="ListParagraph"/>
        <w:numPr>
          <w:ilvl w:val="0"/>
          <w:numId w:val="33"/>
        </w:numPr>
        <w:rPr>
          <w:rFonts w:ascii="Arial" w:hAnsi="Arial" w:cs="Arial"/>
          <w:sz w:val="40"/>
          <w:szCs w:val="40"/>
        </w:rPr>
      </w:pPr>
      <w:r w:rsidRPr="00BB056B">
        <w:rPr>
          <w:rFonts w:ascii="Arial" w:hAnsi="Arial" w:cs="Arial"/>
          <w:sz w:val="40"/>
          <w:szCs w:val="40"/>
        </w:rPr>
        <w:t>Project Manager’s Engagement Process &amp; Conflict Management</w:t>
      </w:r>
    </w:p>
    <w:p w14:paraId="48B1EDC7" w14:textId="3CCDD961" w:rsidR="00DF0094" w:rsidRPr="00BB056B" w:rsidRDefault="00DF0094" w:rsidP="00BB056B">
      <w:pPr>
        <w:pStyle w:val="ListParagraph"/>
        <w:numPr>
          <w:ilvl w:val="0"/>
          <w:numId w:val="33"/>
        </w:numPr>
        <w:rPr>
          <w:rFonts w:ascii="Arial" w:hAnsi="Arial" w:cs="Arial"/>
          <w:sz w:val="40"/>
          <w:szCs w:val="40"/>
        </w:rPr>
      </w:pPr>
      <w:r w:rsidRPr="00BB056B">
        <w:rPr>
          <w:rFonts w:ascii="Arial" w:hAnsi="Arial" w:cs="Arial"/>
          <w:sz w:val="40"/>
          <w:szCs w:val="40"/>
        </w:rPr>
        <w:t>Evaluation of Stakeholder Engagement &amp; Recommendations</w:t>
      </w:r>
    </w:p>
    <w:p w14:paraId="58791D0B" w14:textId="40A76B4D" w:rsidR="00BB056B" w:rsidRPr="00BB056B" w:rsidRDefault="00BB056B" w:rsidP="00BB056B">
      <w:pPr>
        <w:pStyle w:val="ListParagraph"/>
        <w:numPr>
          <w:ilvl w:val="0"/>
          <w:numId w:val="33"/>
        </w:numPr>
        <w:rPr>
          <w:rFonts w:ascii="Arial" w:hAnsi="Arial" w:cs="Arial"/>
          <w:sz w:val="40"/>
          <w:szCs w:val="40"/>
        </w:rPr>
      </w:pPr>
      <w:r w:rsidRPr="00BB056B">
        <w:rPr>
          <w:rFonts w:ascii="Arial" w:hAnsi="Arial" w:cs="Arial"/>
          <w:sz w:val="40"/>
          <w:szCs w:val="40"/>
        </w:rPr>
        <w:t>Conclusion</w:t>
      </w:r>
    </w:p>
    <w:p w14:paraId="6DD762E6" w14:textId="77777777" w:rsidR="00BF3DCB" w:rsidRPr="00BB056B" w:rsidRDefault="00BF3DCB" w:rsidP="00BB056B">
      <w:pPr>
        <w:rPr>
          <w:rFonts w:ascii="Arial" w:hAnsi="Arial" w:cs="Arial"/>
          <w:sz w:val="40"/>
          <w:szCs w:val="40"/>
        </w:rPr>
      </w:pPr>
    </w:p>
    <w:p w14:paraId="66AA8FAB" w14:textId="77777777" w:rsidR="00BF3DCB" w:rsidRPr="00BB056B" w:rsidRDefault="00BF3DCB" w:rsidP="00BB056B">
      <w:pPr>
        <w:rPr>
          <w:rFonts w:ascii="Arial" w:hAnsi="Arial" w:cs="Arial"/>
          <w:sz w:val="40"/>
          <w:szCs w:val="40"/>
        </w:rPr>
      </w:pPr>
    </w:p>
    <w:p w14:paraId="6BB23095" w14:textId="77777777" w:rsidR="00BF3DCB" w:rsidRPr="00BB056B" w:rsidRDefault="00BF3DCB" w:rsidP="00BB056B">
      <w:pPr>
        <w:rPr>
          <w:rFonts w:ascii="Arial" w:hAnsi="Arial" w:cs="Arial"/>
          <w:sz w:val="28"/>
          <w:szCs w:val="28"/>
        </w:rPr>
      </w:pPr>
    </w:p>
    <w:p w14:paraId="1E7D2822" w14:textId="77777777" w:rsidR="00BF3DCB" w:rsidRPr="00BB056B" w:rsidRDefault="00BF3DCB" w:rsidP="00BB056B">
      <w:pPr>
        <w:rPr>
          <w:rFonts w:ascii="Arial" w:hAnsi="Arial" w:cs="Arial"/>
          <w:sz w:val="28"/>
          <w:szCs w:val="28"/>
        </w:rPr>
      </w:pPr>
    </w:p>
    <w:p w14:paraId="456C0859" w14:textId="77777777" w:rsidR="00BF3DCB" w:rsidRDefault="00BF3DCB" w:rsidP="00F90937">
      <w:pPr>
        <w:jc w:val="center"/>
        <w:rPr>
          <w:rFonts w:ascii="Arial" w:hAnsi="Arial" w:cs="Arial"/>
          <w:b/>
          <w:bCs/>
          <w:sz w:val="28"/>
          <w:szCs w:val="28"/>
        </w:rPr>
      </w:pPr>
    </w:p>
    <w:p w14:paraId="13F53033" w14:textId="77777777" w:rsidR="00BF3DCB" w:rsidRDefault="00BF3DCB" w:rsidP="00F90937">
      <w:pPr>
        <w:jc w:val="center"/>
        <w:rPr>
          <w:rFonts w:ascii="Arial" w:hAnsi="Arial" w:cs="Arial"/>
          <w:b/>
          <w:bCs/>
          <w:sz w:val="28"/>
          <w:szCs w:val="28"/>
        </w:rPr>
      </w:pPr>
    </w:p>
    <w:p w14:paraId="793F5FD4" w14:textId="77777777" w:rsidR="00BF3DCB" w:rsidRDefault="00BF3DCB" w:rsidP="00F90937">
      <w:pPr>
        <w:jc w:val="center"/>
        <w:rPr>
          <w:rFonts w:ascii="Arial" w:hAnsi="Arial" w:cs="Arial"/>
          <w:b/>
          <w:bCs/>
          <w:sz w:val="28"/>
          <w:szCs w:val="28"/>
        </w:rPr>
      </w:pPr>
    </w:p>
    <w:p w14:paraId="7DDCEE41" w14:textId="77777777" w:rsidR="00BF3DCB" w:rsidRDefault="00BF3DCB" w:rsidP="00F90937">
      <w:pPr>
        <w:jc w:val="center"/>
        <w:rPr>
          <w:rFonts w:ascii="Arial" w:hAnsi="Arial" w:cs="Arial"/>
          <w:b/>
          <w:bCs/>
          <w:sz w:val="28"/>
          <w:szCs w:val="28"/>
        </w:rPr>
      </w:pPr>
    </w:p>
    <w:p w14:paraId="7193286F" w14:textId="0ED1FE5F" w:rsidR="009F7EF1" w:rsidRPr="009F7EF1" w:rsidRDefault="009F7EF1" w:rsidP="00D6607B">
      <w:pPr>
        <w:jc w:val="center"/>
        <w:rPr>
          <w:rFonts w:ascii="Arial" w:hAnsi="Arial" w:cs="Arial"/>
          <w:b/>
          <w:bCs/>
          <w:sz w:val="28"/>
          <w:szCs w:val="28"/>
        </w:rPr>
      </w:pPr>
      <w:r w:rsidRPr="009F7EF1">
        <w:rPr>
          <w:rFonts w:ascii="Arial" w:hAnsi="Arial" w:cs="Arial"/>
          <w:b/>
          <w:bCs/>
          <w:sz w:val="28"/>
          <w:szCs w:val="28"/>
        </w:rPr>
        <w:lastRenderedPageBreak/>
        <w:t>Stakeholder Engagement Report for Fitbit UK: Preparing for the Launch of a New Wearable Health Device</w:t>
      </w:r>
    </w:p>
    <w:p w14:paraId="7C9940C5" w14:textId="77777777" w:rsidR="00DF2754" w:rsidRDefault="00DF2754" w:rsidP="006E0726">
      <w:pPr>
        <w:rPr>
          <w:b/>
          <w:bCs/>
        </w:rPr>
      </w:pPr>
    </w:p>
    <w:p w14:paraId="36819757" w14:textId="3D54E31A" w:rsidR="009F7EF1" w:rsidRDefault="00DF2754" w:rsidP="00ED6BA5">
      <w:pPr>
        <w:jc w:val="center"/>
        <w:rPr>
          <w:rFonts w:ascii="Arial" w:hAnsi="Arial" w:cs="Arial"/>
          <w:b/>
          <w:bCs/>
        </w:rPr>
      </w:pPr>
      <w:r w:rsidRPr="00A72F79">
        <w:rPr>
          <w:rFonts w:ascii="Arial" w:hAnsi="Arial" w:cs="Arial"/>
          <w:b/>
          <w:bCs/>
        </w:rPr>
        <w:t>Introduction</w:t>
      </w:r>
    </w:p>
    <w:p w14:paraId="23E34AA0" w14:textId="113D4359" w:rsidR="000437CC" w:rsidRPr="000437CC" w:rsidRDefault="000437CC" w:rsidP="00B67279">
      <w:pPr>
        <w:spacing w:line="360" w:lineRule="auto"/>
        <w:jc w:val="both"/>
        <w:rPr>
          <w:rFonts w:ascii="Arial" w:hAnsi="Arial" w:cs="Arial"/>
          <w:sz w:val="22"/>
          <w:szCs w:val="22"/>
        </w:rPr>
      </w:pPr>
      <w:r w:rsidRPr="000437CC">
        <w:rPr>
          <w:rFonts w:ascii="Arial" w:hAnsi="Arial" w:cs="Arial"/>
          <w:sz w:val="22"/>
          <w:szCs w:val="22"/>
        </w:rPr>
        <w:t xml:space="preserve">Fitbit UK, operating under Google LLC, is widely recognized as a prominent provider of wearable health technologies across the United Kingdom. Since its establishment in 2007 and its subsequent integration into Google’s digital health portfolio in 2021, Fitbit has cultivated a strong market presence by promoting active lifestyles, well-being monitoring, and data-driven personal health management (Statista, 2024). </w:t>
      </w:r>
    </w:p>
    <w:p w14:paraId="61B28FC0" w14:textId="77777777" w:rsidR="000437CC" w:rsidRPr="000437CC" w:rsidRDefault="000437CC" w:rsidP="00B67279">
      <w:pPr>
        <w:spacing w:line="360" w:lineRule="auto"/>
        <w:jc w:val="both"/>
        <w:rPr>
          <w:rFonts w:ascii="Arial" w:hAnsi="Arial" w:cs="Arial"/>
          <w:sz w:val="22"/>
          <w:szCs w:val="22"/>
        </w:rPr>
      </w:pPr>
      <w:r w:rsidRPr="000437CC">
        <w:rPr>
          <w:rFonts w:ascii="Arial" w:hAnsi="Arial" w:cs="Arial"/>
          <w:sz w:val="22"/>
          <w:szCs w:val="22"/>
        </w:rPr>
        <w:t>With increasing public interest in preventative healthcare and accessible biometric insights, Fitbit UK plans to introduce a next-generation wearable device capable of tracking heart rate, oxygen saturation (SpO</w:t>
      </w:r>
      <w:r w:rsidRPr="000437CC">
        <w:rPr>
          <w:rFonts w:ascii="Cambria Math" w:hAnsi="Cambria Math" w:cs="Cambria Math"/>
          <w:sz w:val="22"/>
          <w:szCs w:val="22"/>
        </w:rPr>
        <w:t>₂</w:t>
      </w:r>
      <w:r w:rsidRPr="000437CC">
        <w:rPr>
          <w:rFonts w:ascii="Arial" w:hAnsi="Arial" w:cs="Arial"/>
          <w:sz w:val="22"/>
          <w:szCs w:val="22"/>
        </w:rPr>
        <w:t>), and sleep patterns. This new product aims to deliver enhanced analytical features to support users in making informed decisions about their daily health routines.</w:t>
      </w:r>
    </w:p>
    <w:p w14:paraId="1A41985C" w14:textId="525E1D1F" w:rsidR="000437CC" w:rsidRPr="000437CC" w:rsidRDefault="000437CC" w:rsidP="00B67279">
      <w:pPr>
        <w:spacing w:line="360" w:lineRule="auto"/>
        <w:jc w:val="both"/>
        <w:rPr>
          <w:rFonts w:ascii="Arial" w:hAnsi="Arial" w:cs="Arial"/>
          <w:sz w:val="22"/>
          <w:szCs w:val="22"/>
        </w:rPr>
      </w:pPr>
      <w:r w:rsidRPr="000437CC">
        <w:rPr>
          <w:rFonts w:ascii="Arial" w:hAnsi="Arial" w:cs="Arial"/>
          <w:sz w:val="22"/>
          <w:szCs w:val="22"/>
        </w:rPr>
        <w:t xml:space="preserve">As the project manager </w:t>
      </w:r>
      <w:proofErr w:type="gramStart"/>
      <w:r w:rsidRPr="000437CC">
        <w:rPr>
          <w:rFonts w:ascii="Arial" w:hAnsi="Arial" w:cs="Arial"/>
          <w:sz w:val="22"/>
          <w:szCs w:val="22"/>
        </w:rPr>
        <w:t>appointed</w:t>
      </w:r>
      <w:proofErr w:type="gramEnd"/>
      <w:r w:rsidRPr="000437CC">
        <w:rPr>
          <w:rFonts w:ascii="Arial" w:hAnsi="Arial" w:cs="Arial"/>
          <w:sz w:val="22"/>
          <w:szCs w:val="22"/>
        </w:rPr>
        <w:t xml:space="preserve"> to oversee this development, my role involves guiding the project through its design, regulatory, and commercial phases to ensure it is launch-ready within six months. This report offers a critical appraisal of Fitbit UK’s strategic position, identifies stakeholders vital to the project, and explains the mechanisms required to engage them effectively. The report also evaluates how stakeholder engagement influences organizational performance and provides recommendations for future practice. The ability to manage stakeholders proactively will be integral to achieving a timely, </w:t>
      </w:r>
      <w:proofErr w:type="gramStart"/>
      <w:r w:rsidRPr="000437CC">
        <w:rPr>
          <w:rFonts w:ascii="Arial" w:hAnsi="Arial" w:cs="Arial"/>
          <w:sz w:val="22"/>
          <w:szCs w:val="22"/>
        </w:rPr>
        <w:t>compliant</w:t>
      </w:r>
      <w:proofErr w:type="gramEnd"/>
      <w:r w:rsidRPr="000437CC">
        <w:rPr>
          <w:rFonts w:ascii="Arial" w:hAnsi="Arial" w:cs="Arial"/>
          <w:sz w:val="22"/>
          <w:szCs w:val="22"/>
        </w:rPr>
        <w:t>, and commercially successful product launch (Freeman, 2010).</w:t>
      </w:r>
    </w:p>
    <w:p w14:paraId="22046AEC" w14:textId="77777777" w:rsidR="000437CC" w:rsidRPr="000437CC" w:rsidRDefault="000437CC" w:rsidP="00FA3C06">
      <w:pPr>
        <w:spacing w:line="360" w:lineRule="auto"/>
        <w:rPr>
          <w:rFonts w:ascii="Arial" w:hAnsi="Arial" w:cs="Arial"/>
          <w:b/>
          <w:bCs/>
          <w:sz w:val="22"/>
          <w:szCs w:val="22"/>
        </w:rPr>
      </w:pPr>
    </w:p>
    <w:p w14:paraId="6831D96A" w14:textId="7D6E80D2" w:rsidR="00DF2754" w:rsidRDefault="00DF2754" w:rsidP="00ED6BA5">
      <w:pPr>
        <w:jc w:val="center"/>
        <w:rPr>
          <w:rFonts w:ascii="Arial" w:hAnsi="Arial" w:cs="Arial"/>
          <w:b/>
          <w:bCs/>
        </w:rPr>
      </w:pPr>
      <w:r w:rsidRPr="00A72F79">
        <w:rPr>
          <w:rFonts w:ascii="Arial" w:hAnsi="Arial" w:cs="Arial"/>
          <w:b/>
          <w:bCs/>
        </w:rPr>
        <w:t>SWOT Analysis of Fitbit UK</w:t>
      </w:r>
    </w:p>
    <w:p w14:paraId="19886DCF" w14:textId="3581846A" w:rsidR="000437CC" w:rsidRPr="000437CC" w:rsidRDefault="000437CC" w:rsidP="00B67279">
      <w:pPr>
        <w:spacing w:line="360" w:lineRule="auto"/>
        <w:jc w:val="both"/>
        <w:rPr>
          <w:rFonts w:ascii="Arial" w:hAnsi="Arial" w:cs="Arial"/>
          <w:sz w:val="22"/>
          <w:szCs w:val="22"/>
        </w:rPr>
      </w:pPr>
      <w:r w:rsidRPr="000437CC">
        <w:rPr>
          <w:rFonts w:ascii="Arial" w:hAnsi="Arial" w:cs="Arial"/>
          <w:sz w:val="22"/>
          <w:szCs w:val="22"/>
        </w:rPr>
        <w:t>A SWOT analysis provides a structured means of assessing Fitbit UK’s strategic capabilities and external environment in preparation for the launch of the new health wearable. This tool remains widely utilized within strategic planning as it supports decision-making by identifying factors that may enhance or inhibit project objectives (Gürel and Tat, 2017).</w:t>
      </w:r>
    </w:p>
    <w:p w14:paraId="1F0120AA" w14:textId="62235CF7" w:rsidR="00DF2754" w:rsidRPr="00DF2754" w:rsidRDefault="009F7EF1" w:rsidP="00B67279">
      <w:pPr>
        <w:spacing w:line="360" w:lineRule="auto"/>
        <w:jc w:val="both"/>
        <w:rPr>
          <w:rFonts w:ascii="Arial" w:hAnsi="Arial" w:cs="Arial"/>
          <w:sz w:val="22"/>
          <w:szCs w:val="22"/>
        </w:rPr>
      </w:pPr>
      <w:r w:rsidRPr="00A72F79">
        <w:rPr>
          <w:rFonts w:ascii="Arial" w:hAnsi="Arial" w:cs="Arial"/>
          <w:b/>
          <w:bCs/>
          <w:sz w:val="22"/>
          <w:szCs w:val="22"/>
        </w:rPr>
        <w:t>Strengths</w:t>
      </w:r>
      <w:r w:rsidRPr="00A72F79">
        <w:rPr>
          <w:rFonts w:ascii="Arial" w:hAnsi="Arial" w:cs="Arial"/>
          <w:sz w:val="22"/>
          <w:szCs w:val="22"/>
        </w:rPr>
        <w:t xml:space="preserve">: </w:t>
      </w:r>
      <w:r w:rsidR="00DF2754" w:rsidRPr="00DF2754">
        <w:rPr>
          <w:rFonts w:ascii="Arial" w:hAnsi="Arial" w:cs="Arial"/>
          <w:sz w:val="22"/>
          <w:szCs w:val="22"/>
        </w:rPr>
        <w:t>Fitbit UK is well known and gains an advantage from being linked to Google’s technology. By using advanced data analytics, artificial intelligence, and cloud-based health platforms, Fitbit provides accurate and easy-to-use health monitoring features (Google, 2023).</w:t>
      </w:r>
    </w:p>
    <w:p w14:paraId="094EEBE2" w14:textId="14C7CCE1" w:rsidR="00DF2754" w:rsidRPr="00A72F79" w:rsidRDefault="00DF2754" w:rsidP="00B67279">
      <w:pPr>
        <w:spacing w:line="360" w:lineRule="auto"/>
        <w:jc w:val="both"/>
        <w:rPr>
          <w:rFonts w:ascii="Arial" w:hAnsi="Arial" w:cs="Arial"/>
          <w:sz w:val="22"/>
          <w:szCs w:val="22"/>
        </w:rPr>
      </w:pPr>
      <w:r w:rsidRPr="00DF2754">
        <w:rPr>
          <w:rFonts w:ascii="Arial" w:hAnsi="Arial" w:cs="Arial"/>
          <w:sz w:val="22"/>
          <w:szCs w:val="22"/>
        </w:rPr>
        <w:lastRenderedPageBreak/>
        <w:t xml:space="preserve">Its strong reputation </w:t>
      </w:r>
      <w:proofErr w:type="gramStart"/>
      <w:r w:rsidRPr="00DF2754">
        <w:rPr>
          <w:rFonts w:ascii="Arial" w:hAnsi="Arial" w:cs="Arial"/>
          <w:sz w:val="22"/>
          <w:szCs w:val="22"/>
        </w:rPr>
        <w:t>in</w:t>
      </w:r>
      <w:proofErr w:type="gramEnd"/>
      <w:r w:rsidRPr="00DF2754">
        <w:rPr>
          <w:rFonts w:ascii="Arial" w:hAnsi="Arial" w:cs="Arial"/>
          <w:sz w:val="22"/>
          <w:szCs w:val="22"/>
        </w:rPr>
        <w:t xml:space="preserve"> personal </w:t>
      </w:r>
      <w:r w:rsidRPr="00A72F79">
        <w:rPr>
          <w:rFonts w:ascii="Arial" w:hAnsi="Arial" w:cs="Arial"/>
          <w:sz w:val="22"/>
          <w:szCs w:val="22"/>
        </w:rPr>
        <w:t>well-being</w:t>
      </w:r>
      <w:r w:rsidRPr="00DF2754">
        <w:rPr>
          <w:rFonts w:ascii="Arial" w:hAnsi="Arial" w:cs="Arial"/>
          <w:sz w:val="22"/>
          <w:szCs w:val="22"/>
        </w:rPr>
        <w:t xml:space="preserve"> technology helps customers trust new products. Fitbit also offers a variety of products for different types of consumers, and its active user community gives feedback that helps the company improve and update its products.</w:t>
      </w:r>
    </w:p>
    <w:p w14:paraId="2AE4467D" w14:textId="7B752C07" w:rsidR="00BB0D47" w:rsidRPr="00BB0D47" w:rsidRDefault="00BB0D47" w:rsidP="00B67279">
      <w:pPr>
        <w:spacing w:line="360" w:lineRule="auto"/>
        <w:jc w:val="both"/>
        <w:rPr>
          <w:rFonts w:ascii="Arial" w:hAnsi="Arial" w:cs="Arial"/>
          <w:sz w:val="22"/>
          <w:szCs w:val="22"/>
        </w:rPr>
      </w:pPr>
      <w:r w:rsidRPr="00A72F79">
        <w:rPr>
          <w:rFonts w:ascii="Arial" w:hAnsi="Arial" w:cs="Arial"/>
          <w:b/>
          <w:bCs/>
          <w:sz w:val="22"/>
          <w:szCs w:val="22"/>
        </w:rPr>
        <w:t xml:space="preserve">Weaknesses: </w:t>
      </w:r>
      <w:r w:rsidRPr="00BB0D47">
        <w:rPr>
          <w:rFonts w:ascii="Arial" w:hAnsi="Arial" w:cs="Arial"/>
          <w:sz w:val="22"/>
          <w:szCs w:val="22"/>
        </w:rPr>
        <w:t xml:space="preserve">Despite its advantages, Fitbit UK faces notable internal constraints. Heavy reliance on hardware sales exposes the </w:t>
      </w:r>
      <w:r w:rsidRPr="00A72F79">
        <w:rPr>
          <w:rFonts w:ascii="Arial" w:hAnsi="Arial" w:cs="Arial"/>
          <w:sz w:val="22"/>
          <w:szCs w:val="22"/>
        </w:rPr>
        <w:t>organization</w:t>
      </w:r>
      <w:r w:rsidRPr="00BB0D47">
        <w:rPr>
          <w:rFonts w:ascii="Arial" w:hAnsi="Arial" w:cs="Arial"/>
          <w:sz w:val="22"/>
          <w:szCs w:val="22"/>
        </w:rPr>
        <w:t xml:space="preserve"> to the rapid pace of technological change and high production costs. Differentiating its products within an increasingly saturated wearables marketplace has become challenging, particularly against technologically advanced rivals such as Apple and Samsung. Additionally, Fitbit’s association with Google has raised public concerns regarding data protection, which may deter privacy-conscious consumers (BBC News, 2021). </w:t>
      </w:r>
    </w:p>
    <w:p w14:paraId="22937C06" w14:textId="77777777" w:rsidR="00A72F79" w:rsidRDefault="00BB0D47" w:rsidP="00B67279">
      <w:pPr>
        <w:spacing w:line="360" w:lineRule="auto"/>
        <w:jc w:val="both"/>
        <w:rPr>
          <w:rFonts w:ascii="Arial" w:hAnsi="Arial" w:cs="Arial"/>
          <w:sz w:val="22"/>
          <w:szCs w:val="22"/>
        </w:rPr>
      </w:pPr>
      <w:r w:rsidRPr="00BB0D47">
        <w:rPr>
          <w:rFonts w:ascii="Arial" w:hAnsi="Arial" w:cs="Arial"/>
          <w:sz w:val="22"/>
          <w:szCs w:val="22"/>
        </w:rPr>
        <w:t>Regulatory compliance, especially relating to health data governance under GDPR and medical device standards, requires extensive resources and may restrict development speed.</w:t>
      </w:r>
    </w:p>
    <w:p w14:paraId="13D8913A" w14:textId="038EC864" w:rsidR="00BB0D47" w:rsidRPr="00A72F79" w:rsidRDefault="00BB0D47" w:rsidP="00B67279">
      <w:pPr>
        <w:spacing w:line="360" w:lineRule="auto"/>
        <w:jc w:val="both"/>
        <w:rPr>
          <w:rFonts w:ascii="Arial" w:hAnsi="Arial" w:cs="Arial"/>
          <w:sz w:val="22"/>
          <w:szCs w:val="22"/>
        </w:rPr>
      </w:pPr>
      <w:r w:rsidRPr="00A72F79">
        <w:rPr>
          <w:rFonts w:ascii="Arial" w:hAnsi="Arial" w:cs="Arial"/>
          <w:b/>
          <w:bCs/>
          <w:sz w:val="22"/>
          <w:szCs w:val="22"/>
        </w:rPr>
        <w:t>Opportunities:</w:t>
      </w:r>
      <w:r w:rsidR="00A72F79">
        <w:rPr>
          <w:rFonts w:ascii="Arial" w:hAnsi="Arial" w:cs="Arial"/>
          <w:sz w:val="22"/>
          <w:szCs w:val="22"/>
        </w:rPr>
        <w:t xml:space="preserve"> </w:t>
      </w:r>
      <w:r w:rsidRPr="00A72F79">
        <w:rPr>
          <w:rFonts w:ascii="Arial" w:hAnsi="Arial" w:cs="Arial"/>
          <w:sz w:val="22"/>
          <w:szCs w:val="22"/>
        </w:rPr>
        <w:t xml:space="preserve">There is a substantial opportunity for Fitbit UK to expand its role in digital health and preventative medicine. The rising demand for remote health monitoring following the COVID-19 pandemic has accelerated consumer reliance on wearables capable of providing clinically relevant insights (Deloitte, 2024). </w:t>
      </w:r>
    </w:p>
    <w:p w14:paraId="472D2BFD" w14:textId="3117AD1D" w:rsidR="00BB0D47" w:rsidRPr="00A72F79" w:rsidRDefault="00BB0D47" w:rsidP="00B67279">
      <w:pPr>
        <w:spacing w:line="360" w:lineRule="auto"/>
        <w:jc w:val="both"/>
        <w:rPr>
          <w:rFonts w:ascii="Arial" w:hAnsi="Arial" w:cs="Arial"/>
          <w:sz w:val="22"/>
          <w:szCs w:val="22"/>
        </w:rPr>
      </w:pPr>
      <w:r w:rsidRPr="00A72F79">
        <w:rPr>
          <w:rFonts w:ascii="Arial" w:hAnsi="Arial" w:cs="Arial"/>
          <w:sz w:val="22"/>
          <w:szCs w:val="22"/>
        </w:rPr>
        <w:t>Partnerships with healthcare providers, including potential integration with NHS services, could enhance Fitbit’s position as a trusted health technology brand. Increasing investment in AI-enabled predictive analytics further offers the potential for early-warning health alerts, which may enable Fitbit to enter more regulated medical device markets through UKCA or CE certification.</w:t>
      </w:r>
    </w:p>
    <w:p w14:paraId="4E954F4F" w14:textId="41731D62" w:rsidR="00BB0D47" w:rsidRPr="00A72F79" w:rsidRDefault="00BB0D47" w:rsidP="00B67279">
      <w:pPr>
        <w:spacing w:line="360" w:lineRule="auto"/>
        <w:jc w:val="both"/>
        <w:rPr>
          <w:rFonts w:ascii="Arial" w:hAnsi="Arial" w:cs="Arial"/>
          <w:sz w:val="22"/>
          <w:szCs w:val="22"/>
        </w:rPr>
      </w:pPr>
      <w:r w:rsidRPr="00A72F79">
        <w:rPr>
          <w:rFonts w:ascii="Arial" w:hAnsi="Arial" w:cs="Arial"/>
          <w:b/>
          <w:bCs/>
          <w:sz w:val="22"/>
          <w:szCs w:val="22"/>
        </w:rPr>
        <w:t>Threats:</w:t>
      </w:r>
      <w:r w:rsidRPr="00A72F79">
        <w:rPr>
          <w:rFonts w:ascii="Arial" w:hAnsi="Arial" w:cs="Arial"/>
          <w:sz w:val="22"/>
          <w:szCs w:val="22"/>
        </w:rPr>
        <w:t xml:space="preserve"> Fitbit UK operates in an environment characterized by aggressive competition and rapid technological evolution. Competitors such as Apple and Garmin continue to dominate market share through advanced ecosystem integration and premium health features. Additionally, global supply chain disruptions, particularly shortages in microchips and sensors, pose risks to production timelines and cost structures (PwC, 2023).</w:t>
      </w:r>
    </w:p>
    <w:p w14:paraId="460E5710" w14:textId="12AB3ECF" w:rsidR="00BB0D47" w:rsidRDefault="00BB0D47" w:rsidP="00B67279">
      <w:pPr>
        <w:spacing w:line="360" w:lineRule="auto"/>
        <w:jc w:val="both"/>
        <w:rPr>
          <w:rFonts w:ascii="Arial" w:hAnsi="Arial" w:cs="Arial"/>
          <w:sz w:val="22"/>
          <w:szCs w:val="22"/>
        </w:rPr>
      </w:pPr>
      <w:r w:rsidRPr="00A72F79">
        <w:rPr>
          <w:rFonts w:ascii="Arial" w:hAnsi="Arial" w:cs="Arial"/>
          <w:sz w:val="22"/>
          <w:szCs w:val="22"/>
        </w:rPr>
        <w:t xml:space="preserve"> Broader economic challenges, including reduced consumer spending power, also threaten demand for non-essential electronic goods. Cybersecurity risks further pose a significant threat, as any data breach could severely damage Fitbit’s reputation and regulatory compliance standing.</w:t>
      </w:r>
    </w:p>
    <w:p w14:paraId="2DEB0223" w14:textId="77777777" w:rsidR="003F7915" w:rsidRDefault="003F7915" w:rsidP="00B67279">
      <w:pPr>
        <w:jc w:val="both"/>
        <w:rPr>
          <w:rFonts w:ascii="Arial" w:hAnsi="Arial" w:cs="Arial"/>
          <w:b/>
          <w:bCs/>
        </w:rPr>
      </w:pPr>
    </w:p>
    <w:p w14:paraId="6A313162" w14:textId="77777777" w:rsidR="005B62ED" w:rsidRDefault="005B62ED" w:rsidP="00ED6BA5">
      <w:pPr>
        <w:jc w:val="center"/>
        <w:rPr>
          <w:rFonts w:ascii="Arial" w:hAnsi="Arial" w:cs="Arial"/>
          <w:b/>
          <w:bCs/>
        </w:rPr>
      </w:pPr>
    </w:p>
    <w:p w14:paraId="4E7159FE" w14:textId="77777777" w:rsidR="005B62ED" w:rsidRDefault="005B62ED" w:rsidP="00ED6BA5">
      <w:pPr>
        <w:jc w:val="center"/>
        <w:rPr>
          <w:rFonts w:ascii="Arial" w:hAnsi="Arial" w:cs="Arial"/>
          <w:b/>
          <w:bCs/>
        </w:rPr>
      </w:pPr>
    </w:p>
    <w:p w14:paraId="61D933F5" w14:textId="7C406BB8" w:rsidR="003B3894" w:rsidRPr="00307F50" w:rsidRDefault="005B62ED" w:rsidP="00ED6BA5">
      <w:pPr>
        <w:jc w:val="center"/>
        <w:rPr>
          <w:rFonts w:ascii="Arial" w:hAnsi="Arial" w:cs="Arial"/>
          <w:b/>
          <w:bCs/>
          <w:sz w:val="28"/>
          <w:szCs w:val="28"/>
        </w:rPr>
      </w:pPr>
      <w:r w:rsidRPr="00307F50">
        <w:rPr>
          <w:rFonts w:ascii="Arial" w:hAnsi="Arial" w:cs="Arial"/>
          <w:b/>
          <w:bCs/>
          <w:sz w:val="28"/>
          <w:szCs w:val="28"/>
        </w:rPr>
        <w:lastRenderedPageBreak/>
        <w:t>Swot Analysis</w:t>
      </w:r>
    </w:p>
    <w:tbl>
      <w:tblPr>
        <w:tblStyle w:val="TableGrid"/>
        <w:tblW w:w="9908" w:type="dxa"/>
        <w:tblInd w:w="85" w:type="dxa"/>
        <w:tblLook w:val="04A0" w:firstRow="1" w:lastRow="0" w:firstColumn="1" w:lastColumn="0" w:noHBand="0" w:noVBand="1"/>
      </w:tblPr>
      <w:tblGrid>
        <w:gridCol w:w="5000"/>
        <w:gridCol w:w="4908"/>
      </w:tblGrid>
      <w:tr w:rsidR="00B06E4A" w14:paraId="7148A915" w14:textId="77777777" w:rsidTr="00AE35A0">
        <w:trPr>
          <w:trHeight w:val="2699"/>
        </w:trPr>
        <w:tc>
          <w:tcPr>
            <w:tcW w:w="5000" w:type="dxa"/>
          </w:tcPr>
          <w:p w14:paraId="1FB956CF" w14:textId="1F010658" w:rsidR="00B06E4A" w:rsidRPr="00307F50" w:rsidRDefault="00EA282B" w:rsidP="003303E8">
            <w:pPr>
              <w:jc w:val="center"/>
              <w:rPr>
                <w:rFonts w:ascii="Arial" w:hAnsi="Arial" w:cs="Arial"/>
                <w:b/>
                <w:bCs/>
              </w:rPr>
            </w:pPr>
            <w:proofErr w:type="spellStart"/>
            <w:r w:rsidRPr="00307F50">
              <w:rPr>
                <w:rFonts w:ascii="Arial" w:hAnsi="Arial" w:cs="Arial"/>
                <w:b/>
                <w:bCs/>
              </w:rPr>
              <w:t>Strenghts</w:t>
            </w:r>
            <w:proofErr w:type="spellEnd"/>
          </w:p>
          <w:p w14:paraId="321CEF29" w14:textId="77777777" w:rsidR="003303E8" w:rsidRDefault="003303E8" w:rsidP="003303E8">
            <w:pPr>
              <w:pStyle w:val="ListParagraph"/>
              <w:ind w:left="1440"/>
              <w:rPr>
                <w:rFonts w:ascii="Arial" w:hAnsi="Arial" w:cs="Arial"/>
                <w:sz w:val="22"/>
                <w:szCs w:val="22"/>
              </w:rPr>
            </w:pPr>
          </w:p>
          <w:p w14:paraId="7E2D64F1" w14:textId="5E8F14C7" w:rsidR="00A64B23" w:rsidRDefault="002C6F2C" w:rsidP="006743E2">
            <w:pPr>
              <w:pStyle w:val="ListParagraph"/>
              <w:numPr>
                <w:ilvl w:val="0"/>
                <w:numId w:val="11"/>
              </w:numPr>
              <w:rPr>
                <w:rFonts w:ascii="Arial" w:hAnsi="Arial" w:cs="Arial"/>
                <w:sz w:val="22"/>
                <w:szCs w:val="22"/>
              </w:rPr>
            </w:pPr>
            <w:r>
              <w:rPr>
                <w:rFonts w:ascii="Arial" w:hAnsi="Arial" w:cs="Arial"/>
                <w:sz w:val="22"/>
                <w:szCs w:val="22"/>
              </w:rPr>
              <w:t>Backed by Google’s technology</w:t>
            </w:r>
          </w:p>
          <w:p w14:paraId="669BD932" w14:textId="4BEE1CE0" w:rsidR="00BC0EAF" w:rsidRDefault="00BC0EAF" w:rsidP="006743E2">
            <w:pPr>
              <w:pStyle w:val="ListParagraph"/>
              <w:numPr>
                <w:ilvl w:val="0"/>
                <w:numId w:val="11"/>
              </w:numPr>
              <w:rPr>
                <w:rFonts w:ascii="Arial" w:hAnsi="Arial" w:cs="Arial"/>
                <w:sz w:val="22"/>
                <w:szCs w:val="22"/>
              </w:rPr>
            </w:pPr>
            <w:r>
              <w:rPr>
                <w:rFonts w:ascii="Arial" w:hAnsi="Arial" w:cs="Arial"/>
                <w:sz w:val="22"/>
                <w:szCs w:val="22"/>
              </w:rPr>
              <w:t>Advanced data analytics &amp; AI</w:t>
            </w:r>
          </w:p>
          <w:p w14:paraId="1A89D1EE" w14:textId="53156008" w:rsidR="00BC0EAF" w:rsidRDefault="00F011F1" w:rsidP="006743E2">
            <w:pPr>
              <w:pStyle w:val="ListParagraph"/>
              <w:numPr>
                <w:ilvl w:val="0"/>
                <w:numId w:val="11"/>
              </w:numPr>
              <w:rPr>
                <w:rFonts w:ascii="Arial" w:hAnsi="Arial" w:cs="Arial"/>
                <w:sz w:val="22"/>
                <w:szCs w:val="22"/>
              </w:rPr>
            </w:pPr>
            <w:r>
              <w:rPr>
                <w:rFonts w:ascii="Arial" w:hAnsi="Arial" w:cs="Arial"/>
                <w:sz w:val="22"/>
                <w:szCs w:val="22"/>
              </w:rPr>
              <w:t xml:space="preserve">Strong reputation in </w:t>
            </w:r>
            <w:r w:rsidR="00557CF3">
              <w:rPr>
                <w:rFonts w:ascii="Arial" w:hAnsi="Arial" w:cs="Arial"/>
                <w:sz w:val="22"/>
                <w:szCs w:val="22"/>
              </w:rPr>
              <w:t>well-being</w:t>
            </w:r>
            <w:r>
              <w:rPr>
                <w:rFonts w:ascii="Arial" w:hAnsi="Arial" w:cs="Arial"/>
                <w:sz w:val="22"/>
                <w:szCs w:val="22"/>
              </w:rPr>
              <w:t xml:space="preserve"> </w:t>
            </w:r>
            <w:r w:rsidR="009C3FDB">
              <w:rPr>
                <w:rFonts w:ascii="Arial" w:hAnsi="Arial" w:cs="Arial"/>
                <w:sz w:val="22"/>
                <w:szCs w:val="22"/>
              </w:rPr>
              <w:t>tech</w:t>
            </w:r>
          </w:p>
          <w:p w14:paraId="7D23D764" w14:textId="13C65792" w:rsidR="009C3FDB" w:rsidRDefault="00557CF3" w:rsidP="006743E2">
            <w:pPr>
              <w:pStyle w:val="ListParagraph"/>
              <w:numPr>
                <w:ilvl w:val="0"/>
                <w:numId w:val="11"/>
              </w:numPr>
              <w:rPr>
                <w:rFonts w:ascii="Arial" w:hAnsi="Arial" w:cs="Arial"/>
                <w:sz w:val="22"/>
                <w:szCs w:val="22"/>
              </w:rPr>
            </w:pPr>
            <w:r>
              <w:rPr>
                <w:rFonts w:ascii="Arial" w:hAnsi="Arial" w:cs="Arial"/>
                <w:sz w:val="22"/>
                <w:szCs w:val="22"/>
              </w:rPr>
              <w:t>Wide range of wearable devices</w:t>
            </w:r>
          </w:p>
          <w:p w14:paraId="5ED050E4" w14:textId="08D68B4E" w:rsidR="000D6A76" w:rsidRPr="00A64B23" w:rsidRDefault="000D6A76" w:rsidP="006743E2">
            <w:pPr>
              <w:pStyle w:val="ListParagraph"/>
              <w:numPr>
                <w:ilvl w:val="0"/>
                <w:numId w:val="11"/>
              </w:numPr>
              <w:rPr>
                <w:rFonts w:ascii="Arial" w:hAnsi="Arial" w:cs="Arial"/>
                <w:sz w:val="22"/>
                <w:szCs w:val="22"/>
              </w:rPr>
            </w:pPr>
            <w:r>
              <w:rPr>
                <w:rFonts w:ascii="Arial" w:hAnsi="Arial" w:cs="Arial"/>
                <w:sz w:val="22"/>
                <w:szCs w:val="22"/>
              </w:rPr>
              <w:t xml:space="preserve">Large and active </w:t>
            </w:r>
            <w:r w:rsidR="003303E8">
              <w:rPr>
                <w:rFonts w:ascii="Arial" w:hAnsi="Arial" w:cs="Arial"/>
                <w:sz w:val="22"/>
                <w:szCs w:val="22"/>
              </w:rPr>
              <w:t>user community</w:t>
            </w:r>
          </w:p>
          <w:p w14:paraId="16EDDC3D" w14:textId="2C049429" w:rsidR="00A64B23" w:rsidRPr="00424EB1" w:rsidRDefault="00A64B23" w:rsidP="00ED6BA5">
            <w:pPr>
              <w:jc w:val="center"/>
              <w:rPr>
                <w:rFonts w:ascii="Arial" w:hAnsi="Arial" w:cs="Arial"/>
                <w:sz w:val="22"/>
                <w:szCs w:val="22"/>
              </w:rPr>
            </w:pPr>
          </w:p>
        </w:tc>
        <w:tc>
          <w:tcPr>
            <w:tcW w:w="4908" w:type="dxa"/>
          </w:tcPr>
          <w:p w14:paraId="13E41909" w14:textId="77777777" w:rsidR="00B06E4A" w:rsidRDefault="004B6111" w:rsidP="00ED6BA5">
            <w:pPr>
              <w:jc w:val="center"/>
              <w:rPr>
                <w:rFonts w:ascii="Arial" w:hAnsi="Arial" w:cs="Arial"/>
                <w:b/>
                <w:bCs/>
              </w:rPr>
            </w:pPr>
            <w:r>
              <w:rPr>
                <w:rFonts w:ascii="Arial" w:hAnsi="Arial" w:cs="Arial"/>
                <w:b/>
                <w:bCs/>
              </w:rPr>
              <w:t>Weaknes</w:t>
            </w:r>
            <w:r w:rsidR="00A06AB9">
              <w:rPr>
                <w:rFonts w:ascii="Arial" w:hAnsi="Arial" w:cs="Arial"/>
                <w:b/>
                <w:bCs/>
              </w:rPr>
              <w:t>ses</w:t>
            </w:r>
          </w:p>
          <w:p w14:paraId="2FD4F6DB" w14:textId="77777777" w:rsidR="00A06AB9" w:rsidRDefault="00A06AB9" w:rsidP="00ED6BA5">
            <w:pPr>
              <w:jc w:val="center"/>
              <w:rPr>
                <w:rFonts w:ascii="Arial" w:hAnsi="Arial" w:cs="Arial"/>
                <w:b/>
                <w:bCs/>
              </w:rPr>
            </w:pPr>
          </w:p>
          <w:p w14:paraId="06782814" w14:textId="77777777" w:rsidR="00A06AB9" w:rsidRDefault="004043C3" w:rsidP="004043C3">
            <w:pPr>
              <w:pStyle w:val="ListParagraph"/>
              <w:numPr>
                <w:ilvl w:val="0"/>
                <w:numId w:val="14"/>
              </w:numPr>
              <w:rPr>
                <w:rFonts w:ascii="Arial" w:hAnsi="Arial" w:cs="Arial"/>
                <w:sz w:val="22"/>
                <w:szCs w:val="22"/>
              </w:rPr>
            </w:pPr>
            <w:r>
              <w:rPr>
                <w:rFonts w:ascii="Arial" w:hAnsi="Arial" w:cs="Arial"/>
                <w:sz w:val="22"/>
                <w:szCs w:val="22"/>
              </w:rPr>
              <w:t xml:space="preserve">Heavy </w:t>
            </w:r>
            <w:r w:rsidR="00950E89">
              <w:rPr>
                <w:rFonts w:ascii="Arial" w:hAnsi="Arial" w:cs="Arial"/>
                <w:sz w:val="22"/>
                <w:szCs w:val="22"/>
              </w:rPr>
              <w:t xml:space="preserve">dependence on </w:t>
            </w:r>
            <w:proofErr w:type="gramStart"/>
            <w:r w:rsidR="00950E89">
              <w:rPr>
                <w:rFonts w:ascii="Arial" w:hAnsi="Arial" w:cs="Arial"/>
                <w:sz w:val="22"/>
                <w:szCs w:val="22"/>
              </w:rPr>
              <w:t>hardware  sales</w:t>
            </w:r>
            <w:proofErr w:type="gramEnd"/>
            <w:r w:rsidR="00950E89">
              <w:rPr>
                <w:rFonts w:ascii="Arial" w:hAnsi="Arial" w:cs="Arial"/>
                <w:sz w:val="22"/>
                <w:szCs w:val="22"/>
              </w:rPr>
              <w:t xml:space="preserve"> </w:t>
            </w:r>
          </w:p>
          <w:p w14:paraId="03B8D1F1" w14:textId="77777777" w:rsidR="0043043F" w:rsidRDefault="0043043F" w:rsidP="004043C3">
            <w:pPr>
              <w:pStyle w:val="ListParagraph"/>
              <w:numPr>
                <w:ilvl w:val="0"/>
                <w:numId w:val="14"/>
              </w:numPr>
              <w:rPr>
                <w:rFonts w:ascii="Arial" w:hAnsi="Arial" w:cs="Arial"/>
                <w:sz w:val="22"/>
                <w:szCs w:val="22"/>
              </w:rPr>
            </w:pPr>
            <w:r>
              <w:rPr>
                <w:rFonts w:ascii="Arial" w:hAnsi="Arial" w:cs="Arial"/>
                <w:sz w:val="22"/>
                <w:szCs w:val="22"/>
              </w:rPr>
              <w:t xml:space="preserve">Difficulty </w:t>
            </w:r>
            <w:r w:rsidR="00ED6D2B">
              <w:rPr>
                <w:rFonts w:ascii="Arial" w:hAnsi="Arial" w:cs="Arial"/>
                <w:sz w:val="22"/>
                <w:szCs w:val="22"/>
              </w:rPr>
              <w:t>standing out in a saturated market</w:t>
            </w:r>
          </w:p>
          <w:p w14:paraId="08DE3E70" w14:textId="77777777" w:rsidR="00ED6D2B" w:rsidRDefault="00ED6D2B" w:rsidP="004043C3">
            <w:pPr>
              <w:pStyle w:val="ListParagraph"/>
              <w:numPr>
                <w:ilvl w:val="0"/>
                <w:numId w:val="14"/>
              </w:numPr>
              <w:rPr>
                <w:rFonts w:ascii="Arial" w:hAnsi="Arial" w:cs="Arial"/>
                <w:sz w:val="22"/>
                <w:szCs w:val="22"/>
              </w:rPr>
            </w:pPr>
            <w:r>
              <w:rPr>
                <w:rFonts w:ascii="Arial" w:hAnsi="Arial" w:cs="Arial"/>
                <w:sz w:val="22"/>
                <w:szCs w:val="22"/>
              </w:rPr>
              <w:t xml:space="preserve">Concerns over data privacy </w:t>
            </w:r>
            <w:r w:rsidR="00814F16">
              <w:rPr>
                <w:rFonts w:ascii="Arial" w:hAnsi="Arial" w:cs="Arial"/>
                <w:sz w:val="22"/>
                <w:szCs w:val="22"/>
              </w:rPr>
              <w:t xml:space="preserve">due to Google association </w:t>
            </w:r>
          </w:p>
          <w:p w14:paraId="252DC091" w14:textId="77777777" w:rsidR="00150E95" w:rsidRDefault="00150E95" w:rsidP="004043C3">
            <w:pPr>
              <w:pStyle w:val="ListParagraph"/>
              <w:numPr>
                <w:ilvl w:val="0"/>
                <w:numId w:val="14"/>
              </w:numPr>
              <w:rPr>
                <w:rFonts w:ascii="Arial" w:hAnsi="Arial" w:cs="Arial"/>
                <w:sz w:val="22"/>
                <w:szCs w:val="22"/>
              </w:rPr>
            </w:pPr>
            <w:r>
              <w:rPr>
                <w:rFonts w:ascii="Arial" w:hAnsi="Arial" w:cs="Arial"/>
                <w:sz w:val="22"/>
                <w:szCs w:val="22"/>
              </w:rPr>
              <w:t>High production cost</w:t>
            </w:r>
          </w:p>
          <w:p w14:paraId="3E26CB0E" w14:textId="119D148B" w:rsidR="00FE2F86" w:rsidRPr="004043C3" w:rsidRDefault="00FE2F86" w:rsidP="004043C3">
            <w:pPr>
              <w:pStyle w:val="ListParagraph"/>
              <w:numPr>
                <w:ilvl w:val="0"/>
                <w:numId w:val="14"/>
              </w:numPr>
              <w:rPr>
                <w:rFonts w:ascii="Arial" w:hAnsi="Arial" w:cs="Arial"/>
                <w:sz w:val="22"/>
                <w:szCs w:val="22"/>
              </w:rPr>
            </w:pPr>
            <w:r>
              <w:rPr>
                <w:rFonts w:ascii="Arial" w:hAnsi="Arial" w:cs="Arial"/>
                <w:sz w:val="22"/>
                <w:szCs w:val="22"/>
              </w:rPr>
              <w:t xml:space="preserve">Regulatory compliance </w:t>
            </w:r>
          </w:p>
        </w:tc>
      </w:tr>
      <w:tr w:rsidR="00B06E4A" w14:paraId="14C3E54E" w14:textId="77777777" w:rsidTr="00AE35A0">
        <w:trPr>
          <w:trHeight w:val="1830"/>
        </w:trPr>
        <w:tc>
          <w:tcPr>
            <w:tcW w:w="5000" w:type="dxa"/>
          </w:tcPr>
          <w:p w14:paraId="23DF361D" w14:textId="320D020D" w:rsidR="00701303" w:rsidRDefault="00FE2F86" w:rsidP="00701303">
            <w:pPr>
              <w:jc w:val="center"/>
              <w:rPr>
                <w:rFonts w:ascii="Arial" w:hAnsi="Arial" w:cs="Arial"/>
                <w:b/>
                <w:bCs/>
              </w:rPr>
            </w:pPr>
            <w:proofErr w:type="spellStart"/>
            <w:r>
              <w:rPr>
                <w:rFonts w:ascii="Arial" w:hAnsi="Arial" w:cs="Arial"/>
                <w:b/>
                <w:bCs/>
              </w:rPr>
              <w:t>Oportinities</w:t>
            </w:r>
            <w:proofErr w:type="spellEnd"/>
            <w:r>
              <w:rPr>
                <w:rFonts w:ascii="Arial" w:hAnsi="Arial" w:cs="Arial"/>
                <w:b/>
                <w:bCs/>
              </w:rPr>
              <w:t xml:space="preserve"> </w:t>
            </w:r>
          </w:p>
          <w:p w14:paraId="172423F0" w14:textId="77777777" w:rsidR="00ED1D1F" w:rsidRDefault="00ED1D1F" w:rsidP="00701303">
            <w:pPr>
              <w:jc w:val="center"/>
              <w:rPr>
                <w:rFonts w:ascii="Arial" w:hAnsi="Arial" w:cs="Arial"/>
                <w:b/>
                <w:bCs/>
              </w:rPr>
            </w:pPr>
          </w:p>
          <w:p w14:paraId="2EBBE099" w14:textId="7F290333" w:rsidR="00ED1D1F" w:rsidRPr="008B1683" w:rsidRDefault="00ED1D1F" w:rsidP="00ED1D1F">
            <w:pPr>
              <w:pStyle w:val="ListParagraph"/>
              <w:numPr>
                <w:ilvl w:val="0"/>
                <w:numId w:val="18"/>
              </w:numPr>
              <w:rPr>
                <w:rFonts w:ascii="Arial" w:hAnsi="Arial" w:cs="Arial"/>
                <w:b/>
                <w:bCs/>
              </w:rPr>
            </w:pPr>
            <w:r>
              <w:rPr>
                <w:rFonts w:ascii="Arial" w:hAnsi="Arial" w:cs="Arial"/>
                <w:sz w:val="22"/>
                <w:szCs w:val="22"/>
              </w:rPr>
              <w:t xml:space="preserve">Growing </w:t>
            </w:r>
            <w:r w:rsidR="00FE675E">
              <w:rPr>
                <w:rFonts w:ascii="Arial" w:hAnsi="Arial" w:cs="Arial"/>
                <w:sz w:val="22"/>
                <w:szCs w:val="22"/>
              </w:rPr>
              <w:t>digital health</w:t>
            </w:r>
            <w:r w:rsidR="00597A9B">
              <w:rPr>
                <w:rFonts w:ascii="Arial" w:hAnsi="Arial" w:cs="Arial"/>
                <w:sz w:val="22"/>
                <w:szCs w:val="22"/>
              </w:rPr>
              <w:t xml:space="preserve"> </w:t>
            </w:r>
            <w:r w:rsidR="008B1683">
              <w:rPr>
                <w:rFonts w:ascii="Arial" w:hAnsi="Arial" w:cs="Arial"/>
                <w:sz w:val="22"/>
                <w:szCs w:val="22"/>
              </w:rPr>
              <w:t>&amp; remote monitoring market</w:t>
            </w:r>
          </w:p>
          <w:p w14:paraId="45FD2A91" w14:textId="5D8C7B8B" w:rsidR="008B1683" w:rsidRPr="00597A9B" w:rsidRDefault="004669B6" w:rsidP="00ED1D1F">
            <w:pPr>
              <w:pStyle w:val="ListParagraph"/>
              <w:numPr>
                <w:ilvl w:val="0"/>
                <w:numId w:val="18"/>
              </w:numPr>
              <w:rPr>
                <w:rFonts w:ascii="Arial" w:hAnsi="Arial" w:cs="Arial"/>
                <w:b/>
                <w:bCs/>
              </w:rPr>
            </w:pPr>
            <w:r>
              <w:rPr>
                <w:rFonts w:ascii="Arial" w:hAnsi="Arial" w:cs="Arial"/>
                <w:sz w:val="22"/>
                <w:szCs w:val="22"/>
              </w:rPr>
              <w:t xml:space="preserve">Partnership with </w:t>
            </w:r>
            <w:r w:rsidR="000719AB">
              <w:rPr>
                <w:rFonts w:ascii="Arial" w:hAnsi="Arial" w:cs="Arial"/>
                <w:sz w:val="22"/>
                <w:szCs w:val="22"/>
              </w:rPr>
              <w:t>h</w:t>
            </w:r>
            <w:r>
              <w:rPr>
                <w:rFonts w:ascii="Arial" w:hAnsi="Arial" w:cs="Arial"/>
                <w:sz w:val="22"/>
                <w:szCs w:val="22"/>
              </w:rPr>
              <w:t>ealthcare prov</w:t>
            </w:r>
            <w:r w:rsidR="000719AB">
              <w:rPr>
                <w:rFonts w:ascii="Arial" w:hAnsi="Arial" w:cs="Arial"/>
                <w:sz w:val="22"/>
                <w:szCs w:val="22"/>
              </w:rPr>
              <w:t xml:space="preserve">iders, NHS </w:t>
            </w:r>
          </w:p>
          <w:p w14:paraId="284368D1" w14:textId="3C14528C" w:rsidR="00597A9B" w:rsidRPr="00ED1D1F" w:rsidRDefault="005E732F" w:rsidP="00ED1D1F">
            <w:pPr>
              <w:pStyle w:val="ListParagraph"/>
              <w:numPr>
                <w:ilvl w:val="0"/>
                <w:numId w:val="18"/>
              </w:numPr>
              <w:rPr>
                <w:rFonts w:ascii="Arial" w:hAnsi="Arial" w:cs="Arial"/>
                <w:b/>
                <w:bCs/>
              </w:rPr>
            </w:pPr>
            <w:r>
              <w:rPr>
                <w:rFonts w:ascii="Arial" w:hAnsi="Arial" w:cs="Arial"/>
                <w:sz w:val="22"/>
                <w:szCs w:val="22"/>
              </w:rPr>
              <w:t>Investment</w:t>
            </w:r>
            <w:r w:rsidR="00597A9B">
              <w:rPr>
                <w:rFonts w:ascii="Arial" w:hAnsi="Arial" w:cs="Arial"/>
                <w:sz w:val="22"/>
                <w:szCs w:val="22"/>
              </w:rPr>
              <w:t xml:space="preserve"> in </w:t>
            </w:r>
            <w:r w:rsidR="00AE35A0">
              <w:rPr>
                <w:rFonts w:ascii="Arial" w:hAnsi="Arial" w:cs="Arial"/>
                <w:sz w:val="22"/>
                <w:szCs w:val="22"/>
              </w:rPr>
              <w:t>AI-driven</w:t>
            </w:r>
            <w:r>
              <w:rPr>
                <w:rFonts w:ascii="Arial" w:hAnsi="Arial" w:cs="Arial"/>
                <w:sz w:val="22"/>
                <w:szCs w:val="22"/>
              </w:rPr>
              <w:t xml:space="preserve"> health analytics </w:t>
            </w:r>
          </w:p>
          <w:p w14:paraId="0B00E8A3" w14:textId="77777777" w:rsidR="001327F6" w:rsidRDefault="001327F6" w:rsidP="00ED6BA5">
            <w:pPr>
              <w:jc w:val="center"/>
              <w:rPr>
                <w:rFonts w:ascii="Arial" w:hAnsi="Arial" w:cs="Arial"/>
                <w:sz w:val="22"/>
                <w:szCs w:val="22"/>
              </w:rPr>
            </w:pPr>
          </w:p>
          <w:p w14:paraId="0B8B7209" w14:textId="52AD40E2" w:rsidR="00E002CF" w:rsidRPr="001327F6" w:rsidRDefault="00E002CF" w:rsidP="00701303">
            <w:pPr>
              <w:pStyle w:val="ListParagraph"/>
              <w:rPr>
                <w:rFonts w:ascii="Arial" w:hAnsi="Arial" w:cs="Arial"/>
                <w:sz w:val="22"/>
                <w:szCs w:val="22"/>
              </w:rPr>
            </w:pPr>
          </w:p>
        </w:tc>
        <w:tc>
          <w:tcPr>
            <w:tcW w:w="4908" w:type="dxa"/>
          </w:tcPr>
          <w:p w14:paraId="0E5E9838" w14:textId="77777777" w:rsidR="00B06E4A" w:rsidRDefault="008D0920" w:rsidP="00ED6BA5">
            <w:pPr>
              <w:jc w:val="center"/>
              <w:rPr>
                <w:rFonts w:ascii="Arial" w:hAnsi="Arial" w:cs="Arial"/>
                <w:b/>
                <w:bCs/>
              </w:rPr>
            </w:pPr>
            <w:r>
              <w:rPr>
                <w:rFonts w:ascii="Arial" w:hAnsi="Arial" w:cs="Arial"/>
                <w:b/>
                <w:bCs/>
              </w:rPr>
              <w:t>Threats</w:t>
            </w:r>
          </w:p>
          <w:p w14:paraId="226A9B96" w14:textId="77777777" w:rsidR="00CC497D" w:rsidRPr="00AE35A0" w:rsidRDefault="00CC497D" w:rsidP="00ED6BA5">
            <w:pPr>
              <w:jc w:val="center"/>
              <w:rPr>
                <w:rFonts w:ascii="Arial" w:hAnsi="Arial" w:cs="Arial"/>
                <w:sz w:val="22"/>
                <w:szCs w:val="22"/>
              </w:rPr>
            </w:pPr>
          </w:p>
          <w:p w14:paraId="7B3DC766" w14:textId="4D92EDE2" w:rsidR="00F3156C" w:rsidRPr="00AE35A0" w:rsidRDefault="008E65A6" w:rsidP="006868D4">
            <w:pPr>
              <w:pStyle w:val="ListParagraph"/>
              <w:numPr>
                <w:ilvl w:val="0"/>
                <w:numId w:val="20"/>
              </w:numPr>
              <w:rPr>
                <w:rFonts w:ascii="Arial" w:hAnsi="Arial" w:cs="Arial"/>
                <w:sz w:val="22"/>
                <w:szCs w:val="22"/>
              </w:rPr>
            </w:pPr>
            <w:r w:rsidRPr="00AE35A0">
              <w:rPr>
                <w:rFonts w:ascii="Arial" w:hAnsi="Arial" w:cs="Arial"/>
                <w:sz w:val="22"/>
                <w:szCs w:val="22"/>
              </w:rPr>
              <w:t xml:space="preserve">Supply </w:t>
            </w:r>
            <w:r w:rsidR="00BE60EE" w:rsidRPr="00AE35A0">
              <w:rPr>
                <w:rFonts w:ascii="Arial" w:hAnsi="Arial" w:cs="Arial"/>
                <w:sz w:val="22"/>
                <w:szCs w:val="22"/>
              </w:rPr>
              <w:t>chain disruption &amp; component shortages</w:t>
            </w:r>
          </w:p>
          <w:p w14:paraId="46EA6373" w14:textId="18BCCF38" w:rsidR="00B05986" w:rsidRPr="00AE35A0" w:rsidRDefault="00B05986" w:rsidP="006868D4">
            <w:pPr>
              <w:pStyle w:val="ListParagraph"/>
              <w:numPr>
                <w:ilvl w:val="0"/>
                <w:numId w:val="20"/>
              </w:numPr>
              <w:rPr>
                <w:rFonts w:ascii="Arial" w:hAnsi="Arial" w:cs="Arial"/>
                <w:sz w:val="22"/>
                <w:szCs w:val="22"/>
              </w:rPr>
            </w:pPr>
            <w:r w:rsidRPr="00AE35A0">
              <w:rPr>
                <w:rFonts w:ascii="Arial" w:hAnsi="Arial" w:cs="Arial"/>
                <w:sz w:val="22"/>
                <w:szCs w:val="22"/>
              </w:rPr>
              <w:t>Cybersecurity risk and potential</w:t>
            </w:r>
            <w:r w:rsidR="006868D4" w:rsidRPr="00AE35A0">
              <w:rPr>
                <w:rFonts w:ascii="Arial" w:hAnsi="Arial" w:cs="Arial"/>
                <w:sz w:val="22"/>
                <w:szCs w:val="22"/>
              </w:rPr>
              <w:t xml:space="preserve"> data breaches</w:t>
            </w:r>
          </w:p>
          <w:p w14:paraId="5EC54DC1" w14:textId="6E90267D" w:rsidR="005E2664" w:rsidRPr="00AE35A0" w:rsidRDefault="005E2664" w:rsidP="006868D4">
            <w:pPr>
              <w:pStyle w:val="ListParagraph"/>
              <w:numPr>
                <w:ilvl w:val="0"/>
                <w:numId w:val="20"/>
              </w:numPr>
              <w:rPr>
                <w:rFonts w:ascii="Arial" w:hAnsi="Arial" w:cs="Arial"/>
                <w:sz w:val="22"/>
                <w:szCs w:val="22"/>
              </w:rPr>
            </w:pPr>
            <w:r w:rsidRPr="00AE35A0">
              <w:rPr>
                <w:rFonts w:ascii="Arial" w:hAnsi="Arial" w:cs="Arial"/>
                <w:sz w:val="22"/>
                <w:szCs w:val="22"/>
              </w:rPr>
              <w:t xml:space="preserve">Intense competition </w:t>
            </w:r>
            <w:r w:rsidR="00AE35A0" w:rsidRPr="00AE35A0">
              <w:rPr>
                <w:rFonts w:ascii="Arial" w:hAnsi="Arial" w:cs="Arial"/>
                <w:sz w:val="22"/>
                <w:szCs w:val="22"/>
              </w:rPr>
              <w:t>(Apple</w:t>
            </w:r>
            <w:r w:rsidRPr="00AE35A0">
              <w:rPr>
                <w:rFonts w:ascii="Arial" w:hAnsi="Arial" w:cs="Arial"/>
                <w:sz w:val="22"/>
                <w:szCs w:val="22"/>
              </w:rPr>
              <w:t xml:space="preserve">, Samsung, Garmin). </w:t>
            </w:r>
          </w:p>
          <w:p w14:paraId="3249FE09" w14:textId="77777777" w:rsidR="00BE60EE" w:rsidRPr="00CC497D" w:rsidRDefault="00BE60EE" w:rsidP="00BE60EE">
            <w:pPr>
              <w:pStyle w:val="ListParagraph"/>
              <w:rPr>
                <w:rFonts w:ascii="Arial" w:hAnsi="Arial" w:cs="Arial"/>
                <w:b/>
                <w:bCs/>
              </w:rPr>
            </w:pPr>
          </w:p>
          <w:p w14:paraId="5FFA8B36" w14:textId="77777777" w:rsidR="004C3E05" w:rsidRDefault="004C3E05" w:rsidP="00ED6BA5">
            <w:pPr>
              <w:jc w:val="center"/>
              <w:rPr>
                <w:rFonts w:ascii="Arial" w:hAnsi="Arial" w:cs="Arial"/>
                <w:b/>
                <w:bCs/>
              </w:rPr>
            </w:pPr>
          </w:p>
          <w:p w14:paraId="1BF0639E" w14:textId="77777777" w:rsidR="008D0920" w:rsidRDefault="008D0920" w:rsidP="00ED6BA5">
            <w:pPr>
              <w:jc w:val="center"/>
              <w:rPr>
                <w:rFonts w:ascii="Arial" w:hAnsi="Arial" w:cs="Arial"/>
                <w:b/>
                <w:bCs/>
              </w:rPr>
            </w:pPr>
          </w:p>
          <w:p w14:paraId="7FA269DB" w14:textId="1819E150" w:rsidR="008D0920" w:rsidRPr="00701303" w:rsidRDefault="008D0920" w:rsidP="00701303">
            <w:pPr>
              <w:rPr>
                <w:rFonts w:ascii="Arial" w:hAnsi="Arial" w:cs="Arial"/>
                <w:b/>
                <w:bCs/>
              </w:rPr>
            </w:pPr>
          </w:p>
        </w:tc>
      </w:tr>
    </w:tbl>
    <w:p w14:paraId="1300A82B" w14:textId="4BFD5857" w:rsidR="003B3894" w:rsidRDefault="003B3894" w:rsidP="00ED6BA5">
      <w:pPr>
        <w:jc w:val="center"/>
        <w:rPr>
          <w:rFonts w:ascii="Arial" w:hAnsi="Arial" w:cs="Arial"/>
          <w:b/>
          <w:bCs/>
        </w:rPr>
      </w:pPr>
    </w:p>
    <w:p w14:paraId="4C781DEF" w14:textId="77777777" w:rsidR="00011BD9" w:rsidRDefault="00011BD9" w:rsidP="003B3894">
      <w:pPr>
        <w:jc w:val="center"/>
        <w:rPr>
          <w:rFonts w:ascii="Arial" w:hAnsi="Arial" w:cs="Arial"/>
          <w:b/>
          <w:bCs/>
        </w:rPr>
      </w:pPr>
    </w:p>
    <w:p w14:paraId="6931C4E1" w14:textId="79B26921" w:rsidR="008F731B" w:rsidRDefault="008F731B" w:rsidP="003B3894">
      <w:pPr>
        <w:jc w:val="center"/>
        <w:rPr>
          <w:rFonts w:ascii="Arial" w:hAnsi="Arial" w:cs="Arial"/>
          <w:b/>
          <w:bCs/>
        </w:rPr>
      </w:pPr>
      <w:r w:rsidRPr="008F731B">
        <w:rPr>
          <w:rFonts w:ascii="Arial" w:hAnsi="Arial" w:cs="Arial"/>
          <w:b/>
          <w:bCs/>
        </w:rPr>
        <w:t>Key Internal and External Stakeholders</w:t>
      </w:r>
    </w:p>
    <w:p w14:paraId="221AEB3F" w14:textId="7DBF9CD6" w:rsidR="008F731B" w:rsidRDefault="008F731B" w:rsidP="003B3894">
      <w:pPr>
        <w:spacing w:line="360" w:lineRule="auto"/>
        <w:jc w:val="both"/>
        <w:rPr>
          <w:rFonts w:ascii="Arial" w:hAnsi="Arial" w:cs="Arial"/>
          <w:sz w:val="22"/>
          <w:szCs w:val="22"/>
        </w:rPr>
      </w:pPr>
      <w:r w:rsidRPr="008F731B">
        <w:rPr>
          <w:rFonts w:ascii="Arial" w:hAnsi="Arial" w:cs="Arial"/>
          <w:sz w:val="22"/>
          <w:szCs w:val="22"/>
        </w:rPr>
        <w:t xml:space="preserve">Stakeholder identification is a crucial early phase in project planning, as it determines who has </w:t>
      </w:r>
      <w:r>
        <w:rPr>
          <w:rFonts w:ascii="Arial" w:hAnsi="Arial" w:cs="Arial"/>
          <w:sz w:val="22"/>
          <w:szCs w:val="22"/>
        </w:rPr>
        <w:t xml:space="preserve">an </w:t>
      </w:r>
      <w:r w:rsidRPr="008F731B">
        <w:rPr>
          <w:rFonts w:ascii="Arial" w:hAnsi="Arial" w:cs="Arial"/>
          <w:sz w:val="22"/>
          <w:szCs w:val="22"/>
        </w:rPr>
        <w:t xml:space="preserve">interest in, influence over, or responsibility for project outcomes (PMI, 2021). </w:t>
      </w:r>
    </w:p>
    <w:p w14:paraId="2DD31919" w14:textId="429325B8" w:rsidR="008F731B" w:rsidRDefault="008F731B" w:rsidP="003B3894">
      <w:pPr>
        <w:spacing w:line="360" w:lineRule="auto"/>
        <w:jc w:val="both"/>
        <w:rPr>
          <w:rFonts w:ascii="Arial" w:hAnsi="Arial" w:cs="Arial"/>
          <w:sz w:val="22"/>
          <w:szCs w:val="22"/>
        </w:rPr>
      </w:pPr>
      <w:r w:rsidRPr="008F731B">
        <w:rPr>
          <w:rFonts w:ascii="Arial" w:hAnsi="Arial" w:cs="Arial"/>
          <w:sz w:val="22"/>
          <w:szCs w:val="22"/>
        </w:rPr>
        <w:t>For Fitbit UK's product launch, stakeholders can be grouped into internal and external categories.</w:t>
      </w:r>
    </w:p>
    <w:p w14:paraId="2B3B3C13" w14:textId="09CC9C97" w:rsidR="008F731B" w:rsidRDefault="008F731B" w:rsidP="003F7915">
      <w:pPr>
        <w:spacing w:line="360" w:lineRule="auto"/>
        <w:jc w:val="center"/>
        <w:rPr>
          <w:rFonts w:ascii="Arial" w:hAnsi="Arial" w:cs="Arial"/>
          <w:b/>
          <w:bCs/>
        </w:rPr>
      </w:pPr>
      <w:r w:rsidRPr="008F731B">
        <w:rPr>
          <w:rFonts w:ascii="Arial" w:hAnsi="Arial" w:cs="Arial"/>
          <w:b/>
          <w:bCs/>
        </w:rPr>
        <w:t>Internal stakeholders</w:t>
      </w:r>
    </w:p>
    <w:p w14:paraId="2D2B9BA1" w14:textId="0911908E" w:rsidR="008F731B" w:rsidRDefault="008F731B" w:rsidP="00C823C5">
      <w:pPr>
        <w:spacing w:line="360" w:lineRule="auto"/>
        <w:jc w:val="both"/>
        <w:rPr>
          <w:rFonts w:ascii="Arial" w:hAnsi="Arial" w:cs="Arial"/>
          <w:sz w:val="22"/>
          <w:szCs w:val="22"/>
        </w:rPr>
      </w:pPr>
      <w:r w:rsidRPr="008F731B">
        <w:rPr>
          <w:rFonts w:ascii="Arial" w:hAnsi="Arial" w:cs="Arial"/>
          <w:b/>
          <w:bCs/>
          <w:sz w:val="22"/>
          <w:szCs w:val="22"/>
        </w:rPr>
        <w:t>Executive Leadership:</w:t>
      </w:r>
      <w:r>
        <w:rPr>
          <w:rFonts w:ascii="Arial" w:hAnsi="Arial" w:cs="Arial"/>
          <w:sz w:val="22"/>
          <w:szCs w:val="22"/>
        </w:rPr>
        <w:t xml:space="preserve"> </w:t>
      </w:r>
      <w:r w:rsidRPr="008F731B">
        <w:rPr>
          <w:rFonts w:ascii="Arial" w:hAnsi="Arial" w:cs="Arial"/>
          <w:sz w:val="22"/>
          <w:szCs w:val="22"/>
        </w:rPr>
        <w:t xml:space="preserve">Fitbit UK’s executives provide strategic oversight, authorize budgets, and approve major project decisions. Their involvement is essential for securing resources and ensuring the project aligns with </w:t>
      </w:r>
      <w:r w:rsidR="00C93758">
        <w:rPr>
          <w:rFonts w:ascii="Arial" w:hAnsi="Arial" w:cs="Arial"/>
          <w:sz w:val="22"/>
          <w:szCs w:val="22"/>
        </w:rPr>
        <w:t xml:space="preserve">the company’s </w:t>
      </w:r>
      <w:r w:rsidRPr="008F731B">
        <w:rPr>
          <w:rFonts w:ascii="Arial" w:hAnsi="Arial" w:cs="Arial"/>
          <w:sz w:val="22"/>
          <w:szCs w:val="22"/>
        </w:rPr>
        <w:t>wider health technology goals.</w:t>
      </w:r>
    </w:p>
    <w:p w14:paraId="01C8E2EE" w14:textId="319E6975" w:rsidR="008F731B" w:rsidRDefault="008F731B" w:rsidP="00C823C5">
      <w:pPr>
        <w:spacing w:line="360" w:lineRule="auto"/>
        <w:jc w:val="both"/>
        <w:rPr>
          <w:rFonts w:ascii="Arial" w:hAnsi="Arial" w:cs="Arial"/>
          <w:sz w:val="22"/>
          <w:szCs w:val="22"/>
        </w:rPr>
      </w:pPr>
      <w:r w:rsidRPr="008F731B">
        <w:rPr>
          <w:rFonts w:ascii="Arial" w:hAnsi="Arial" w:cs="Arial"/>
          <w:b/>
          <w:bCs/>
          <w:sz w:val="22"/>
          <w:szCs w:val="22"/>
        </w:rPr>
        <w:t>Product Development and Engineering Teams</w:t>
      </w:r>
      <w:r w:rsidR="00ED6BA5">
        <w:rPr>
          <w:rFonts w:ascii="Arial" w:hAnsi="Arial" w:cs="Arial"/>
          <w:b/>
          <w:bCs/>
          <w:sz w:val="22"/>
          <w:szCs w:val="22"/>
        </w:rPr>
        <w:t>:</w:t>
      </w:r>
      <w:r w:rsidR="00ED6BA5">
        <w:rPr>
          <w:rFonts w:ascii="Arial" w:hAnsi="Arial" w:cs="Arial"/>
          <w:sz w:val="22"/>
          <w:szCs w:val="22"/>
        </w:rPr>
        <w:t xml:space="preserve"> </w:t>
      </w:r>
      <w:r w:rsidRPr="008F731B">
        <w:rPr>
          <w:rFonts w:ascii="Arial" w:hAnsi="Arial" w:cs="Arial"/>
          <w:sz w:val="22"/>
          <w:szCs w:val="22"/>
        </w:rPr>
        <w:t>These teams design, develop</w:t>
      </w:r>
      <w:r>
        <w:rPr>
          <w:rFonts w:ascii="Arial" w:hAnsi="Arial" w:cs="Arial"/>
          <w:sz w:val="22"/>
          <w:szCs w:val="22"/>
        </w:rPr>
        <w:t>,</w:t>
      </w:r>
      <w:r w:rsidRPr="008F731B">
        <w:rPr>
          <w:rFonts w:ascii="Arial" w:hAnsi="Arial" w:cs="Arial"/>
          <w:sz w:val="22"/>
          <w:szCs w:val="22"/>
        </w:rPr>
        <w:t xml:space="preserve"> and test the wearable device. Their work focuses on sensor integration, hardware performance, software compatibility, and ensuring the device meets safety and quality standards.</w:t>
      </w:r>
    </w:p>
    <w:p w14:paraId="3B650BDC" w14:textId="365BBABD" w:rsidR="00ED6BA5" w:rsidRDefault="00ED6BA5" w:rsidP="00C823C5">
      <w:pPr>
        <w:spacing w:line="360" w:lineRule="auto"/>
        <w:jc w:val="both"/>
        <w:rPr>
          <w:rFonts w:ascii="Arial" w:hAnsi="Arial" w:cs="Arial"/>
          <w:sz w:val="22"/>
          <w:szCs w:val="22"/>
        </w:rPr>
      </w:pPr>
      <w:r w:rsidRPr="00ED6BA5">
        <w:rPr>
          <w:rFonts w:ascii="Arial" w:hAnsi="Arial" w:cs="Arial"/>
          <w:b/>
          <w:bCs/>
          <w:sz w:val="22"/>
          <w:szCs w:val="22"/>
        </w:rPr>
        <w:lastRenderedPageBreak/>
        <w:t>Marketing and Sales Departments:</w:t>
      </w:r>
      <w:r>
        <w:rPr>
          <w:rFonts w:ascii="Arial" w:hAnsi="Arial" w:cs="Arial"/>
          <w:sz w:val="22"/>
          <w:szCs w:val="22"/>
        </w:rPr>
        <w:t xml:space="preserve"> </w:t>
      </w:r>
      <w:r w:rsidRPr="00ED6BA5">
        <w:rPr>
          <w:rFonts w:ascii="Arial" w:hAnsi="Arial" w:cs="Arial"/>
          <w:sz w:val="22"/>
          <w:szCs w:val="22"/>
        </w:rPr>
        <w:t>Responsible for shaping the product’s market identity, coordinating campaign strategy, and managing distribution channels. Their efforts directly affect consumer adoption and market penetration.</w:t>
      </w:r>
    </w:p>
    <w:p w14:paraId="61BFDA30" w14:textId="253858CE" w:rsidR="00ED6BA5" w:rsidRDefault="00ED6BA5" w:rsidP="00C823C5">
      <w:pPr>
        <w:spacing w:line="360" w:lineRule="auto"/>
        <w:jc w:val="both"/>
        <w:rPr>
          <w:rFonts w:ascii="Arial" w:hAnsi="Arial" w:cs="Arial"/>
          <w:sz w:val="22"/>
          <w:szCs w:val="22"/>
        </w:rPr>
      </w:pPr>
      <w:r w:rsidRPr="00ED6BA5">
        <w:rPr>
          <w:rFonts w:ascii="Arial" w:hAnsi="Arial" w:cs="Arial"/>
          <w:b/>
          <w:bCs/>
          <w:sz w:val="22"/>
          <w:szCs w:val="22"/>
        </w:rPr>
        <w:t>Regulatory and Compliance Teams:</w:t>
      </w:r>
      <w:r>
        <w:rPr>
          <w:rFonts w:ascii="Arial" w:hAnsi="Arial" w:cs="Arial"/>
          <w:sz w:val="22"/>
          <w:szCs w:val="22"/>
        </w:rPr>
        <w:t xml:space="preserve"> </w:t>
      </w:r>
      <w:r w:rsidRPr="00ED6BA5">
        <w:rPr>
          <w:rFonts w:ascii="Arial" w:hAnsi="Arial" w:cs="Arial"/>
          <w:sz w:val="22"/>
          <w:szCs w:val="22"/>
        </w:rPr>
        <w:t xml:space="preserve">Tasked with navigating GDPR requirements, UKCA/CE marking processes, and health-related regulatory standards. Their input is critical to ensuring the product meets legal and ethical </w:t>
      </w:r>
      <w:r>
        <w:rPr>
          <w:rFonts w:ascii="Arial" w:hAnsi="Arial" w:cs="Arial"/>
          <w:sz w:val="22"/>
          <w:szCs w:val="22"/>
        </w:rPr>
        <w:t>requirements.</w:t>
      </w:r>
    </w:p>
    <w:p w14:paraId="4E07F937" w14:textId="37DCF9CA" w:rsidR="00ED6BA5" w:rsidRDefault="00ED6BA5" w:rsidP="00C823C5">
      <w:pPr>
        <w:spacing w:line="360" w:lineRule="auto"/>
        <w:jc w:val="both"/>
        <w:rPr>
          <w:rFonts w:ascii="Arial" w:hAnsi="Arial" w:cs="Arial"/>
          <w:sz w:val="22"/>
          <w:szCs w:val="22"/>
        </w:rPr>
      </w:pPr>
      <w:r>
        <w:rPr>
          <w:rFonts w:ascii="Arial" w:hAnsi="Arial" w:cs="Arial"/>
          <w:b/>
          <w:bCs/>
          <w:sz w:val="22"/>
          <w:szCs w:val="22"/>
        </w:rPr>
        <w:t xml:space="preserve">Customer </w:t>
      </w:r>
      <w:r w:rsidRPr="00ED6BA5">
        <w:rPr>
          <w:rFonts w:ascii="Arial" w:hAnsi="Arial" w:cs="Arial"/>
          <w:b/>
          <w:bCs/>
          <w:sz w:val="22"/>
          <w:szCs w:val="22"/>
        </w:rPr>
        <w:t>Support and Data Analytics Teams:</w:t>
      </w:r>
      <w:r>
        <w:rPr>
          <w:rFonts w:ascii="Arial" w:hAnsi="Arial" w:cs="Arial"/>
          <w:sz w:val="22"/>
          <w:szCs w:val="22"/>
        </w:rPr>
        <w:t xml:space="preserve"> </w:t>
      </w:r>
      <w:r w:rsidRPr="00ED6BA5">
        <w:rPr>
          <w:rFonts w:ascii="Arial" w:hAnsi="Arial" w:cs="Arial"/>
          <w:sz w:val="22"/>
          <w:szCs w:val="22"/>
        </w:rPr>
        <w:t>These teams handle user issues post-launch, collect and interpret usage data, and relay insights back to development teams for continuous improvement.</w:t>
      </w:r>
    </w:p>
    <w:p w14:paraId="11A5CFE6" w14:textId="70379EA8" w:rsidR="00ED6BA5" w:rsidRPr="00ED6BA5" w:rsidRDefault="00ED6BA5" w:rsidP="00C823C5">
      <w:pPr>
        <w:spacing w:line="360" w:lineRule="auto"/>
        <w:jc w:val="center"/>
        <w:rPr>
          <w:rFonts w:ascii="Arial" w:hAnsi="Arial" w:cs="Arial"/>
          <w:b/>
          <w:bCs/>
        </w:rPr>
      </w:pPr>
      <w:r w:rsidRPr="00ED6BA5">
        <w:rPr>
          <w:rFonts w:ascii="Arial" w:hAnsi="Arial" w:cs="Arial"/>
          <w:b/>
          <w:bCs/>
        </w:rPr>
        <w:t>External Stakeholders</w:t>
      </w:r>
    </w:p>
    <w:p w14:paraId="3043B9DF" w14:textId="080B4565" w:rsidR="00ED6BA5" w:rsidRPr="00ED6BA5" w:rsidRDefault="00ED6BA5" w:rsidP="006401FA">
      <w:pPr>
        <w:spacing w:line="360" w:lineRule="auto"/>
        <w:jc w:val="both"/>
        <w:rPr>
          <w:rFonts w:ascii="Arial" w:hAnsi="Arial" w:cs="Arial"/>
          <w:sz w:val="22"/>
          <w:szCs w:val="22"/>
        </w:rPr>
      </w:pPr>
      <w:r w:rsidRPr="00ED6BA5">
        <w:rPr>
          <w:rFonts w:ascii="Arial" w:hAnsi="Arial" w:cs="Arial"/>
          <w:b/>
          <w:bCs/>
          <w:sz w:val="22"/>
          <w:szCs w:val="22"/>
        </w:rPr>
        <w:t>Suppliers and Manufacturing Contractors:</w:t>
      </w:r>
      <w:r w:rsidR="005907B4">
        <w:rPr>
          <w:rFonts w:ascii="Arial" w:hAnsi="Arial" w:cs="Arial"/>
          <w:sz w:val="22"/>
          <w:szCs w:val="22"/>
        </w:rPr>
        <w:t xml:space="preserve"> </w:t>
      </w:r>
      <w:r w:rsidRPr="00ED6BA5">
        <w:rPr>
          <w:rFonts w:ascii="Arial" w:hAnsi="Arial" w:cs="Arial"/>
          <w:sz w:val="22"/>
          <w:szCs w:val="22"/>
        </w:rPr>
        <w:t>These deliver essential components such as sensors, batteries, and microprocessors. Their reliability directly affects project deadlines and quality.</w:t>
      </w:r>
    </w:p>
    <w:p w14:paraId="313E6F24" w14:textId="32795CE8" w:rsidR="00ED6BA5" w:rsidRPr="00ED6BA5" w:rsidRDefault="00ED6BA5" w:rsidP="006401FA">
      <w:pPr>
        <w:spacing w:line="360" w:lineRule="auto"/>
        <w:jc w:val="both"/>
        <w:rPr>
          <w:rFonts w:ascii="Arial" w:hAnsi="Arial" w:cs="Arial"/>
          <w:sz w:val="22"/>
          <w:szCs w:val="22"/>
        </w:rPr>
      </w:pPr>
      <w:r w:rsidRPr="00ED6BA5">
        <w:rPr>
          <w:rFonts w:ascii="Arial" w:hAnsi="Arial" w:cs="Arial"/>
          <w:b/>
          <w:bCs/>
          <w:sz w:val="22"/>
          <w:szCs w:val="22"/>
        </w:rPr>
        <w:t>Healthcare Institutions and Regulatory Authorities:</w:t>
      </w:r>
      <w:r w:rsidR="005907B4">
        <w:rPr>
          <w:rFonts w:ascii="Arial" w:hAnsi="Arial" w:cs="Arial"/>
          <w:sz w:val="22"/>
          <w:szCs w:val="22"/>
        </w:rPr>
        <w:t xml:space="preserve"> </w:t>
      </w:r>
      <w:r w:rsidRPr="00ED6BA5">
        <w:rPr>
          <w:rFonts w:ascii="Arial" w:hAnsi="Arial" w:cs="Arial"/>
          <w:sz w:val="22"/>
          <w:szCs w:val="22"/>
        </w:rPr>
        <w:t>Bodies such as the MHRA and potential NHS partners play a vital role in validating health claims and ensuring regulatory compliance.</w:t>
      </w:r>
    </w:p>
    <w:p w14:paraId="433A72BF" w14:textId="098652A7" w:rsidR="00ED6BA5" w:rsidRPr="00ED6BA5" w:rsidRDefault="00ED6BA5" w:rsidP="006401FA">
      <w:pPr>
        <w:spacing w:line="360" w:lineRule="auto"/>
        <w:jc w:val="both"/>
        <w:rPr>
          <w:rFonts w:ascii="Arial" w:hAnsi="Arial" w:cs="Arial"/>
          <w:sz w:val="22"/>
          <w:szCs w:val="22"/>
        </w:rPr>
      </w:pPr>
      <w:r w:rsidRPr="00ED6BA5">
        <w:rPr>
          <w:rFonts w:ascii="Arial" w:hAnsi="Arial" w:cs="Arial"/>
          <w:b/>
          <w:bCs/>
          <w:sz w:val="22"/>
          <w:szCs w:val="22"/>
        </w:rPr>
        <w:t>Retailers and Distribution Partners:</w:t>
      </w:r>
      <w:r w:rsidR="00866A30">
        <w:rPr>
          <w:rFonts w:ascii="Arial" w:hAnsi="Arial" w:cs="Arial"/>
          <w:sz w:val="22"/>
          <w:szCs w:val="22"/>
        </w:rPr>
        <w:t xml:space="preserve"> </w:t>
      </w:r>
      <w:r w:rsidRPr="00ED6BA5">
        <w:rPr>
          <w:rFonts w:ascii="Arial" w:hAnsi="Arial" w:cs="Arial"/>
          <w:sz w:val="22"/>
          <w:szCs w:val="22"/>
        </w:rPr>
        <w:t>These include major retailers such as Amazon UK, Currys, and other consumer electronics outlets. They influence accessibility and commercial success.</w:t>
      </w:r>
      <w:r w:rsidR="00A02F75">
        <w:rPr>
          <w:rFonts w:ascii="Arial" w:hAnsi="Arial" w:cs="Arial"/>
          <w:sz w:val="22"/>
          <w:szCs w:val="22"/>
        </w:rPr>
        <w:tab/>
      </w:r>
    </w:p>
    <w:p w14:paraId="3450EBD8" w14:textId="76CC4411" w:rsidR="00ED6BA5" w:rsidRPr="00ED6BA5" w:rsidRDefault="00ED6BA5" w:rsidP="006401FA">
      <w:pPr>
        <w:spacing w:line="360" w:lineRule="auto"/>
        <w:jc w:val="both"/>
        <w:rPr>
          <w:rFonts w:ascii="Arial" w:hAnsi="Arial" w:cs="Arial"/>
          <w:sz w:val="22"/>
          <w:szCs w:val="22"/>
        </w:rPr>
      </w:pPr>
      <w:r w:rsidRPr="00ED6BA5">
        <w:rPr>
          <w:rFonts w:ascii="Arial" w:hAnsi="Arial" w:cs="Arial"/>
          <w:b/>
          <w:bCs/>
          <w:sz w:val="22"/>
          <w:szCs w:val="22"/>
        </w:rPr>
        <w:t>Consumers and Fitbit User Community:</w:t>
      </w:r>
      <w:r w:rsidR="00866A30">
        <w:rPr>
          <w:rFonts w:ascii="Arial" w:hAnsi="Arial" w:cs="Arial"/>
          <w:sz w:val="22"/>
          <w:szCs w:val="22"/>
        </w:rPr>
        <w:t xml:space="preserve"> </w:t>
      </w:r>
      <w:r w:rsidRPr="00ED6BA5">
        <w:rPr>
          <w:rFonts w:ascii="Arial" w:hAnsi="Arial" w:cs="Arial"/>
          <w:sz w:val="22"/>
          <w:szCs w:val="22"/>
        </w:rPr>
        <w:t>End-users provide critical feedback, shape product perception, and influence long-term brand loyalty.</w:t>
      </w:r>
    </w:p>
    <w:p w14:paraId="1F748ADF" w14:textId="0F245ABB" w:rsidR="00ED6BA5" w:rsidRPr="00ED6BA5" w:rsidRDefault="00ED6BA5" w:rsidP="006401FA">
      <w:pPr>
        <w:spacing w:line="360" w:lineRule="auto"/>
        <w:jc w:val="both"/>
        <w:rPr>
          <w:rFonts w:ascii="Arial" w:hAnsi="Arial" w:cs="Arial"/>
          <w:sz w:val="22"/>
          <w:szCs w:val="22"/>
        </w:rPr>
      </w:pPr>
      <w:r w:rsidRPr="00ED6BA5">
        <w:rPr>
          <w:rFonts w:ascii="Arial" w:hAnsi="Arial" w:cs="Arial"/>
          <w:b/>
          <w:bCs/>
          <w:sz w:val="22"/>
          <w:szCs w:val="22"/>
        </w:rPr>
        <w:t>Media and Industry Analysts:</w:t>
      </w:r>
      <w:r w:rsidR="00866A30">
        <w:rPr>
          <w:rFonts w:ascii="Arial" w:hAnsi="Arial" w:cs="Arial"/>
          <w:sz w:val="22"/>
          <w:szCs w:val="22"/>
        </w:rPr>
        <w:t xml:space="preserve"> </w:t>
      </w:r>
      <w:r w:rsidRPr="00ED6BA5">
        <w:rPr>
          <w:rFonts w:ascii="Arial" w:hAnsi="Arial" w:cs="Arial"/>
          <w:sz w:val="22"/>
          <w:szCs w:val="22"/>
        </w:rPr>
        <w:t>Technology reviewers and journalists shape public perception through coverage, comparisons, and critiques.</w:t>
      </w:r>
    </w:p>
    <w:p w14:paraId="550058D7" w14:textId="77777777" w:rsidR="00ED6BA5" w:rsidRDefault="00ED6BA5" w:rsidP="006401FA">
      <w:pPr>
        <w:spacing w:line="360" w:lineRule="auto"/>
        <w:jc w:val="both"/>
        <w:rPr>
          <w:rFonts w:ascii="Arial" w:hAnsi="Arial" w:cs="Arial"/>
          <w:sz w:val="22"/>
          <w:szCs w:val="22"/>
        </w:rPr>
      </w:pPr>
      <w:r w:rsidRPr="00ED6BA5">
        <w:rPr>
          <w:rFonts w:ascii="Arial" w:hAnsi="Arial" w:cs="Arial"/>
          <w:sz w:val="22"/>
          <w:szCs w:val="22"/>
        </w:rPr>
        <w:t>Mapping these stakeholders enables the project manager to anticipate their needs, influence, and expectations, forming the basis for effective engagement and relationship management strategies.</w:t>
      </w:r>
    </w:p>
    <w:p w14:paraId="275D8864" w14:textId="5851FC07" w:rsidR="008A1D68" w:rsidRDefault="008A1D68" w:rsidP="001110AE">
      <w:pPr>
        <w:spacing w:line="360" w:lineRule="auto"/>
        <w:jc w:val="center"/>
        <w:rPr>
          <w:rFonts w:ascii="Arial" w:hAnsi="Arial" w:cs="Arial"/>
          <w:b/>
          <w:bCs/>
        </w:rPr>
      </w:pPr>
      <w:r w:rsidRPr="008A1D68">
        <w:rPr>
          <w:rFonts w:ascii="Arial" w:hAnsi="Arial" w:cs="Arial"/>
          <w:b/>
          <w:bCs/>
        </w:rPr>
        <w:t>Roles, Benefits, and Challenges of Key Stakeholders</w:t>
      </w:r>
    </w:p>
    <w:p w14:paraId="603FE854" w14:textId="77777777" w:rsidR="008A1D68" w:rsidRPr="008A1D68" w:rsidRDefault="008A1D68" w:rsidP="00DD291B">
      <w:pPr>
        <w:spacing w:line="360" w:lineRule="auto"/>
        <w:jc w:val="both"/>
        <w:rPr>
          <w:rFonts w:ascii="Arial" w:hAnsi="Arial" w:cs="Arial"/>
          <w:sz w:val="22"/>
          <w:szCs w:val="22"/>
        </w:rPr>
      </w:pPr>
      <w:r w:rsidRPr="008A1D68">
        <w:rPr>
          <w:rFonts w:ascii="Arial" w:hAnsi="Arial" w:cs="Arial"/>
          <w:sz w:val="22"/>
          <w:szCs w:val="22"/>
        </w:rPr>
        <w:t>Each stakeholder plays a distinctive role in the success of Fitbit UK’s wearable launch. Understanding their responsibilities, contributions, and potential challenges supports proactive engagement and conflict mitigation.</w:t>
      </w:r>
    </w:p>
    <w:p w14:paraId="0338F4A3" w14:textId="77777777" w:rsidR="007D51B2" w:rsidRDefault="007D51B2" w:rsidP="001110AE">
      <w:pPr>
        <w:spacing w:line="360" w:lineRule="auto"/>
        <w:jc w:val="center"/>
        <w:rPr>
          <w:rFonts w:ascii="Arial" w:hAnsi="Arial" w:cs="Arial"/>
          <w:b/>
          <w:bCs/>
          <w:sz w:val="22"/>
          <w:szCs w:val="22"/>
        </w:rPr>
      </w:pPr>
    </w:p>
    <w:p w14:paraId="0EC0D2F5" w14:textId="4E252CEA" w:rsidR="008A1D68" w:rsidRPr="008A1D68" w:rsidRDefault="008A1D68" w:rsidP="001110AE">
      <w:pPr>
        <w:spacing w:line="360" w:lineRule="auto"/>
        <w:jc w:val="center"/>
        <w:rPr>
          <w:rFonts w:ascii="Arial" w:hAnsi="Arial" w:cs="Arial"/>
          <w:b/>
          <w:bCs/>
          <w:sz w:val="22"/>
          <w:szCs w:val="22"/>
        </w:rPr>
      </w:pPr>
      <w:r w:rsidRPr="008A1D68">
        <w:rPr>
          <w:rFonts w:ascii="Arial" w:hAnsi="Arial" w:cs="Arial"/>
          <w:b/>
          <w:bCs/>
          <w:sz w:val="22"/>
          <w:szCs w:val="22"/>
        </w:rPr>
        <w:lastRenderedPageBreak/>
        <w:t>Internal Stakeholders</w:t>
      </w:r>
    </w:p>
    <w:p w14:paraId="1669BED3" w14:textId="5A5400BC"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Executive Leadership</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Strategic oversight, funding approval, and milestone authorization.</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Provides leadership continuity and ensures alignment with corporate vision.</w:t>
      </w:r>
      <w:r>
        <w:rPr>
          <w:rFonts w:ascii="Arial" w:hAnsi="Arial" w:cs="Arial"/>
          <w:sz w:val="22"/>
          <w:szCs w:val="22"/>
        </w:rPr>
        <w:t xml:space="preserve"> </w:t>
      </w:r>
      <w:r w:rsidRPr="008A1D68">
        <w:rPr>
          <w:rFonts w:ascii="Arial" w:hAnsi="Arial" w:cs="Arial"/>
          <w:i/>
          <w:iCs/>
          <w:sz w:val="22"/>
          <w:szCs w:val="22"/>
        </w:rPr>
        <w:t>Challenges:</w:t>
      </w:r>
      <w:r w:rsidRPr="008A1D68">
        <w:rPr>
          <w:rFonts w:ascii="Arial" w:hAnsi="Arial" w:cs="Arial"/>
          <w:sz w:val="22"/>
          <w:szCs w:val="22"/>
        </w:rPr>
        <w:t xml:space="preserve"> Competing priorities across Google’s global operations may delay decisions or create conflicting expectations.</w:t>
      </w:r>
    </w:p>
    <w:p w14:paraId="71CA5281"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Product Development and Engineering Teams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Deliver technical design, testing, and integration of biometric sensors.</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Enhance product innovation and maintain Fitbit’s competitive differentiation.</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Technical setbacks, regulatory demands, and dependency on supplier timelines may impede progress.</w:t>
      </w:r>
    </w:p>
    <w:p w14:paraId="79CC255B"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Marketing and Sales Teams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Create branding strategies, develop marketing campaigns, and execute distribution plans.</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Drive product visibility and revenue generation.</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Market saturation and difficulty differentiating the product in a crowded sector.</w:t>
      </w:r>
    </w:p>
    <w:p w14:paraId="27C21610"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Regulatory and Compliance Teams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Ensure adherence to legal standards, privacy regulations, and certification requirements.</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Protects Fitbit UK from legal penalties and maintains consumer trust.</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Lengthy regulatory processes and evolving data governance regulations.</w:t>
      </w:r>
    </w:p>
    <w:p w14:paraId="5BD51CFB" w14:textId="77777777" w:rsidR="008A1D68" w:rsidRPr="008A1D68" w:rsidRDefault="008A1D68" w:rsidP="001110AE">
      <w:pPr>
        <w:spacing w:line="360" w:lineRule="auto"/>
        <w:jc w:val="center"/>
        <w:rPr>
          <w:rFonts w:ascii="Arial" w:hAnsi="Arial" w:cs="Arial"/>
          <w:b/>
          <w:bCs/>
          <w:sz w:val="22"/>
          <w:szCs w:val="22"/>
        </w:rPr>
      </w:pPr>
      <w:r w:rsidRPr="008A1D68">
        <w:rPr>
          <w:rFonts w:ascii="Arial" w:hAnsi="Arial" w:cs="Arial"/>
          <w:b/>
          <w:bCs/>
          <w:sz w:val="22"/>
          <w:szCs w:val="22"/>
        </w:rPr>
        <w:t>External Stakeholders</w:t>
      </w:r>
    </w:p>
    <w:p w14:paraId="19C5B9BB"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Suppliers and Manufacturers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Provide components and assemble the product.</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Enable efficient, scalable production.</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Supply chain disruptions, quality issues, and logistical constraints.</w:t>
      </w:r>
    </w:p>
    <w:p w14:paraId="5172E7AA"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Healthcare Institutions and Regulatory Bodies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Validate health claims and ensure product compliance.</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Enhance product credibility and facilitate entry into medical markets.</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Bureaucratic delays and rigorous testing protocols.</w:t>
      </w:r>
    </w:p>
    <w:p w14:paraId="402E4F75"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Retailers and Distribution Channels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Sell and promote the product to consumers.</w:t>
      </w:r>
      <w:r w:rsidRPr="008A1D68">
        <w:rPr>
          <w:rFonts w:ascii="Arial" w:hAnsi="Arial" w:cs="Arial"/>
          <w:sz w:val="22"/>
          <w:szCs w:val="22"/>
        </w:rPr>
        <w:br/>
      </w:r>
      <w:r w:rsidRPr="008A1D68">
        <w:rPr>
          <w:rFonts w:ascii="Arial" w:hAnsi="Arial" w:cs="Arial"/>
          <w:i/>
          <w:iCs/>
          <w:sz w:val="22"/>
          <w:szCs w:val="22"/>
        </w:rPr>
        <w:lastRenderedPageBreak/>
        <w:t>Benefits:</w:t>
      </w:r>
      <w:r w:rsidRPr="008A1D68">
        <w:rPr>
          <w:rFonts w:ascii="Arial" w:hAnsi="Arial" w:cs="Arial"/>
          <w:sz w:val="22"/>
          <w:szCs w:val="22"/>
        </w:rPr>
        <w:t xml:space="preserve"> Increase product availability and market reach.</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Retail competition, pricing pressures, and fluctuating demand.</w:t>
      </w:r>
    </w:p>
    <w:p w14:paraId="4BAB0828" w14:textId="77777777" w:rsidR="008A1D68" w:rsidRPr="008A1D68" w:rsidRDefault="008A1D68" w:rsidP="001110AE">
      <w:pPr>
        <w:spacing w:line="360" w:lineRule="auto"/>
        <w:rPr>
          <w:rFonts w:ascii="Arial" w:hAnsi="Arial" w:cs="Arial"/>
          <w:sz w:val="22"/>
          <w:szCs w:val="22"/>
        </w:rPr>
      </w:pPr>
      <w:r w:rsidRPr="008A1D68">
        <w:rPr>
          <w:rFonts w:ascii="Arial" w:hAnsi="Arial" w:cs="Arial"/>
          <w:b/>
          <w:bCs/>
          <w:sz w:val="22"/>
          <w:szCs w:val="22"/>
        </w:rPr>
        <w:t>Consumers</w:t>
      </w:r>
      <w:r w:rsidRPr="008A1D68">
        <w:rPr>
          <w:rFonts w:ascii="Arial" w:hAnsi="Arial" w:cs="Arial"/>
          <w:sz w:val="22"/>
          <w:szCs w:val="22"/>
        </w:rPr>
        <w:br/>
      </w:r>
      <w:r w:rsidRPr="008A1D68">
        <w:rPr>
          <w:rFonts w:ascii="Arial" w:hAnsi="Arial" w:cs="Arial"/>
          <w:i/>
          <w:iCs/>
          <w:sz w:val="22"/>
          <w:szCs w:val="22"/>
        </w:rPr>
        <w:t>Role:</w:t>
      </w:r>
      <w:r w:rsidRPr="008A1D68">
        <w:rPr>
          <w:rFonts w:ascii="Arial" w:hAnsi="Arial" w:cs="Arial"/>
          <w:sz w:val="22"/>
          <w:szCs w:val="22"/>
        </w:rPr>
        <w:t xml:space="preserve"> Provide feedback, usage data, and reviews.</w:t>
      </w:r>
      <w:r w:rsidRPr="008A1D68">
        <w:rPr>
          <w:rFonts w:ascii="Arial" w:hAnsi="Arial" w:cs="Arial"/>
          <w:sz w:val="22"/>
          <w:szCs w:val="22"/>
        </w:rPr>
        <w:br/>
      </w:r>
      <w:r w:rsidRPr="008A1D68">
        <w:rPr>
          <w:rFonts w:ascii="Arial" w:hAnsi="Arial" w:cs="Arial"/>
          <w:i/>
          <w:iCs/>
          <w:sz w:val="22"/>
          <w:szCs w:val="22"/>
        </w:rPr>
        <w:t>Benefits:</w:t>
      </w:r>
      <w:r w:rsidRPr="008A1D68">
        <w:rPr>
          <w:rFonts w:ascii="Arial" w:hAnsi="Arial" w:cs="Arial"/>
          <w:sz w:val="22"/>
          <w:szCs w:val="22"/>
        </w:rPr>
        <w:t xml:space="preserve"> Support continuous improvement and drive adoption.</w:t>
      </w:r>
      <w:r w:rsidRPr="008A1D68">
        <w:rPr>
          <w:rFonts w:ascii="Arial" w:hAnsi="Arial" w:cs="Arial"/>
          <w:sz w:val="22"/>
          <w:szCs w:val="22"/>
        </w:rPr>
        <w:br/>
      </w:r>
      <w:r w:rsidRPr="008A1D68">
        <w:rPr>
          <w:rFonts w:ascii="Arial" w:hAnsi="Arial" w:cs="Arial"/>
          <w:i/>
          <w:iCs/>
          <w:sz w:val="22"/>
          <w:szCs w:val="22"/>
        </w:rPr>
        <w:t>Challenges:</w:t>
      </w:r>
      <w:r w:rsidRPr="008A1D68">
        <w:rPr>
          <w:rFonts w:ascii="Arial" w:hAnsi="Arial" w:cs="Arial"/>
          <w:sz w:val="22"/>
          <w:szCs w:val="22"/>
        </w:rPr>
        <w:t xml:space="preserve"> Privacy concerns or unmet expectations may reduce customer loyalty.</w:t>
      </w:r>
    </w:p>
    <w:p w14:paraId="7B64B966" w14:textId="77777777" w:rsidR="008A1D68" w:rsidRDefault="008A1D68" w:rsidP="001110AE">
      <w:pPr>
        <w:spacing w:line="360" w:lineRule="auto"/>
        <w:rPr>
          <w:rFonts w:ascii="Arial" w:hAnsi="Arial" w:cs="Arial"/>
          <w:sz w:val="22"/>
          <w:szCs w:val="22"/>
        </w:rPr>
      </w:pPr>
      <w:r w:rsidRPr="008A1D68">
        <w:rPr>
          <w:rFonts w:ascii="Arial" w:hAnsi="Arial" w:cs="Arial"/>
          <w:sz w:val="22"/>
          <w:szCs w:val="22"/>
        </w:rPr>
        <w:t>Understanding these dynamics enables targeted engagement, tailored communication, and collaborative problem-solving (Eskerod and Jepsen, 2016).</w:t>
      </w:r>
    </w:p>
    <w:p w14:paraId="15A4896D" w14:textId="77777777" w:rsidR="00102663" w:rsidRDefault="00102663" w:rsidP="00102663">
      <w:pPr>
        <w:spacing w:line="360" w:lineRule="auto"/>
        <w:rPr>
          <w:rFonts w:ascii="Arial" w:hAnsi="Arial" w:cs="Arial"/>
          <w:b/>
          <w:bCs/>
        </w:rPr>
      </w:pPr>
      <w:r>
        <w:rPr>
          <w:rFonts w:ascii="Arial" w:hAnsi="Arial" w:cs="Arial"/>
          <w:b/>
          <w:bCs/>
        </w:rPr>
        <w:t xml:space="preserve">    </w:t>
      </w:r>
    </w:p>
    <w:p w14:paraId="78F65495" w14:textId="70197371" w:rsidR="00DC015B" w:rsidRDefault="00102663" w:rsidP="00102663">
      <w:pPr>
        <w:spacing w:line="360" w:lineRule="auto"/>
        <w:rPr>
          <w:rFonts w:ascii="Arial" w:hAnsi="Arial" w:cs="Arial"/>
          <w:b/>
          <w:bCs/>
        </w:rPr>
      </w:pPr>
      <w:r>
        <w:rPr>
          <w:rFonts w:ascii="Arial" w:hAnsi="Arial" w:cs="Arial"/>
          <w:b/>
          <w:bCs/>
        </w:rPr>
        <w:t xml:space="preserve">              </w:t>
      </w:r>
      <w:r w:rsidR="00DC015B" w:rsidRPr="00DC015B">
        <w:rPr>
          <w:rFonts w:ascii="Arial" w:hAnsi="Arial" w:cs="Arial"/>
          <w:b/>
          <w:bCs/>
        </w:rPr>
        <w:t>Stakeholder Engagement Frameworks, Models, and Theories</w:t>
      </w:r>
    </w:p>
    <w:p w14:paraId="7B2B4B9C" w14:textId="0583E02F" w:rsidR="00AD614E" w:rsidRDefault="00AD614E" w:rsidP="006D22DF">
      <w:pPr>
        <w:spacing w:line="360" w:lineRule="auto"/>
        <w:jc w:val="both"/>
        <w:rPr>
          <w:rFonts w:ascii="Arial" w:hAnsi="Arial" w:cs="Arial"/>
          <w:sz w:val="22"/>
          <w:szCs w:val="22"/>
        </w:rPr>
      </w:pPr>
      <w:r w:rsidRPr="00AD614E">
        <w:rPr>
          <w:rFonts w:ascii="Arial" w:hAnsi="Arial" w:cs="Arial"/>
          <w:sz w:val="22"/>
          <w:szCs w:val="22"/>
        </w:rPr>
        <w:t xml:space="preserve">Several theoretical frameworks provide project managers with structured and systematic approaches for identifying, </w:t>
      </w:r>
      <w:proofErr w:type="spellStart"/>
      <w:r w:rsidRPr="00AD614E">
        <w:rPr>
          <w:rFonts w:ascii="Arial" w:hAnsi="Arial" w:cs="Arial"/>
          <w:sz w:val="22"/>
          <w:szCs w:val="22"/>
        </w:rPr>
        <w:t>analysing</w:t>
      </w:r>
      <w:proofErr w:type="spellEnd"/>
      <w:r w:rsidRPr="00AD614E">
        <w:rPr>
          <w:rFonts w:ascii="Arial" w:hAnsi="Arial" w:cs="Arial"/>
          <w:sz w:val="22"/>
          <w:szCs w:val="22"/>
        </w:rPr>
        <w:t>, and engaging stakeholders throughout the project lifecycle (Freeman, 1984; Bourne, 2009). These frameworks offer conceptual tools that assist managers in understanding stakeholder interests, power dynamics, expectations, and potential influences on project outcomes (Mitchell, Agle, &amp; Wood, 1997). By grounding stakeholder engagement practices in established theory, project managers are better equipped to design effective communication strategies, anticipate conflicts, and foster collaborative relationships that enhance overall project performance and sustainability (Project Management Institute [PMI], 2021).</w:t>
      </w:r>
    </w:p>
    <w:p w14:paraId="1107DB3E" w14:textId="74DAAEDB" w:rsidR="00DC015B" w:rsidRPr="00DC015B" w:rsidRDefault="00DC015B" w:rsidP="001110AE">
      <w:pPr>
        <w:spacing w:line="360" w:lineRule="auto"/>
        <w:rPr>
          <w:rFonts w:ascii="Arial" w:hAnsi="Arial" w:cs="Arial"/>
          <w:b/>
          <w:bCs/>
          <w:sz w:val="22"/>
          <w:szCs w:val="22"/>
        </w:rPr>
      </w:pPr>
      <w:r w:rsidRPr="00DC015B">
        <w:rPr>
          <w:rFonts w:ascii="Arial" w:hAnsi="Arial" w:cs="Arial"/>
          <w:b/>
          <w:bCs/>
          <w:sz w:val="22"/>
          <w:szCs w:val="22"/>
        </w:rPr>
        <w:t>Mendelow’s Power-Interest Matrix</w:t>
      </w:r>
      <w:r>
        <w:rPr>
          <w:rFonts w:ascii="Arial" w:hAnsi="Arial" w:cs="Arial"/>
          <w:b/>
          <w:bCs/>
          <w:sz w:val="22"/>
          <w:szCs w:val="22"/>
        </w:rPr>
        <w:t xml:space="preserve"> </w:t>
      </w:r>
    </w:p>
    <w:p w14:paraId="38C666F2" w14:textId="52C9E5B9" w:rsidR="00AF39EE" w:rsidRPr="00215ED8" w:rsidRDefault="00215ED8" w:rsidP="00215ED8">
      <w:pPr>
        <w:spacing w:line="360" w:lineRule="auto"/>
        <w:jc w:val="both"/>
        <w:rPr>
          <w:rFonts w:ascii="Arial" w:hAnsi="Arial" w:cs="Arial"/>
          <w:sz w:val="22"/>
          <w:szCs w:val="22"/>
        </w:rPr>
      </w:pPr>
      <w:r w:rsidRPr="00215ED8">
        <w:rPr>
          <w:rFonts w:ascii="Arial" w:hAnsi="Arial" w:cs="Arial"/>
          <w:sz w:val="22"/>
          <w:szCs w:val="22"/>
        </w:rPr>
        <w:t>The Mendelow Matrix is a stakeholder analysis framework that categorizes stakeholders according to their level of power and interest in a project or decision, helping determine the most appropriate ways to manage and communicate with each group.</w:t>
      </w:r>
    </w:p>
    <w:p w14:paraId="42EAC5BB" w14:textId="77777777" w:rsidR="00C160AD" w:rsidRPr="00215ED8" w:rsidRDefault="00C160AD" w:rsidP="00215ED8">
      <w:pPr>
        <w:spacing w:line="360" w:lineRule="auto"/>
        <w:jc w:val="both"/>
        <w:rPr>
          <w:rFonts w:ascii="Arial" w:hAnsi="Arial" w:cs="Arial"/>
          <w:sz w:val="22"/>
          <w:szCs w:val="22"/>
        </w:rPr>
      </w:pPr>
    </w:p>
    <w:p w14:paraId="61DAB97F" w14:textId="77777777" w:rsidR="00C160AD" w:rsidRDefault="00C160AD" w:rsidP="00F947FD">
      <w:pPr>
        <w:spacing w:line="360" w:lineRule="auto"/>
        <w:jc w:val="center"/>
        <w:rPr>
          <w:rFonts w:ascii="Arial" w:hAnsi="Arial" w:cs="Arial"/>
          <w:b/>
          <w:bCs/>
        </w:rPr>
      </w:pPr>
    </w:p>
    <w:p w14:paraId="0C7F4CD1" w14:textId="77777777" w:rsidR="00C160AD" w:rsidRDefault="00C160AD" w:rsidP="00F947FD">
      <w:pPr>
        <w:spacing w:line="360" w:lineRule="auto"/>
        <w:jc w:val="center"/>
        <w:rPr>
          <w:rFonts w:ascii="Arial" w:hAnsi="Arial" w:cs="Arial"/>
          <w:b/>
          <w:bCs/>
        </w:rPr>
      </w:pPr>
    </w:p>
    <w:p w14:paraId="0259B8EC" w14:textId="77777777" w:rsidR="00C160AD" w:rsidRDefault="00C160AD" w:rsidP="00F947FD">
      <w:pPr>
        <w:spacing w:line="360" w:lineRule="auto"/>
        <w:jc w:val="center"/>
        <w:rPr>
          <w:rFonts w:ascii="Arial" w:hAnsi="Arial" w:cs="Arial"/>
          <w:b/>
          <w:bCs/>
        </w:rPr>
      </w:pPr>
    </w:p>
    <w:p w14:paraId="2E8093E6" w14:textId="77777777" w:rsidR="00215ED8" w:rsidRDefault="00215ED8" w:rsidP="00F947FD">
      <w:pPr>
        <w:spacing w:line="360" w:lineRule="auto"/>
        <w:jc w:val="center"/>
        <w:rPr>
          <w:rFonts w:ascii="Arial" w:hAnsi="Arial" w:cs="Arial"/>
          <w:b/>
          <w:bCs/>
        </w:rPr>
      </w:pPr>
    </w:p>
    <w:p w14:paraId="1E84C417" w14:textId="77777777" w:rsidR="00215ED8" w:rsidRDefault="00215ED8" w:rsidP="00F947FD">
      <w:pPr>
        <w:spacing w:line="360" w:lineRule="auto"/>
        <w:jc w:val="center"/>
        <w:rPr>
          <w:rFonts w:ascii="Arial" w:hAnsi="Arial" w:cs="Arial"/>
          <w:b/>
          <w:bCs/>
        </w:rPr>
      </w:pPr>
    </w:p>
    <w:p w14:paraId="1DE0825C" w14:textId="15B6BD31" w:rsidR="000C5C2B" w:rsidRDefault="000C5C2B" w:rsidP="00F947FD">
      <w:pPr>
        <w:spacing w:line="360" w:lineRule="auto"/>
        <w:jc w:val="center"/>
        <w:rPr>
          <w:rFonts w:ascii="Arial" w:hAnsi="Arial" w:cs="Arial"/>
          <w:b/>
          <w:bCs/>
        </w:rPr>
      </w:pPr>
      <w:proofErr w:type="spellStart"/>
      <w:r w:rsidRPr="00F947FD">
        <w:rPr>
          <w:rFonts w:ascii="Arial" w:hAnsi="Arial" w:cs="Arial"/>
          <w:b/>
          <w:bCs/>
        </w:rPr>
        <w:lastRenderedPageBreak/>
        <w:t>Ma</w:t>
      </w:r>
      <w:r w:rsidR="00F947FD" w:rsidRPr="00F947FD">
        <w:rPr>
          <w:rFonts w:ascii="Arial" w:hAnsi="Arial" w:cs="Arial"/>
          <w:b/>
          <w:bCs/>
        </w:rPr>
        <w:t>ndelow</w:t>
      </w:r>
      <w:r w:rsidR="00B548C7">
        <w:rPr>
          <w:rFonts w:ascii="Arial" w:hAnsi="Arial" w:cs="Arial"/>
          <w:b/>
          <w:bCs/>
        </w:rPr>
        <w:t>’</w:t>
      </w:r>
      <w:r w:rsidR="00F947FD" w:rsidRPr="00F947FD">
        <w:rPr>
          <w:rFonts w:ascii="Arial" w:hAnsi="Arial" w:cs="Arial"/>
          <w:b/>
          <w:bCs/>
        </w:rPr>
        <w:t>s</w:t>
      </w:r>
      <w:proofErr w:type="spellEnd"/>
      <w:r w:rsidR="00F947FD" w:rsidRPr="00F947FD">
        <w:rPr>
          <w:rFonts w:ascii="Arial" w:hAnsi="Arial" w:cs="Arial"/>
          <w:b/>
          <w:bCs/>
        </w:rPr>
        <w:t xml:space="preserve"> Matrix</w:t>
      </w:r>
    </w:p>
    <w:p w14:paraId="111670E9" w14:textId="6E136ADB" w:rsidR="00655FCD" w:rsidRPr="00F947FD" w:rsidRDefault="00655FCD" w:rsidP="00F947FD">
      <w:pPr>
        <w:spacing w:line="360" w:lineRule="auto"/>
        <w:jc w:val="center"/>
        <w:rPr>
          <w:rFonts w:ascii="Arial" w:hAnsi="Arial" w:cs="Arial"/>
          <w:b/>
          <w:bCs/>
        </w:rPr>
      </w:pPr>
      <w:r>
        <w:rPr>
          <w:rFonts w:ascii="Arial" w:hAnsi="Arial" w:cs="Arial"/>
          <w:b/>
          <w:bCs/>
        </w:rPr>
        <w:t>Power</w:t>
      </w:r>
    </w:p>
    <w:tbl>
      <w:tblPr>
        <w:tblStyle w:val="TableGrid"/>
        <w:tblW w:w="9606" w:type="dxa"/>
        <w:tblLook w:val="04A0" w:firstRow="1" w:lastRow="0" w:firstColumn="1" w:lastColumn="0" w:noHBand="0" w:noVBand="1"/>
      </w:tblPr>
      <w:tblGrid>
        <w:gridCol w:w="4803"/>
        <w:gridCol w:w="4803"/>
      </w:tblGrid>
      <w:tr w:rsidR="000C5C2B" w14:paraId="53B60748" w14:textId="77777777" w:rsidTr="000C5C2B">
        <w:trPr>
          <w:trHeight w:val="1653"/>
        </w:trPr>
        <w:tc>
          <w:tcPr>
            <w:tcW w:w="4803" w:type="dxa"/>
          </w:tcPr>
          <w:p w14:paraId="08322B78" w14:textId="77777777" w:rsidR="000C5C2B" w:rsidRDefault="00044E29" w:rsidP="00044E29">
            <w:pPr>
              <w:pStyle w:val="ListParagraph"/>
              <w:numPr>
                <w:ilvl w:val="0"/>
                <w:numId w:val="25"/>
              </w:numPr>
              <w:spacing w:line="360" w:lineRule="auto"/>
              <w:rPr>
                <w:rFonts w:ascii="Arial" w:hAnsi="Arial" w:cs="Arial"/>
                <w:sz w:val="22"/>
                <w:szCs w:val="22"/>
              </w:rPr>
            </w:pPr>
            <w:r>
              <w:rPr>
                <w:rFonts w:ascii="Arial" w:hAnsi="Arial" w:cs="Arial"/>
                <w:sz w:val="22"/>
                <w:szCs w:val="22"/>
              </w:rPr>
              <w:t xml:space="preserve">Government </w:t>
            </w:r>
          </w:p>
          <w:p w14:paraId="546C40E0" w14:textId="0FAA0611" w:rsidR="00044E29" w:rsidRPr="00044E29" w:rsidRDefault="00044E29" w:rsidP="00044E29">
            <w:pPr>
              <w:pStyle w:val="ListParagraph"/>
              <w:numPr>
                <w:ilvl w:val="0"/>
                <w:numId w:val="25"/>
              </w:numPr>
              <w:spacing w:line="360" w:lineRule="auto"/>
              <w:rPr>
                <w:rFonts w:ascii="Arial" w:hAnsi="Arial" w:cs="Arial"/>
                <w:sz w:val="22"/>
                <w:szCs w:val="22"/>
              </w:rPr>
            </w:pPr>
            <w:r>
              <w:rPr>
                <w:rFonts w:ascii="Arial" w:hAnsi="Arial" w:cs="Arial"/>
                <w:sz w:val="22"/>
                <w:szCs w:val="22"/>
              </w:rPr>
              <w:t xml:space="preserve">Board members </w:t>
            </w:r>
          </w:p>
        </w:tc>
        <w:tc>
          <w:tcPr>
            <w:tcW w:w="4803" w:type="dxa"/>
          </w:tcPr>
          <w:p w14:paraId="2E7CDD6D" w14:textId="3EEF0248" w:rsidR="00BE11D8" w:rsidRPr="005748C7" w:rsidRDefault="00A00F81" w:rsidP="00801707">
            <w:pPr>
              <w:pStyle w:val="ListParagraph"/>
              <w:numPr>
                <w:ilvl w:val="0"/>
                <w:numId w:val="24"/>
              </w:numPr>
              <w:spacing w:line="360" w:lineRule="auto"/>
              <w:jc w:val="both"/>
              <w:rPr>
                <w:rFonts w:ascii="Arial" w:hAnsi="Arial" w:cs="Arial"/>
                <w:sz w:val="22"/>
                <w:szCs w:val="22"/>
              </w:rPr>
            </w:pPr>
            <w:r w:rsidRPr="005748C7">
              <w:rPr>
                <w:rFonts w:ascii="Arial" w:hAnsi="Arial" w:cs="Arial"/>
                <w:sz w:val="22"/>
                <w:szCs w:val="22"/>
              </w:rPr>
              <w:t>Executive leadership</w:t>
            </w:r>
            <w:r w:rsidR="006028D6" w:rsidRPr="005748C7">
              <w:rPr>
                <w:rFonts w:ascii="Arial" w:hAnsi="Arial" w:cs="Arial"/>
                <w:sz w:val="22"/>
                <w:szCs w:val="22"/>
              </w:rPr>
              <w:t>, I</w:t>
            </w:r>
            <w:r w:rsidRPr="005748C7">
              <w:rPr>
                <w:rFonts w:ascii="Arial" w:hAnsi="Arial" w:cs="Arial"/>
                <w:sz w:val="22"/>
                <w:szCs w:val="22"/>
              </w:rPr>
              <w:t>nvestors</w:t>
            </w:r>
          </w:p>
          <w:p w14:paraId="3A518447" w14:textId="28ACCD32" w:rsidR="00A00F81" w:rsidRPr="005748C7" w:rsidRDefault="001B5BCA" w:rsidP="00801707">
            <w:pPr>
              <w:pStyle w:val="ListParagraph"/>
              <w:numPr>
                <w:ilvl w:val="0"/>
                <w:numId w:val="24"/>
              </w:numPr>
              <w:spacing w:line="360" w:lineRule="auto"/>
              <w:jc w:val="both"/>
              <w:rPr>
                <w:rFonts w:ascii="Arial" w:hAnsi="Arial" w:cs="Arial"/>
                <w:sz w:val="22"/>
                <w:szCs w:val="22"/>
              </w:rPr>
            </w:pPr>
            <w:r w:rsidRPr="005748C7">
              <w:rPr>
                <w:rFonts w:ascii="Arial" w:hAnsi="Arial" w:cs="Arial"/>
                <w:sz w:val="22"/>
                <w:szCs w:val="22"/>
              </w:rPr>
              <w:t xml:space="preserve">Government, </w:t>
            </w:r>
            <w:r w:rsidR="00941138" w:rsidRPr="005748C7">
              <w:rPr>
                <w:rFonts w:ascii="Arial" w:hAnsi="Arial" w:cs="Arial"/>
                <w:sz w:val="22"/>
                <w:szCs w:val="22"/>
              </w:rPr>
              <w:t xml:space="preserve">Regulatory </w:t>
            </w:r>
            <w:r w:rsidR="00801707" w:rsidRPr="005748C7">
              <w:rPr>
                <w:rFonts w:ascii="Arial" w:hAnsi="Arial" w:cs="Arial"/>
                <w:sz w:val="22"/>
                <w:szCs w:val="22"/>
              </w:rPr>
              <w:t>a</w:t>
            </w:r>
            <w:r w:rsidR="00941138" w:rsidRPr="005748C7">
              <w:rPr>
                <w:rFonts w:ascii="Arial" w:hAnsi="Arial" w:cs="Arial"/>
                <w:sz w:val="22"/>
                <w:szCs w:val="22"/>
              </w:rPr>
              <w:t xml:space="preserve">uthorities </w:t>
            </w:r>
          </w:p>
          <w:p w14:paraId="41D2A674" w14:textId="62836EF6" w:rsidR="00801707" w:rsidRPr="005748C7" w:rsidRDefault="006B306D" w:rsidP="00801707">
            <w:pPr>
              <w:pStyle w:val="ListParagraph"/>
              <w:numPr>
                <w:ilvl w:val="0"/>
                <w:numId w:val="24"/>
              </w:numPr>
              <w:spacing w:line="360" w:lineRule="auto"/>
              <w:jc w:val="both"/>
              <w:rPr>
                <w:rFonts w:ascii="Arial" w:hAnsi="Arial" w:cs="Arial"/>
                <w:sz w:val="22"/>
                <w:szCs w:val="22"/>
              </w:rPr>
            </w:pPr>
            <w:r w:rsidRPr="005748C7">
              <w:rPr>
                <w:rFonts w:ascii="Arial" w:hAnsi="Arial" w:cs="Arial"/>
                <w:sz w:val="22"/>
                <w:szCs w:val="22"/>
              </w:rPr>
              <w:t>Healthcare providers, Doctors</w:t>
            </w:r>
          </w:p>
          <w:p w14:paraId="5588328F" w14:textId="2FFB865A" w:rsidR="001F2985" w:rsidRPr="005748C7" w:rsidRDefault="001F2985" w:rsidP="00801707">
            <w:pPr>
              <w:pStyle w:val="ListParagraph"/>
              <w:numPr>
                <w:ilvl w:val="0"/>
                <w:numId w:val="24"/>
              </w:numPr>
              <w:spacing w:line="360" w:lineRule="auto"/>
              <w:jc w:val="both"/>
              <w:rPr>
                <w:rFonts w:ascii="Arial" w:hAnsi="Arial" w:cs="Arial"/>
                <w:sz w:val="22"/>
                <w:szCs w:val="22"/>
              </w:rPr>
            </w:pPr>
            <w:r w:rsidRPr="005748C7">
              <w:rPr>
                <w:rFonts w:ascii="Arial" w:hAnsi="Arial" w:cs="Arial"/>
                <w:sz w:val="22"/>
                <w:szCs w:val="22"/>
              </w:rPr>
              <w:t>Major business partners</w:t>
            </w:r>
          </w:p>
          <w:p w14:paraId="5801AF7C" w14:textId="5F41D018" w:rsidR="00AD0600" w:rsidRPr="00AD0600" w:rsidRDefault="00AD0600" w:rsidP="00F418DF">
            <w:pPr>
              <w:pStyle w:val="ListParagraph"/>
              <w:spacing w:line="360" w:lineRule="auto"/>
              <w:rPr>
                <w:rFonts w:ascii="Arial" w:hAnsi="Arial" w:cs="Arial"/>
                <w:b/>
                <w:bCs/>
                <w:sz w:val="22"/>
                <w:szCs w:val="22"/>
              </w:rPr>
            </w:pPr>
          </w:p>
        </w:tc>
      </w:tr>
      <w:tr w:rsidR="000C5C2B" w14:paraId="49C42BA2" w14:textId="77777777" w:rsidTr="000C5C2B">
        <w:trPr>
          <w:trHeight w:val="1653"/>
        </w:trPr>
        <w:tc>
          <w:tcPr>
            <w:tcW w:w="4803" w:type="dxa"/>
          </w:tcPr>
          <w:p w14:paraId="01234CF7" w14:textId="77777777" w:rsidR="000C5C2B" w:rsidRDefault="00D24B1A" w:rsidP="001F3895">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General Public </w:t>
            </w:r>
          </w:p>
          <w:p w14:paraId="0BD09839" w14:textId="77777777" w:rsidR="007249A3" w:rsidRDefault="007249A3" w:rsidP="001F3895">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Media </w:t>
            </w:r>
          </w:p>
          <w:p w14:paraId="094229D4" w14:textId="7E25BB0A" w:rsidR="007249A3" w:rsidRPr="001F3895" w:rsidRDefault="007249A3" w:rsidP="001F3895">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Minor suppliers or </w:t>
            </w:r>
            <w:r w:rsidR="00C7486E">
              <w:rPr>
                <w:rFonts w:ascii="Arial" w:hAnsi="Arial" w:cs="Arial"/>
                <w:sz w:val="22"/>
                <w:szCs w:val="22"/>
              </w:rPr>
              <w:t>distributors</w:t>
            </w:r>
          </w:p>
        </w:tc>
        <w:tc>
          <w:tcPr>
            <w:tcW w:w="4803" w:type="dxa"/>
          </w:tcPr>
          <w:p w14:paraId="45BF6494" w14:textId="77777777" w:rsidR="002D50C3" w:rsidRDefault="00623E7A" w:rsidP="0033625D">
            <w:pPr>
              <w:pStyle w:val="ListParagraph"/>
              <w:numPr>
                <w:ilvl w:val="0"/>
                <w:numId w:val="24"/>
              </w:numPr>
              <w:spacing w:line="360" w:lineRule="auto"/>
              <w:rPr>
                <w:rFonts w:ascii="Arial" w:hAnsi="Arial" w:cs="Arial"/>
                <w:sz w:val="22"/>
                <w:szCs w:val="22"/>
              </w:rPr>
            </w:pPr>
            <w:r>
              <w:rPr>
                <w:rFonts w:ascii="Arial" w:hAnsi="Arial" w:cs="Arial"/>
                <w:sz w:val="22"/>
                <w:szCs w:val="22"/>
              </w:rPr>
              <w:t>Patients</w:t>
            </w:r>
          </w:p>
          <w:p w14:paraId="05BE2676" w14:textId="77777777" w:rsidR="00623E7A" w:rsidRDefault="00623E7A" w:rsidP="0033625D">
            <w:pPr>
              <w:pStyle w:val="ListParagraph"/>
              <w:numPr>
                <w:ilvl w:val="0"/>
                <w:numId w:val="24"/>
              </w:numPr>
              <w:spacing w:line="360" w:lineRule="auto"/>
              <w:rPr>
                <w:rFonts w:ascii="Arial" w:hAnsi="Arial" w:cs="Arial"/>
                <w:sz w:val="22"/>
                <w:szCs w:val="22"/>
              </w:rPr>
            </w:pPr>
            <w:r>
              <w:rPr>
                <w:rFonts w:ascii="Arial" w:hAnsi="Arial" w:cs="Arial"/>
                <w:sz w:val="22"/>
                <w:szCs w:val="22"/>
              </w:rPr>
              <w:t>Fitness Followers</w:t>
            </w:r>
          </w:p>
          <w:p w14:paraId="43AF9317" w14:textId="77777777" w:rsidR="00793011" w:rsidRDefault="00793011" w:rsidP="0033625D">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Healthcare researchers </w:t>
            </w:r>
          </w:p>
          <w:p w14:paraId="4A4B673B" w14:textId="2114C487" w:rsidR="00793011" w:rsidRPr="0033625D" w:rsidRDefault="00AC1DC4" w:rsidP="0033625D">
            <w:pPr>
              <w:pStyle w:val="ListParagraph"/>
              <w:numPr>
                <w:ilvl w:val="0"/>
                <w:numId w:val="24"/>
              </w:numPr>
              <w:spacing w:line="360" w:lineRule="auto"/>
              <w:rPr>
                <w:rFonts w:ascii="Arial" w:hAnsi="Arial" w:cs="Arial"/>
                <w:sz w:val="22"/>
                <w:szCs w:val="22"/>
              </w:rPr>
            </w:pPr>
            <w:r>
              <w:rPr>
                <w:rFonts w:ascii="Arial" w:hAnsi="Arial" w:cs="Arial"/>
                <w:sz w:val="22"/>
                <w:szCs w:val="22"/>
              </w:rPr>
              <w:t>Customer</w:t>
            </w:r>
          </w:p>
        </w:tc>
      </w:tr>
    </w:tbl>
    <w:p w14:paraId="2C1A71CE" w14:textId="5EF85E22" w:rsidR="00994541" w:rsidRDefault="00994541" w:rsidP="001110AE">
      <w:pPr>
        <w:spacing w:line="360" w:lineRule="auto"/>
        <w:rPr>
          <w:rFonts w:ascii="Arial" w:hAnsi="Arial" w:cs="Arial"/>
          <w:b/>
          <w:bCs/>
          <w:sz w:val="22"/>
          <w:szCs w:val="22"/>
        </w:rPr>
      </w:pPr>
      <w:r>
        <w:rPr>
          <w:rFonts w:ascii="Arial" w:hAnsi="Arial" w:cs="Arial"/>
          <w:b/>
          <w:bCs/>
          <w:sz w:val="22"/>
          <w:szCs w:val="22"/>
        </w:rPr>
        <w:t xml:space="preserve">                                                                       </w:t>
      </w:r>
      <w:r w:rsidRPr="00994541">
        <w:rPr>
          <w:rFonts w:ascii="Arial" w:hAnsi="Arial" w:cs="Arial"/>
          <w:b/>
          <w:bCs/>
          <w:sz w:val="22"/>
          <w:szCs w:val="22"/>
        </w:rPr>
        <w:t>Interest</w:t>
      </w:r>
    </w:p>
    <w:p w14:paraId="15F7A7E8" w14:textId="77777777" w:rsidR="007C3F9A" w:rsidRDefault="007C3F9A" w:rsidP="007C3F9A">
      <w:pPr>
        <w:spacing w:line="360" w:lineRule="auto"/>
        <w:jc w:val="center"/>
        <w:rPr>
          <w:rFonts w:ascii="Arial" w:hAnsi="Arial" w:cs="Arial"/>
          <w:b/>
          <w:bCs/>
        </w:rPr>
      </w:pPr>
    </w:p>
    <w:p w14:paraId="7631476B" w14:textId="49FD5020" w:rsidR="00747E8A" w:rsidRPr="007C3F9A" w:rsidRDefault="003108EF" w:rsidP="007C3F9A">
      <w:pPr>
        <w:spacing w:line="360" w:lineRule="auto"/>
        <w:jc w:val="center"/>
        <w:rPr>
          <w:rFonts w:ascii="Arial" w:hAnsi="Arial" w:cs="Arial"/>
          <w:b/>
          <w:bCs/>
        </w:rPr>
      </w:pPr>
      <w:r w:rsidRPr="007C3F9A">
        <w:rPr>
          <w:rFonts w:ascii="Arial" w:hAnsi="Arial" w:cs="Arial"/>
          <w:b/>
          <w:bCs/>
        </w:rPr>
        <w:t>Stakeholder engagement plan</w:t>
      </w:r>
    </w:p>
    <w:p w14:paraId="0E5151E2" w14:textId="77777777" w:rsidR="00AE1D67" w:rsidRPr="00AE1D67" w:rsidRDefault="00AE1D67" w:rsidP="00747E8A">
      <w:pPr>
        <w:spacing w:line="360" w:lineRule="auto"/>
        <w:jc w:val="both"/>
        <w:rPr>
          <w:rFonts w:ascii="Arial" w:hAnsi="Arial" w:cs="Arial"/>
          <w:sz w:val="22"/>
          <w:szCs w:val="22"/>
        </w:rPr>
      </w:pPr>
      <w:r w:rsidRPr="00AE1D67">
        <w:rPr>
          <w:rFonts w:ascii="Arial" w:hAnsi="Arial" w:cs="Arial"/>
          <w:sz w:val="22"/>
          <w:szCs w:val="22"/>
        </w:rPr>
        <w:t>A stakeholder engagement plan defines how stakeholders will be engaged, their information needs, and preferred communication channels. For Fitbit UK, this includes regular progress meetings with internal teams, compliance updates with regulators, and marketing alignment sessions. The engagement plan also identifies metrics for assessing engagement effectiveness, such as feedback frequency, satisfaction surveys, and milestone achievement rates (Bourne, 2016).</w:t>
      </w:r>
    </w:p>
    <w:p w14:paraId="60BF0FE2" w14:textId="77777777" w:rsidR="00AE1D67" w:rsidRPr="00AE1D67" w:rsidRDefault="00AE1D67" w:rsidP="00747E8A">
      <w:pPr>
        <w:spacing w:line="360" w:lineRule="auto"/>
        <w:jc w:val="both"/>
        <w:rPr>
          <w:rFonts w:ascii="Arial" w:hAnsi="Arial" w:cs="Arial"/>
          <w:b/>
          <w:bCs/>
          <w:sz w:val="22"/>
          <w:szCs w:val="22"/>
        </w:rPr>
      </w:pPr>
      <w:r w:rsidRPr="00AE1D67">
        <w:rPr>
          <w:rFonts w:ascii="Arial" w:hAnsi="Arial" w:cs="Arial"/>
          <w:b/>
          <w:bCs/>
          <w:sz w:val="22"/>
          <w:szCs w:val="22"/>
        </w:rPr>
        <w:t>Communication Plan</w:t>
      </w:r>
    </w:p>
    <w:p w14:paraId="1CD14791" w14:textId="77777777" w:rsidR="00AE1D67" w:rsidRPr="00AE1D67" w:rsidRDefault="00AE1D67" w:rsidP="00747E8A">
      <w:pPr>
        <w:spacing w:line="360" w:lineRule="auto"/>
        <w:jc w:val="both"/>
        <w:rPr>
          <w:rFonts w:ascii="Arial" w:hAnsi="Arial" w:cs="Arial"/>
          <w:sz w:val="22"/>
          <w:szCs w:val="22"/>
        </w:rPr>
      </w:pPr>
      <w:r w:rsidRPr="00AE1D67">
        <w:rPr>
          <w:rFonts w:ascii="Arial" w:hAnsi="Arial" w:cs="Arial"/>
          <w:sz w:val="22"/>
          <w:szCs w:val="22"/>
        </w:rPr>
        <w:t>A clear communication plan ensures the right information reaches the right stakeholders at the right time. Key communication methods for Fitbit UK’s project include:</w:t>
      </w:r>
    </w:p>
    <w:p w14:paraId="23B33FD2" w14:textId="77777777" w:rsidR="00AE1D67" w:rsidRPr="00AE1D67" w:rsidRDefault="00AE1D67" w:rsidP="00747E8A">
      <w:pPr>
        <w:numPr>
          <w:ilvl w:val="0"/>
          <w:numId w:val="26"/>
        </w:numPr>
        <w:spacing w:line="360" w:lineRule="auto"/>
        <w:jc w:val="both"/>
        <w:rPr>
          <w:rFonts w:ascii="Arial" w:hAnsi="Arial" w:cs="Arial"/>
          <w:sz w:val="22"/>
          <w:szCs w:val="22"/>
        </w:rPr>
      </w:pPr>
      <w:r w:rsidRPr="00AE1D67">
        <w:rPr>
          <w:rFonts w:ascii="Arial" w:hAnsi="Arial" w:cs="Arial"/>
          <w:sz w:val="22"/>
          <w:szCs w:val="22"/>
        </w:rPr>
        <w:t>Weekly project updates for internal teams (via Google Workspace and Jira).</w:t>
      </w:r>
    </w:p>
    <w:p w14:paraId="2EA43355" w14:textId="77777777" w:rsidR="00AE1D67" w:rsidRPr="00AE1D67" w:rsidRDefault="00AE1D67" w:rsidP="00747E8A">
      <w:pPr>
        <w:numPr>
          <w:ilvl w:val="0"/>
          <w:numId w:val="26"/>
        </w:numPr>
        <w:spacing w:line="360" w:lineRule="auto"/>
        <w:jc w:val="both"/>
        <w:rPr>
          <w:rFonts w:ascii="Arial" w:hAnsi="Arial" w:cs="Arial"/>
          <w:sz w:val="22"/>
          <w:szCs w:val="22"/>
        </w:rPr>
      </w:pPr>
      <w:r w:rsidRPr="00AE1D67">
        <w:rPr>
          <w:rFonts w:ascii="Arial" w:hAnsi="Arial" w:cs="Arial"/>
          <w:sz w:val="22"/>
          <w:szCs w:val="22"/>
        </w:rPr>
        <w:t>Monthly executive briefings to senior management and Google Health leadership.</w:t>
      </w:r>
    </w:p>
    <w:p w14:paraId="6C5207C3" w14:textId="77777777" w:rsidR="00AE1D67" w:rsidRPr="00AE1D67" w:rsidRDefault="00AE1D67" w:rsidP="00747E8A">
      <w:pPr>
        <w:numPr>
          <w:ilvl w:val="0"/>
          <w:numId w:val="26"/>
        </w:numPr>
        <w:spacing w:line="360" w:lineRule="auto"/>
        <w:jc w:val="both"/>
        <w:rPr>
          <w:rFonts w:ascii="Arial" w:hAnsi="Arial" w:cs="Arial"/>
          <w:sz w:val="22"/>
          <w:szCs w:val="22"/>
        </w:rPr>
      </w:pPr>
      <w:r w:rsidRPr="00AE1D67">
        <w:rPr>
          <w:rFonts w:ascii="Arial" w:hAnsi="Arial" w:cs="Arial"/>
          <w:sz w:val="22"/>
          <w:szCs w:val="22"/>
        </w:rPr>
        <w:t>Quarterly partnership reports to healthcare collaborators and regulators.</w:t>
      </w:r>
    </w:p>
    <w:p w14:paraId="65E0743B" w14:textId="64AA21A4" w:rsidR="00DE11FB" w:rsidRPr="00F111F5" w:rsidRDefault="00AE1D67" w:rsidP="001110AE">
      <w:pPr>
        <w:numPr>
          <w:ilvl w:val="0"/>
          <w:numId w:val="26"/>
        </w:numPr>
        <w:spacing w:line="360" w:lineRule="auto"/>
        <w:jc w:val="both"/>
        <w:rPr>
          <w:rFonts w:ascii="Arial" w:hAnsi="Arial" w:cs="Arial"/>
          <w:sz w:val="22"/>
          <w:szCs w:val="22"/>
        </w:rPr>
      </w:pPr>
      <w:r w:rsidRPr="00AE1D67">
        <w:rPr>
          <w:rFonts w:ascii="Arial" w:hAnsi="Arial" w:cs="Arial"/>
          <w:sz w:val="22"/>
          <w:szCs w:val="22"/>
        </w:rPr>
        <w:lastRenderedPageBreak/>
        <w:t>Press releases and webinars before launch to engage the public and media.</w:t>
      </w:r>
      <w:r w:rsidRPr="00AE1D67">
        <w:rPr>
          <w:rFonts w:ascii="Arial" w:hAnsi="Arial" w:cs="Arial"/>
          <w:sz w:val="22"/>
          <w:szCs w:val="22"/>
        </w:rPr>
        <w:br/>
        <w:t>Effective communication fosters transparency, reduces conflict, and enhances trust (</w:t>
      </w:r>
      <w:proofErr w:type="spellStart"/>
      <w:r w:rsidRPr="00AE1D67">
        <w:rPr>
          <w:rFonts w:ascii="Arial" w:hAnsi="Arial" w:cs="Arial"/>
          <w:sz w:val="22"/>
          <w:szCs w:val="22"/>
        </w:rPr>
        <w:t>Verčič</w:t>
      </w:r>
      <w:proofErr w:type="spellEnd"/>
      <w:r w:rsidRPr="00AE1D67">
        <w:rPr>
          <w:rFonts w:ascii="Arial" w:hAnsi="Arial" w:cs="Arial"/>
          <w:sz w:val="22"/>
          <w:szCs w:val="22"/>
        </w:rPr>
        <w:t xml:space="preserve"> and Zerfass, 2021).</w:t>
      </w:r>
    </w:p>
    <w:p w14:paraId="59A206B1" w14:textId="77777777" w:rsidR="00F4561D" w:rsidRPr="00F4561D" w:rsidRDefault="00F4561D" w:rsidP="00F111F5">
      <w:pPr>
        <w:spacing w:line="360" w:lineRule="auto"/>
        <w:jc w:val="center"/>
        <w:rPr>
          <w:rFonts w:ascii="Arial" w:hAnsi="Arial" w:cs="Arial"/>
          <w:b/>
          <w:bCs/>
        </w:rPr>
      </w:pPr>
      <w:r w:rsidRPr="00F4561D">
        <w:rPr>
          <w:rFonts w:ascii="Arial" w:hAnsi="Arial" w:cs="Arial"/>
          <w:b/>
          <w:bCs/>
        </w:rPr>
        <w:t>RACI Matrix</w:t>
      </w:r>
    </w:p>
    <w:p w14:paraId="37E7A6B8" w14:textId="77777777" w:rsidR="00F4561D" w:rsidRPr="00F4561D" w:rsidRDefault="00F4561D" w:rsidP="00F111F5">
      <w:pPr>
        <w:spacing w:line="360" w:lineRule="auto"/>
        <w:jc w:val="both"/>
        <w:rPr>
          <w:rFonts w:ascii="Arial" w:hAnsi="Arial" w:cs="Arial"/>
          <w:sz w:val="22"/>
          <w:szCs w:val="22"/>
        </w:rPr>
      </w:pPr>
      <w:r w:rsidRPr="00F4561D">
        <w:rPr>
          <w:rFonts w:ascii="Arial" w:hAnsi="Arial" w:cs="Arial"/>
          <w:sz w:val="22"/>
          <w:szCs w:val="22"/>
        </w:rPr>
        <w:t>The RACI Matrix clarifies stakeholder roles and responsibilities by defining who is Responsible, Accountable, Consulted, and Informed for each major task (PMI, 2021).</w:t>
      </w:r>
      <w:r w:rsidRPr="00F4561D">
        <w:rPr>
          <w:rFonts w:ascii="Arial" w:hAnsi="Arial" w:cs="Arial"/>
          <w:sz w:val="22"/>
          <w:szCs w:val="22"/>
        </w:rPr>
        <w:br/>
        <w:t>For Fitbit UK:</w:t>
      </w:r>
    </w:p>
    <w:p w14:paraId="4CF3A255" w14:textId="77777777" w:rsidR="00F4561D" w:rsidRPr="00F4561D" w:rsidRDefault="00F4561D" w:rsidP="00F111F5">
      <w:pPr>
        <w:numPr>
          <w:ilvl w:val="0"/>
          <w:numId w:val="27"/>
        </w:numPr>
        <w:spacing w:line="360" w:lineRule="auto"/>
        <w:jc w:val="both"/>
        <w:rPr>
          <w:rFonts w:ascii="Arial" w:hAnsi="Arial" w:cs="Arial"/>
          <w:sz w:val="22"/>
          <w:szCs w:val="22"/>
        </w:rPr>
      </w:pPr>
      <w:r w:rsidRPr="00F4561D">
        <w:rPr>
          <w:rFonts w:ascii="Arial" w:hAnsi="Arial" w:cs="Arial"/>
          <w:sz w:val="22"/>
          <w:szCs w:val="22"/>
        </w:rPr>
        <w:t>Responsible: Product Development Team (design, testing, production).</w:t>
      </w:r>
    </w:p>
    <w:p w14:paraId="39A76747" w14:textId="77777777" w:rsidR="00F4561D" w:rsidRPr="00F4561D" w:rsidRDefault="00F4561D" w:rsidP="00F111F5">
      <w:pPr>
        <w:numPr>
          <w:ilvl w:val="0"/>
          <w:numId w:val="27"/>
        </w:numPr>
        <w:spacing w:line="360" w:lineRule="auto"/>
        <w:jc w:val="both"/>
        <w:rPr>
          <w:rFonts w:ascii="Arial" w:hAnsi="Arial" w:cs="Arial"/>
          <w:sz w:val="22"/>
          <w:szCs w:val="22"/>
        </w:rPr>
      </w:pPr>
      <w:r w:rsidRPr="00F4561D">
        <w:rPr>
          <w:rFonts w:ascii="Arial" w:hAnsi="Arial" w:cs="Arial"/>
          <w:sz w:val="22"/>
          <w:szCs w:val="22"/>
        </w:rPr>
        <w:t>Accountable: Project Manager (overall project delivery).</w:t>
      </w:r>
    </w:p>
    <w:p w14:paraId="6631E4CF" w14:textId="77777777" w:rsidR="00F4561D" w:rsidRPr="00F4561D" w:rsidRDefault="00F4561D" w:rsidP="00F111F5">
      <w:pPr>
        <w:numPr>
          <w:ilvl w:val="0"/>
          <w:numId w:val="27"/>
        </w:numPr>
        <w:spacing w:line="360" w:lineRule="auto"/>
        <w:jc w:val="both"/>
        <w:rPr>
          <w:rFonts w:ascii="Arial" w:hAnsi="Arial" w:cs="Arial"/>
          <w:sz w:val="22"/>
          <w:szCs w:val="22"/>
        </w:rPr>
      </w:pPr>
      <w:r w:rsidRPr="00F4561D">
        <w:rPr>
          <w:rFonts w:ascii="Arial" w:hAnsi="Arial" w:cs="Arial"/>
          <w:sz w:val="22"/>
          <w:szCs w:val="22"/>
        </w:rPr>
        <w:t>Consulted: Regulatory Team, Marketing, Healthcare Partners.</w:t>
      </w:r>
    </w:p>
    <w:p w14:paraId="2323C71F" w14:textId="77777777" w:rsidR="00F4561D" w:rsidRPr="00F4561D" w:rsidRDefault="00F4561D" w:rsidP="00F111F5">
      <w:pPr>
        <w:numPr>
          <w:ilvl w:val="0"/>
          <w:numId w:val="27"/>
        </w:numPr>
        <w:spacing w:line="360" w:lineRule="auto"/>
        <w:jc w:val="both"/>
        <w:rPr>
          <w:rFonts w:ascii="Arial" w:hAnsi="Arial" w:cs="Arial"/>
          <w:sz w:val="22"/>
          <w:szCs w:val="22"/>
        </w:rPr>
      </w:pPr>
      <w:r w:rsidRPr="00F4561D">
        <w:rPr>
          <w:rFonts w:ascii="Arial" w:hAnsi="Arial" w:cs="Arial"/>
          <w:sz w:val="22"/>
          <w:szCs w:val="22"/>
        </w:rPr>
        <w:t>Informed: Senior Leadership, Media, Retail Partners.</w:t>
      </w:r>
    </w:p>
    <w:p w14:paraId="2E9AB5A6" w14:textId="77777777" w:rsidR="00F4561D" w:rsidRPr="00F4561D" w:rsidRDefault="00F4561D" w:rsidP="00F111F5">
      <w:pPr>
        <w:spacing w:line="360" w:lineRule="auto"/>
        <w:jc w:val="both"/>
        <w:rPr>
          <w:rFonts w:ascii="Arial" w:hAnsi="Arial" w:cs="Arial"/>
          <w:sz w:val="22"/>
          <w:szCs w:val="22"/>
        </w:rPr>
      </w:pPr>
      <w:r w:rsidRPr="00F4561D">
        <w:rPr>
          <w:rFonts w:ascii="Arial" w:hAnsi="Arial" w:cs="Arial"/>
          <w:sz w:val="22"/>
          <w:szCs w:val="22"/>
        </w:rPr>
        <w:t xml:space="preserve">Using RACI ensures clear accountability and prevents role </w:t>
      </w:r>
      <w:proofErr w:type="gramStart"/>
      <w:r w:rsidRPr="00F4561D">
        <w:rPr>
          <w:rFonts w:ascii="Arial" w:hAnsi="Arial" w:cs="Arial"/>
          <w:sz w:val="22"/>
          <w:szCs w:val="22"/>
        </w:rPr>
        <w:t>overlap</w:t>
      </w:r>
      <w:proofErr w:type="gramEnd"/>
      <w:r w:rsidRPr="00F4561D">
        <w:rPr>
          <w:rFonts w:ascii="Arial" w:hAnsi="Arial" w:cs="Arial"/>
          <w:sz w:val="22"/>
          <w:szCs w:val="22"/>
        </w:rPr>
        <w:t>, improving decision-making efficiency and coordination across functional teams.</w:t>
      </w:r>
    </w:p>
    <w:p w14:paraId="00375C6D" w14:textId="77777777" w:rsidR="00F4561D" w:rsidRPr="00F4561D" w:rsidRDefault="00F4561D" w:rsidP="00F111F5">
      <w:pPr>
        <w:spacing w:line="360" w:lineRule="auto"/>
        <w:jc w:val="both"/>
        <w:rPr>
          <w:rFonts w:ascii="Arial" w:hAnsi="Arial" w:cs="Arial"/>
          <w:sz w:val="22"/>
          <w:szCs w:val="22"/>
        </w:rPr>
      </w:pPr>
      <w:r w:rsidRPr="00F4561D">
        <w:rPr>
          <w:rFonts w:ascii="Arial" w:hAnsi="Arial" w:cs="Arial"/>
          <w:sz w:val="22"/>
          <w:szCs w:val="22"/>
        </w:rPr>
        <w:t>Integration of Frameworks</w:t>
      </w:r>
    </w:p>
    <w:p w14:paraId="66E18123" w14:textId="77777777" w:rsidR="00F4561D" w:rsidRDefault="00F4561D" w:rsidP="00F111F5">
      <w:pPr>
        <w:spacing w:line="360" w:lineRule="auto"/>
        <w:jc w:val="both"/>
        <w:rPr>
          <w:rFonts w:ascii="Arial" w:hAnsi="Arial" w:cs="Arial"/>
          <w:sz w:val="22"/>
          <w:szCs w:val="22"/>
        </w:rPr>
      </w:pPr>
      <w:r w:rsidRPr="00F4561D">
        <w:rPr>
          <w:rFonts w:ascii="Arial" w:hAnsi="Arial" w:cs="Arial"/>
          <w:sz w:val="22"/>
          <w:szCs w:val="22"/>
        </w:rPr>
        <w:t>Integrating these models allows Fitbit UK to establish a comprehensive engagement strategy: Mendelow’s Matrix identifies stakeholder priorities, the engagement and communication plans facilitate structured interaction, and the RACI matrix assigns accountability. Together, these tools enhance collaboration, mitigate risks, and support timely project execution.</w:t>
      </w:r>
    </w:p>
    <w:p w14:paraId="0E941E29" w14:textId="77777777" w:rsidR="003C6C4A" w:rsidRDefault="003C6C4A" w:rsidP="003C6C4A">
      <w:pPr>
        <w:spacing w:line="360" w:lineRule="auto"/>
        <w:jc w:val="center"/>
        <w:rPr>
          <w:rFonts w:ascii="Arial" w:hAnsi="Arial" w:cs="Arial"/>
          <w:b/>
          <w:bCs/>
        </w:rPr>
      </w:pPr>
    </w:p>
    <w:p w14:paraId="2CAE2CEE" w14:textId="6C081ED7" w:rsidR="001269C7" w:rsidRDefault="003C6C4A" w:rsidP="003C6C4A">
      <w:pPr>
        <w:spacing w:line="360" w:lineRule="auto"/>
        <w:jc w:val="center"/>
        <w:rPr>
          <w:rFonts w:ascii="Arial" w:hAnsi="Arial" w:cs="Arial"/>
          <w:b/>
          <w:bCs/>
        </w:rPr>
      </w:pPr>
      <w:r w:rsidRPr="003C6C4A">
        <w:rPr>
          <w:rFonts w:ascii="Arial" w:hAnsi="Arial" w:cs="Arial"/>
          <w:b/>
          <w:bCs/>
        </w:rPr>
        <w:t>Engagement Process and Conflict Management using the 4Cs Model</w:t>
      </w:r>
    </w:p>
    <w:p w14:paraId="0D511B3B"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 xml:space="preserve">Engaging stakeholders effectively throughout the project lifecycle is a core competency of project management and a critical determinant of success (PMI, 2021). In leading Fitbit UK’s new wearable health device project, the project manager must ensure alignment among diverse stakeholders, each with different interests, priorities, and expectations. This section outlines the systematic process for stakeholder engagement and critically evaluates conflict management strategies through the application of the 4Cs Model: </w:t>
      </w:r>
      <w:r w:rsidRPr="00EC5A80">
        <w:rPr>
          <w:rFonts w:ascii="Arial" w:hAnsi="Arial" w:cs="Arial"/>
          <w:i/>
          <w:iCs/>
          <w:sz w:val="22"/>
          <w:szCs w:val="22"/>
        </w:rPr>
        <w:t>Communication, Coordination, Cooperation,</w:t>
      </w:r>
      <w:r w:rsidRPr="00EC5A80">
        <w:rPr>
          <w:rFonts w:ascii="Arial" w:hAnsi="Arial" w:cs="Arial"/>
          <w:sz w:val="22"/>
          <w:szCs w:val="22"/>
        </w:rPr>
        <w:t xml:space="preserve"> and </w:t>
      </w:r>
      <w:r w:rsidRPr="00EC5A80">
        <w:rPr>
          <w:rFonts w:ascii="Arial" w:hAnsi="Arial" w:cs="Arial"/>
          <w:i/>
          <w:iCs/>
          <w:sz w:val="22"/>
          <w:szCs w:val="22"/>
        </w:rPr>
        <w:t>Collaboration</w:t>
      </w:r>
      <w:r w:rsidRPr="00EC5A80">
        <w:rPr>
          <w:rFonts w:ascii="Arial" w:hAnsi="Arial" w:cs="Arial"/>
          <w:sz w:val="22"/>
          <w:szCs w:val="22"/>
        </w:rPr>
        <w:t xml:space="preserve"> (Laufer, 2012).</w:t>
      </w:r>
    </w:p>
    <w:p w14:paraId="7B8E661F" w14:textId="6AF9E906" w:rsidR="00EC5A80" w:rsidRPr="00EC5A80" w:rsidRDefault="00EC5A80" w:rsidP="00816330">
      <w:pPr>
        <w:spacing w:line="360" w:lineRule="auto"/>
        <w:rPr>
          <w:rFonts w:ascii="Arial" w:hAnsi="Arial" w:cs="Arial"/>
          <w:sz w:val="22"/>
          <w:szCs w:val="22"/>
        </w:rPr>
      </w:pPr>
    </w:p>
    <w:p w14:paraId="20F09C3D" w14:textId="77777777" w:rsidR="00EC5A80" w:rsidRPr="00EC5A80" w:rsidRDefault="00EC5A80" w:rsidP="00816330">
      <w:pPr>
        <w:spacing w:line="360" w:lineRule="auto"/>
        <w:rPr>
          <w:rFonts w:ascii="Arial" w:hAnsi="Arial" w:cs="Arial"/>
          <w:b/>
          <w:bCs/>
        </w:rPr>
      </w:pPr>
      <w:r w:rsidRPr="00EC5A80">
        <w:rPr>
          <w:rFonts w:ascii="Arial" w:hAnsi="Arial" w:cs="Arial"/>
          <w:b/>
          <w:bCs/>
        </w:rPr>
        <w:lastRenderedPageBreak/>
        <w:t>1. Stakeholder Engagement Process</w:t>
      </w:r>
    </w:p>
    <w:p w14:paraId="49A69611" w14:textId="10C97F38" w:rsidR="00EC5A80" w:rsidRPr="00EC5A80" w:rsidRDefault="00EC5A80" w:rsidP="00816330">
      <w:pPr>
        <w:spacing w:line="360" w:lineRule="auto"/>
        <w:rPr>
          <w:rFonts w:ascii="Arial" w:hAnsi="Arial" w:cs="Arial"/>
          <w:sz w:val="22"/>
          <w:szCs w:val="22"/>
        </w:rPr>
      </w:pPr>
      <w:r w:rsidRPr="00EC5A80">
        <w:rPr>
          <w:rFonts w:ascii="Arial" w:hAnsi="Arial" w:cs="Arial"/>
          <w:sz w:val="22"/>
          <w:szCs w:val="22"/>
        </w:rPr>
        <w:t>The stakeholder engagement process involves five iterative stages</w:t>
      </w:r>
      <w:r w:rsidR="00A169F6">
        <w:rPr>
          <w:rFonts w:ascii="Arial" w:hAnsi="Arial" w:cs="Arial"/>
          <w:sz w:val="22"/>
          <w:szCs w:val="22"/>
        </w:rPr>
        <w:t xml:space="preserve"> </w:t>
      </w:r>
      <w:r w:rsidRPr="00EC5A80">
        <w:rPr>
          <w:rFonts w:ascii="Arial" w:hAnsi="Arial" w:cs="Arial"/>
          <w:sz w:val="22"/>
          <w:szCs w:val="22"/>
        </w:rPr>
        <w:t>identification, analysis, planning, engagement, and evaluation</w:t>
      </w:r>
      <w:r w:rsidR="00A169F6">
        <w:rPr>
          <w:rFonts w:ascii="Arial" w:hAnsi="Arial" w:cs="Arial"/>
          <w:sz w:val="22"/>
          <w:szCs w:val="22"/>
        </w:rPr>
        <w:t xml:space="preserve"> </w:t>
      </w:r>
      <w:r w:rsidRPr="00EC5A80">
        <w:rPr>
          <w:rFonts w:ascii="Arial" w:hAnsi="Arial" w:cs="Arial"/>
          <w:sz w:val="22"/>
          <w:szCs w:val="22"/>
        </w:rPr>
        <w:t>as recommended by the Association for Project Management (APM, 2020).</w:t>
      </w:r>
    </w:p>
    <w:p w14:paraId="7607FFF4" w14:textId="7C8BD857" w:rsidR="00EC5A80" w:rsidRPr="00EC5A80" w:rsidRDefault="00EC5A80" w:rsidP="00816330">
      <w:pPr>
        <w:spacing w:line="360" w:lineRule="auto"/>
        <w:rPr>
          <w:rFonts w:ascii="Arial" w:hAnsi="Arial" w:cs="Arial"/>
          <w:b/>
          <w:bCs/>
          <w:sz w:val="22"/>
          <w:szCs w:val="22"/>
        </w:rPr>
      </w:pPr>
      <w:r w:rsidRPr="00EC5A80">
        <w:rPr>
          <w:rFonts w:ascii="Arial" w:hAnsi="Arial" w:cs="Arial"/>
          <w:b/>
          <w:bCs/>
          <w:sz w:val="22"/>
          <w:szCs w:val="22"/>
        </w:rPr>
        <w:t>a. Stakeholder Identification</w:t>
      </w:r>
      <w:r w:rsidR="00BD5001">
        <w:rPr>
          <w:rFonts w:ascii="Arial" w:hAnsi="Arial" w:cs="Arial"/>
          <w:b/>
          <w:bCs/>
          <w:sz w:val="22"/>
          <w:szCs w:val="22"/>
        </w:rPr>
        <w:t xml:space="preserve">: </w:t>
      </w:r>
      <w:r w:rsidRPr="00EC5A80">
        <w:rPr>
          <w:rFonts w:ascii="Arial" w:hAnsi="Arial" w:cs="Arial"/>
          <w:sz w:val="22"/>
          <w:szCs w:val="22"/>
        </w:rPr>
        <w:t xml:space="preserve">The process begins with mapping all individuals and groups who may influence or be impacted by the project. Using Mendelow’s Matrix (as discussed earlier), stakeholders are </w:t>
      </w:r>
      <w:proofErr w:type="spellStart"/>
      <w:r w:rsidRPr="00EC5A80">
        <w:rPr>
          <w:rFonts w:ascii="Arial" w:hAnsi="Arial" w:cs="Arial"/>
          <w:sz w:val="22"/>
          <w:szCs w:val="22"/>
        </w:rPr>
        <w:t>categorised</w:t>
      </w:r>
      <w:proofErr w:type="spellEnd"/>
      <w:r w:rsidRPr="00EC5A80">
        <w:rPr>
          <w:rFonts w:ascii="Arial" w:hAnsi="Arial" w:cs="Arial"/>
          <w:sz w:val="22"/>
          <w:szCs w:val="22"/>
        </w:rPr>
        <w:t xml:space="preserve"> by power and interest to determine engagement priorities. For Fitbit UK, high-priority stakeholders include executive leadership, the regulatory team, healthcare partners, and key suppliers. </w:t>
      </w:r>
      <w:proofErr w:type="gramStart"/>
      <w:r w:rsidRPr="00EC5A80">
        <w:rPr>
          <w:rFonts w:ascii="Arial" w:hAnsi="Arial" w:cs="Arial"/>
          <w:sz w:val="22"/>
          <w:szCs w:val="22"/>
        </w:rPr>
        <w:t>Lower-priority</w:t>
      </w:r>
      <w:proofErr w:type="gramEnd"/>
      <w:r w:rsidRPr="00EC5A80">
        <w:rPr>
          <w:rFonts w:ascii="Arial" w:hAnsi="Arial" w:cs="Arial"/>
          <w:sz w:val="22"/>
          <w:szCs w:val="22"/>
        </w:rPr>
        <w:t xml:space="preserve"> but still essential groups include the media and consumers, who shape post-launch perception</w:t>
      </w:r>
      <w:r w:rsidR="00A96C99">
        <w:rPr>
          <w:rFonts w:ascii="Arial" w:hAnsi="Arial" w:cs="Arial"/>
          <w:sz w:val="22"/>
          <w:szCs w:val="22"/>
        </w:rPr>
        <w:t>.</w:t>
      </w:r>
    </w:p>
    <w:p w14:paraId="2CAB50B2" w14:textId="47B44563" w:rsidR="00EC5A80" w:rsidRPr="00EC5A80" w:rsidRDefault="00EC5A80" w:rsidP="00816330">
      <w:pPr>
        <w:spacing w:line="360" w:lineRule="auto"/>
        <w:rPr>
          <w:rFonts w:ascii="Arial" w:hAnsi="Arial" w:cs="Arial"/>
          <w:b/>
          <w:bCs/>
          <w:sz w:val="22"/>
          <w:szCs w:val="22"/>
        </w:rPr>
      </w:pPr>
      <w:r w:rsidRPr="00EC5A80">
        <w:rPr>
          <w:rFonts w:ascii="Arial" w:hAnsi="Arial" w:cs="Arial"/>
          <w:b/>
          <w:bCs/>
          <w:sz w:val="22"/>
          <w:szCs w:val="22"/>
        </w:rPr>
        <w:t>b. Stakeholder Analysis</w:t>
      </w:r>
      <w:r w:rsidR="00BD5001">
        <w:rPr>
          <w:rFonts w:ascii="Arial" w:hAnsi="Arial" w:cs="Arial"/>
          <w:b/>
          <w:bCs/>
          <w:sz w:val="22"/>
          <w:szCs w:val="22"/>
        </w:rPr>
        <w:t xml:space="preserve">: </w:t>
      </w:r>
      <w:r w:rsidRPr="00EC5A80">
        <w:rPr>
          <w:rFonts w:ascii="Arial" w:hAnsi="Arial" w:cs="Arial"/>
          <w:sz w:val="22"/>
          <w:szCs w:val="22"/>
        </w:rPr>
        <w:t xml:space="preserve">Once identified, stakeholders are </w:t>
      </w:r>
      <w:proofErr w:type="spellStart"/>
      <w:r w:rsidRPr="00EC5A80">
        <w:rPr>
          <w:rFonts w:ascii="Arial" w:hAnsi="Arial" w:cs="Arial"/>
          <w:sz w:val="22"/>
          <w:szCs w:val="22"/>
        </w:rPr>
        <w:t>analysed</w:t>
      </w:r>
      <w:proofErr w:type="spellEnd"/>
      <w:r w:rsidRPr="00EC5A80">
        <w:rPr>
          <w:rFonts w:ascii="Arial" w:hAnsi="Arial" w:cs="Arial"/>
          <w:sz w:val="22"/>
          <w:szCs w:val="22"/>
        </w:rPr>
        <w:t xml:space="preserve"> for their needs, expectations, and potential impact. Analytical tools such as influence-interest grids and stakeholder personas help determine appropriate engagement tactics. For example, regulators require transparent communication about compliance milestones, while marketing teams need real-time technical updates to align campaigns with product capabilities.</w:t>
      </w:r>
    </w:p>
    <w:p w14:paraId="1236CCF2" w14:textId="30ABA83E" w:rsidR="00EC5A80" w:rsidRPr="00EC5A80" w:rsidRDefault="00EC5A80" w:rsidP="00816330">
      <w:pPr>
        <w:spacing w:line="360" w:lineRule="auto"/>
        <w:rPr>
          <w:rFonts w:ascii="Arial" w:hAnsi="Arial" w:cs="Arial"/>
          <w:b/>
          <w:bCs/>
          <w:sz w:val="22"/>
          <w:szCs w:val="22"/>
        </w:rPr>
      </w:pPr>
      <w:r w:rsidRPr="00EC5A80">
        <w:rPr>
          <w:rFonts w:ascii="Arial" w:hAnsi="Arial" w:cs="Arial"/>
          <w:b/>
          <w:bCs/>
          <w:sz w:val="22"/>
          <w:szCs w:val="22"/>
        </w:rPr>
        <w:t>c. Planning Engagement</w:t>
      </w:r>
      <w:r w:rsidR="00816330">
        <w:rPr>
          <w:rFonts w:ascii="Arial" w:hAnsi="Arial" w:cs="Arial"/>
          <w:b/>
          <w:bCs/>
          <w:sz w:val="22"/>
          <w:szCs w:val="22"/>
        </w:rPr>
        <w:t xml:space="preserve">: </w:t>
      </w:r>
      <w:r w:rsidRPr="00EC5A80">
        <w:rPr>
          <w:rFonts w:ascii="Arial" w:hAnsi="Arial" w:cs="Arial"/>
          <w:sz w:val="22"/>
          <w:szCs w:val="22"/>
        </w:rPr>
        <w:t>An engagement plan is then developed to define communication frequency, channels, and key messages. For Fitbit UK, engagement will take place through weekly cross-functional meetings, bi-weekly sprint reviews, and monthly executive dashboards via Google Workspace. Feedback mechanisms, such as stakeholder surveys and after-action reviews, will be integrated to monitor satisfaction and responsiveness (Turner, 2014).</w:t>
      </w:r>
    </w:p>
    <w:p w14:paraId="360696F1" w14:textId="01D17EEB" w:rsidR="00EC5A80" w:rsidRPr="00EC5A80" w:rsidRDefault="00EC5A80" w:rsidP="00816330">
      <w:pPr>
        <w:spacing w:line="360" w:lineRule="auto"/>
        <w:rPr>
          <w:rFonts w:ascii="Arial" w:hAnsi="Arial" w:cs="Arial"/>
          <w:b/>
          <w:bCs/>
          <w:sz w:val="22"/>
          <w:szCs w:val="22"/>
        </w:rPr>
      </w:pPr>
      <w:r w:rsidRPr="00EC5A80">
        <w:rPr>
          <w:rFonts w:ascii="Arial" w:hAnsi="Arial" w:cs="Arial"/>
          <w:b/>
          <w:bCs/>
          <w:sz w:val="22"/>
          <w:szCs w:val="22"/>
        </w:rPr>
        <w:t>d. Active Engagement and Relationship Management</w:t>
      </w:r>
      <w:r w:rsidR="00816330">
        <w:rPr>
          <w:rFonts w:ascii="Arial" w:hAnsi="Arial" w:cs="Arial"/>
          <w:b/>
          <w:bCs/>
          <w:sz w:val="22"/>
          <w:szCs w:val="22"/>
        </w:rPr>
        <w:t xml:space="preserve">: </w:t>
      </w:r>
      <w:r w:rsidRPr="00EC5A80">
        <w:rPr>
          <w:rFonts w:ascii="Arial" w:hAnsi="Arial" w:cs="Arial"/>
          <w:sz w:val="22"/>
          <w:szCs w:val="22"/>
        </w:rPr>
        <w:t xml:space="preserve">At this stage, the project manager facilitates participation, ensures expectations are met, and addresses emerging concerns promptly. Relationship management is built on trust, transparency, and responsiveness. As a bridge between technical teams, executives, and external partners, the project manager will mediate conflicting </w:t>
      </w:r>
      <w:proofErr w:type="gramStart"/>
      <w:r w:rsidRPr="00EC5A80">
        <w:rPr>
          <w:rFonts w:ascii="Arial" w:hAnsi="Arial" w:cs="Arial"/>
          <w:sz w:val="22"/>
          <w:szCs w:val="22"/>
        </w:rPr>
        <w:t>priorities</w:t>
      </w:r>
      <w:r w:rsidR="00816330">
        <w:rPr>
          <w:rFonts w:ascii="Arial" w:hAnsi="Arial" w:cs="Arial"/>
          <w:sz w:val="22"/>
          <w:szCs w:val="22"/>
        </w:rPr>
        <w:t xml:space="preserve"> </w:t>
      </w:r>
      <w:r w:rsidR="00327FD2">
        <w:rPr>
          <w:rFonts w:ascii="Arial" w:hAnsi="Arial" w:cs="Arial"/>
          <w:sz w:val="22"/>
          <w:szCs w:val="22"/>
        </w:rPr>
        <w:t xml:space="preserve"> </w:t>
      </w:r>
      <w:r w:rsidRPr="00EC5A80">
        <w:rPr>
          <w:rFonts w:ascii="Arial" w:hAnsi="Arial" w:cs="Arial"/>
          <w:sz w:val="22"/>
          <w:szCs w:val="22"/>
        </w:rPr>
        <w:t>balancing</w:t>
      </w:r>
      <w:proofErr w:type="gramEnd"/>
      <w:r w:rsidRPr="00EC5A80">
        <w:rPr>
          <w:rFonts w:ascii="Arial" w:hAnsi="Arial" w:cs="Arial"/>
          <w:sz w:val="22"/>
          <w:szCs w:val="22"/>
        </w:rPr>
        <w:t xml:space="preserve"> innovation goals with regulatory constraints and commercial objectives.</w:t>
      </w:r>
    </w:p>
    <w:p w14:paraId="702C0982" w14:textId="3039675D" w:rsidR="00EC5A80" w:rsidRPr="00EC5A80" w:rsidRDefault="00EC5A80" w:rsidP="00816330">
      <w:pPr>
        <w:spacing w:line="360" w:lineRule="auto"/>
        <w:rPr>
          <w:rFonts w:ascii="Arial" w:hAnsi="Arial" w:cs="Arial"/>
          <w:b/>
          <w:bCs/>
          <w:sz w:val="22"/>
          <w:szCs w:val="22"/>
        </w:rPr>
      </w:pPr>
      <w:r w:rsidRPr="00EC5A80">
        <w:rPr>
          <w:rFonts w:ascii="Arial" w:hAnsi="Arial" w:cs="Arial"/>
          <w:b/>
          <w:bCs/>
          <w:sz w:val="22"/>
          <w:szCs w:val="22"/>
        </w:rPr>
        <w:t>e. Monitoring and Evaluation</w:t>
      </w:r>
      <w:r w:rsidR="00816330">
        <w:rPr>
          <w:rFonts w:ascii="Arial" w:hAnsi="Arial" w:cs="Arial"/>
          <w:b/>
          <w:bCs/>
          <w:sz w:val="22"/>
          <w:szCs w:val="22"/>
        </w:rPr>
        <w:t xml:space="preserve">: </w:t>
      </w:r>
      <w:r w:rsidRPr="00EC5A80">
        <w:rPr>
          <w:rFonts w:ascii="Arial" w:hAnsi="Arial" w:cs="Arial"/>
          <w:sz w:val="22"/>
          <w:szCs w:val="22"/>
        </w:rPr>
        <w:t xml:space="preserve">Finally, engagement effectiveness is continuously assessed using key performance indicators (KPIs) such as stakeholder satisfaction, issue resolution time, and project milestone adherence. Lessons learned will be documented for future product launches, fostering </w:t>
      </w:r>
      <w:proofErr w:type="spellStart"/>
      <w:r w:rsidRPr="00EC5A80">
        <w:rPr>
          <w:rFonts w:ascii="Arial" w:hAnsi="Arial" w:cs="Arial"/>
          <w:sz w:val="22"/>
          <w:szCs w:val="22"/>
        </w:rPr>
        <w:t>organisational</w:t>
      </w:r>
      <w:proofErr w:type="spellEnd"/>
      <w:r w:rsidRPr="00EC5A80">
        <w:rPr>
          <w:rFonts w:ascii="Arial" w:hAnsi="Arial" w:cs="Arial"/>
          <w:sz w:val="22"/>
          <w:szCs w:val="22"/>
        </w:rPr>
        <w:t xml:space="preserve"> learning within Fitbit UK.</w:t>
      </w:r>
    </w:p>
    <w:p w14:paraId="6475C0CD" w14:textId="0E99AADE" w:rsidR="00EC5A80" w:rsidRPr="00EC5A80" w:rsidRDefault="00EC5A80" w:rsidP="00424331">
      <w:pPr>
        <w:spacing w:line="360" w:lineRule="auto"/>
        <w:jc w:val="both"/>
        <w:rPr>
          <w:rFonts w:ascii="Arial" w:hAnsi="Arial" w:cs="Arial"/>
          <w:b/>
          <w:bCs/>
        </w:rPr>
      </w:pPr>
    </w:p>
    <w:p w14:paraId="14726CFD" w14:textId="77777777" w:rsidR="00EC5A80" w:rsidRPr="00EC5A80" w:rsidRDefault="00EC5A80" w:rsidP="00424331">
      <w:pPr>
        <w:spacing w:line="360" w:lineRule="auto"/>
        <w:jc w:val="both"/>
        <w:rPr>
          <w:rFonts w:ascii="Arial" w:hAnsi="Arial" w:cs="Arial"/>
          <w:b/>
          <w:bCs/>
        </w:rPr>
      </w:pPr>
      <w:r w:rsidRPr="00EC5A80">
        <w:rPr>
          <w:rFonts w:ascii="Arial" w:hAnsi="Arial" w:cs="Arial"/>
          <w:b/>
          <w:bCs/>
        </w:rPr>
        <w:lastRenderedPageBreak/>
        <w:t>2. Conflict Management through the 4Cs Model</w:t>
      </w:r>
    </w:p>
    <w:p w14:paraId="04CBEAB3" w14:textId="5A61086F"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Stakeholder diversity inevitably leads to conflicts</w:t>
      </w:r>
      <w:r w:rsidR="00CE7A97">
        <w:rPr>
          <w:rFonts w:ascii="Arial" w:hAnsi="Arial" w:cs="Arial"/>
          <w:sz w:val="22"/>
          <w:szCs w:val="22"/>
        </w:rPr>
        <w:t xml:space="preserve"> </w:t>
      </w:r>
      <w:r w:rsidRPr="00EC5A80">
        <w:rPr>
          <w:rFonts w:ascii="Arial" w:hAnsi="Arial" w:cs="Arial"/>
          <w:sz w:val="22"/>
          <w:szCs w:val="22"/>
        </w:rPr>
        <w:t>ranging from budget allocation disputes to disagreements on product design or marketing priorities. The 4Cs Model</w:t>
      </w:r>
      <w:r w:rsidR="00CE7A97">
        <w:rPr>
          <w:rFonts w:ascii="Arial" w:hAnsi="Arial" w:cs="Arial"/>
          <w:sz w:val="22"/>
          <w:szCs w:val="22"/>
        </w:rPr>
        <w:t xml:space="preserve"> </w:t>
      </w:r>
      <w:r w:rsidRPr="00EC5A80">
        <w:rPr>
          <w:rFonts w:ascii="Arial" w:hAnsi="Arial" w:cs="Arial"/>
          <w:i/>
          <w:iCs/>
          <w:sz w:val="22"/>
          <w:szCs w:val="22"/>
        </w:rPr>
        <w:t>Communication, Coordination, Cooperation,</w:t>
      </w:r>
      <w:r w:rsidRPr="00EC5A80">
        <w:rPr>
          <w:rFonts w:ascii="Arial" w:hAnsi="Arial" w:cs="Arial"/>
          <w:sz w:val="22"/>
          <w:szCs w:val="22"/>
        </w:rPr>
        <w:t xml:space="preserve"> and </w:t>
      </w:r>
      <w:r w:rsidRPr="00EC5A80">
        <w:rPr>
          <w:rFonts w:ascii="Arial" w:hAnsi="Arial" w:cs="Arial"/>
          <w:i/>
          <w:iCs/>
          <w:sz w:val="22"/>
          <w:szCs w:val="22"/>
        </w:rPr>
        <w:t>Collaboration</w:t>
      </w:r>
      <w:r w:rsidR="00CE7A97">
        <w:rPr>
          <w:rFonts w:ascii="Arial" w:hAnsi="Arial" w:cs="Arial"/>
          <w:sz w:val="22"/>
          <w:szCs w:val="22"/>
        </w:rPr>
        <w:t xml:space="preserve"> </w:t>
      </w:r>
      <w:r w:rsidRPr="00EC5A80">
        <w:rPr>
          <w:rFonts w:ascii="Arial" w:hAnsi="Arial" w:cs="Arial"/>
          <w:sz w:val="22"/>
          <w:szCs w:val="22"/>
        </w:rPr>
        <w:t>provides a structured framework for managing these dynamics and sustaining stakeholder alignment (Laufer, 2012; Fisher, Ury and Patton, 2011).</w:t>
      </w:r>
    </w:p>
    <w:p w14:paraId="3AC6DF59" w14:textId="5CFEB38B" w:rsidR="00EC5A80" w:rsidRPr="00EC5A80" w:rsidRDefault="00EC5A80" w:rsidP="00424331">
      <w:pPr>
        <w:spacing w:line="360" w:lineRule="auto"/>
        <w:jc w:val="both"/>
        <w:rPr>
          <w:rFonts w:ascii="Arial" w:hAnsi="Arial" w:cs="Arial"/>
          <w:b/>
          <w:bCs/>
          <w:sz w:val="22"/>
          <w:szCs w:val="22"/>
        </w:rPr>
      </w:pPr>
      <w:r w:rsidRPr="00EC5A80">
        <w:rPr>
          <w:rFonts w:ascii="Arial" w:hAnsi="Arial" w:cs="Arial"/>
          <w:b/>
          <w:bCs/>
          <w:sz w:val="22"/>
          <w:szCs w:val="22"/>
        </w:rPr>
        <w:t>a. Communication</w:t>
      </w:r>
      <w:r w:rsidR="00BD5001">
        <w:rPr>
          <w:rFonts w:ascii="Arial" w:hAnsi="Arial" w:cs="Arial"/>
          <w:b/>
          <w:bCs/>
          <w:sz w:val="22"/>
          <w:szCs w:val="22"/>
        </w:rPr>
        <w:t>:</w:t>
      </w:r>
      <w:r w:rsidR="00327FD2">
        <w:rPr>
          <w:rFonts w:ascii="Arial" w:hAnsi="Arial" w:cs="Arial"/>
          <w:b/>
          <w:bCs/>
          <w:sz w:val="22"/>
          <w:szCs w:val="22"/>
        </w:rPr>
        <w:t xml:space="preserve"> </w:t>
      </w:r>
      <w:r w:rsidRPr="00EC5A80">
        <w:rPr>
          <w:rFonts w:ascii="Arial" w:hAnsi="Arial" w:cs="Arial"/>
          <w:sz w:val="22"/>
          <w:szCs w:val="22"/>
        </w:rPr>
        <w:t>Clear and consistent communication underpins all engagement efforts. The project manager must establish open channels to share project updates, address concerns, and clarify misunderstandings promptly. For Fitbit UK, this will include:</w:t>
      </w:r>
    </w:p>
    <w:p w14:paraId="7A73315F" w14:textId="77777777" w:rsidR="00EC5A80" w:rsidRPr="00EC5A80" w:rsidRDefault="00EC5A80" w:rsidP="00424331">
      <w:pPr>
        <w:numPr>
          <w:ilvl w:val="0"/>
          <w:numId w:val="28"/>
        </w:numPr>
        <w:spacing w:line="360" w:lineRule="auto"/>
        <w:jc w:val="both"/>
        <w:rPr>
          <w:rFonts w:ascii="Arial" w:hAnsi="Arial" w:cs="Arial"/>
          <w:sz w:val="22"/>
          <w:szCs w:val="22"/>
        </w:rPr>
      </w:pPr>
      <w:r w:rsidRPr="00EC5A80">
        <w:rPr>
          <w:rFonts w:ascii="Arial" w:hAnsi="Arial" w:cs="Arial"/>
          <w:sz w:val="22"/>
          <w:szCs w:val="22"/>
        </w:rPr>
        <w:t>Weekly team meetings to discuss technical progress and emerging risks.</w:t>
      </w:r>
    </w:p>
    <w:p w14:paraId="3039F3C3" w14:textId="77777777" w:rsidR="00EC5A80" w:rsidRPr="00EC5A80" w:rsidRDefault="00EC5A80" w:rsidP="00424331">
      <w:pPr>
        <w:numPr>
          <w:ilvl w:val="0"/>
          <w:numId w:val="28"/>
        </w:numPr>
        <w:spacing w:line="360" w:lineRule="auto"/>
        <w:jc w:val="both"/>
        <w:rPr>
          <w:rFonts w:ascii="Arial" w:hAnsi="Arial" w:cs="Arial"/>
          <w:sz w:val="22"/>
          <w:szCs w:val="22"/>
        </w:rPr>
      </w:pPr>
      <w:r w:rsidRPr="00EC5A80">
        <w:rPr>
          <w:rFonts w:ascii="Arial" w:hAnsi="Arial" w:cs="Arial"/>
          <w:sz w:val="22"/>
          <w:szCs w:val="22"/>
        </w:rPr>
        <w:t xml:space="preserve">Monthly executive reports </w:t>
      </w:r>
      <w:proofErr w:type="gramStart"/>
      <w:r w:rsidRPr="00EC5A80">
        <w:rPr>
          <w:rFonts w:ascii="Arial" w:hAnsi="Arial" w:cs="Arial"/>
          <w:sz w:val="22"/>
          <w:szCs w:val="22"/>
        </w:rPr>
        <w:t>highlighting</w:t>
      </w:r>
      <w:proofErr w:type="gramEnd"/>
      <w:r w:rsidRPr="00EC5A80">
        <w:rPr>
          <w:rFonts w:ascii="Arial" w:hAnsi="Arial" w:cs="Arial"/>
          <w:sz w:val="22"/>
          <w:szCs w:val="22"/>
        </w:rPr>
        <w:t xml:space="preserve"> key deliverables, budget status, and compliance progress.</w:t>
      </w:r>
    </w:p>
    <w:p w14:paraId="3A494932" w14:textId="77777777" w:rsidR="00EC5A80" w:rsidRPr="00EC5A80" w:rsidRDefault="00EC5A80" w:rsidP="00424331">
      <w:pPr>
        <w:numPr>
          <w:ilvl w:val="0"/>
          <w:numId w:val="28"/>
        </w:numPr>
        <w:spacing w:line="360" w:lineRule="auto"/>
        <w:jc w:val="both"/>
        <w:rPr>
          <w:rFonts w:ascii="Arial" w:hAnsi="Arial" w:cs="Arial"/>
          <w:sz w:val="22"/>
          <w:szCs w:val="22"/>
        </w:rPr>
      </w:pPr>
      <w:r w:rsidRPr="00EC5A80">
        <w:rPr>
          <w:rFonts w:ascii="Arial" w:hAnsi="Arial" w:cs="Arial"/>
          <w:sz w:val="22"/>
          <w:szCs w:val="22"/>
        </w:rPr>
        <w:t>Secure communication platforms (e.g., Google Workspace, Slack) to ensure transparency and version control.</w:t>
      </w:r>
    </w:p>
    <w:p w14:paraId="2889D656"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 xml:space="preserve">Effective communication </w:t>
      </w:r>
      <w:proofErr w:type="spellStart"/>
      <w:r w:rsidRPr="00EC5A80">
        <w:rPr>
          <w:rFonts w:ascii="Arial" w:hAnsi="Arial" w:cs="Arial"/>
          <w:sz w:val="22"/>
          <w:szCs w:val="22"/>
        </w:rPr>
        <w:t>minimises</w:t>
      </w:r>
      <w:proofErr w:type="spellEnd"/>
      <w:r w:rsidRPr="00EC5A80">
        <w:rPr>
          <w:rFonts w:ascii="Arial" w:hAnsi="Arial" w:cs="Arial"/>
          <w:sz w:val="22"/>
          <w:szCs w:val="22"/>
        </w:rPr>
        <w:t xml:space="preserve"> uncertainty, fosters trust, and mitigates </w:t>
      </w:r>
      <w:proofErr w:type="spellStart"/>
      <w:r w:rsidRPr="00EC5A80">
        <w:rPr>
          <w:rFonts w:ascii="Arial" w:hAnsi="Arial" w:cs="Arial"/>
          <w:sz w:val="22"/>
          <w:szCs w:val="22"/>
        </w:rPr>
        <w:t>rumours</w:t>
      </w:r>
      <w:proofErr w:type="spellEnd"/>
      <w:r w:rsidRPr="00EC5A80">
        <w:rPr>
          <w:rFonts w:ascii="Arial" w:hAnsi="Arial" w:cs="Arial"/>
          <w:sz w:val="22"/>
          <w:szCs w:val="22"/>
        </w:rPr>
        <w:t xml:space="preserve"> that could damage morale or decision-making. The use of visual dashboards and progress trackers will further enhance transparency and accountability.</w:t>
      </w:r>
    </w:p>
    <w:p w14:paraId="0480FF65" w14:textId="05462400" w:rsidR="00EC5A80" w:rsidRPr="00EC5A80" w:rsidRDefault="00EC5A80" w:rsidP="00424331">
      <w:pPr>
        <w:spacing w:line="360" w:lineRule="auto"/>
        <w:jc w:val="both"/>
        <w:rPr>
          <w:rFonts w:ascii="Arial" w:hAnsi="Arial" w:cs="Arial"/>
          <w:b/>
          <w:bCs/>
          <w:sz w:val="22"/>
          <w:szCs w:val="22"/>
        </w:rPr>
      </w:pPr>
      <w:r w:rsidRPr="00EC5A80">
        <w:rPr>
          <w:rFonts w:ascii="Arial" w:hAnsi="Arial" w:cs="Arial"/>
          <w:b/>
          <w:bCs/>
          <w:sz w:val="22"/>
          <w:szCs w:val="22"/>
        </w:rPr>
        <w:t>b. Coordination</w:t>
      </w:r>
      <w:r w:rsidR="00327FD2">
        <w:rPr>
          <w:rFonts w:ascii="Arial" w:hAnsi="Arial" w:cs="Arial"/>
          <w:b/>
          <w:bCs/>
          <w:sz w:val="22"/>
          <w:szCs w:val="22"/>
        </w:rPr>
        <w:t xml:space="preserve">: </w:t>
      </w:r>
      <w:r w:rsidRPr="00EC5A80">
        <w:rPr>
          <w:rFonts w:ascii="Arial" w:hAnsi="Arial" w:cs="Arial"/>
          <w:sz w:val="22"/>
          <w:szCs w:val="22"/>
        </w:rPr>
        <w:t>Coordination ensures that activities across departments and partners align with project goals. Given Fitbit UK’s complex ecosystem</w:t>
      </w:r>
      <w:r w:rsidR="00CE7A97">
        <w:rPr>
          <w:rFonts w:ascii="Arial" w:hAnsi="Arial" w:cs="Arial"/>
          <w:sz w:val="22"/>
          <w:szCs w:val="22"/>
        </w:rPr>
        <w:t xml:space="preserve">, </w:t>
      </w:r>
      <w:r w:rsidRPr="00EC5A80">
        <w:rPr>
          <w:rFonts w:ascii="Arial" w:hAnsi="Arial" w:cs="Arial"/>
          <w:sz w:val="22"/>
          <w:szCs w:val="22"/>
        </w:rPr>
        <w:t>including developers, suppliers, and healthcare partners</w:t>
      </w:r>
      <w:r w:rsidR="00CE7A97">
        <w:rPr>
          <w:rFonts w:ascii="Arial" w:hAnsi="Arial" w:cs="Arial"/>
          <w:sz w:val="22"/>
          <w:szCs w:val="22"/>
        </w:rPr>
        <w:t xml:space="preserve">, </w:t>
      </w:r>
      <w:r w:rsidRPr="00EC5A80">
        <w:rPr>
          <w:rFonts w:ascii="Arial" w:hAnsi="Arial" w:cs="Arial"/>
          <w:sz w:val="22"/>
          <w:szCs w:val="22"/>
        </w:rPr>
        <w:t xml:space="preserve">the project manager acts as the central coordinator to </w:t>
      </w:r>
      <w:proofErr w:type="spellStart"/>
      <w:r w:rsidRPr="00EC5A80">
        <w:rPr>
          <w:rFonts w:ascii="Arial" w:hAnsi="Arial" w:cs="Arial"/>
          <w:sz w:val="22"/>
          <w:szCs w:val="22"/>
        </w:rPr>
        <w:t>synchronise</w:t>
      </w:r>
      <w:proofErr w:type="spellEnd"/>
      <w:r w:rsidRPr="00EC5A80">
        <w:rPr>
          <w:rFonts w:ascii="Arial" w:hAnsi="Arial" w:cs="Arial"/>
          <w:sz w:val="22"/>
          <w:szCs w:val="22"/>
        </w:rPr>
        <w:t xml:space="preserve"> timelines, dependencies, and deliverables. Tools such as Gantt charts, Agile sprint boards, and RACI </w:t>
      </w:r>
      <w:proofErr w:type="gramStart"/>
      <w:r w:rsidR="00A575EF">
        <w:rPr>
          <w:rFonts w:ascii="Arial" w:hAnsi="Arial" w:cs="Arial"/>
          <w:sz w:val="22"/>
          <w:szCs w:val="22"/>
        </w:rPr>
        <w:t>matrices</w:t>
      </w:r>
      <w:r w:rsidR="00FD67FE">
        <w:rPr>
          <w:rFonts w:ascii="Arial" w:hAnsi="Arial" w:cs="Arial"/>
          <w:sz w:val="22"/>
          <w:szCs w:val="22"/>
        </w:rPr>
        <w:t>.</w:t>
      </w:r>
      <w:r w:rsidR="00784F34" w:rsidRPr="00EC5A80">
        <w:rPr>
          <w:rFonts w:ascii="Arial" w:hAnsi="Arial" w:cs="Arial"/>
          <w:sz w:val="22"/>
          <w:szCs w:val="22"/>
        </w:rPr>
        <w:t>(</w:t>
      </w:r>
      <w:proofErr w:type="gramEnd"/>
      <w:r w:rsidRPr="00EC5A80">
        <w:rPr>
          <w:rFonts w:ascii="Arial" w:hAnsi="Arial" w:cs="Arial"/>
          <w:sz w:val="22"/>
          <w:szCs w:val="22"/>
        </w:rPr>
        <w:t>PMI,2021).</w:t>
      </w:r>
      <w:r w:rsidRPr="00EC5A80">
        <w:rPr>
          <w:rFonts w:ascii="Arial" w:hAnsi="Arial" w:cs="Arial"/>
          <w:sz w:val="22"/>
          <w:szCs w:val="22"/>
        </w:rPr>
        <w:br/>
        <w:t xml:space="preserve">Coordination also involves managing interdepartmental </w:t>
      </w:r>
      <w:proofErr w:type="spellStart"/>
      <w:r w:rsidRPr="00EC5A80">
        <w:rPr>
          <w:rFonts w:ascii="Arial" w:hAnsi="Arial" w:cs="Arial"/>
          <w:sz w:val="22"/>
          <w:szCs w:val="22"/>
        </w:rPr>
        <w:t>dependenciesfor</w:t>
      </w:r>
      <w:proofErr w:type="spellEnd"/>
      <w:r w:rsidRPr="00EC5A80">
        <w:rPr>
          <w:rFonts w:ascii="Arial" w:hAnsi="Arial" w:cs="Arial"/>
          <w:sz w:val="22"/>
          <w:szCs w:val="22"/>
        </w:rPr>
        <w:t xml:space="preserve"> example, ensuring that the engineering team </w:t>
      </w:r>
      <w:proofErr w:type="spellStart"/>
      <w:r w:rsidRPr="00EC5A80">
        <w:rPr>
          <w:rFonts w:ascii="Arial" w:hAnsi="Arial" w:cs="Arial"/>
          <w:sz w:val="22"/>
          <w:szCs w:val="22"/>
        </w:rPr>
        <w:t>finalises</w:t>
      </w:r>
      <w:proofErr w:type="spellEnd"/>
      <w:r w:rsidRPr="00EC5A80">
        <w:rPr>
          <w:rFonts w:ascii="Arial" w:hAnsi="Arial" w:cs="Arial"/>
          <w:sz w:val="22"/>
          <w:szCs w:val="22"/>
        </w:rPr>
        <w:t xml:space="preserve"> sensor calibration before marketing develops product messaging. By holding structured coordination meetings and aligning schedules, the project manager reduces delays and conflicting priorities.</w:t>
      </w:r>
    </w:p>
    <w:p w14:paraId="1B8243AD" w14:textId="578AC8B6" w:rsidR="00EC5A80" w:rsidRPr="00EC5A80" w:rsidRDefault="00EC5A80" w:rsidP="00424331">
      <w:pPr>
        <w:spacing w:line="360" w:lineRule="auto"/>
        <w:jc w:val="both"/>
        <w:rPr>
          <w:rFonts w:ascii="Arial" w:hAnsi="Arial" w:cs="Arial"/>
          <w:b/>
          <w:bCs/>
          <w:sz w:val="22"/>
          <w:szCs w:val="22"/>
        </w:rPr>
      </w:pPr>
      <w:r w:rsidRPr="00EC5A80">
        <w:rPr>
          <w:rFonts w:ascii="Arial" w:hAnsi="Arial" w:cs="Arial"/>
          <w:b/>
          <w:bCs/>
          <w:sz w:val="22"/>
          <w:szCs w:val="22"/>
        </w:rPr>
        <w:t>c. Cooperation</w:t>
      </w:r>
      <w:r w:rsidR="006A6E39">
        <w:rPr>
          <w:rFonts w:ascii="Arial" w:hAnsi="Arial" w:cs="Arial"/>
          <w:b/>
          <w:bCs/>
          <w:sz w:val="22"/>
          <w:szCs w:val="22"/>
        </w:rPr>
        <w:t xml:space="preserve">: </w:t>
      </w:r>
      <w:r w:rsidRPr="00EC5A80">
        <w:rPr>
          <w:rFonts w:ascii="Arial" w:hAnsi="Arial" w:cs="Arial"/>
          <w:sz w:val="22"/>
          <w:szCs w:val="22"/>
        </w:rPr>
        <w:t xml:space="preserve">Cooperation </w:t>
      </w:r>
      <w:proofErr w:type="spellStart"/>
      <w:r w:rsidRPr="00EC5A80">
        <w:rPr>
          <w:rFonts w:ascii="Arial" w:hAnsi="Arial" w:cs="Arial"/>
          <w:sz w:val="22"/>
          <w:szCs w:val="22"/>
        </w:rPr>
        <w:t>emphasises</w:t>
      </w:r>
      <w:proofErr w:type="spellEnd"/>
      <w:r w:rsidRPr="00EC5A80">
        <w:rPr>
          <w:rFonts w:ascii="Arial" w:hAnsi="Arial" w:cs="Arial"/>
          <w:sz w:val="22"/>
          <w:szCs w:val="22"/>
        </w:rPr>
        <w:t xml:space="preserve"> mutual understanding and willingness among stakeholders to achieve common goals. The project manager encourages cooperation through inclusive decision-making, recognition of stakeholder contributions, and transparent negotiation. For example, if healthcare partners request stricter clinical validation that could delay launch, the </w:t>
      </w:r>
      <w:r w:rsidRPr="00EC5A80">
        <w:rPr>
          <w:rFonts w:ascii="Arial" w:hAnsi="Arial" w:cs="Arial"/>
          <w:sz w:val="22"/>
          <w:szCs w:val="22"/>
        </w:rPr>
        <w:lastRenderedPageBreak/>
        <w:t>project manager would negotiate a phased certification strategy</w:t>
      </w:r>
      <w:r w:rsidR="006A6E39">
        <w:rPr>
          <w:rFonts w:ascii="Arial" w:hAnsi="Arial" w:cs="Arial"/>
          <w:sz w:val="22"/>
          <w:szCs w:val="22"/>
        </w:rPr>
        <w:t xml:space="preserve"> </w:t>
      </w:r>
      <w:r w:rsidRPr="00EC5A80">
        <w:rPr>
          <w:rFonts w:ascii="Arial" w:hAnsi="Arial" w:cs="Arial"/>
          <w:sz w:val="22"/>
          <w:szCs w:val="22"/>
        </w:rPr>
        <w:t>allowing commercial release while clinical testing continues.</w:t>
      </w:r>
    </w:p>
    <w:p w14:paraId="6F6B0841"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 xml:space="preserve">Encouraging cooperation also involves emotional intelligence and interpersonal skills. A cooperative environment enhances motivation and reduces adversarial </w:t>
      </w:r>
      <w:proofErr w:type="spellStart"/>
      <w:r w:rsidRPr="00EC5A80">
        <w:rPr>
          <w:rFonts w:ascii="Arial" w:hAnsi="Arial" w:cs="Arial"/>
          <w:sz w:val="22"/>
          <w:szCs w:val="22"/>
        </w:rPr>
        <w:t>behaviours</w:t>
      </w:r>
      <w:proofErr w:type="spellEnd"/>
      <w:r w:rsidRPr="00EC5A80">
        <w:rPr>
          <w:rFonts w:ascii="Arial" w:hAnsi="Arial" w:cs="Arial"/>
          <w:sz w:val="22"/>
          <w:szCs w:val="22"/>
        </w:rPr>
        <w:t>, especially when managing cross-functional teams with varying cultures and objectives (Goleman, 2017).</w:t>
      </w:r>
    </w:p>
    <w:p w14:paraId="78289F98" w14:textId="77777777" w:rsidR="00EC5A80" w:rsidRPr="00EC5A80" w:rsidRDefault="00EC5A80" w:rsidP="00424331">
      <w:pPr>
        <w:spacing w:line="360" w:lineRule="auto"/>
        <w:jc w:val="both"/>
        <w:rPr>
          <w:rFonts w:ascii="Arial" w:hAnsi="Arial" w:cs="Arial"/>
          <w:b/>
          <w:bCs/>
          <w:sz w:val="22"/>
          <w:szCs w:val="22"/>
        </w:rPr>
      </w:pPr>
      <w:r w:rsidRPr="00EC5A80">
        <w:rPr>
          <w:rFonts w:ascii="Arial" w:hAnsi="Arial" w:cs="Arial"/>
          <w:b/>
          <w:bCs/>
          <w:sz w:val="22"/>
          <w:szCs w:val="22"/>
        </w:rPr>
        <w:t>d. Collaboration</w:t>
      </w:r>
    </w:p>
    <w:p w14:paraId="497F7F55"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Collaboration represents the highest level of stakeholder engagement, where stakeholders actively share knowledge, resources, and accountability. At Fitbit UK, collaboration is vital between the engineering, marketing, and regulatory teams to ensure the device meets both consumer expectations and compliance standards.</w:t>
      </w:r>
      <w:r w:rsidRPr="00EC5A80">
        <w:rPr>
          <w:rFonts w:ascii="Arial" w:hAnsi="Arial" w:cs="Arial"/>
          <w:sz w:val="22"/>
          <w:szCs w:val="22"/>
        </w:rPr>
        <w:br/>
        <w:t>The project manager facilitates collaboration through:</w:t>
      </w:r>
    </w:p>
    <w:p w14:paraId="3B44B61F" w14:textId="77777777" w:rsidR="00EC5A80" w:rsidRPr="00EC5A80" w:rsidRDefault="00EC5A80" w:rsidP="00424331">
      <w:pPr>
        <w:numPr>
          <w:ilvl w:val="0"/>
          <w:numId w:val="29"/>
        </w:numPr>
        <w:spacing w:line="360" w:lineRule="auto"/>
        <w:jc w:val="both"/>
        <w:rPr>
          <w:rFonts w:ascii="Arial" w:hAnsi="Arial" w:cs="Arial"/>
          <w:sz w:val="22"/>
          <w:szCs w:val="22"/>
        </w:rPr>
      </w:pPr>
      <w:r w:rsidRPr="00EC5A80">
        <w:rPr>
          <w:rFonts w:ascii="Arial" w:hAnsi="Arial" w:cs="Arial"/>
          <w:sz w:val="22"/>
          <w:szCs w:val="22"/>
        </w:rPr>
        <w:t>Joint problem-solving sessions to resolve technical challenges.</w:t>
      </w:r>
    </w:p>
    <w:p w14:paraId="560B9FB9" w14:textId="77777777" w:rsidR="00EC5A80" w:rsidRPr="00EC5A80" w:rsidRDefault="00EC5A80" w:rsidP="00424331">
      <w:pPr>
        <w:numPr>
          <w:ilvl w:val="0"/>
          <w:numId w:val="29"/>
        </w:numPr>
        <w:spacing w:line="360" w:lineRule="auto"/>
        <w:jc w:val="both"/>
        <w:rPr>
          <w:rFonts w:ascii="Arial" w:hAnsi="Arial" w:cs="Arial"/>
          <w:sz w:val="22"/>
          <w:szCs w:val="22"/>
        </w:rPr>
      </w:pPr>
      <w:r w:rsidRPr="00EC5A80">
        <w:rPr>
          <w:rFonts w:ascii="Arial" w:hAnsi="Arial" w:cs="Arial"/>
          <w:sz w:val="22"/>
          <w:szCs w:val="22"/>
        </w:rPr>
        <w:t xml:space="preserve">Cross-functional task </w:t>
      </w:r>
      <w:proofErr w:type="gramStart"/>
      <w:r w:rsidRPr="00EC5A80">
        <w:rPr>
          <w:rFonts w:ascii="Arial" w:hAnsi="Arial" w:cs="Arial"/>
          <w:sz w:val="22"/>
          <w:szCs w:val="22"/>
        </w:rPr>
        <w:t>forces to ensure</w:t>
      </w:r>
      <w:proofErr w:type="gramEnd"/>
      <w:r w:rsidRPr="00EC5A80">
        <w:rPr>
          <w:rFonts w:ascii="Arial" w:hAnsi="Arial" w:cs="Arial"/>
          <w:sz w:val="22"/>
          <w:szCs w:val="22"/>
        </w:rPr>
        <w:t xml:space="preserve"> marketing campaigns accurately reflect product capabilities.</w:t>
      </w:r>
    </w:p>
    <w:p w14:paraId="16FB5B98" w14:textId="77777777" w:rsidR="00EC5A80" w:rsidRPr="00EC5A80" w:rsidRDefault="00EC5A80" w:rsidP="00424331">
      <w:pPr>
        <w:numPr>
          <w:ilvl w:val="0"/>
          <w:numId w:val="29"/>
        </w:numPr>
        <w:spacing w:line="360" w:lineRule="auto"/>
        <w:jc w:val="both"/>
        <w:rPr>
          <w:rFonts w:ascii="Arial" w:hAnsi="Arial" w:cs="Arial"/>
          <w:sz w:val="22"/>
          <w:szCs w:val="22"/>
        </w:rPr>
      </w:pPr>
      <w:r w:rsidRPr="00EC5A80">
        <w:rPr>
          <w:rFonts w:ascii="Arial" w:hAnsi="Arial" w:cs="Arial"/>
          <w:sz w:val="22"/>
          <w:szCs w:val="22"/>
        </w:rPr>
        <w:t>Collaborative risk workshops to identify and mitigate potential launch barriers.</w:t>
      </w:r>
    </w:p>
    <w:p w14:paraId="43F59276"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Digital collaboration platforms like Google Meet and Asana will enhance transparency, allowing all stakeholders to access progress updates, documentation, and shared decisions in real time.</w:t>
      </w:r>
    </w:p>
    <w:p w14:paraId="144278D8" w14:textId="77777777" w:rsidR="00EC5A80" w:rsidRPr="00EC5A80" w:rsidRDefault="00EC5A80" w:rsidP="00424331">
      <w:pPr>
        <w:spacing w:line="360" w:lineRule="auto"/>
        <w:jc w:val="both"/>
        <w:rPr>
          <w:rFonts w:ascii="Arial" w:hAnsi="Arial" w:cs="Arial"/>
          <w:b/>
          <w:bCs/>
        </w:rPr>
      </w:pPr>
      <w:r w:rsidRPr="00EC5A80">
        <w:rPr>
          <w:rFonts w:ascii="Arial" w:hAnsi="Arial" w:cs="Arial"/>
          <w:b/>
          <w:bCs/>
        </w:rPr>
        <w:t>3. Managing Conflicts Proactively</w:t>
      </w:r>
    </w:p>
    <w:p w14:paraId="5522A3CD" w14:textId="77777777"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Despite strong engagement, conflicts are inevitable. The project manager should adopt a constructive conflict resolution approach by:</w:t>
      </w:r>
    </w:p>
    <w:p w14:paraId="2CF2C531" w14:textId="77777777" w:rsidR="00EC5A80" w:rsidRPr="00EC5A80" w:rsidRDefault="00EC5A80" w:rsidP="00424331">
      <w:pPr>
        <w:numPr>
          <w:ilvl w:val="0"/>
          <w:numId w:val="30"/>
        </w:numPr>
        <w:spacing w:line="360" w:lineRule="auto"/>
        <w:jc w:val="both"/>
        <w:rPr>
          <w:rFonts w:ascii="Arial" w:hAnsi="Arial" w:cs="Arial"/>
          <w:sz w:val="22"/>
          <w:szCs w:val="22"/>
        </w:rPr>
      </w:pPr>
      <w:r w:rsidRPr="00EC5A80">
        <w:rPr>
          <w:rFonts w:ascii="Arial" w:hAnsi="Arial" w:cs="Arial"/>
          <w:sz w:val="22"/>
          <w:szCs w:val="22"/>
        </w:rPr>
        <w:t>Encouraging open dialogue and active listening to identify root causes.</w:t>
      </w:r>
    </w:p>
    <w:p w14:paraId="7883BAD8" w14:textId="77777777" w:rsidR="00EC5A80" w:rsidRPr="00EC5A80" w:rsidRDefault="00EC5A80" w:rsidP="00424331">
      <w:pPr>
        <w:numPr>
          <w:ilvl w:val="0"/>
          <w:numId w:val="30"/>
        </w:numPr>
        <w:spacing w:line="360" w:lineRule="auto"/>
        <w:jc w:val="both"/>
        <w:rPr>
          <w:rFonts w:ascii="Arial" w:hAnsi="Arial" w:cs="Arial"/>
          <w:sz w:val="22"/>
          <w:szCs w:val="22"/>
        </w:rPr>
      </w:pPr>
      <w:r w:rsidRPr="00EC5A80">
        <w:rPr>
          <w:rFonts w:ascii="Arial" w:hAnsi="Arial" w:cs="Arial"/>
          <w:sz w:val="22"/>
          <w:szCs w:val="22"/>
        </w:rPr>
        <w:t>Applying negotiation techniques (Fisher, Ury and Patton, 2011) to find mutually beneficial solutions.</w:t>
      </w:r>
    </w:p>
    <w:p w14:paraId="70A3ECB2" w14:textId="77777777" w:rsidR="00EC5A80" w:rsidRPr="00EC5A80" w:rsidRDefault="00EC5A80" w:rsidP="00424331">
      <w:pPr>
        <w:numPr>
          <w:ilvl w:val="0"/>
          <w:numId w:val="30"/>
        </w:numPr>
        <w:spacing w:line="360" w:lineRule="auto"/>
        <w:jc w:val="both"/>
        <w:rPr>
          <w:rFonts w:ascii="Arial" w:hAnsi="Arial" w:cs="Arial"/>
          <w:sz w:val="22"/>
          <w:szCs w:val="22"/>
        </w:rPr>
      </w:pPr>
      <w:r w:rsidRPr="00EC5A80">
        <w:rPr>
          <w:rFonts w:ascii="Arial" w:hAnsi="Arial" w:cs="Arial"/>
          <w:sz w:val="22"/>
          <w:szCs w:val="22"/>
        </w:rPr>
        <w:t>Escalating unresolved conflicts using formal governance structures, such as project steering committees.</w:t>
      </w:r>
    </w:p>
    <w:p w14:paraId="5BBC6F29" w14:textId="77777777" w:rsidR="00EC5A80" w:rsidRPr="00EC5A80" w:rsidRDefault="00EC5A80" w:rsidP="00424331">
      <w:pPr>
        <w:numPr>
          <w:ilvl w:val="0"/>
          <w:numId w:val="30"/>
        </w:numPr>
        <w:spacing w:line="360" w:lineRule="auto"/>
        <w:jc w:val="both"/>
        <w:rPr>
          <w:rFonts w:ascii="Arial" w:hAnsi="Arial" w:cs="Arial"/>
          <w:sz w:val="22"/>
          <w:szCs w:val="22"/>
        </w:rPr>
      </w:pPr>
      <w:r w:rsidRPr="00EC5A80">
        <w:rPr>
          <w:rFonts w:ascii="Arial" w:hAnsi="Arial" w:cs="Arial"/>
          <w:sz w:val="22"/>
          <w:szCs w:val="22"/>
        </w:rPr>
        <w:t>Documenting resolutions and lessons learned to prevent recurrence.</w:t>
      </w:r>
    </w:p>
    <w:p w14:paraId="38EE67DE" w14:textId="11884ED2" w:rsidR="00EC5A80" w:rsidRPr="00EC5A80" w:rsidRDefault="00EC5A80" w:rsidP="00424331">
      <w:pPr>
        <w:spacing w:line="360" w:lineRule="auto"/>
        <w:jc w:val="both"/>
        <w:rPr>
          <w:rFonts w:ascii="Arial" w:hAnsi="Arial" w:cs="Arial"/>
          <w:sz w:val="22"/>
          <w:szCs w:val="22"/>
        </w:rPr>
      </w:pPr>
    </w:p>
    <w:p w14:paraId="06324378" w14:textId="77777777" w:rsidR="00CE4C3A" w:rsidRDefault="00CE4C3A" w:rsidP="00424331">
      <w:pPr>
        <w:spacing w:line="360" w:lineRule="auto"/>
        <w:jc w:val="both"/>
        <w:rPr>
          <w:rFonts w:ascii="Arial" w:hAnsi="Arial" w:cs="Arial"/>
          <w:b/>
          <w:bCs/>
        </w:rPr>
      </w:pPr>
    </w:p>
    <w:p w14:paraId="75C248A7" w14:textId="77777777" w:rsidR="00BF3DCB" w:rsidRDefault="00BF3DCB" w:rsidP="00424331">
      <w:pPr>
        <w:spacing w:line="360" w:lineRule="auto"/>
        <w:jc w:val="both"/>
        <w:rPr>
          <w:rFonts w:ascii="Arial" w:hAnsi="Arial" w:cs="Arial"/>
          <w:b/>
          <w:bCs/>
        </w:rPr>
      </w:pPr>
    </w:p>
    <w:p w14:paraId="2D1372DC" w14:textId="3BF9B5DA" w:rsidR="00EC5A80" w:rsidRPr="00EC5A80" w:rsidRDefault="00EC5A80" w:rsidP="00424331">
      <w:pPr>
        <w:spacing w:line="360" w:lineRule="auto"/>
        <w:jc w:val="both"/>
        <w:rPr>
          <w:rFonts w:ascii="Arial" w:hAnsi="Arial" w:cs="Arial"/>
          <w:b/>
          <w:bCs/>
        </w:rPr>
      </w:pPr>
      <w:r w:rsidRPr="00EC5A80">
        <w:rPr>
          <w:rFonts w:ascii="Arial" w:hAnsi="Arial" w:cs="Arial"/>
          <w:b/>
          <w:bCs/>
        </w:rPr>
        <w:t>4. Critical Reflection</w:t>
      </w:r>
    </w:p>
    <w:p w14:paraId="5E2A3923" w14:textId="5BAEFA46" w:rsidR="00EC5A80" w:rsidRPr="00EC5A80" w:rsidRDefault="00EC5A80" w:rsidP="00424331">
      <w:pPr>
        <w:spacing w:line="360" w:lineRule="auto"/>
        <w:jc w:val="both"/>
        <w:rPr>
          <w:rFonts w:ascii="Arial" w:hAnsi="Arial" w:cs="Arial"/>
          <w:sz w:val="22"/>
          <w:szCs w:val="22"/>
        </w:rPr>
      </w:pPr>
      <w:r w:rsidRPr="00EC5A80">
        <w:rPr>
          <w:rFonts w:ascii="Arial" w:hAnsi="Arial" w:cs="Arial"/>
          <w:sz w:val="22"/>
          <w:szCs w:val="22"/>
        </w:rPr>
        <w:t>Applying the 4Cs Model allows Fitbit UK’s project manager to integrate communication, coordination, cooperation, and collaboration into a holistic engagement strategy. This approach not only prevents stakeholder disengagement but also enhances trust, innovation, and performance outcomes. In complex technology projects</w:t>
      </w:r>
      <w:r w:rsidR="00547B70">
        <w:rPr>
          <w:rFonts w:ascii="Arial" w:hAnsi="Arial" w:cs="Arial"/>
          <w:sz w:val="22"/>
          <w:szCs w:val="22"/>
        </w:rPr>
        <w:t xml:space="preserve">, </w:t>
      </w:r>
      <w:r w:rsidRPr="00EC5A80">
        <w:rPr>
          <w:rFonts w:ascii="Arial" w:hAnsi="Arial" w:cs="Arial"/>
          <w:sz w:val="22"/>
          <w:szCs w:val="22"/>
        </w:rPr>
        <w:t>especially those involving health data</w:t>
      </w:r>
      <w:r w:rsidR="00547B70">
        <w:rPr>
          <w:rFonts w:ascii="Arial" w:hAnsi="Arial" w:cs="Arial"/>
          <w:sz w:val="22"/>
          <w:szCs w:val="22"/>
        </w:rPr>
        <w:t xml:space="preserve">, </w:t>
      </w:r>
      <w:r w:rsidRPr="00EC5A80">
        <w:rPr>
          <w:rFonts w:ascii="Arial" w:hAnsi="Arial" w:cs="Arial"/>
          <w:sz w:val="22"/>
          <w:szCs w:val="22"/>
        </w:rPr>
        <w:t>the 4Cs foster transparency, accountability, and shared ownership, which are crucial for meeting ethical and regulatory standards (</w:t>
      </w:r>
      <w:proofErr w:type="spellStart"/>
      <w:r w:rsidRPr="00EC5A80">
        <w:rPr>
          <w:rFonts w:ascii="Arial" w:hAnsi="Arial" w:cs="Arial"/>
          <w:sz w:val="22"/>
          <w:szCs w:val="22"/>
        </w:rPr>
        <w:t>Verčič</w:t>
      </w:r>
      <w:proofErr w:type="spellEnd"/>
      <w:r w:rsidRPr="00EC5A80">
        <w:rPr>
          <w:rFonts w:ascii="Arial" w:hAnsi="Arial" w:cs="Arial"/>
          <w:sz w:val="22"/>
          <w:szCs w:val="22"/>
        </w:rPr>
        <w:t xml:space="preserve"> and Zerfass, 2021).</w:t>
      </w:r>
    </w:p>
    <w:p w14:paraId="14DEDE0B" w14:textId="77777777" w:rsidR="00EC5A80" w:rsidRDefault="00EC5A80" w:rsidP="00424331">
      <w:pPr>
        <w:spacing w:line="360" w:lineRule="auto"/>
        <w:jc w:val="both"/>
        <w:rPr>
          <w:rFonts w:ascii="Arial" w:hAnsi="Arial" w:cs="Arial"/>
          <w:sz w:val="22"/>
          <w:szCs w:val="22"/>
        </w:rPr>
      </w:pPr>
      <w:r w:rsidRPr="00EC5A80">
        <w:rPr>
          <w:rFonts w:ascii="Arial" w:hAnsi="Arial" w:cs="Arial"/>
          <w:sz w:val="22"/>
          <w:szCs w:val="22"/>
        </w:rPr>
        <w:t>Ultimately, the project manager’s ability to balance technical objectives with human dynamics determines the success of stakeholder engagement. The 4Cs framework provides a practical yet adaptable foundation for managing this complexity effectively throughout the product’s lifecycle.</w:t>
      </w:r>
    </w:p>
    <w:p w14:paraId="3938A7F8" w14:textId="77777777" w:rsidR="00226B13" w:rsidRDefault="00226B13" w:rsidP="00226B13">
      <w:pPr>
        <w:spacing w:line="360" w:lineRule="auto"/>
        <w:jc w:val="center"/>
        <w:rPr>
          <w:rFonts w:ascii="Arial" w:hAnsi="Arial" w:cs="Arial"/>
          <w:b/>
          <w:bCs/>
        </w:rPr>
      </w:pPr>
    </w:p>
    <w:p w14:paraId="322AC27C" w14:textId="05340F39" w:rsidR="00547B70" w:rsidRDefault="00B935A8" w:rsidP="00226B13">
      <w:pPr>
        <w:spacing w:line="360" w:lineRule="auto"/>
        <w:jc w:val="center"/>
        <w:rPr>
          <w:rFonts w:ascii="Arial" w:hAnsi="Arial" w:cs="Arial"/>
          <w:b/>
          <w:bCs/>
        </w:rPr>
      </w:pPr>
      <w:r w:rsidRPr="00B935A8">
        <w:rPr>
          <w:rFonts w:ascii="Arial" w:hAnsi="Arial" w:cs="Arial"/>
          <w:b/>
          <w:bCs/>
        </w:rPr>
        <w:t>Evaluation of Stakeholder Engagement Impact and Recommendations</w:t>
      </w:r>
    </w:p>
    <w:p w14:paraId="3A45C96A"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 xml:space="preserve">Effective stakeholder engagement is a critical determinant of </w:t>
      </w:r>
      <w:proofErr w:type="spellStart"/>
      <w:r w:rsidRPr="00F25BD3">
        <w:rPr>
          <w:rFonts w:ascii="Arial" w:hAnsi="Arial" w:cs="Arial"/>
          <w:sz w:val="22"/>
          <w:szCs w:val="22"/>
        </w:rPr>
        <w:t>organisational</w:t>
      </w:r>
      <w:proofErr w:type="spellEnd"/>
      <w:r w:rsidRPr="00F25BD3">
        <w:rPr>
          <w:rFonts w:ascii="Arial" w:hAnsi="Arial" w:cs="Arial"/>
          <w:sz w:val="22"/>
          <w:szCs w:val="22"/>
        </w:rPr>
        <w:t xml:space="preserve"> performance, innovation success, and long-term competitiveness. For Fitbit UK, stakeholder collaboration in launching the new wearable health device directly influences product quality, market penetration, regulatory compliance, and consumer trust. This section evaluates the </w:t>
      </w:r>
      <w:r w:rsidRPr="00F25BD3">
        <w:rPr>
          <w:rFonts w:ascii="Arial" w:hAnsi="Arial" w:cs="Arial"/>
          <w:b/>
          <w:bCs/>
          <w:sz w:val="22"/>
          <w:szCs w:val="22"/>
        </w:rPr>
        <w:t>impact of stakeholder engagement</w:t>
      </w:r>
      <w:r w:rsidRPr="00F25BD3">
        <w:rPr>
          <w:rFonts w:ascii="Arial" w:hAnsi="Arial" w:cs="Arial"/>
          <w:sz w:val="22"/>
          <w:szCs w:val="22"/>
        </w:rPr>
        <w:t xml:space="preserve"> across operational, strategic, and relational dimensions, followed by </w:t>
      </w:r>
      <w:r w:rsidRPr="00F25BD3">
        <w:rPr>
          <w:rFonts w:ascii="Arial" w:hAnsi="Arial" w:cs="Arial"/>
          <w:b/>
          <w:bCs/>
          <w:sz w:val="22"/>
          <w:szCs w:val="22"/>
        </w:rPr>
        <w:t>recommendations</w:t>
      </w:r>
      <w:r w:rsidRPr="00F25BD3">
        <w:rPr>
          <w:rFonts w:ascii="Arial" w:hAnsi="Arial" w:cs="Arial"/>
          <w:sz w:val="22"/>
          <w:szCs w:val="22"/>
        </w:rPr>
        <w:t xml:space="preserve"> for enhancing engagement and business performance.</w:t>
      </w:r>
    </w:p>
    <w:p w14:paraId="224CAE8B" w14:textId="0C87A56D" w:rsidR="00F25BD3" w:rsidRPr="00F25BD3" w:rsidRDefault="00F25BD3" w:rsidP="00F25BD3">
      <w:pPr>
        <w:spacing w:line="360" w:lineRule="auto"/>
        <w:jc w:val="both"/>
        <w:rPr>
          <w:rFonts w:ascii="Arial" w:hAnsi="Arial" w:cs="Arial"/>
          <w:sz w:val="22"/>
          <w:szCs w:val="22"/>
        </w:rPr>
      </w:pPr>
    </w:p>
    <w:p w14:paraId="72D0C576" w14:textId="77777777" w:rsidR="00F25BD3" w:rsidRPr="00F25BD3" w:rsidRDefault="00F25BD3" w:rsidP="00F25BD3">
      <w:pPr>
        <w:spacing w:line="360" w:lineRule="auto"/>
        <w:jc w:val="both"/>
        <w:rPr>
          <w:rFonts w:ascii="Arial" w:hAnsi="Arial" w:cs="Arial"/>
          <w:b/>
          <w:bCs/>
        </w:rPr>
      </w:pPr>
      <w:r w:rsidRPr="00F25BD3">
        <w:rPr>
          <w:rFonts w:ascii="Arial" w:hAnsi="Arial" w:cs="Arial"/>
          <w:b/>
          <w:bCs/>
          <w:sz w:val="22"/>
          <w:szCs w:val="22"/>
        </w:rPr>
        <w:t>1</w:t>
      </w:r>
      <w:r w:rsidRPr="00F25BD3">
        <w:rPr>
          <w:rFonts w:ascii="Arial" w:hAnsi="Arial" w:cs="Arial"/>
          <w:b/>
          <w:bCs/>
        </w:rPr>
        <w:t>. Impact of Stakeholder Engagement on Business Performance</w:t>
      </w:r>
    </w:p>
    <w:p w14:paraId="4542E798" w14:textId="28D6FD86"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a. Improved Strategic Alignment and Decision-Making</w:t>
      </w:r>
      <w:r w:rsidR="006E00A9">
        <w:rPr>
          <w:rFonts w:ascii="Arial" w:hAnsi="Arial" w:cs="Arial"/>
          <w:b/>
          <w:bCs/>
          <w:sz w:val="22"/>
          <w:szCs w:val="22"/>
        </w:rPr>
        <w:t xml:space="preserve">: </w:t>
      </w:r>
      <w:r w:rsidRPr="00F25BD3">
        <w:rPr>
          <w:rFonts w:ascii="Arial" w:hAnsi="Arial" w:cs="Arial"/>
          <w:sz w:val="22"/>
          <w:szCs w:val="22"/>
        </w:rPr>
        <w:t>Engaging key stakeholders, such as senior executives, product developers, and regulatory bodies, ensures that strategic decisions are informed by diverse expertise and aligned with corporate goals. Through structured frameworks such as Mendelow’s Matrix and RACI, the project manager can align decisions with stakeholder interests, reducing ambiguity and strategic drift (Freeman, 2010).</w:t>
      </w:r>
    </w:p>
    <w:p w14:paraId="55E3D70A" w14:textId="77777777" w:rsidR="008F73C8" w:rsidRDefault="00F25BD3" w:rsidP="00F25BD3">
      <w:pPr>
        <w:spacing w:line="360" w:lineRule="auto"/>
        <w:jc w:val="both"/>
        <w:rPr>
          <w:rFonts w:ascii="Arial" w:hAnsi="Arial" w:cs="Arial"/>
          <w:sz w:val="22"/>
          <w:szCs w:val="22"/>
        </w:rPr>
      </w:pPr>
      <w:r w:rsidRPr="00F25BD3">
        <w:rPr>
          <w:rFonts w:ascii="Arial" w:hAnsi="Arial" w:cs="Arial"/>
          <w:sz w:val="22"/>
          <w:szCs w:val="22"/>
        </w:rPr>
        <w:t xml:space="preserve">In Fitbit UK’s case, regular stakeholder consultations during product development ensure that technological innovation aligns with market demand and legal requirements. </w:t>
      </w:r>
    </w:p>
    <w:p w14:paraId="32BB8D7C" w14:textId="69CC18E4"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lastRenderedPageBreak/>
        <w:t xml:space="preserve">This engagement </w:t>
      </w:r>
      <w:proofErr w:type="spellStart"/>
      <w:r w:rsidRPr="00F25BD3">
        <w:rPr>
          <w:rFonts w:ascii="Arial" w:hAnsi="Arial" w:cs="Arial"/>
          <w:sz w:val="22"/>
          <w:szCs w:val="22"/>
        </w:rPr>
        <w:t>minimises</w:t>
      </w:r>
      <w:proofErr w:type="spellEnd"/>
      <w:r w:rsidRPr="00F25BD3">
        <w:rPr>
          <w:rFonts w:ascii="Arial" w:hAnsi="Arial" w:cs="Arial"/>
          <w:sz w:val="22"/>
          <w:szCs w:val="22"/>
        </w:rPr>
        <w:t xml:space="preserve"> the risk of misdirected investments, strengthens project justification, and enhances strategic agility in response to market trends.</w:t>
      </w:r>
    </w:p>
    <w:p w14:paraId="1AE77394" w14:textId="6F398438"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b. Enhanced Innovation and Product Quality</w:t>
      </w:r>
      <w:r w:rsidR="006E00A9">
        <w:rPr>
          <w:rFonts w:ascii="Arial" w:hAnsi="Arial" w:cs="Arial"/>
          <w:b/>
          <w:bCs/>
          <w:sz w:val="22"/>
          <w:szCs w:val="22"/>
        </w:rPr>
        <w:t xml:space="preserve">: </w:t>
      </w:r>
      <w:r w:rsidRPr="00F25BD3">
        <w:rPr>
          <w:rFonts w:ascii="Arial" w:hAnsi="Arial" w:cs="Arial"/>
          <w:sz w:val="22"/>
          <w:szCs w:val="22"/>
        </w:rPr>
        <w:t>Stakeholder engagement fosters innovation by integrating diverse perspectives. Collaboration between engineers, healthcare professionals, and data analysts leads to the development of more accurate sensors and improved health insights. Engaging healthcare partners ensures clinical reliability, which strengthens Fitbit’s reputation in both consumer and healthcare markets (Deloitte, 2024).</w:t>
      </w:r>
    </w:p>
    <w:p w14:paraId="3C49A3BF"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Moreover, consumer engagement through focus groups and beta testing allows Fitbit UK to incorporate user feedback early, reducing post-launch defects and increasing customer satisfaction. As studies by Bourne (2016) indicate, participatory design enhances innovation speed and product adoption.</w:t>
      </w:r>
    </w:p>
    <w:p w14:paraId="70A09A1C" w14:textId="3E780F97"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 xml:space="preserve">c. Strengthened </w:t>
      </w:r>
      <w:proofErr w:type="spellStart"/>
      <w:r w:rsidRPr="00F25BD3">
        <w:rPr>
          <w:rFonts w:ascii="Arial" w:hAnsi="Arial" w:cs="Arial"/>
          <w:b/>
          <w:bCs/>
          <w:sz w:val="22"/>
          <w:szCs w:val="22"/>
        </w:rPr>
        <w:t>Organisational</w:t>
      </w:r>
      <w:proofErr w:type="spellEnd"/>
      <w:r w:rsidRPr="00F25BD3">
        <w:rPr>
          <w:rFonts w:ascii="Arial" w:hAnsi="Arial" w:cs="Arial"/>
          <w:b/>
          <w:bCs/>
          <w:sz w:val="22"/>
          <w:szCs w:val="22"/>
        </w:rPr>
        <w:t xml:space="preserve"> Reputation and Trust</w:t>
      </w:r>
      <w:r w:rsidR="006E00A9">
        <w:rPr>
          <w:rFonts w:ascii="Arial" w:hAnsi="Arial" w:cs="Arial"/>
          <w:b/>
          <w:bCs/>
          <w:sz w:val="22"/>
          <w:szCs w:val="22"/>
        </w:rPr>
        <w:t xml:space="preserve">: </w:t>
      </w:r>
      <w:r w:rsidRPr="00F25BD3">
        <w:rPr>
          <w:rFonts w:ascii="Arial" w:hAnsi="Arial" w:cs="Arial"/>
          <w:sz w:val="22"/>
          <w:szCs w:val="22"/>
        </w:rPr>
        <w:t xml:space="preserve">Transparency and communication with external </w:t>
      </w:r>
      <w:proofErr w:type="gramStart"/>
      <w:r w:rsidRPr="00F25BD3">
        <w:rPr>
          <w:rFonts w:ascii="Arial" w:hAnsi="Arial" w:cs="Arial"/>
          <w:sz w:val="22"/>
          <w:szCs w:val="22"/>
        </w:rPr>
        <w:t>stakeholders</w:t>
      </w:r>
      <w:proofErr w:type="gramEnd"/>
      <w:r w:rsidR="00A727F8">
        <w:rPr>
          <w:rFonts w:ascii="Arial" w:hAnsi="Arial" w:cs="Arial"/>
          <w:sz w:val="22"/>
          <w:szCs w:val="22"/>
        </w:rPr>
        <w:t xml:space="preserve"> </w:t>
      </w:r>
      <w:r w:rsidRPr="00F25BD3">
        <w:rPr>
          <w:rFonts w:ascii="Arial" w:hAnsi="Arial" w:cs="Arial"/>
          <w:sz w:val="22"/>
          <w:szCs w:val="22"/>
        </w:rPr>
        <w:t>especially regulators, consumers, and media</w:t>
      </w:r>
      <w:r w:rsidR="001F49D8">
        <w:rPr>
          <w:rFonts w:ascii="Arial" w:hAnsi="Arial" w:cs="Arial"/>
          <w:sz w:val="22"/>
          <w:szCs w:val="22"/>
        </w:rPr>
        <w:t xml:space="preserve">, </w:t>
      </w:r>
      <w:r w:rsidRPr="00F25BD3">
        <w:rPr>
          <w:rFonts w:ascii="Arial" w:hAnsi="Arial" w:cs="Arial"/>
          <w:sz w:val="22"/>
          <w:szCs w:val="22"/>
        </w:rPr>
        <w:t>are vital for maintaining brand trust. Fitbit UK’s proactive engagement regarding data privacy and health data management can reinforce its position as a trustworthy brand in an era of growing concern about digital ethics (BBC News, 2021). This credibility not only supports product sales but also promotes long-term brand equity and loyalty.</w:t>
      </w:r>
    </w:p>
    <w:p w14:paraId="6438011E" w14:textId="3256488A"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d. Operational Efficiency and Risk Reduction</w:t>
      </w:r>
      <w:r w:rsidR="006E00A9">
        <w:rPr>
          <w:rFonts w:ascii="Arial" w:hAnsi="Arial" w:cs="Arial"/>
          <w:b/>
          <w:bCs/>
          <w:sz w:val="22"/>
          <w:szCs w:val="22"/>
        </w:rPr>
        <w:t xml:space="preserve">: </w:t>
      </w:r>
      <w:r w:rsidRPr="00F25BD3">
        <w:rPr>
          <w:rFonts w:ascii="Arial" w:hAnsi="Arial" w:cs="Arial"/>
          <w:sz w:val="22"/>
          <w:szCs w:val="22"/>
        </w:rPr>
        <w:t>Stakeholder coordination reduces operational inefficiencies and mitigates project risks. By using structured communication plans and coordination platforms, Fitbit UK can ensure real-time alignment between suppliers, engineers, and marketers, thus avoiding costly rework or schedule delays (PMI, 2021). Regular engagement with regulatory authorities reduces the likelihood of compliance failures that could postpone launch timelines.</w:t>
      </w:r>
    </w:p>
    <w:p w14:paraId="50A28720" w14:textId="218F6D34"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 xml:space="preserve">e. </w:t>
      </w:r>
      <w:proofErr w:type="spellStart"/>
      <w:r w:rsidRPr="00F25BD3">
        <w:rPr>
          <w:rFonts w:ascii="Arial" w:hAnsi="Arial" w:cs="Arial"/>
          <w:b/>
          <w:bCs/>
          <w:sz w:val="22"/>
          <w:szCs w:val="22"/>
        </w:rPr>
        <w:t>Organisational</w:t>
      </w:r>
      <w:proofErr w:type="spellEnd"/>
      <w:r w:rsidRPr="00F25BD3">
        <w:rPr>
          <w:rFonts w:ascii="Arial" w:hAnsi="Arial" w:cs="Arial"/>
          <w:b/>
          <w:bCs/>
          <w:sz w:val="22"/>
          <w:szCs w:val="22"/>
        </w:rPr>
        <w:t xml:space="preserve"> Learning and Continuous Improvement</w:t>
      </w:r>
      <w:r w:rsidR="006E00A9">
        <w:rPr>
          <w:rFonts w:ascii="Arial" w:hAnsi="Arial" w:cs="Arial"/>
          <w:b/>
          <w:bCs/>
          <w:sz w:val="22"/>
          <w:szCs w:val="22"/>
        </w:rPr>
        <w:t xml:space="preserve">: </w:t>
      </w:r>
      <w:r w:rsidRPr="00F25BD3">
        <w:rPr>
          <w:rFonts w:ascii="Arial" w:hAnsi="Arial" w:cs="Arial"/>
          <w:sz w:val="22"/>
          <w:szCs w:val="22"/>
        </w:rPr>
        <w:t xml:space="preserve">Stakeholder engagement also serves as a mechanism for </w:t>
      </w:r>
      <w:proofErr w:type="spellStart"/>
      <w:r w:rsidRPr="00F25BD3">
        <w:rPr>
          <w:rFonts w:ascii="Arial" w:hAnsi="Arial" w:cs="Arial"/>
          <w:sz w:val="22"/>
          <w:szCs w:val="22"/>
        </w:rPr>
        <w:t>organisational</w:t>
      </w:r>
      <w:proofErr w:type="spellEnd"/>
      <w:r w:rsidRPr="00F25BD3">
        <w:rPr>
          <w:rFonts w:ascii="Arial" w:hAnsi="Arial" w:cs="Arial"/>
          <w:sz w:val="22"/>
          <w:szCs w:val="22"/>
        </w:rPr>
        <w:t xml:space="preserve"> learning. Lessons learned from engagement feedback loops help Fitbit UK refine its internal processes and enhance its maturity in managing cross-functional projects. Capturing insights from each stakeholder group enables the </w:t>
      </w:r>
      <w:proofErr w:type="spellStart"/>
      <w:r w:rsidRPr="00F25BD3">
        <w:rPr>
          <w:rFonts w:ascii="Arial" w:hAnsi="Arial" w:cs="Arial"/>
          <w:sz w:val="22"/>
          <w:szCs w:val="22"/>
        </w:rPr>
        <w:t>organisation</w:t>
      </w:r>
      <w:proofErr w:type="spellEnd"/>
      <w:r w:rsidRPr="00F25BD3">
        <w:rPr>
          <w:rFonts w:ascii="Arial" w:hAnsi="Arial" w:cs="Arial"/>
          <w:sz w:val="22"/>
          <w:szCs w:val="22"/>
        </w:rPr>
        <w:t xml:space="preserve"> to develop best practices for future product launches and strengthen its innovation capability.</w:t>
      </w:r>
    </w:p>
    <w:p w14:paraId="0626BCAE" w14:textId="224419C5" w:rsidR="00F25BD3" w:rsidRPr="00F25BD3" w:rsidRDefault="00F25BD3" w:rsidP="00F25BD3">
      <w:pPr>
        <w:spacing w:line="360" w:lineRule="auto"/>
        <w:jc w:val="both"/>
        <w:rPr>
          <w:rFonts w:ascii="Arial" w:hAnsi="Arial" w:cs="Arial"/>
          <w:sz w:val="22"/>
          <w:szCs w:val="22"/>
        </w:rPr>
      </w:pPr>
    </w:p>
    <w:p w14:paraId="031D66C3" w14:textId="77777777" w:rsidR="00D6607B" w:rsidRDefault="00D6607B" w:rsidP="00F25BD3">
      <w:pPr>
        <w:spacing w:line="360" w:lineRule="auto"/>
        <w:jc w:val="both"/>
        <w:rPr>
          <w:rFonts w:ascii="Arial" w:hAnsi="Arial" w:cs="Arial"/>
          <w:b/>
          <w:bCs/>
          <w:sz w:val="22"/>
          <w:szCs w:val="22"/>
        </w:rPr>
      </w:pPr>
    </w:p>
    <w:p w14:paraId="73DE3A2A" w14:textId="77777777" w:rsidR="00D6607B" w:rsidRDefault="00D6607B" w:rsidP="00F25BD3">
      <w:pPr>
        <w:spacing w:line="360" w:lineRule="auto"/>
        <w:jc w:val="both"/>
        <w:rPr>
          <w:rFonts w:ascii="Arial" w:hAnsi="Arial" w:cs="Arial"/>
          <w:b/>
          <w:bCs/>
          <w:sz w:val="22"/>
          <w:szCs w:val="22"/>
        </w:rPr>
      </w:pPr>
    </w:p>
    <w:p w14:paraId="172121D3" w14:textId="19FC01D0"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lastRenderedPageBreak/>
        <w:t>2. Challenges and Limitations of Stakeholder Engagement</w:t>
      </w:r>
    </w:p>
    <w:p w14:paraId="6D1B617C"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 xml:space="preserve">Despite its benefits, stakeholder engagement also presents challenges. Divergent interests between commercial and regulatory stakeholders can lead to delays or conflicting priorities. For example, marketing teams may push for an early product launch to gain competitive advantage, while compliance officers </w:t>
      </w:r>
      <w:proofErr w:type="gramStart"/>
      <w:r w:rsidRPr="00F25BD3">
        <w:rPr>
          <w:rFonts w:ascii="Arial" w:hAnsi="Arial" w:cs="Arial"/>
          <w:sz w:val="22"/>
          <w:szCs w:val="22"/>
        </w:rPr>
        <w:t>advocate for</w:t>
      </w:r>
      <w:proofErr w:type="gramEnd"/>
      <w:r w:rsidRPr="00F25BD3">
        <w:rPr>
          <w:rFonts w:ascii="Arial" w:hAnsi="Arial" w:cs="Arial"/>
          <w:sz w:val="22"/>
          <w:szCs w:val="22"/>
        </w:rPr>
        <w:t xml:space="preserve"> extended validation cycles. Managing such trade-offs requires careful negotiation and </w:t>
      </w:r>
      <w:proofErr w:type="spellStart"/>
      <w:r w:rsidRPr="00F25BD3">
        <w:rPr>
          <w:rFonts w:ascii="Arial" w:hAnsi="Arial" w:cs="Arial"/>
          <w:sz w:val="22"/>
          <w:szCs w:val="22"/>
        </w:rPr>
        <w:t>prioritisation</w:t>
      </w:r>
      <w:proofErr w:type="spellEnd"/>
      <w:r w:rsidRPr="00F25BD3">
        <w:rPr>
          <w:rFonts w:ascii="Arial" w:hAnsi="Arial" w:cs="Arial"/>
          <w:sz w:val="22"/>
          <w:szCs w:val="22"/>
        </w:rPr>
        <w:t xml:space="preserve"> (Eskerod and Jepsen, 2016).</w:t>
      </w:r>
    </w:p>
    <w:p w14:paraId="4E77B6FA"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Additionally, engagement fatigue can occur when stakeholders are over-consulted without perceivable impact on outcomes. The project manager must therefore ensure that engagement efforts are purposeful, time-efficient, and aligned with project value creation.</w:t>
      </w:r>
    </w:p>
    <w:p w14:paraId="61B36212"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 xml:space="preserve">Cultural differences and communication barriers within cross-functional teams may also hinder collaboration, particularly in multinational </w:t>
      </w:r>
      <w:proofErr w:type="spellStart"/>
      <w:r w:rsidRPr="00F25BD3">
        <w:rPr>
          <w:rFonts w:ascii="Arial" w:hAnsi="Arial" w:cs="Arial"/>
          <w:sz w:val="22"/>
          <w:szCs w:val="22"/>
        </w:rPr>
        <w:t>organisations</w:t>
      </w:r>
      <w:proofErr w:type="spellEnd"/>
      <w:r w:rsidRPr="00F25BD3">
        <w:rPr>
          <w:rFonts w:ascii="Arial" w:hAnsi="Arial" w:cs="Arial"/>
          <w:sz w:val="22"/>
          <w:szCs w:val="22"/>
        </w:rPr>
        <w:t xml:space="preserve"> such as Fitbit. Addressing these issues requires fostering an inclusive culture and applying emotional intelligence principles in leadership (Goleman, 2017).</w:t>
      </w:r>
    </w:p>
    <w:p w14:paraId="39C630CB" w14:textId="6B4FBD33" w:rsidR="00F25BD3" w:rsidRPr="00F25BD3" w:rsidRDefault="00F25BD3" w:rsidP="00F25BD3">
      <w:pPr>
        <w:spacing w:line="360" w:lineRule="auto"/>
        <w:jc w:val="both"/>
        <w:rPr>
          <w:rFonts w:ascii="Arial" w:hAnsi="Arial" w:cs="Arial"/>
          <w:sz w:val="22"/>
          <w:szCs w:val="22"/>
        </w:rPr>
      </w:pPr>
    </w:p>
    <w:p w14:paraId="034AB6F0" w14:textId="77777777" w:rsidR="00F25BD3" w:rsidRPr="00F25BD3" w:rsidRDefault="00F25BD3" w:rsidP="00F25BD3">
      <w:pPr>
        <w:spacing w:line="360" w:lineRule="auto"/>
        <w:jc w:val="both"/>
        <w:rPr>
          <w:rFonts w:ascii="Arial" w:hAnsi="Arial" w:cs="Arial"/>
          <w:b/>
          <w:bCs/>
          <w:sz w:val="22"/>
          <w:szCs w:val="22"/>
        </w:rPr>
      </w:pPr>
      <w:r w:rsidRPr="00F25BD3">
        <w:rPr>
          <w:rFonts w:ascii="Arial" w:hAnsi="Arial" w:cs="Arial"/>
          <w:b/>
          <w:bCs/>
          <w:sz w:val="22"/>
          <w:szCs w:val="22"/>
        </w:rPr>
        <w:t>3. Evaluation Metrics for Stakeholder Engagement</w:t>
      </w:r>
    </w:p>
    <w:p w14:paraId="6458CAD6"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To measure the effectiveness of stakeholder engagement, Fitbit UK can adopt both quantitative and qualitative metrics, including:</w:t>
      </w:r>
    </w:p>
    <w:p w14:paraId="3D6A4FAF" w14:textId="77777777" w:rsidR="00F25BD3" w:rsidRPr="00F25BD3" w:rsidRDefault="00F25BD3" w:rsidP="00F25BD3">
      <w:pPr>
        <w:numPr>
          <w:ilvl w:val="0"/>
          <w:numId w:val="31"/>
        </w:numPr>
        <w:spacing w:line="360" w:lineRule="auto"/>
        <w:jc w:val="both"/>
        <w:rPr>
          <w:rFonts w:ascii="Arial" w:hAnsi="Arial" w:cs="Arial"/>
          <w:sz w:val="22"/>
          <w:szCs w:val="22"/>
        </w:rPr>
      </w:pPr>
      <w:r w:rsidRPr="00F25BD3">
        <w:rPr>
          <w:rFonts w:ascii="Arial" w:hAnsi="Arial" w:cs="Arial"/>
          <w:sz w:val="22"/>
          <w:szCs w:val="22"/>
        </w:rPr>
        <w:t>Stakeholder satisfaction index (via surveys and feedback).</w:t>
      </w:r>
    </w:p>
    <w:p w14:paraId="327FB22F" w14:textId="77777777" w:rsidR="00F25BD3" w:rsidRPr="00F25BD3" w:rsidRDefault="00F25BD3" w:rsidP="00F25BD3">
      <w:pPr>
        <w:numPr>
          <w:ilvl w:val="0"/>
          <w:numId w:val="31"/>
        </w:numPr>
        <w:spacing w:line="360" w:lineRule="auto"/>
        <w:jc w:val="both"/>
        <w:rPr>
          <w:rFonts w:ascii="Arial" w:hAnsi="Arial" w:cs="Arial"/>
          <w:sz w:val="22"/>
          <w:szCs w:val="22"/>
        </w:rPr>
      </w:pPr>
      <w:r w:rsidRPr="00F25BD3">
        <w:rPr>
          <w:rFonts w:ascii="Arial" w:hAnsi="Arial" w:cs="Arial"/>
          <w:sz w:val="22"/>
          <w:szCs w:val="22"/>
        </w:rPr>
        <w:t>Number of resolved vs. unresolved issues logged in project management tools.</w:t>
      </w:r>
    </w:p>
    <w:p w14:paraId="67E38518" w14:textId="77777777" w:rsidR="00F25BD3" w:rsidRPr="00F25BD3" w:rsidRDefault="00F25BD3" w:rsidP="00F25BD3">
      <w:pPr>
        <w:numPr>
          <w:ilvl w:val="0"/>
          <w:numId w:val="31"/>
        </w:numPr>
        <w:spacing w:line="360" w:lineRule="auto"/>
        <w:jc w:val="both"/>
        <w:rPr>
          <w:rFonts w:ascii="Arial" w:hAnsi="Arial" w:cs="Arial"/>
          <w:sz w:val="22"/>
          <w:szCs w:val="22"/>
        </w:rPr>
      </w:pPr>
      <w:r w:rsidRPr="00F25BD3">
        <w:rPr>
          <w:rFonts w:ascii="Arial" w:hAnsi="Arial" w:cs="Arial"/>
          <w:sz w:val="22"/>
          <w:szCs w:val="22"/>
        </w:rPr>
        <w:t>Engagement frequency and participation rate in meetings and decision forums.</w:t>
      </w:r>
    </w:p>
    <w:p w14:paraId="1E75E9A0" w14:textId="77777777" w:rsidR="00F25BD3" w:rsidRPr="00F25BD3" w:rsidRDefault="00F25BD3" w:rsidP="00F25BD3">
      <w:pPr>
        <w:numPr>
          <w:ilvl w:val="0"/>
          <w:numId w:val="31"/>
        </w:numPr>
        <w:spacing w:line="360" w:lineRule="auto"/>
        <w:jc w:val="both"/>
        <w:rPr>
          <w:rFonts w:ascii="Arial" w:hAnsi="Arial" w:cs="Arial"/>
          <w:sz w:val="22"/>
          <w:szCs w:val="22"/>
        </w:rPr>
      </w:pPr>
      <w:r w:rsidRPr="00F25BD3">
        <w:rPr>
          <w:rFonts w:ascii="Arial" w:hAnsi="Arial" w:cs="Arial"/>
          <w:sz w:val="22"/>
          <w:szCs w:val="22"/>
        </w:rPr>
        <w:t>Project performance indicators, such as schedule adherence, budget variance, and product defect rates.</w:t>
      </w:r>
    </w:p>
    <w:p w14:paraId="2C9054ED" w14:textId="77777777" w:rsidR="00F25BD3" w:rsidRPr="00F25BD3" w:rsidRDefault="00F25BD3" w:rsidP="00F25BD3">
      <w:pPr>
        <w:numPr>
          <w:ilvl w:val="0"/>
          <w:numId w:val="31"/>
        </w:numPr>
        <w:spacing w:line="360" w:lineRule="auto"/>
        <w:jc w:val="both"/>
        <w:rPr>
          <w:rFonts w:ascii="Arial" w:hAnsi="Arial" w:cs="Arial"/>
          <w:sz w:val="22"/>
          <w:szCs w:val="22"/>
        </w:rPr>
      </w:pPr>
      <w:r w:rsidRPr="00F25BD3">
        <w:rPr>
          <w:rFonts w:ascii="Arial" w:hAnsi="Arial" w:cs="Arial"/>
          <w:sz w:val="22"/>
          <w:szCs w:val="22"/>
        </w:rPr>
        <w:t>Reputation indicators, such as customer sentiment and media coverage quality.</w:t>
      </w:r>
    </w:p>
    <w:p w14:paraId="3816CB9C" w14:textId="77777777" w:rsidR="00F25BD3" w:rsidRPr="00F25BD3" w:rsidRDefault="00F25BD3" w:rsidP="00F25BD3">
      <w:pPr>
        <w:spacing w:line="360" w:lineRule="auto"/>
        <w:jc w:val="both"/>
        <w:rPr>
          <w:rFonts w:ascii="Arial" w:hAnsi="Arial" w:cs="Arial"/>
          <w:sz w:val="22"/>
          <w:szCs w:val="22"/>
        </w:rPr>
      </w:pPr>
      <w:r w:rsidRPr="00F25BD3">
        <w:rPr>
          <w:rFonts w:ascii="Arial" w:hAnsi="Arial" w:cs="Arial"/>
          <w:sz w:val="22"/>
          <w:szCs w:val="22"/>
        </w:rPr>
        <w:t xml:space="preserve">Continuous monitoring of these indicators allows for adaptive management and evidence-based decision-making, supporting long-term </w:t>
      </w:r>
      <w:proofErr w:type="spellStart"/>
      <w:r w:rsidRPr="00F25BD3">
        <w:rPr>
          <w:rFonts w:ascii="Arial" w:hAnsi="Arial" w:cs="Arial"/>
          <w:sz w:val="22"/>
          <w:szCs w:val="22"/>
        </w:rPr>
        <w:t>organisational</w:t>
      </w:r>
      <w:proofErr w:type="spellEnd"/>
      <w:r w:rsidRPr="00F25BD3">
        <w:rPr>
          <w:rFonts w:ascii="Arial" w:hAnsi="Arial" w:cs="Arial"/>
          <w:sz w:val="22"/>
          <w:szCs w:val="22"/>
        </w:rPr>
        <w:t xml:space="preserve"> learning (APM, 2020).</w:t>
      </w:r>
    </w:p>
    <w:p w14:paraId="5D8DEC66" w14:textId="42BE7BFB" w:rsidR="00F25BD3" w:rsidRPr="00F25BD3" w:rsidRDefault="00F25BD3" w:rsidP="00F25BD3">
      <w:pPr>
        <w:spacing w:line="360" w:lineRule="auto"/>
        <w:jc w:val="both"/>
        <w:rPr>
          <w:rFonts w:ascii="Arial" w:hAnsi="Arial" w:cs="Arial"/>
          <w:sz w:val="22"/>
          <w:szCs w:val="22"/>
        </w:rPr>
      </w:pPr>
    </w:p>
    <w:p w14:paraId="6EF399C3" w14:textId="77777777" w:rsidR="00A727F8" w:rsidRDefault="00A727F8" w:rsidP="00F25BD3">
      <w:pPr>
        <w:spacing w:line="360" w:lineRule="auto"/>
        <w:jc w:val="both"/>
        <w:rPr>
          <w:rFonts w:ascii="Arial" w:hAnsi="Arial" w:cs="Arial"/>
          <w:b/>
          <w:bCs/>
          <w:sz w:val="22"/>
          <w:szCs w:val="22"/>
        </w:rPr>
      </w:pPr>
    </w:p>
    <w:p w14:paraId="1DAD33C2" w14:textId="77777777" w:rsidR="00D6607B" w:rsidRDefault="00D6607B" w:rsidP="007539AE">
      <w:pPr>
        <w:spacing w:line="360" w:lineRule="auto"/>
        <w:rPr>
          <w:rFonts w:ascii="Arial" w:hAnsi="Arial" w:cs="Arial"/>
          <w:b/>
          <w:bCs/>
          <w:sz w:val="22"/>
          <w:szCs w:val="22"/>
        </w:rPr>
      </w:pPr>
    </w:p>
    <w:p w14:paraId="28B2DEE5" w14:textId="2F6A578B" w:rsidR="00F25BD3" w:rsidRPr="00F25BD3" w:rsidRDefault="00F25BD3" w:rsidP="007539AE">
      <w:pPr>
        <w:spacing w:line="360" w:lineRule="auto"/>
        <w:rPr>
          <w:rFonts w:ascii="Arial" w:hAnsi="Arial" w:cs="Arial"/>
          <w:b/>
          <w:bCs/>
          <w:sz w:val="22"/>
          <w:szCs w:val="22"/>
        </w:rPr>
      </w:pPr>
      <w:r w:rsidRPr="00F25BD3">
        <w:rPr>
          <w:rFonts w:ascii="Arial" w:hAnsi="Arial" w:cs="Arial"/>
          <w:b/>
          <w:bCs/>
          <w:sz w:val="22"/>
          <w:szCs w:val="22"/>
        </w:rPr>
        <w:lastRenderedPageBreak/>
        <w:t>4. Recommendations for Future Stakeholder Engagement</w:t>
      </w:r>
    </w:p>
    <w:p w14:paraId="711DC8DC" w14:textId="77777777" w:rsidR="00F25BD3" w:rsidRPr="00F25BD3" w:rsidRDefault="00F25BD3" w:rsidP="007539AE">
      <w:pPr>
        <w:spacing w:line="360" w:lineRule="auto"/>
        <w:rPr>
          <w:rFonts w:ascii="Arial" w:hAnsi="Arial" w:cs="Arial"/>
          <w:sz w:val="22"/>
          <w:szCs w:val="22"/>
        </w:rPr>
      </w:pPr>
      <w:r w:rsidRPr="00F25BD3">
        <w:rPr>
          <w:rFonts w:ascii="Arial" w:hAnsi="Arial" w:cs="Arial"/>
          <w:sz w:val="22"/>
          <w:szCs w:val="22"/>
        </w:rPr>
        <w:t>Based on the evaluation, the following recommendations are proposed for Fitbit UK’s future projects and business strategy:</w:t>
      </w:r>
    </w:p>
    <w:p w14:paraId="1EAF9FAD" w14:textId="7CA9DE7A" w:rsidR="00F25BD3" w:rsidRPr="00F25BD3" w:rsidRDefault="00F25BD3" w:rsidP="007539AE">
      <w:pPr>
        <w:numPr>
          <w:ilvl w:val="0"/>
          <w:numId w:val="32"/>
        </w:numPr>
        <w:spacing w:line="360" w:lineRule="auto"/>
        <w:rPr>
          <w:rFonts w:ascii="Arial" w:hAnsi="Arial" w:cs="Arial"/>
          <w:sz w:val="22"/>
          <w:szCs w:val="22"/>
        </w:rPr>
      </w:pPr>
      <w:proofErr w:type="spellStart"/>
      <w:r w:rsidRPr="00F25BD3">
        <w:rPr>
          <w:rFonts w:ascii="Arial" w:hAnsi="Arial" w:cs="Arial"/>
          <w:sz w:val="22"/>
          <w:szCs w:val="22"/>
        </w:rPr>
        <w:t>Institutionalise</w:t>
      </w:r>
      <w:proofErr w:type="spellEnd"/>
      <w:r w:rsidR="00230C00">
        <w:rPr>
          <w:rFonts w:ascii="Arial" w:hAnsi="Arial" w:cs="Arial"/>
          <w:sz w:val="22"/>
          <w:szCs w:val="22"/>
        </w:rPr>
        <w:t xml:space="preserve"> </w:t>
      </w:r>
      <w:r w:rsidRPr="00F25BD3">
        <w:rPr>
          <w:rFonts w:ascii="Arial" w:hAnsi="Arial" w:cs="Arial"/>
          <w:sz w:val="22"/>
          <w:szCs w:val="22"/>
        </w:rPr>
        <w:t>Stakeholder Engagement Frameworks:</w:t>
      </w:r>
      <w:r w:rsidR="008449F4">
        <w:rPr>
          <w:rFonts w:ascii="Arial" w:hAnsi="Arial" w:cs="Arial"/>
          <w:sz w:val="22"/>
          <w:szCs w:val="22"/>
        </w:rPr>
        <w:t xml:space="preserve"> </w:t>
      </w:r>
      <w:proofErr w:type="spellStart"/>
      <w:r w:rsidRPr="00F25BD3">
        <w:rPr>
          <w:rFonts w:ascii="Arial" w:hAnsi="Arial" w:cs="Arial"/>
          <w:sz w:val="22"/>
          <w:szCs w:val="22"/>
        </w:rPr>
        <w:t>Formalise</w:t>
      </w:r>
      <w:proofErr w:type="spellEnd"/>
      <w:r w:rsidRPr="00F25BD3">
        <w:rPr>
          <w:rFonts w:ascii="Arial" w:hAnsi="Arial" w:cs="Arial"/>
          <w:sz w:val="22"/>
          <w:szCs w:val="22"/>
        </w:rPr>
        <w:t xml:space="preserve"> the use of tools such as the RACI Matrix and Mendelow’s Matrix within Fitbit’s project management methodology to ensure consistent stakeholder mapping and accountability across projects.</w:t>
      </w:r>
    </w:p>
    <w:p w14:paraId="528D7E26" w14:textId="03799EC7"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Adopt Digital Collaboration Platforms:</w:t>
      </w:r>
      <w:r w:rsidR="008449F4">
        <w:rPr>
          <w:rFonts w:ascii="Arial" w:hAnsi="Arial" w:cs="Arial"/>
          <w:sz w:val="22"/>
          <w:szCs w:val="22"/>
        </w:rPr>
        <w:t xml:space="preserve"> </w:t>
      </w:r>
      <w:r w:rsidRPr="00F25BD3">
        <w:rPr>
          <w:rFonts w:ascii="Arial" w:hAnsi="Arial" w:cs="Arial"/>
          <w:sz w:val="22"/>
          <w:szCs w:val="22"/>
        </w:rPr>
        <w:t>Invest in advanced digital tools (e.g., Google Cloud Project Dashboard, Asana, Trello) for real-time collaboration, documentation, and engagement analytics to enhance transparency and responsiveness.</w:t>
      </w:r>
    </w:p>
    <w:p w14:paraId="192D4A87" w14:textId="2E726244"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Enhance Training and Emotional Intelligence in Leadership:</w:t>
      </w:r>
      <w:r w:rsidR="008449F4">
        <w:rPr>
          <w:rFonts w:ascii="Arial" w:hAnsi="Arial" w:cs="Arial"/>
          <w:sz w:val="22"/>
          <w:szCs w:val="22"/>
        </w:rPr>
        <w:t xml:space="preserve"> </w:t>
      </w:r>
      <w:r w:rsidRPr="00F25BD3">
        <w:rPr>
          <w:rFonts w:ascii="Arial" w:hAnsi="Arial" w:cs="Arial"/>
          <w:sz w:val="22"/>
          <w:szCs w:val="22"/>
        </w:rPr>
        <w:t>Provide project managers and team leaders with training in emotional intelligence, negotiation, and cross-cultural communication to foster empathy, inclusion, and conflict resolution (Goleman, 2017).</w:t>
      </w:r>
    </w:p>
    <w:p w14:paraId="7990E4E5" w14:textId="66087B76"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Strengthen Regulatory Partnerships:</w:t>
      </w:r>
      <w:r w:rsidR="008449F4">
        <w:rPr>
          <w:rFonts w:ascii="Arial" w:hAnsi="Arial" w:cs="Arial"/>
          <w:sz w:val="22"/>
          <w:szCs w:val="22"/>
        </w:rPr>
        <w:t xml:space="preserve"> </w:t>
      </w:r>
      <w:r w:rsidRPr="00F25BD3">
        <w:rPr>
          <w:rFonts w:ascii="Arial" w:hAnsi="Arial" w:cs="Arial"/>
          <w:sz w:val="22"/>
          <w:szCs w:val="22"/>
        </w:rPr>
        <w:t>Establish long-term partnerships with regulatory bodies such as the MHRA to streamline compliance approval for future medical-grade devices, enabling faster time-to-market.</w:t>
      </w:r>
    </w:p>
    <w:p w14:paraId="46AA2CD0" w14:textId="1A3630BA"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Embed Feedback Loops for Continuous Improvement:</w:t>
      </w:r>
      <w:r w:rsidR="008449F4">
        <w:rPr>
          <w:rFonts w:ascii="Arial" w:hAnsi="Arial" w:cs="Arial"/>
          <w:sz w:val="22"/>
          <w:szCs w:val="22"/>
        </w:rPr>
        <w:t xml:space="preserve"> </w:t>
      </w:r>
      <w:r w:rsidRPr="00F25BD3">
        <w:rPr>
          <w:rFonts w:ascii="Arial" w:hAnsi="Arial" w:cs="Arial"/>
          <w:sz w:val="22"/>
          <w:szCs w:val="22"/>
        </w:rPr>
        <w:t>Implement structured post-launch reviews and stakeholder debriefs to capture insights, update engagement strategies, and improve future product development cycles.</w:t>
      </w:r>
    </w:p>
    <w:p w14:paraId="0985F8B7" w14:textId="2242E84A"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Promote Ethical Data Governance:</w:t>
      </w:r>
      <w:r w:rsidR="008449F4">
        <w:rPr>
          <w:rFonts w:ascii="Arial" w:hAnsi="Arial" w:cs="Arial"/>
          <w:sz w:val="22"/>
          <w:szCs w:val="22"/>
        </w:rPr>
        <w:t xml:space="preserve"> </w:t>
      </w:r>
      <w:r w:rsidRPr="00F25BD3">
        <w:rPr>
          <w:rFonts w:ascii="Arial" w:hAnsi="Arial" w:cs="Arial"/>
          <w:sz w:val="22"/>
          <w:szCs w:val="22"/>
        </w:rPr>
        <w:t>Reinforce Fitbit’s reputation for data integrity by adopting transparent policies on health data usage, aligning with NHS digital ethics frameworks, and communicating these standards to consumers.</w:t>
      </w:r>
    </w:p>
    <w:p w14:paraId="73A32D17" w14:textId="61BB805D" w:rsidR="00F25BD3" w:rsidRPr="00F25BD3" w:rsidRDefault="00F25BD3" w:rsidP="007539AE">
      <w:pPr>
        <w:numPr>
          <w:ilvl w:val="0"/>
          <w:numId w:val="32"/>
        </w:numPr>
        <w:spacing w:line="360" w:lineRule="auto"/>
        <w:rPr>
          <w:rFonts w:ascii="Arial" w:hAnsi="Arial" w:cs="Arial"/>
          <w:sz w:val="22"/>
          <w:szCs w:val="22"/>
        </w:rPr>
      </w:pPr>
      <w:r w:rsidRPr="00F25BD3">
        <w:rPr>
          <w:rFonts w:ascii="Arial" w:hAnsi="Arial" w:cs="Arial"/>
          <w:sz w:val="22"/>
          <w:szCs w:val="22"/>
        </w:rPr>
        <w:t>Expand Stakeholder Inclusivity:</w:t>
      </w:r>
      <w:r w:rsidR="008449F4">
        <w:rPr>
          <w:rFonts w:ascii="Arial" w:hAnsi="Arial" w:cs="Arial"/>
          <w:sz w:val="22"/>
          <w:szCs w:val="22"/>
        </w:rPr>
        <w:t xml:space="preserve"> </w:t>
      </w:r>
      <w:r w:rsidRPr="00F25BD3">
        <w:rPr>
          <w:rFonts w:ascii="Arial" w:hAnsi="Arial" w:cs="Arial"/>
          <w:sz w:val="22"/>
          <w:szCs w:val="22"/>
        </w:rPr>
        <w:t xml:space="preserve">Broaden engagement to include patient advocacy groups, public health </w:t>
      </w:r>
      <w:proofErr w:type="spellStart"/>
      <w:r w:rsidRPr="00F25BD3">
        <w:rPr>
          <w:rFonts w:ascii="Arial" w:hAnsi="Arial" w:cs="Arial"/>
          <w:sz w:val="22"/>
          <w:szCs w:val="22"/>
        </w:rPr>
        <w:t>organisations</w:t>
      </w:r>
      <w:proofErr w:type="spellEnd"/>
      <w:r w:rsidRPr="00F25BD3">
        <w:rPr>
          <w:rFonts w:ascii="Arial" w:hAnsi="Arial" w:cs="Arial"/>
          <w:sz w:val="22"/>
          <w:szCs w:val="22"/>
        </w:rPr>
        <w:t>, and academic researchers to strengthen Fitbit’s role in national health improvement initiatives.</w:t>
      </w:r>
    </w:p>
    <w:p w14:paraId="5605B66D" w14:textId="570F7507" w:rsidR="00F25BD3" w:rsidRPr="00F25BD3" w:rsidRDefault="00F25BD3" w:rsidP="007539AE">
      <w:pPr>
        <w:spacing w:line="360" w:lineRule="auto"/>
        <w:rPr>
          <w:rFonts w:ascii="Arial" w:hAnsi="Arial" w:cs="Arial"/>
          <w:sz w:val="22"/>
          <w:szCs w:val="22"/>
        </w:rPr>
      </w:pPr>
    </w:p>
    <w:p w14:paraId="653D39B2" w14:textId="77777777" w:rsidR="00A727F8" w:rsidRPr="00AE4EAA" w:rsidRDefault="00A727F8" w:rsidP="007539AE">
      <w:pPr>
        <w:spacing w:line="360" w:lineRule="auto"/>
        <w:rPr>
          <w:rFonts w:ascii="Arial" w:hAnsi="Arial" w:cs="Arial"/>
          <w:sz w:val="22"/>
          <w:szCs w:val="22"/>
        </w:rPr>
      </w:pPr>
    </w:p>
    <w:p w14:paraId="11C524A7" w14:textId="77777777" w:rsidR="00A727F8" w:rsidRDefault="00A727F8" w:rsidP="00F25BD3">
      <w:pPr>
        <w:spacing w:line="360" w:lineRule="auto"/>
        <w:jc w:val="both"/>
        <w:rPr>
          <w:rFonts w:ascii="Arial" w:hAnsi="Arial" w:cs="Arial"/>
          <w:b/>
          <w:bCs/>
          <w:sz w:val="22"/>
          <w:szCs w:val="22"/>
        </w:rPr>
      </w:pPr>
    </w:p>
    <w:p w14:paraId="1304FABB" w14:textId="77777777" w:rsidR="00C1574A" w:rsidRDefault="00C1574A" w:rsidP="00F25BD3">
      <w:pPr>
        <w:spacing w:line="360" w:lineRule="auto"/>
        <w:jc w:val="both"/>
        <w:rPr>
          <w:rFonts w:ascii="Arial" w:hAnsi="Arial" w:cs="Arial"/>
          <w:b/>
          <w:bCs/>
          <w:sz w:val="22"/>
          <w:szCs w:val="22"/>
        </w:rPr>
      </w:pPr>
    </w:p>
    <w:p w14:paraId="003B66A2" w14:textId="273E97C4" w:rsidR="00A77B74" w:rsidRDefault="00366184" w:rsidP="00424EA7">
      <w:pPr>
        <w:jc w:val="center"/>
        <w:rPr>
          <w:rFonts w:ascii="Arial" w:hAnsi="Arial" w:cs="Arial"/>
          <w:b/>
          <w:bCs/>
        </w:rPr>
      </w:pPr>
      <w:r w:rsidRPr="00803FBA">
        <w:rPr>
          <w:rFonts w:ascii="Arial" w:hAnsi="Arial" w:cs="Arial"/>
          <w:b/>
          <w:bCs/>
        </w:rPr>
        <w:lastRenderedPageBreak/>
        <w:t>Conclusion</w:t>
      </w:r>
    </w:p>
    <w:p w14:paraId="38769CAD" w14:textId="77777777" w:rsidR="005858A6" w:rsidRPr="005858A6" w:rsidRDefault="005858A6" w:rsidP="005858A6">
      <w:pPr>
        <w:jc w:val="both"/>
        <w:rPr>
          <w:rFonts w:ascii="Arial" w:hAnsi="Arial" w:cs="Arial"/>
          <w:sz w:val="22"/>
          <w:szCs w:val="22"/>
        </w:rPr>
      </w:pPr>
      <w:r w:rsidRPr="005858A6">
        <w:rPr>
          <w:rFonts w:ascii="Arial" w:hAnsi="Arial" w:cs="Arial"/>
          <w:sz w:val="22"/>
          <w:szCs w:val="22"/>
        </w:rPr>
        <w:t xml:space="preserve">The successful launch of Fitbit UK’s new wearable device will depend significantly on the quality of stakeholder engagement and management throughout the project lifecycle. As demonstrated in this report, effective stakeholder engagement not only enhances project efficiency and product innovation but also supports long-term </w:t>
      </w:r>
      <w:proofErr w:type="spellStart"/>
      <w:r w:rsidRPr="005858A6">
        <w:rPr>
          <w:rFonts w:ascii="Arial" w:hAnsi="Arial" w:cs="Arial"/>
          <w:sz w:val="22"/>
          <w:szCs w:val="22"/>
        </w:rPr>
        <w:t>organisational</w:t>
      </w:r>
      <w:proofErr w:type="spellEnd"/>
      <w:r w:rsidRPr="005858A6">
        <w:rPr>
          <w:rFonts w:ascii="Arial" w:hAnsi="Arial" w:cs="Arial"/>
          <w:sz w:val="22"/>
          <w:szCs w:val="22"/>
        </w:rPr>
        <w:t xml:space="preserve"> performance and reputation.</w:t>
      </w:r>
    </w:p>
    <w:p w14:paraId="39655B16" w14:textId="4B77C15D" w:rsidR="005858A6" w:rsidRPr="005858A6" w:rsidRDefault="005858A6" w:rsidP="005858A6">
      <w:pPr>
        <w:jc w:val="both"/>
        <w:rPr>
          <w:rFonts w:ascii="Arial" w:hAnsi="Arial" w:cs="Arial"/>
          <w:sz w:val="22"/>
          <w:szCs w:val="22"/>
        </w:rPr>
      </w:pPr>
      <w:r w:rsidRPr="005858A6">
        <w:rPr>
          <w:rFonts w:ascii="Arial" w:hAnsi="Arial" w:cs="Arial"/>
          <w:sz w:val="22"/>
          <w:szCs w:val="22"/>
        </w:rPr>
        <w:t>Fitbit UK operates in a highly competitive and rapidly evolving healthcare technology environment where collaboration, compliance, and consumer trust are vital. Through strategic tools such as the SWOT analysis, Fitbit UK’s strengths—brand reputation, technological integration, and data-driven insights</w:t>
      </w:r>
      <w:r w:rsidR="00F67F0A">
        <w:rPr>
          <w:rFonts w:ascii="Arial" w:hAnsi="Arial" w:cs="Arial"/>
          <w:sz w:val="22"/>
          <w:szCs w:val="22"/>
        </w:rPr>
        <w:t xml:space="preserve"> </w:t>
      </w:r>
      <w:r w:rsidRPr="005858A6">
        <w:rPr>
          <w:rFonts w:ascii="Arial" w:hAnsi="Arial" w:cs="Arial"/>
          <w:sz w:val="22"/>
          <w:szCs w:val="22"/>
        </w:rPr>
        <w:t>can be harnessed to seize market opportunities, particularly in preventative healthcare. However, internal weaknesses such as data privacy concerns and external threats from market competition necessitate robust stakeholder strategies to ensure sustained growth and differentiation.</w:t>
      </w:r>
    </w:p>
    <w:p w14:paraId="0064245A" w14:textId="3A5DF3FB" w:rsidR="005858A6" w:rsidRPr="005858A6" w:rsidRDefault="005858A6" w:rsidP="005858A6">
      <w:pPr>
        <w:jc w:val="both"/>
        <w:rPr>
          <w:rFonts w:ascii="Arial" w:hAnsi="Arial" w:cs="Arial"/>
          <w:sz w:val="22"/>
          <w:szCs w:val="22"/>
        </w:rPr>
      </w:pPr>
      <w:r w:rsidRPr="005858A6">
        <w:rPr>
          <w:rFonts w:ascii="Arial" w:hAnsi="Arial" w:cs="Arial"/>
          <w:sz w:val="22"/>
          <w:szCs w:val="22"/>
        </w:rPr>
        <w:t>The engagement of key internal and external stakeholders</w:t>
      </w:r>
      <w:r w:rsidR="00F67F0A">
        <w:rPr>
          <w:rFonts w:ascii="Arial" w:hAnsi="Arial" w:cs="Arial"/>
          <w:sz w:val="22"/>
          <w:szCs w:val="22"/>
        </w:rPr>
        <w:t xml:space="preserve">, </w:t>
      </w:r>
      <w:r w:rsidRPr="005858A6">
        <w:rPr>
          <w:rFonts w:ascii="Arial" w:hAnsi="Arial" w:cs="Arial"/>
          <w:sz w:val="22"/>
          <w:szCs w:val="22"/>
        </w:rPr>
        <w:t>including executives, engineers, healthcare partners, regulators, and consumers</w:t>
      </w:r>
      <w:r w:rsidR="00F67F0A">
        <w:rPr>
          <w:rFonts w:ascii="Arial" w:hAnsi="Arial" w:cs="Arial"/>
          <w:sz w:val="22"/>
          <w:szCs w:val="22"/>
        </w:rPr>
        <w:t xml:space="preserve">, </w:t>
      </w:r>
      <w:r w:rsidRPr="005858A6">
        <w:rPr>
          <w:rFonts w:ascii="Arial" w:hAnsi="Arial" w:cs="Arial"/>
          <w:sz w:val="22"/>
          <w:szCs w:val="22"/>
        </w:rPr>
        <w:t>plays a central role in achieving project success. By employing frameworks such as Mendelow’s Matrix, the RACI Matrix, and structured communication and engagement plans, the project manager can align stakeholder expectations with project objectives. Furthermore, the use of the 4Cs Model</w:t>
      </w:r>
      <w:r w:rsidR="00F67F0A">
        <w:rPr>
          <w:rFonts w:ascii="Arial" w:hAnsi="Arial" w:cs="Arial"/>
          <w:sz w:val="22"/>
          <w:szCs w:val="22"/>
        </w:rPr>
        <w:t xml:space="preserve"> </w:t>
      </w:r>
      <w:r w:rsidRPr="005858A6">
        <w:rPr>
          <w:rFonts w:ascii="Arial" w:hAnsi="Arial" w:cs="Arial"/>
          <w:sz w:val="22"/>
          <w:szCs w:val="22"/>
        </w:rPr>
        <w:t>communication, coordination, cooperation, and collaboration</w:t>
      </w:r>
      <w:r w:rsidR="00282E1E">
        <w:rPr>
          <w:rFonts w:ascii="Arial" w:hAnsi="Arial" w:cs="Arial"/>
          <w:sz w:val="22"/>
          <w:szCs w:val="22"/>
        </w:rPr>
        <w:t xml:space="preserve"> </w:t>
      </w:r>
      <w:r w:rsidRPr="005858A6">
        <w:rPr>
          <w:rFonts w:ascii="Arial" w:hAnsi="Arial" w:cs="Arial"/>
          <w:sz w:val="22"/>
          <w:szCs w:val="22"/>
        </w:rPr>
        <w:t>provides a systematic approach to conflict management, ensuring harmony across departments and partners.</w:t>
      </w:r>
    </w:p>
    <w:p w14:paraId="1CD33D81" w14:textId="77777777" w:rsidR="005858A6" w:rsidRPr="005858A6" w:rsidRDefault="005858A6" w:rsidP="005858A6">
      <w:pPr>
        <w:jc w:val="both"/>
        <w:rPr>
          <w:rFonts w:ascii="Arial" w:hAnsi="Arial" w:cs="Arial"/>
          <w:sz w:val="22"/>
          <w:szCs w:val="22"/>
        </w:rPr>
      </w:pPr>
      <w:r w:rsidRPr="005858A6">
        <w:rPr>
          <w:rFonts w:ascii="Arial" w:hAnsi="Arial" w:cs="Arial"/>
          <w:sz w:val="22"/>
          <w:szCs w:val="22"/>
        </w:rPr>
        <w:t xml:space="preserve">The evaluation highlighted that strong stakeholder engagement enhances strategic alignment, innovation, and trust while mitigating operational and regulatory risks. Recommendations such as </w:t>
      </w:r>
      <w:proofErr w:type="spellStart"/>
      <w:r w:rsidRPr="005858A6">
        <w:rPr>
          <w:rFonts w:ascii="Arial" w:hAnsi="Arial" w:cs="Arial"/>
          <w:sz w:val="22"/>
          <w:szCs w:val="22"/>
        </w:rPr>
        <w:t>formalising</w:t>
      </w:r>
      <w:proofErr w:type="spellEnd"/>
      <w:r w:rsidRPr="005858A6">
        <w:rPr>
          <w:rFonts w:ascii="Arial" w:hAnsi="Arial" w:cs="Arial"/>
          <w:sz w:val="22"/>
          <w:szCs w:val="22"/>
        </w:rPr>
        <w:t xml:space="preserve"> engagement frameworks, adopting digital collaboration platforms, and promoting ethical data governance will further strengthen Fitbit UK’s stakeholder relationships and </w:t>
      </w:r>
      <w:proofErr w:type="spellStart"/>
      <w:r w:rsidRPr="005858A6">
        <w:rPr>
          <w:rFonts w:ascii="Arial" w:hAnsi="Arial" w:cs="Arial"/>
          <w:sz w:val="22"/>
          <w:szCs w:val="22"/>
        </w:rPr>
        <w:t>organisational</w:t>
      </w:r>
      <w:proofErr w:type="spellEnd"/>
      <w:r w:rsidRPr="005858A6">
        <w:rPr>
          <w:rFonts w:ascii="Arial" w:hAnsi="Arial" w:cs="Arial"/>
          <w:sz w:val="22"/>
          <w:szCs w:val="22"/>
        </w:rPr>
        <w:t xml:space="preserve"> learning.</w:t>
      </w:r>
    </w:p>
    <w:p w14:paraId="6EEB492A" w14:textId="77777777" w:rsidR="005858A6" w:rsidRPr="005858A6" w:rsidRDefault="005858A6" w:rsidP="005858A6">
      <w:pPr>
        <w:jc w:val="both"/>
        <w:rPr>
          <w:rFonts w:ascii="Arial" w:hAnsi="Arial" w:cs="Arial"/>
          <w:sz w:val="22"/>
          <w:szCs w:val="22"/>
        </w:rPr>
      </w:pPr>
      <w:r w:rsidRPr="005858A6">
        <w:rPr>
          <w:rFonts w:ascii="Arial" w:hAnsi="Arial" w:cs="Arial"/>
          <w:sz w:val="22"/>
          <w:szCs w:val="22"/>
        </w:rPr>
        <w:t>In conclusion, stakeholder engagement is not a peripheral activity but a strategic enabler of innovation and sustainable competitive advantage. By embedding stakeholder-centric values into its project culture, Fitbit UK can successfully launch its new wearable device and reinforce its position as a leader in the UK digital health technology market.</w:t>
      </w:r>
    </w:p>
    <w:p w14:paraId="3DAD3C54" w14:textId="77777777" w:rsidR="00563585" w:rsidRDefault="00563585" w:rsidP="00803FBA">
      <w:pPr>
        <w:jc w:val="center"/>
        <w:rPr>
          <w:rFonts w:ascii="Arial" w:hAnsi="Arial" w:cs="Arial"/>
          <w:b/>
          <w:bCs/>
        </w:rPr>
      </w:pPr>
    </w:p>
    <w:p w14:paraId="6877822F" w14:textId="77777777" w:rsidR="00610F4C" w:rsidRDefault="00610F4C" w:rsidP="00803FBA">
      <w:pPr>
        <w:jc w:val="center"/>
        <w:rPr>
          <w:rFonts w:ascii="Arial" w:hAnsi="Arial" w:cs="Arial"/>
          <w:b/>
          <w:bCs/>
        </w:rPr>
      </w:pPr>
    </w:p>
    <w:p w14:paraId="4361106C" w14:textId="77777777" w:rsidR="003F3EE4" w:rsidRDefault="003F3EE4" w:rsidP="00803FBA">
      <w:pPr>
        <w:jc w:val="center"/>
        <w:rPr>
          <w:rFonts w:ascii="Arial" w:hAnsi="Arial" w:cs="Arial"/>
          <w:b/>
          <w:bCs/>
        </w:rPr>
      </w:pPr>
    </w:p>
    <w:p w14:paraId="42F1EB58" w14:textId="77777777" w:rsidR="003F3EE4" w:rsidRDefault="003F3EE4" w:rsidP="00803FBA">
      <w:pPr>
        <w:jc w:val="center"/>
        <w:rPr>
          <w:rFonts w:ascii="Arial" w:hAnsi="Arial" w:cs="Arial"/>
          <w:b/>
          <w:bCs/>
        </w:rPr>
      </w:pPr>
    </w:p>
    <w:p w14:paraId="4F0EAE64" w14:textId="77777777" w:rsidR="003F3EE4" w:rsidRDefault="003F3EE4" w:rsidP="00803FBA">
      <w:pPr>
        <w:jc w:val="center"/>
        <w:rPr>
          <w:rFonts w:ascii="Arial" w:hAnsi="Arial" w:cs="Arial"/>
          <w:b/>
          <w:bCs/>
        </w:rPr>
      </w:pPr>
    </w:p>
    <w:p w14:paraId="503E674F" w14:textId="77777777" w:rsidR="003F3EE4" w:rsidRDefault="003F3EE4" w:rsidP="00803FBA">
      <w:pPr>
        <w:jc w:val="center"/>
        <w:rPr>
          <w:rFonts w:ascii="Arial" w:hAnsi="Arial" w:cs="Arial"/>
          <w:b/>
          <w:bCs/>
        </w:rPr>
      </w:pPr>
    </w:p>
    <w:p w14:paraId="0CFDAF56" w14:textId="77777777" w:rsidR="003F3EE4" w:rsidRDefault="003F3EE4" w:rsidP="00803FBA">
      <w:pPr>
        <w:jc w:val="center"/>
        <w:rPr>
          <w:rFonts w:ascii="Arial" w:hAnsi="Arial" w:cs="Arial"/>
          <w:b/>
          <w:bCs/>
        </w:rPr>
      </w:pPr>
    </w:p>
    <w:p w14:paraId="4EC2E1E3" w14:textId="77777777" w:rsidR="003F3EE4" w:rsidRDefault="003F3EE4" w:rsidP="00803FBA">
      <w:pPr>
        <w:jc w:val="center"/>
        <w:rPr>
          <w:rFonts w:ascii="Arial" w:hAnsi="Arial" w:cs="Arial"/>
          <w:b/>
          <w:bCs/>
        </w:rPr>
      </w:pPr>
    </w:p>
    <w:p w14:paraId="2CC2EC24" w14:textId="7B3C2E23" w:rsidR="00803FBA" w:rsidRDefault="00803FBA" w:rsidP="00803FBA">
      <w:pPr>
        <w:jc w:val="center"/>
        <w:rPr>
          <w:rFonts w:ascii="Arial" w:hAnsi="Arial" w:cs="Arial"/>
          <w:b/>
          <w:bCs/>
        </w:rPr>
      </w:pPr>
      <w:r w:rsidRPr="00803FBA">
        <w:rPr>
          <w:rFonts w:ascii="Arial" w:hAnsi="Arial" w:cs="Arial"/>
          <w:b/>
          <w:bCs/>
        </w:rPr>
        <w:lastRenderedPageBreak/>
        <w:t>References</w:t>
      </w:r>
    </w:p>
    <w:p w14:paraId="7DB8AE6C"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APM (Association for Project Management) (2020) </w:t>
      </w:r>
      <w:r w:rsidRPr="00AA06F2">
        <w:rPr>
          <w:rFonts w:ascii="Arial" w:hAnsi="Arial" w:cs="Arial"/>
          <w:i/>
          <w:iCs/>
          <w:sz w:val="22"/>
          <w:szCs w:val="22"/>
        </w:rPr>
        <w:t>APM Body of Knowledge</w:t>
      </w:r>
      <w:r w:rsidRPr="00AA06F2">
        <w:rPr>
          <w:rFonts w:ascii="Arial" w:hAnsi="Arial" w:cs="Arial"/>
          <w:sz w:val="22"/>
          <w:szCs w:val="22"/>
        </w:rPr>
        <w:t xml:space="preserve">. 7th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Buckinghamshire: Association for Project Management.</w:t>
      </w:r>
    </w:p>
    <w:p w14:paraId="3108619E"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BBC News (</w:t>
      </w:r>
      <w:proofErr w:type="gramStart"/>
      <w:r w:rsidRPr="00AA06F2">
        <w:rPr>
          <w:rFonts w:ascii="Arial" w:hAnsi="Arial" w:cs="Arial"/>
          <w:sz w:val="22"/>
          <w:szCs w:val="22"/>
        </w:rPr>
        <w:t>2021) ‘</w:t>
      </w:r>
      <w:proofErr w:type="gramEnd"/>
      <w:r w:rsidRPr="00AA06F2">
        <w:rPr>
          <w:rFonts w:ascii="Arial" w:hAnsi="Arial" w:cs="Arial"/>
          <w:sz w:val="22"/>
          <w:szCs w:val="22"/>
        </w:rPr>
        <w:t>Fitbit and Google: Privacy concerns over health data’. Available at: https://www.bbc.co.uk (Accessed: 17 December 2025).</w:t>
      </w:r>
    </w:p>
    <w:p w14:paraId="2995B1F5"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Bourne, L. (2016) </w:t>
      </w:r>
      <w:r w:rsidRPr="00AA06F2">
        <w:rPr>
          <w:rFonts w:ascii="Arial" w:hAnsi="Arial" w:cs="Arial"/>
          <w:i/>
          <w:iCs/>
          <w:sz w:val="22"/>
          <w:szCs w:val="22"/>
        </w:rPr>
        <w:t xml:space="preserve">Stakeholder Relationship Management: A Maturity Model for </w:t>
      </w:r>
      <w:proofErr w:type="spellStart"/>
      <w:r w:rsidRPr="00AA06F2">
        <w:rPr>
          <w:rFonts w:ascii="Arial" w:hAnsi="Arial" w:cs="Arial"/>
          <w:i/>
          <w:iCs/>
          <w:sz w:val="22"/>
          <w:szCs w:val="22"/>
        </w:rPr>
        <w:t>Organisational</w:t>
      </w:r>
      <w:proofErr w:type="spellEnd"/>
      <w:r w:rsidRPr="00AA06F2">
        <w:rPr>
          <w:rFonts w:ascii="Arial" w:hAnsi="Arial" w:cs="Arial"/>
          <w:i/>
          <w:iCs/>
          <w:sz w:val="22"/>
          <w:szCs w:val="22"/>
        </w:rPr>
        <w:t xml:space="preserve"> Implementation</w:t>
      </w:r>
      <w:r w:rsidRPr="00AA06F2">
        <w:rPr>
          <w:rFonts w:ascii="Arial" w:hAnsi="Arial" w:cs="Arial"/>
          <w:sz w:val="22"/>
          <w:szCs w:val="22"/>
        </w:rPr>
        <w:t xml:space="preserve">. 2nd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Abingdon: Routledge.</w:t>
      </w:r>
    </w:p>
    <w:p w14:paraId="6ED8C963"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Deloitte (2024) </w:t>
      </w:r>
      <w:r w:rsidRPr="00AA06F2">
        <w:rPr>
          <w:rFonts w:ascii="Arial" w:hAnsi="Arial" w:cs="Arial"/>
          <w:i/>
          <w:iCs/>
          <w:sz w:val="22"/>
          <w:szCs w:val="22"/>
        </w:rPr>
        <w:t>Digital Consumer Trends: Health Technology and Wearables</w:t>
      </w:r>
      <w:r w:rsidRPr="00AA06F2">
        <w:rPr>
          <w:rFonts w:ascii="Arial" w:hAnsi="Arial" w:cs="Arial"/>
          <w:sz w:val="22"/>
          <w:szCs w:val="22"/>
        </w:rPr>
        <w:t xml:space="preserve">. Available at: </w:t>
      </w:r>
      <w:hyperlink r:id="rId9" w:tgtFrame="_new" w:history="1">
        <w:r w:rsidRPr="00AA06F2">
          <w:rPr>
            <w:rStyle w:val="Hyperlink"/>
            <w:rFonts w:ascii="Arial" w:hAnsi="Arial" w:cs="Arial"/>
            <w:sz w:val="22"/>
            <w:szCs w:val="22"/>
          </w:rPr>
          <w:t>https://www.deloitte.com</w:t>
        </w:r>
      </w:hyperlink>
      <w:r w:rsidRPr="00AA06F2">
        <w:rPr>
          <w:rFonts w:ascii="Arial" w:hAnsi="Arial" w:cs="Arial"/>
          <w:sz w:val="22"/>
          <w:szCs w:val="22"/>
        </w:rPr>
        <w:t xml:space="preserve"> (Accessed: 17 December 2025).</w:t>
      </w:r>
    </w:p>
    <w:p w14:paraId="0DB2BC73"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Eskerod, P. and Jepsen, A.L. (2016) </w:t>
      </w:r>
      <w:r w:rsidRPr="00AA06F2">
        <w:rPr>
          <w:rFonts w:ascii="Arial" w:hAnsi="Arial" w:cs="Arial"/>
          <w:i/>
          <w:iCs/>
          <w:sz w:val="22"/>
          <w:szCs w:val="22"/>
        </w:rPr>
        <w:t>Project Stakeholder Management</w:t>
      </w:r>
      <w:r w:rsidRPr="00AA06F2">
        <w:rPr>
          <w:rFonts w:ascii="Arial" w:hAnsi="Arial" w:cs="Arial"/>
          <w:sz w:val="22"/>
          <w:szCs w:val="22"/>
        </w:rPr>
        <w:t>. Farnham: Gower Publishing.</w:t>
      </w:r>
    </w:p>
    <w:p w14:paraId="1CF44765"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Fisher, R., Ury, W. and Patton, B. (2011) </w:t>
      </w:r>
      <w:r w:rsidRPr="00AA06F2">
        <w:rPr>
          <w:rFonts w:ascii="Arial" w:hAnsi="Arial" w:cs="Arial"/>
          <w:i/>
          <w:iCs/>
          <w:sz w:val="22"/>
          <w:szCs w:val="22"/>
        </w:rPr>
        <w:t>Getting to Yes: Negotiating Agreement Without Giving In</w:t>
      </w:r>
      <w:r w:rsidRPr="00AA06F2">
        <w:rPr>
          <w:rFonts w:ascii="Arial" w:hAnsi="Arial" w:cs="Arial"/>
          <w:sz w:val="22"/>
          <w:szCs w:val="22"/>
        </w:rPr>
        <w:t xml:space="preserve">. 3rd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London: Penguin Books.</w:t>
      </w:r>
    </w:p>
    <w:p w14:paraId="6263A955"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Freeman, R.E. (2010) </w:t>
      </w:r>
      <w:r w:rsidRPr="00AA06F2">
        <w:rPr>
          <w:rFonts w:ascii="Arial" w:hAnsi="Arial" w:cs="Arial"/>
          <w:i/>
          <w:iCs/>
          <w:sz w:val="22"/>
          <w:szCs w:val="22"/>
        </w:rPr>
        <w:t>Strategic Management: A Stakeholder Approach</w:t>
      </w:r>
      <w:r w:rsidRPr="00AA06F2">
        <w:rPr>
          <w:rFonts w:ascii="Arial" w:hAnsi="Arial" w:cs="Arial"/>
          <w:sz w:val="22"/>
          <w:szCs w:val="22"/>
        </w:rPr>
        <w:t>. Cambridge: Cambridge University Press.</w:t>
      </w:r>
    </w:p>
    <w:p w14:paraId="24641233"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Goleman, D. (2017) </w:t>
      </w:r>
      <w:r w:rsidRPr="00AA06F2">
        <w:rPr>
          <w:rFonts w:ascii="Arial" w:hAnsi="Arial" w:cs="Arial"/>
          <w:i/>
          <w:iCs/>
          <w:sz w:val="22"/>
          <w:szCs w:val="22"/>
        </w:rPr>
        <w:t>Emotional Intelligence: Why It Can Matter More Than IQ</w:t>
      </w:r>
      <w:r w:rsidRPr="00AA06F2">
        <w:rPr>
          <w:rFonts w:ascii="Arial" w:hAnsi="Arial" w:cs="Arial"/>
          <w:sz w:val="22"/>
          <w:szCs w:val="22"/>
        </w:rPr>
        <w:t xml:space="preserve">. 10th Anniversary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London: Bloomsbury Publishing.</w:t>
      </w:r>
    </w:p>
    <w:p w14:paraId="2E1AECB8"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Google (2023) </w:t>
      </w:r>
      <w:r w:rsidRPr="00AA06F2">
        <w:rPr>
          <w:rFonts w:ascii="Arial" w:hAnsi="Arial" w:cs="Arial"/>
          <w:i/>
          <w:iCs/>
          <w:sz w:val="22"/>
          <w:szCs w:val="22"/>
        </w:rPr>
        <w:t>Google Health: Integrating Fitbit Data into the Digital Health Ecosystem</w:t>
      </w:r>
      <w:r w:rsidRPr="00AA06F2">
        <w:rPr>
          <w:rFonts w:ascii="Arial" w:hAnsi="Arial" w:cs="Arial"/>
          <w:sz w:val="22"/>
          <w:szCs w:val="22"/>
        </w:rPr>
        <w:t xml:space="preserve">. Available at: </w:t>
      </w:r>
      <w:hyperlink r:id="rId10" w:tgtFrame="_new" w:history="1">
        <w:r w:rsidRPr="00AA06F2">
          <w:rPr>
            <w:rStyle w:val="Hyperlink"/>
            <w:rFonts w:ascii="Arial" w:hAnsi="Arial" w:cs="Arial"/>
            <w:sz w:val="22"/>
            <w:szCs w:val="22"/>
          </w:rPr>
          <w:t>https://health.google</w:t>
        </w:r>
      </w:hyperlink>
      <w:r w:rsidRPr="00AA06F2">
        <w:rPr>
          <w:rFonts w:ascii="Arial" w:hAnsi="Arial" w:cs="Arial"/>
          <w:sz w:val="22"/>
          <w:szCs w:val="22"/>
        </w:rPr>
        <w:t xml:space="preserve"> (Accessed: 17 December 2025).</w:t>
      </w:r>
    </w:p>
    <w:p w14:paraId="59F81F8A"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Gürel, E. and Tat, M. (2017) ‘SWOT analysis: A theoretical review’, </w:t>
      </w:r>
      <w:r w:rsidRPr="00AA06F2">
        <w:rPr>
          <w:rFonts w:ascii="Arial" w:hAnsi="Arial" w:cs="Arial"/>
          <w:i/>
          <w:iCs/>
          <w:sz w:val="22"/>
          <w:szCs w:val="22"/>
        </w:rPr>
        <w:t>The Journal of International Social Research</w:t>
      </w:r>
      <w:r w:rsidRPr="00AA06F2">
        <w:rPr>
          <w:rFonts w:ascii="Arial" w:hAnsi="Arial" w:cs="Arial"/>
          <w:sz w:val="22"/>
          <w:szCs w:val="22"/>
        </w:rPr>
        <w:t>, 10(51), pp. 994–1006.</w:t>
      </w:r>
    </w:p>
    <w:p w14:paraId="1EDEE307"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Laufer, A. (2012) </w:t>
      </w:r>
      <w:r w:rsidRPr="00AA06F2">
        <w:rPr>
          <w:rFonts w:ascii="Arial" w:hAnsi="Arial" w:cs="Arial"/>
          <w:i/>
          <w:iCs/>
          <w:sz w:val="22"/>
          <w:szCs w:val="22"/>
        </w:rPr>
        <w:t>Breaking the Code of Project Management</w:t>
      </w:r>
      <w:r w:rsidRPr="00AA06F2">
        <w:rPr>
          <w:rFonts w:ascii="Arial" w:hAnsi="Arial" w:cs="Arial"/>
          <w:sz w:val="22"/>
          <w:szCs w:val="22"/>
        </w:rPr>
        <w:t>. Basingstoke: Palgrave Macmillan.</w:t>
      </w:r>
    </w:p>
    <w:p w14:paraId="67B83A9D"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Mendelow, A.L. (1991) ‘Environmental scanning: The impact of the stakeholder concept’, </w:t>
      </w:r>
      <w:r w:rsidRPr="00AA06F2">
        <w:rPr>
          <w:rFonts w:ascii="Arial" w:hAnsi="Arial" w:cs="Arial"/>
          <w:i/>
          <w:iCs/>
          <w:sz w:val="22"/>
          <w:szCs w:val="22"/>
        </w:rPr>
        <w:t>Proceedings of the Second International Conference on Information Systems</w:t>
      </w:r>
      <w:r w:rsidRPr="00AA06F2">
        <w:rPr>
          <w:rFonts w:ascii="Arial" w:hAnsi="Arial" w:cs="Arial"/>
          <w:sz w:val="22"/>
          <w:szCs w:val="22"/>
        </w:rPr>
        <w:t>, Cambridge, pp. 407–418.</w:t>
      </w:r>
    </w:p>
    <w:p w14:paraId="21AD8648"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PMI (Project Management Institute) (2021) </w:t>
      </w:r>
      <w:r w:rsidRPr="00AA06F2">
        <w:rPr>
          <w:rFonts w:ascii="Arial" w:hAnsi="Arial" w:cs="Arial"/>
          <w:i/>
          <w:iCs/>
          <w:sz w:val="22"/>
          <w:szCs w:val="22"/>
        </w:rPr>
        <w:t>A Guide to the Project Management Body of Knowledge (PMBOK® Guide)</w:t>
      </w:r>
      <w:r w:rsidRPr="00AA06F2">
        <w:rPr>
          <w:rFonts w:ascii="Arial" w:hAnsi="Arial" w:cs="Arial"/>
          <w:sz w:val="22"/>
          <w:szCs w:val="22"/>
        </w:rPr>
        <w:t xml:space="preserve">. 7th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Newtown Square, PA: Project Management Institute.</w:t>
      </w:r>
    </w:p>
    <w:p w14:paraId="19054B8E"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PwC (2023) </w:t>
      </w:r>
      <w:r w:rsidRPr="00AA06F2">
        <w:rPr>
          <w:rFonts w:ascii="Arial" w:hAnsi="Arial" w:cs="Arial"/>
          <w:i/>
          <w:iCs/>
          <w:sz w:val="22"/>
          <w:szCs w:val="22"/>
        </w:rPr>
        <w:t>UK Technology Industry Outlook 2023</w:t>
      </w:r>
      <w:r w:rsidRPr="00AA06F2">
        <w:rPr>
          <w:rFonts w:ascii="Arial" w:hAnsi="Arial" w:cs="Arial"/>
          <w:sz w:val="22"/>
          <w:szCs w:val="22"/>
        </w:rPr>
        <w:t xml:space="preserve">. Available at: </w:t>
      </w:r>
      <w:hyperlink r:id="rId11" w:tgtFrame="_new" w:history="1">
        <w:r w:rsidRPr="00AA06F2">
          <w:rPr>
            <w:rStyle w:val="Hyperlink"/>
            <w:rFonts w:ascii="Arial" w:hAnsi="Arial" w:cs="Arial"/>
            <w:sz w:val="22"/>
            <w:szCs w:val="22"/>
          </w:rPr>
          <w:t>https://www.pwc.co.uk</w:t>
        </w:r>
      </w:hyperlink>
      <w:r w:rsidRPr="00AA06F2">
        <w:rPr>
          <w:rFonts w:ascii="Arial" w:hAnsi="Arial" w:cs="Arial"/>
          <w:sz w:val="22"/>
          <w:szCs w:val="22"/>
        </w:rPr>
        <w:t xml:space="preserve"> (Accessed: 17 December 2025).</w:t>
      </w:r>
    </w:p>
    <w:p w14:paraId="7B30406D"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Statista (2024) </w:t>
      </w:r>
      <w:r w:rsidRPr="00AA06F2">
        <w:rPr>
          <w:rFonts w:ascii="Arial" w:hAnsi="Arial" w:cs="Arial"/>
          <w:i/>
          <w:iCs/>
          <w:sz w:val="22"/>
          <w:szCs w:val="22"/>
        </w:rPr>
        <w:t>Fitbit market share and revenue in the United Kingdom</w:t>
      </w:r>
      <w:r w:rsidRPr="00AA06F2">
        <w:rPr>
          <w:rFonts w:ascii="Arial" w:hAnsi="Arial" w:cs="Arial"/>
          <w:sz w:val="22"/>
          <w:szCs w:val="22"/>
        </w:rPr>
        <w:t xml:space="preserve">. Available at: </w:t>
      </w:r>
      <w:hyperlink r:id="rId12" w:tgtFrame="_new" w:history="1">
        <w:r w:rsidRPr="00AA06F2">
          <w:rPr>
            <w:rStyle w:val="Hyperlink"/>
            <w:rFonts w:ascii="Arial" w:hAnsi="Arial" w:cs="Arial"/>
            <w:sz w:val="22"/>
            <w:szCs w:val="22"/>
          </w:rPr>
          <w:t>https://www.statista.com</w:t>
        </w:r>
      </w:hyperlink>
      <w:r w:rsidRPr="00AA06F2">
        <w:rPr>
          <w:rFonts w:ascii="Arial" w:hAnsi="Arial" w:cs="Arial"/>
          <w:sz w:val="22"/>
          <w:szCs w:val="22"/>
        </w:rPr>
        <w:t xml:space="preserve"> (Accessed: 17 December 2025).</w:t>
      </w:r>
    </w:p>
    <w:p w14:paraId="05249E7F"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lastRenderedPageBreak/>
        <w:t xml:space="preserve">Turner, J.R. (2014) </w:t>
      </w:r>
      <w:r w:rsidRPr="00AA06F2">
        <w:rPr>
          <w:rFonts w:ascii="Arial" w:hAnsi="Arial" w:cs="Arial"/>
          <w:i/>
          <w:iCs/>
          <w:sz w:val="22"/>
          <w:szCs w:val="22"/>
        </w:rPr>
        <w:t xml:space="preserve">Handbook of Project-Based Management: Leading Strategic Change in </w:t>
      </w:r>
      <w:proofErr w:type="spellStart"/>
      <w:r w:rsidRPr="00AA06F2">
        <w:rPr>
          <w:rFonts w:ascii="Arial" w:hAnsi="Arial" w:cs="Arial"/>
          <w:i/>
          <w:iCs/>
          <w:sz w:val="22"/>
          <w:szCs w:val="22"/>
        </w:rPr>
        <w:t>Organisations</w:t>
      </w:r>
      <w:proofErr w:type="spellEnd"/>
      <w:r w:rsidRPr="00AA06F2">
        <w:rPr>
          <w:rFonts w:ascii="Arial" w:hAnsi="Arial" w:cs="Arial"/>
          <w:sz w:val="22"/>
          <w:szCs w:val="22"/>
        </w:rPr>
        <w:t xml:space="preserve">. 4th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London: McGraw-Hill Education.</w:t>
      </w:r>
    </w:p>
    <w:p w14:paraId="68E11C37" w14:textId="77777777" w:rsidR="009E0EA6" w:rsidRPr="00AA06F2" w:rsidRDefault="009E0EA6" w:rsidP="00AA06F2">
      <w:pPr>
        <w:pStyle w:val="ListParagraph"/>
        <w:numPr>
          <w:ilvl w:val="0"/>
          <w:numId w:val="9"/>
        </w:numPr>
        <w:spacing w:line="360" w:lineRule="auto"/>
        <w:jc w:val="both"/>
        <w:rPr>
          <w:rFonts w:ascii="Arial" w:hAnsi="Arial" w:cs="Arial"/>
          <w:sz w:val="22"/>
          <w:szCs w:val="22"/>
        </w:rPr>
      </w:pPr>
      <w:proofErr w:type="spellStart"/>
      <w:r w:rsidRPr="00AA06F2">
        <w:rPr>
          <w:rFonts w:ascii="Arial" w:hAnsi="Arial" w:cs="Arial"/>
          <w:sz w:val="22"/>
          <w:szCs w:val="22"/>
        </w:rPr>
        <w:t>Verčič</w:t>
      </w:r>
      <w:proofErr w:type="spellEnd"/>
      <w:r w:rsidRPr="00AA06F2">
        <w:rPr>
          <w:rFonts w:ascii="Arial" w:hAnsi="Arial" w:cs="Arial"/>
          <w:sz w:val="22"/>
          <w:szCs w:val="22"/>
        </w:rPr>
        <w:t xml:space="preserve">, D. and Zerfass, A. (2021) ‘A comparative analysis of communication management practices’, </w:t>
      </w:r>
      <w:r w:rsidRPr="00AA06F2">
        <w:rPr>
          <w:rFonts w:ascii="Arial" w:hAnsi="Arial" w:cs="Arial"/>
          <w:i/>
          <w:iCs/>
          <w:sz w:val="22"/>
          <w:szCs w:val="22"/>
        </w:rPr>
        <w:t>Public Relations Review</w:t>
      </w:r>
      <w:r w:rsidRPr="00AA06F2">
        <w:rPr>
          <w:rFonts w:ascii="Arial" w:hAnsi="Arial" w:cs="Arial"/>
          <w:sz w:val="22"/>
          <w:szCs w:val="22"/>
        </w:rPr>
        <w:t>, 47(2), pp. 1–10.</w:t>
      </w:r>
    </w:p>
    <w:p w14:paraId="558910C8" w14:textId="2BCB1F29" w:rsidR="006C0324" w:rsidRPr="00AA06F2" w:rsidRDefault="006C0324"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Bourne, L. (2009) </w:t>
      </w:r>
      <w:r w:rsidRPr="00AA06F2">
        <w:rPr>
          <w:rFonts w:ascii="Arial" w:hAnsi="Arial" w:cs="Arial"/>
          <w:i/>
          <w:iCs/>
          <w:sz w:val="22"/>
          <w:szCs w:val="22"/>
        </w:rPr>
        <w:t xml:space="preserve">Stakeholder relationship management: A maturity model for </w:t>
      </w:r>
      <w:proofErr w:type="spellStart"/>
      <w:r w:rsidRPr="00AA06F2">
        <w:rPr>
          <w:rFonts w:ascii="Arial" w:hAnsi="Arial" w:cs="Arial"/>
          <w:i/>
          <w:iCs/>
          <w:sz w:val="22"/>
          <w:szCs w:val="22"/>
        </w:rPr>
        <w:t>organisational</w:t>
      </w:r>
      <w:proofErr w:type="spellEnd"/>
      <w:r w:rsidRPr="00AA06F2">
        <w:rPr>
          <w:rFonts w:ascii="Arial" w:hAnsi="Arial" w:cs="Arial"/>
          <w:i/>
          <w:iCs/>
          <w:sz w:val="22"/>
          <w:szCs w:val="22"/>
        </w:rPr>
        <w:t xml:space="preserve"> implementation</w:t>
      </w:r>
      <w:r w:rsidRPr="00AA06F2">
        <w:rPr>
          <w:rFonts w:ascii="Arial" w:hAnsi="Arial" w:cs="Arial"/>
          <w:sz w:val="22"/>
          <w:szCs w:val="22"/>
        </w:rPr>
        <w:t>. Farnham: Gower.</w:t>
      </w:r>
    </w:p>
    <w:p w14:paraId="0655A92B" w14:textId="6097F5C3" w:rsidR="006C0324" w:rsidRPr="00AA06F2" w:rsidRDefault="006C0324"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Freeman, R.E. (1984) </w:t>
      </w:r>
      <w:r w:rsidRPr="00AA06F2">
        <w:rPr>
          <w:rFonts w:ascii="Arial" w:hAnsi="Arial" w:cs="Arial"/>
          <w:i/>
          <w:iCs/>
          <w:sz w:val="22"/>
          <w:szCs w:val="22"/>
        </w:rPr>
        <w:t>Strategic management: A stakeholder approach</w:t>
      </w:r>
      <w:r w:rsidRPr="00AA06F2">
        <w:rPr>
          <w:rFonts w:ascii="Arial" w:hAnsi="Arial" w:cs="Arial"/>
          <w:sz w:val="22"/>
          <w:szCs w:val="22"/>
        </w:rPr>
        <w:t>. Boston: Pitman.</w:t>
      </w:r>
    </w:p>
    <w:p w14:paraId="1644B5DC" w14:textId="5098A6C6" w:rsidR="006C0324" w:rsidRPr="00AA06F2" w:rsidRDefault="006C0324" w:rsidP="00AA06F2">
      <w:pPr>
        <w:pStyle w:val="ListParagraph"/>
        <w:numPr>
          <w:ilvl w:val="0"/>
          <w:numId w:val="9"/>
        </w:numPr>
        <w:spacing w:line="360" w:lineRule="auto"/>
        <w:jc w:val="both"/>
        <w:rPr>
          <w:rFonts w:ascii="Arial" w:hAnsi="Arial" w:cs="Arial"/>
          <w:sz w:val="22"/>
          <w:szCs w:val="22"/>
        </w:rPr>
      </w:pPr>
      <w:r w:rsidRPr="00AA06F2">
        <w:rPr>
          <w:rFonts w:ascii="Arial" w:hAnsi="Arial" w:cs="Arial"/>
          <w:sz w:val="22"/>
          <w:szCs w:val="22"/>
        </w:rPr>
        <w:t xml:space="preserve">Project Management Institute (PMI) (2021) </w:t>
      </w:r>
      <w:r w:rsidRPr="00AA06F2">
        <w:rPr>
          <w:rFonts w:ascii="Arial" w:hAnsi="Arial" w:cs="Arial"/>
          <w:i/>
          <w:iCs/>
          <w:sz w:val="22"/>
          <w:szCs w:val="22"/>
        </w:rPr>
        <w:t>A guide to the project management body of knowledge (PMBOK® Guide)</w:t>
      </w:r>
      <w:r w:rsidRPr="00AA06F2">
        <w:rPr>
          <w:rFonts w:ascii="Arial" w:hAnsi="Arial" w:cs="Arial"/>
          <w:sz w:val="22"/>
          <w:szCs w:val="22"/>
        </w:rPr>
        <w:t xml:space="preserve">, 7th </w:t>
      </w:r>
      <w:proofErr w:type="spellStart"/>
      <w:proofErr w:type="gramStart"/>
      <w:r w:rsidRPr="00AA06F2">
        <w:rPr>
          <w:rFonts w:ascii="Arial" w:hAnsi="Arial" w:cs="Arial"/>
          <w:sz w:val="22"/>
          <w:szCs w:val="22"/>
        </w:rPr>
        <w:t>edn</w:t>
      </w:r>
      <w:proofErr w:type="spellEnd"/>
      <w:proofErr w:type="gramEnd"/>
      <w:r w:rsidRPr="00AA06F2">
        <w:rPr>
          <w:rFonts w:ascii="Arial" w:hAnsi="Arial" w:cs="Arial"/>
          <w:sz w:val="22"/>
          <w:szCs w:val="22"/>
        </w:rPr>
        <w:t>. Newtown Square, PA: PMI.</w:t>
      </w:r>
    </w:p>
    <w:p w14:paraId="608257FD" w14:textId="77777777" w:rsidR="007009B7" w:rsidRPr="009E0EA6" w:rsidRDefault="007009B7" w:rsidP="00610F4C">
      <w:pPr>
        <w:spacing w:line="360" w:lineRule="auto"/>
        <w:jc w:val="both"/>
        <w:rPr>
          <w:rFonts w:ascii="Arial" w:hAnsi="Arial" w:cs="Arial"/>
          <w:sz w:val="22"/>
          <w:szCs w:val="22"/>
        </w:rPr>
      </w:pPr>
    </w:p>
    <w:p w14:paraId="4D8240AC" w14:textId="77777777" w:rsidR="00563585" w:rsidRPr="00563585" w:rsidRDefault="00563585" w:rsidP="001110AE">
      <w:pPr>
        <w:spacing w:line="360" w:lineRule="auto"/>
        <w:jc w:val="center"/>
        <w:rPr>
          <w:rFonts w:ascii="Arial" w:hAnsi="Arial" w:cs="Arial"/>
          <w:sz w:val="22"/>
          <w:szCs w:val="22"/>
        </w:rPr>
      </w:pPr>
    </w:p>
    <w:p w14:paraId="660AE519" w14:textId="77777777" w:rsidR="00563585" w:rsidRDefault="00563585" w:rsidP="00803FBA">
      <w:pPr>
        <w:jc w:val="center"/>
        <w:rPr>
          <w:rFonts w:ascii="Arial" w:hAnsi="Arial" w:cs="Arial"/>
        </w:rPr>
      </w:pPr>
    </w:p>
    <w:p w14:paraId="6E011666" w14:textId="77777777" w:rsidR="00563585" w:rsidRPr="00803FBA" w:rsidRDefault="00563585" w:rsidP="00803FBA">
      <w:pPr>
        <w:jc w:val="center"/>
        <w:rPr>
          <w:rFonts w:ascii="Arial" w:hAnsi="Arial" w:cs="Arial"/>
        </w:rPr>
      </w:pPr>
    </w:p>
    <w:p w14:paraId="794CCFCC" w14:textId="77777777" w:rsidR="00803FBA" w:rsidRPr="00803FBA" w:rsidRDefault="00803FBA" w:rsidP="00650309">
      <w:pPr>
        <w:rPr>
          <w:rFonts w:ascii="Arial" w:hAnsi="Arial" w:cs="Arial"/>
        </w:rPr>
      </w:pPr>
    </w:p>
    <w:p w14:paraId="547A7961" w14:textId="77777777" w:rsidR="00014C18" w:rsidRPr="00521B7C" w:rsidRDefault="00014C18" w:rsidP="00C8535C">
      <w:pPr>
        <w:rPr>
          <w:rFonts w:ascii="Arial" w:hAnsi="Arial" w:cs="Arial"/>
          <w:sz w:val="22"/>
          <w:szCs w:val="22"/>
        </w:rPr>
      </w:pPr>
    </w:p>
    <w:p w14:paraId="58C723DE" w14:textId="77777777" w:rsidR="00911297" w:rsidRPr="007A2F1F" w:rsidRDefault="00911297" w:rsidP="00014C18">
      <w:pPr>
        <w:jc w:val="center"/>
        <w:rPr>
          <w:rFonts w:ascii="Arial" w:hAnsi="Arial" w:cs="Arial"/>
          <w:b/>
          <w:bCs/>
          <w:sz w:val="22"/>
          <w:szCs w:val="22"/>
        </w:rPr>
      </w:pPr>
    </w:p>
    <w:p w14:paraId="6B7C64DE" w14:textId="77777777" w:rsidR="001A596D" w:rsidRDefault="001A596D" w:rsidP="00DC015B">
      <w:pPr>
        <w:rPr>
          <w:rFonts w:ascii="Arial" w:hAnsi="Arial" w:cs="Arial"/>
          <w:sz w:val="22"/>
          <w:szCs w:val="22"/>
        </w:rPr>
      </w:pPr>
    </w:p>
    <w:p w14:paraId="7E673B29" w14:textId="77777777" w:rsidR="00014C18" w:rsidRPr="001A596D" w:rsidRDefault="00014C18" w:rsidP="00DC015B">
      <w:pPr>
        <w:rPr>
          <w:rFonts w:ascii="Arial" w:hAnsi="Arial" w:cs="Arial"/>
          <w:sz w:val="22"/>
          <w:szCs w:val="22"/>
        </w:rPr>
      </w:pPr>
    </w:p>
    <w:p w14:paraId="272DF62C" w14:textId="77777777" w:rsidR="00DC015B" w:rsidRPr="00DC015B" w:rsidRDefault="00DC015B" w:rsidP="00DC015B">
      <w:pPr>
        <w:rPr>
          <w:rFonts w:ascii="Arial" w:hAnsi="Arial" w:cs="Arial"/>
          <w:sz w:val="22"/>
          <w:szCs w:val="22"/>
        </w:rPr>
      </w:pPr>
    </w:p>
    <w:p w14:paraId="4ACE0D4B" w14:textId="77777777" w:rsidR="00DC015B" w:rsidRPr="00DC015B" w:rsidRDefault="00DC015B" w:rsidP="00DC015B">
      <w:pPr>
        <w:jc w:val="center"/>
        <w:rPr>
          <w:rFonts w:ascii="Arial" w:hAnsi="Arial" w:cs="Arial"/>
          <w:b/>
          <w:bCs/>
        </w:rPr>
      </w:pPr>
    </w:p>
    <w:p w14:paraId="7DA049C8" w14:textId="77777777" w:rsidR="00DC015B" w:rsidRPr="00DC015B" w:rsidRDefault="00DC015B" w:rsidP="00DC015B">
      <w:pPr>
        <w:jc w:val="center"/>
        <w:rPr>
          <w:rFonts w:ascii="Arial" w:hAnsi="Arial" w:cs="Arial"/>
        </w:rPr>
      </w:pPr>
    </w:p>
    <w:p w14:paraId="5B07E70A" w14:textId="77777777" w:rsidR="00DC015B" w:rsidRPr="008A1D68" w:rsidRDefault="00DC015B" w:rsidP="008A1D68">
      <w:pPr>
        <w:rPr>
          <w:rFonts w:ascii="Arial" w:hAnsi="Arial" w:cs="Arial"/>
          <w:sz w:val="22"/>
          <w:szCs w:val="22"/>
        </w:rPr>
      </w:pPr>
    </w:p>
    <w:p w14:paraId="0962AC22" w14:textId="77777777" w:rsidR="008A1D68" w:rsidRPr="008A1D68" w:rsidRDefault="008A1D68" w:rsidP="008A1D68">
      <w:pPr>
        <w:rPr>
          <w:rFonts w:ascii="Arial" w:hAnsi="Arial" w:cs="Arial"/>
          <w:sz w:val="22"/>
          <w:szCs w:val="22"/>
        </w:rPr>
      </w:pPr>
    </w:p>
    <w:p w14:paraId="181277E5" w14:textId="77777777" w:rsidR="008A1D68" w:rsidRPr="00ED6BA5" w:rsidRDefault="008A1D68" w:rsidP="008A1D68">
      <w:pPr>
        <w:jc w:val="center"/>
        <w:rPr>
          <w:rFonts w:ascii="Arial" w:hAnsi="Arial" w:cs="Arial"/>
          <w:b/>
          <w:bCs/>
        </w:rPr>
      </w:pPr>
    </w:p>
    <w:p w14:paraId="2E246B71" w14:textId="77777777" w:rsidR="00ED6BA5" w:rsidRDefault="00ED6BA5" w:rsidP="00BB0D47">
      <w:pPr>
        <w:rPr>
          <w:rFonts w:ascii="Arial" w:hAnsi="Arial" w:cs="Arial"/>
          <w:sz w:val="22"/>
          <w:szCs w:val="22"/>
        </w:rPr>
      </w:pPr>
    </w:p>
    <w:p w14:paraId="14DFDC3C" w14:textId="77777777" w:rsidR="00ED6BA5" w:rsidRPr="008A1D68" w:rsidRDefault="00ED6BA5" w:rsidP="00BB0D47">
      <w:pPr>
        <w:rPr>
          <w:rFonts w:ascii="Arial" w:hAnsi="Arial" w:cs="Arial"/>
          <w:sz w:val="22"/>
          <w:szCs w:val="22"/>
        </w:rPr>
      </w:pPr>
    </w:p>
    <w:p w14:paraId="1F73B799" w14:textId="77777777" w:rsidR="00ED6BA5" w:rsidRPr="00BB0D47" w:rsidRDefault="00ED6BA5" w:rsidP="00BB0D47">
      <w:pPr>
        <w:rPr>
          <w:rFonts w:ascii="Arial" w:hAnsi="Arial" w:cs="Arial"/>
          <w:sz w:val="22"/>
          <w:szCs w:val="22"/>
        </w:rPr>
      </w:pPr>
    </w:p>
    <w:p w14:paraId="7842970A" w14:textId="77777777" w:rsidR="00BB0D47" w:rsidRPr="00A72F79" w:rsidRDefault="00BB0D47" w:rsidP="00DF2754">
      <w:pPr>
        <w:rPr>
          <w:rFonts w:ascii="Arial" w:hAnsi="Arial" w:cs="Arial"/>
          <w:sz w:val="22"/>
          <w:szCs w:val="22"/>
        </w:rPr>
      </w:pPr>
    </w:p>
    <w:p w14:paraId="2D1B9526" w14:textId="77777777" w:rsidR="00BB0D47" w:rsidRPr="00BB0D47" w:rsidRDefault="00BB0D47" w:rsidP="00DF2754"/>
    <w:p w14:paraId="30053D2C" w14:textId="77777777" w:rsidR="00BB0D47" w:rsidRPr="00DF2754" w:rsidRDefault="00BB0D47" w:rsidP="00DF2754"/>
    <w:p w14:paraId="5BB97CFA" w14:textId="77777777" w:rsidR="00DF2754" w:rsidRPr="009F7EF1" w:rsidRDefault="00DF2754" w:rsidP="009F7EF1"/>
    <w:p w14:paraId="314EA600" w14:textId="77777777" w:rsidR="009F7EF1" w:rsidRPr="009F7EF1" w:rsidRDefault="009F7EF1" w:rsidP="009F7EF1"/>
    <w:p w14:paraId="1282E744" w14:textId="77777777" w:rsidR="009F7EF1" w:rsidRPr="006E0726" w:rsidRDefault="009F7EF1" w:rsidP="006E0726"/>
    <w:p w14:paraId="6B8649A1" w14:textId="77777777" w:rsidR="006E0726" w:rsidRDefault="006E0726"/>
    <w:sectPr w:rsidR="006E07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9DE54" w14:textId="77777777" w:rsidR="0098294D" w:rsidRDefault="0098294D" w:rsidP="00837C33">
      <w:pPr>
        <w:spacing w:after="0" w:line="240" w:lineRule="auto"/>
      </w:pPr>
      <w:r>
        <w:separator/>
      </w:r>
    </w:p>
  </w:endnote>
  <w:endnote w:type="continuationSeparator" w:id="0">
    <w:p w14:paraId="1AF5600E" w14:textId="77777777" w:rsidR="0098294D" w:rsidRDefault="0098294D" w:rsidP="00837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EF6D2" w14:textId="77777777" w:rsidR="0098294D" w:rsidRDefault="0098294D" w:rsidP="00837C33">
      <w:pPr>
        <w:spacing w:after="0" w:line="240" w:lineRule="auto"/>
      </w:pPr>
      <w:r>
        <w:separator/>
      </w:r>
    </w:p>
  </w:footnote>
  <w:footnote w:type="continuationSeparator" w:id="0">
    <w:p w14:paraId="57CB2BD8" w14:textId="77777777" w:rsidR="0098294D" w:rsidRDefault="0098294D" w:rsidP="00837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A71"/>
    <w:multiLevelType w:val="multilevel"/>
    <w:tmpl w:val="C8DE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46FE6"/>
    <w:multiLevelType w:val="hybridMultilevel"/>
    <w:tmpl w:val="1C4C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1F0E7B"/>
    <w:multiLevelType w:val="multilevel"/>
    <w:tmpl w:val="60343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6063D"/>
    <w:multiLevelType w:val="hybridMultilevel"/>
    <w:tmpl w:val="E90C142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F944435"/>
    <w:multiLevelType w:val="hybridMultilevel"/>
    <w:tmpl w:val="11961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B35B9E"/>
    <w:multiLevelType w:val="multilevel"/>
    <w:tmpl w:val="22EC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8013C"/>
    <w:multiLevelType w:val="multilevel"/>
    <w:tmpl w:val="3324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FA46F7"/>
    <w:multiLevelType w:val="hybridMultilevel"/>
    <w:tmpl w:val="621AF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451BC1"/>
    <w:multiLevelType w:val="hybridMultilevel"/>
    <w:tmpl w:val="D018D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704B86"/>
    <w:multiLevelType w:val="multilevel"/>
    <w:tmpl w:val="10FE2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E14AA4"/>
    <w:multiLevelType w:val="hybridMultilevel"/>
    <w:tmpl w:val="046C1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88F69C4"/>
    <w:multiLevelType w:val="hybridMultilevel"/>
    <w:tmpl w:val="90DCCC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1CD54B8B"/>
    <w:multiLevelType w:val="hybridMultilevel"/>
    <w:tmpl w:val="AB6A9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048318C"/>
    <w:multiLevelType w:val="hybridMultilevel"/>
    <w:tmpl w:val="E84EA6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31C1129"/>
    <w:multiLevelType w:val="hybridMultilevel"/>
    <w:tmpl w:val="E4D8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41A22A1"/>
    <w:multiLevelType w:val="multilevel"/>
    <w:tmpl w:val="5DAE5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0B4A28"/>
    <w:multiLevelType w:val="hybridMultilevel"/>
    <w:tmpl w:val="2EB40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709372D"/>
    <w:multiLevelType w:val="hybridMultilevel"/>
    <w:tmpl w:val="FB36E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B7B4655"/>
    <w:multiLevelType w:val="hybridMultilevel"/>
    <w:tmpl w:val="E8524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C656634"/>
    <w:multiLevelType w:val="hybridMultilevel"/>
    <w:tmpl w:val="4CCA4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E3F3B50"/>
    <w:multiLevelType w:val="multilevel"/>
    <w:tmpl w:val="792E4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A5192B"/>
    <w:multiLevelType w:val="hybridMultilevel"/>
    <w:tmpl w:val="7F345E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2C07AD7"/>
    <w:multiLevelType w:val="multilevel"/>
    <w:tmpl w:val="BB52C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1948BB"/>
    <w:multiLevelType w:val="multilevel"/>
    <w:tmpl w:val="01A0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8A4092"/>
    <w:multiLevelType w:val="multilevel"/>
    <w:tmpl w:val="D7CC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AE4EA4"/>
    <w:multiLevelType w:val="hybridMultilevel"/>
    <w:tmpl w:val="7C6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CAC04FE"/>
    <w:multiLevelType w:val="multilevel"/>
    <w:tmpl w:val="53DA5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ED2D4F"/>
    <w:multiLevelType w:val="multilevel"/>
    <w:tmpl w:val="F0EE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597CE2"/>
    <w:multiLevelType w:val="multilevel"/>
    <w:tmpl w:val="7E8C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D35676"/>
    <w:multiLevelType w:val="hybridMultilevel"/>
    <w:tmpl w:val="7AAED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89824D9"/>
    <w:multiLevelType w:val="multilevel"/>
    <w:tmpl w:val="90DA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0F0058"/>
    <w:multiLevelType w:val="hybridMultilevel"/>
    <w:tmpl w:val="6A28D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A6708AB"/>
    <w:multiLevelType w:val="multilevel"/>
    <w:tmpl w:val="60FC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9479268">
    <w:abstractNumId w:val="5"/>
  </w:num>
  <w:num w:numId="2" w16cid:durableId="1902010819">
    <w:abstractNumId w:val="0"/>
  </w:num>
  <w:num w:numId="3" w16cid:durableId="544100301">
    <w:abstractNumId w:val="15"/>
  </w:num>
  <w:num w:numId="4" w16cid:durableId="2048600078">
    <w:abstractNumId w:val="22"/>
  </w:num>
  <w:num w:numId="5" w16cid:durableId="1854614790">
    <w:abstractNumId w:val="27"/>
  </w:num>
  <w:num w:numId="6" w16cid:durableId="458424452">
    <w:abstractNumId w:val="30"/>
  </w:num>
  <w:num w:numId="7" w16cid:durableId="513690674">
    <w:abstractNumId w:val="2"/>
  </w:num>
  <w:num w:numId="8" w16cid:durableId="1215118993">
    <w:abstractNumId w:val="26"/>
  </w:num>
  <w:num w:numId="9" w16cid:durableId="1194533617">
    <w:abstractNumId w:val="14"/>
  </w:num>
  <w:num w:numId="10" w16cid:durableId="828981588">
    <w:abstractNumId w:val="1"/>
  </w:num>
  <w:num w:numId="11" w16cid:durableId="421950643">
    <w:abstractNumId w:val="21"/>
  </w:num>
  <w:num w:numId="12" w16cid:durableId="79840871">
    <w:abstractNumId w:val="17"/>
  </w:num>
  <w:num w:numId="13" w16cid:durableId="1671177224">
    <w:abstractNumId w:val="3"/>
  </w:num>
  <w:num w:numId="14" w16cid:durableId="680668213">
    <w:abstractNumId w:val="8"/>
  </w:num>
  <w:num w:numId="15" w16cid:durableId="846287065">
    <w:abstractNumId w:val="25"/>
  </w:num>
  <w:num w:numId="16" w16cid:durableId="1685090013">
    <w:abstractNumId w:val="29"/>
  </w:num>
  <w:num w:numId="17" w16cid:durableId="774204357">
    <w:abstractNumId w:val="18"/>
  </w:num>
  <w:num w:numId="18" w16cid:durableId="1326204215">
    <w:abstractNumId w:val="11"/>
  </w:num>
  <w:num w:numId="19" w16cid:durableId="818880881">
    <w:abstractNumId w:val="12"/>
  </w:num>
  <w:num w:numId="20" w16cid:durableId="1925797903">
    <w:abstractNumId w:val="4"/>
  </w:num>
  <w:num w:numId="21" w16cid:durableId="212892370">
    <w:abstractNumId w:val="13"/>
  </w:num>
  <w:num w:numId="22" w16cid:durableId="1324700217">
    <w:abstractNumId w:val="7"/>
  </w:num>
  <w:num w:numId="23" w16cid:durableId="608051292">
    <w:abstractNumId w:val="19"/>
  </w:num>
  <w:num w:numId="24" w16cid:durableId="1480997832">
    <w:abstractNumId w:val="10"/>
  </w:num>
  <w:num w:numId="25" w16cid:durableId="598878718">
    <w:abstractNumId w:val="16"/>
  </w:num>
  <w:num w:numId="26" w16cid:durableId="1281496271">
    <w:abstractNumId w:val="6"/>
  </w:num>
  <w:num w:numId="27" w16cid:durableId="814838593">
    <w:abstractNumId w:val="23"/>
  </w:num>
  <w:num w:numId="28" w16cid:durableId="1569608775">
    <w:abstractNumId w:val="24"/>
  </w:num>
  <w:num w:numId="29" w16cid:durableId="1867789371">
    <w:abstractNumId w:val="28"/>
  </w:num>
  <w:num w:numId="30" w16cid:durableId="723067586">
    <w:abstractNumId w:val="32"/>
  </w:num>
  <w:num w:numId="31" w16cid:durableId="616759857">
    <w:abstractNumId w:val="9"/>
  </w:num>
  <w:num w:numId="32" w16cid:durableId="748963583">
    <w:abstractNumId w:val="20"/>
  </w:num>
  <w:num w:numId="33" w16cid:durableId="133295009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726"/>
    <w:rsid w:val="00011BD9"/>
    <w:rsid w:val="000145A9"/>
    <w:rsid w:val="00014C18"/>
    <w:rsid w:val="00022373"/>
    <w:rsid w:val="000437CC"/>
    <w:rsid w:val="00044E29"/>
    <w:rsid w:val="00045452"/>
    <w:rsid w:val="00050A4A"/>
    <w:rsid w:val="000719AB"/>
    <w:rsid w:val="00080DD0"/>
    <w:rsid w:val="00094D48"/>
    <w:rsid w:val="000A1642"/>
    <w:rsid w:val="000B11CA"/>
    <w:rsid w:val="000C0E9A"/>
    <w:rsid w:val="000C5C2B"/>
    <w:rsid w:val="000D3622"/>
    <w:rsid w:val="000D6A76"/>
    <w:rsid w:val="00102663"/>
    <w:rsid w:val="001110AE"/>
    <w:rsid w:val="00111CCC"/>
    <w:rsid w:val="00123238"/>
    <w:rsid w:val="00126657"/>
    <w:rsid w:val="001269C7"/>
    <w:rsid w:val="001327F6"/>
    <w:rsid w:val="00150E95"/>
    <w:rsid w:val="00157D6F"/>
    <w:rsid w:val="00157EBC"/>
    <w:rsid w:val="00162914"/>
    <w:rsid w:val="00170395"/>
    <w:rsid w:val="001823AD"/>
    <w:rsid w:val="0018495B"/>
    <w:rsid w:val="001A596D"/>
    <w:rsid w:val="001B5BCA"/>
    <w:rsid w:val="001D41CD"/>
    <w:rsid w:val="001D6D73"/>
    <w:rsid w:val="001E60C7"/>
    <w:rsid w:val="001F2985"/>
    <w:rsid w:val="001F3895"/>
    <w:rsid w:val="001F49D8"/>
    <w:rsid w:val="00215ED8"/>
    <w:rsid w:val="00216844"/>
    <w:rsid w:val="00226B13"/>
    <w:rsid w:val="00230C00"/>
    <w:rsid w:val="00232A7E"/>
    <w:rsid w:val="00282E1E"/>
    <w:rsid w:val="00293B71"/>
    <w:rsid w:val="002B4C28"/>
    <w:rsid w:val="002C098C"/>
    <w:rsid w:val="002C6F2C"/>
    <w:rsid w:val="002D50C3"/>
    <w:rsid w:val="002E1244"/>
    <w:rsid w:val="002F744B"/>
    <w:rsid w:val="00304AD9"/>
    <w:rsid w:val="00307F50"/>
    <w:rsid w:val="003108EF"/>
    <w:rsid w:val="00326A66"/>
    <w:rsid w:val="00327FD2"/>
    <w:rsid w:val="003303E8"/>
    <w:rsid w:val="0033625D"/>
    <w:rsid w:val="00360A5B"/>
    <w:rsid w:val="00366184"/>
    <w:rsid w:val="00381562"/>
    <w:rsid w:val="00396D44"/>
    <w:rsid w:val="003B3894"/>
    <w:rsid w:val="003C6C4A"/>
    <w:rsid w:val="003D0D79"/>
    <w:rsid w:val="003F007F"/>
    <w:rsid w:val="003F00B2"/>
    <w:rsid w:val="003F3EE4"/>
    <w:rsid w:val="003F7915"/>
    <w:rsid w:val="004043C3"/>
    <w:rsid w:val="00424331"/>
    <w:rsid w:val="00424EA7"/>
    <w:rsid w:val="00424EB1"/>
    <w:rsid w:val="0043043F"/>
    <w:rsid w:val="00434728"/>
    <w:rsid w:val="00441F22"/>
    <w:rsid w:val="004438BD"/>
    <w:rsid w:val="004669B6"/>
    <w:rsid w:val="004714EC"/>
    <w:rsid w:val="00471B44"/>
    <w:rsid w:val="004A7ED0"/>
    <w:rsid w:val="004B6111"/>
    <w:rsid w:val="004C3E05"/>
    <w:rsid w:val="004E09B0"/>
    <w:rsid w:val="004E1DC0"/>
    <w:rsid w:val="004F1106"/>
    <w:rsid w:val="00507B57"/>
    <w:rsid w:val="0051273C"/>
    <w:rsid w:val="00513977"/>
    <w:rsid w:val="00516017"/>
    <w:rsid w:val="00521B7C"/>
    <w:rsid w:val="00547B70"/>
    <w:rsid w:val="00557CF3"/>
    <w:rsid w:val="00563585"/>
    <w:rsid w:val="005748C7"/>
    <w:rsid w:val="005858A6"/>
    <w:rsid w:val="005907B4"/>
    <w:rsid w:val="00597A9B"/>
    <w:rsid w:val="005B62ED"/>
    <w:rsid w:val="005C4954"/>
    <w:rsid w:val="005E2664"/>
    <w:rsid w:val="005E732F"/>
    <w:rsid w:val="00601830"/>
    <w:rsid w:val="006028D6"/>
    <w:rsid w:val="00610F4C"/>
    <w:rsid w:val="006228C2"/>
    <w:rsid w:val="00623E7A"/>
    <w:rsid w:val="006401FA"/>
    <w:rsid w:val="00650309"/>
    <w:rsid w:val="006516A4"/>
    <w:rsid w:val="00655FCD"/>
    <w:rsid w:val="006743E2"/>
    <w:rsid w:val="006868D4"/>
    <w:rsid w:val="006A6E39"/>
    <w:rsid w:val="006B306D"/>
    <w:rsid w:val="006C0324"/>
    <w:rsid w:val="006D22DF"/>
    <w:rsid w:val="006E00A9"/>
    <w:rsid w:val="006E0726"/>
    <w:rsid w:val="007009B7"/>
    <w:rsid w:val="00701303"/>
    <w:rsid w:val="0071398F"/>
    <w:rsid w:val="007233E6"/>
    <w:rsid w:val="007249A3"/>
    <w:rsid w:val="00725E96"/>
    <w:rsid w:val="00743E48"/>
    <w:rsid w:val="007450CD"/>
    <w:rsid w:val="00747E8A"/>
    <w:rsid w:val="007539AE"/>
    <w:rsid w:val="007637BF"/>
    <w:rsid w:val="0077272A"/>
    <w:rsid w:val="00781029"/>
    <w:rsid w:val="00784F34"/>
    <w:rsid w:val="00785464"/>
    <w:rsid w:val="00793011"/>
    <w:rsid w:val="007A2F1F"/>
    <w:rsid w:val="007A3378"/>
    <w:rsid w:val="007C3F9A"/>
    <w:rsid w:val="007D51B2"/>
    <w:rsid w:val="00801707"/>
    <w:rsid w:val="00803FBA"/>
    <w:rsid w:val="00811E9A"/>
    <w:rsid w:val="00814F16"/>
    <w:rsid w:val="00816330"/>
    <w:rsid w:val="0082098E"/>
    <w:rsid w:val="00837C33"/>
    <w:rsid w:val="008449F4"/>
    <w:rsid w:val="008610F4"/>
    <w:rsid w:val="00862F91"/>
    <w:rsid w:val="00866A30"/>
    <w:rsid w:val="00873023"/>
    <w:rsid w:val="008A1D68"/>
    <w:rsid w:val="008B1683"/>
    <w:rsid w:val="008B6EA9"/>
    <w:rsid w:val="008C3EEB"/>
    <w:rsid w:val="008C6875"/>
    <w:rsid w:val="008D0920"/>
    <w:rsid w:val="008E65A6"/>
    <w:rsid w:val="008E7078"/>
    <w:rsid w:val="008F48FC"/>
    <w:rsid w:val="008F731B"/>
    <w:rsid w:val="008F73C8"/>
    <w:rsid w:val="00911297"/>
    <w:rsid w:val="0092040F"/>
    <w:rsid w:val="00926C19"/>
    <w:rsid w:val="00936058"/>
    <w:rsid w:val="00941138"/>
    <w:rsid w:val="00941E11"/>
    <w:rsid w:val="00946BFC"/>
    <w:rsid w:val="00950E89"/>
    <w:rsid w:val="0098294D"/>
    <w:rsid w:val="0098567E"/>
    <w:rsid w:val="00994541"/>
    <w:rsid w:val="009C3FDB"/>
    <w:rsid w:val="009E0EA6"/>
    <w:rsid w:val="009E1AD4"/>
    <w:rsid w:val="009F6E03"/>
    <w:rsid w:val="009F7EF1"/>
    <w:rsid w:val="00A00F81"/>
    <w:rsid w:val="00A02F75"/>
    <w:rsid w:val="00A06AB9"/>
    <w:rsid w:val="00A169F6"/>
    <w:rsid w:val="00A575EF"/>
    <w:rsid w:val="00A6465B"/>
    <w:rsid w:val="00A64B23"/>
    <w:rsid w:val="00A727F8"/>
    <w:rsid w:val="00A72F79"/>
    <w:rsid w:val="00A77B74"/>
    <w:rsid w:val="00A96C99"/>
    <w:rsid w:val="00AA06F2"/>
    <w:rsid w:val="00AC1DC4"/>
    <w:rsid w:val="00AD0600"/>
    <w:rsid w:val="00AD614E"/>
    <w:rsid w:val="00AE0FA7"/>
    <w:rsid w:val="00AE1D67"/>
    <w:rsid w:val="00AE35A0"/>
    <w:rsid w:val="00AE4EAA"/>
    <w:rsid w:val="00AF39EE"/>
    <w:rsid w:val="00B05986"/>
    <w:rsid w:val="00B06E4A"/>
    <w:rsid w:val="00B10368"/>
    <w:rsid w:val="00B142A0"/>
    <w:rsid w:val="00B26FC3"/>
    <w:rsid w:val="00B548C7"/>
    <w:rsid w:val="00B57963"/>
    <w:rsid w:val="00B67279"/>
    <w:rsid w:val="00B935A8"/>
    <w:rsid w:val="00BB056B"/>
    <w:rsid w:val="00BB0D47"/>
    <w:rsid w:val="00BC0EAF"/>
    <w:rsid w:val="00BD5001"/>
    <w:rsid w:val="00BE11D8"/>
    <w:rsid w:val="00BE60EE"/>
    <w:rsid w:val="00BF0161"/>
    <w:rsid w:val="00BF3DCB"/>
    <w:rsid w:val="00BF7998"/>
    <w:rsid w:val="00C1574A"/>
    <w:rsid w:val="00C160AD"/>
    <w:rsid w:val="00C23AFE"/>
    <w:rsid w:val="00C32150"/>
    <w:rsid w:val="00C3243C"/>
    <w:rsid w:val="00C60340"/>
    <w:rsid w:val="00C7486E"/>
    <w:rsid w:val="00C762AC"/>
    <w:rsid w:val="00C823C5"/>
    <w:rsid w:val="00C8535C"/>
    <w:rsid w:val="00C93758"/>
    <w:rsid w:val="00C96121"/>
    <w:rsid w:val="00CC059A"/>
    <w:rsid w:val="00CC497D"/>
    <w:rsid w:val="00CE0FA2"/>
    <w:rsid w:val="00CE4C3A"/>
    <w:rsid w:val="00CE7A97"/>
    <w:rsid w:val="00D24B1A"/>
    <w:rsid w:val="00D41C25"/>
    <w:rsid w:val="00D55068"/>
    <w:rsid w:val="00D571EF"/>
    <w:rsid w:val="00D6607B"/>
    <w:rsid w:val="00D718C1"/>
    <w:rsid w:val="00D7545B"/>
    <w:rsid w:val="00D905DD"/>
    <w:rsid w:val="00D9068A"/>
    <w:rsid w:val="00DC015B"/>
    <w:rsid w:val="00DD291B"/>
    <w:rsid w:val="00DD3DC6"/>
    <w:rsid w:val="00DE11FB"/>
    <w:rsid w:val="00DE79A4"/>
    <w:rsid w:val="00DF0094"/>
    <w:rsid w:val="00DF2754"/>
    <w:rsid w:val="00E002CF"/>
    <w:rsid w:val="00E04FBE"/>
    <w:rsid w:val="00E20D6A"/>
    <w:rsid w:val="00E761DA"/>
    <w:rsid w:val="00E91D68"/>
    <w:rsid w:val="00EA282B"/>
    <w:rsid w:val="00EA5394"/>
    <w:rsid w:val="00EA5986"/>
    <w:rsid w:val="00EC5A80"/>
    <w:rsid w:val="00ED1331"/>
    <w:rsid w:val="00ED1D1F"/>
    <w:rsid w:val="00ED6BA5"/>
    <w:rsid w:val="00ED6D2B"/>
    <w:rsid w:val="00F011F1"/>
    <w:rsid w:val="00F111F5"/>
    <w:rsid w:val="00F207B6"/>
    <w:rsid w:val="00F25BD3"/>
    <w:rsid w:val="00F26C05"/>
    <w:rsid w:val="00F3156C"/>
    <w:rsid w:val="00F418DF"/>
    <w:rsid w:val="00F42BBA"/>
    <w:rsid w:val="00F4561D"/>
    <w:rsid w:val="00F538BB"/>
    <w:rsid w:val="00F56EA7"/>
    <w:rsid w:val="00F67F0A"/>
    <w:rsid w:val="00F90937"/>
    <w:rsid w:val="00F947FD"/>
    <w:rsid w:val="00FA3C06"/>
    <w:rsid w:val="00FB011A"/>
    <w:rsid w:val="00FB702B"/>
    <w:rsid w:val="00FC2706"/>
    <w:rsid w:val="00FD67FE"/>
    <w:rsid w:val="00FE2F86"/>
    <w:rsid w:val="00FE675E"/>
    <w:rsid w:val="00FF30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19622B"/>
  <w15:chartTrackingRefBased/>
  <w15:docId w15:val="{4D1D6AE2-FACC-41C3-B18B-0F1D744A9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7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7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7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7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7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7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7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7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7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7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726"/>
    <w:rPr>
      <w:rFonts w:eastAsiaTheme="majorEastAsia" w:cstheme="majorBidi"/>
      <w:color w:val="272727" w:themeColor="text1" w:themeTint="D8"/>
    </w:rPr>
  </w:style>
  <w:style w:type="paragraph" w:styleId="Title">
    <w:name w:val="Title"/>
    <w:basedOn w:val="Normal"/>
    <w:next w:val="Normal"/>
    <w:link w:val="TitleChar"/>
    <w:uiPriority w:val="10"/>
    <w:qFormat/>
    <w:rsid w:val="006E0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726"/>
    <w:pPr>
      <w:spacing w:before="160"/>
      <w:jc w:val="center"/>
    </w:pPr>
    <w:rPr>
      <w:i/>
      <w:iCs/>
      <w:color w:val="404040" w:themeColor="text1" w:themeTint="BF"/>
    </w:rPr>
  </w:style>
  <w:style w:type="character" w:customStyle="1" w:styleId="QuoteChar">
    <w:name w:val="Quote Char"/>
    <w:basedOn w:val="DefaultParagraphFont"/>
    <w:link w:val="Quote"/>
    <w:uiPriority w:val="29"/>
    <w:rsid w:val="006E0726"/>
    <w:rPr>
      <w:i/>
      <w:iCs/>
      <w:color w:val="404040" w:themeColor="text1" w:themeTint="BF"/>
    </w:rPr>
  </w:style>
  <w:style w:type="paragraph" w:styleId="ListParagraph">
    <w:name w:val="List Paragraph"/>
    <w:basedOn w:val="Normal"/>
    <w:uiPriority w:val="34"/>
    <w:qFormat/>
    <w:rsid w:val="006E0726"/>
    <w:pPr>
      <w:ind w:left="720"/>
      <w:contextualSpacing/>
    </w:pPr>
  </w:style>
  <w:style w:type="character" w:styleId="IntenseEmphasis">
    <w:name w:val="Intense Emphasis"/>
    <w:basedOn w:val="DefaultParagraphFont"/>
    <w:uiPriority w:val="21"/>
    <w:qFormat/>
    <w:rsid w:val="006E0726"/>
    <w:rPr>
      <w:i/>
      <w:iCs/>
      <w:color w:val="0F4761" w:themeColor="accent1" w:themeShade="BF"/>
    </w:rPr>
  </w:style>
  <w:style w:type="paragraph" w:styleId="IntenseQuote">
    <w:name w:val="Intense Quote"/>
    <w:basedOn w:val="Normal"/>
    <w:next w:val="Normal"/>
    <w:link w:val="IntenseQuoteChar"/>
    <w:uiPriority w:val="30"/>
    <w:qFormat/>
    <w:rsid w:val="006E07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726"/>
    <w:rPr>
      <w:i/>
      <w:iCs/>
      <w:color w:val="0F4761" w:themeColor="accent1" w:themeShade="BF"/>
    </w:rPr>
  </w:style>
  <w:style w:type="character" w:styleId="IntenseReference">
    <w:name w:val="Intense Reference"/>
    <w:basedOn w:val="DefaultParagraphFont"/>
    <w:uiPriority w:val="32"/>
    <w:qFormat/>
    <w:rsid w:val="006E0726"/>
    <w:rPr>
      <w:b/>
      <w:bCs/>
      <w:smallCaps/>
      <w:color w:val="0F4761" w:themeColor="accent1" w:themeShade="BF"/>
      <w:spacing w:val="5"/>
    </w:rPr>
  </w:style>
  <w:style w:type="character" w:styleId="Hyperlink">
    <w:name w:val="Hyperlink"/>
    <w:basedOn w:val="DefaultParagraphFont"/>
    <w:uiPriority w:val="99"/>
    <w:unhideWhenUsed/>
    <w:rsid w:val="00FA3C06"/>
    <w:rPr>
      <w:color w:val="467886" w:themeColor="hyperlink"/>
      <w:u w:val="single"/>
    </w:rPr>
  </w:style>
  <w:style w:type="character" w:styleId="UnresolvedMention">
    <w:name w:val="Unresolved Mention"/>
    <w:basedOn w:val="DefaultParagraphFont"/>
    <w:uiPriority w:val="99"/>
    <w:semiHidden/>
    <w:unhideWhenUsed/>
    <w:rsid w:val="00FA3C06"/>
    <w:rPr>
      <w:color w:val="605E5C"/>
      <w:shd w:val="clear" w:color="auto" w:fill="E1DFDD"/>
    </w:rPr>
  </w:style>
  <w:style w:type="table" w:styleId="TableGrid">
    <w:name w:val="Table Grid"/>
    <w:basedOn w:val="TableNormal"/>
    <w:uiPriority w:val="39"/>
    <w:rsid w:val="00B06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7C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7C33"/>
  </w:style>
  <w:style w:type="paragraph" w:styleId="Footer">
    <w:name w:val="footer"/>
    <w:basedOn w:val="Normal"/>
    <w:link w:val="FooterChar"/>
    <w:uiPriority w:val="99"/>
    <w:unhideWhenUsed/>
    <w:rsid w:val="00837C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wc.co.uk" TargetMode="External"/><Relationship Id="rId5" Type="http://schemas.openxmlformats.org/officeDocument/2006/relationships/footnotes" Target="footnotes.xml"/><Relationship Id="rId10" Type="http://schemas.openxmlformats.org/officeDocument/2006/relationships/hyperlink" Target="https://health.google" TargetMode="External"/><Relationship Id="rId4" Type="http://schemas.openxmlformats.org/officeDocument/2006/relationships/webSettings" Target="webSettings.xml"/><Relationship Id="rId9" Type="http://schemas.openxmlformats.org/officeDocument/2006/relationships/hyperlink" Target="https://www.deloitt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5205</Words>
  <Characters>29671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Pirjol</dc:creator>
  <cp:keywords/>
  <dc:description/>
  <cp:lastModifiedBy>Daniel Pirjol</cp:lastModifiedBy>
  <cp:revision>2</cp:revision>
  <dcterms:created xsi:type="dcterms:W3CDTF">2025-12-18T03:31:00Z</dcterms:created>
  <dcterms:modified xsi:type="dcterms:W3CDTF">2025-12-18T03:31:00Z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e66251fa-7b97-4b76-8b08-91bcde6888fb</vt:lpwstr>
  </property>
</Properties>
</file>