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F6CC0" w14:textId="77777777" w:rsidR="006D5156" w:rsidRPr="00CA1DF9" w:rsidRDefault="006D5156" w:rsidP="006D5156">
      <w:pPr>
        <w:shd w:val="clear" w:color="auto" w:fill="FFFFFF"/>
        <w:spacing w:after="0" w:line="240" w:lineRule="auto"/>
        <w:rPr>
          <w:rFonts w:ascii="Arial" w:hAnsi="Arial" w:cs="Arial"/>
          <w:spacing w:val="-5"/>
          <w:shd w:val="clear" w:color="auto" w:fill="FFFFFF"/>
        </w:rPr>
      </w:pPr>
    </w:p>
    <w:p w14:paraId="61799BE6" w14:textId="174AE3F6" w:rsidR="00CD1376" w:rsidRPr="00CA1DF9" w:rsidRDefault="00CD1376" w:rsidP="00CD1376">
      <w:pPr>
        <w:shd w:val="clear" w:color="auto" w:fill="FFFFFF"/>
        <w:spacing w:line="240" w:lineRule="auto"/>
        <w:contextualSpacing/>
        <w:rPr>
          <w:rFonts w:ascii="Arial" w:eastAsia="Times New Roman" w:hAnsi="Arial" w:cs="Arial"/>
          <w:b/>
          <w:bCs/>
          <w:color w:val="222222"/>
          <w:lang w:eastAsia="en-GB"/>
        </w:rPr>
      </w:pPr>
      <w:bookmarkStart w:id="0" w:name="_Hlk155165116"/>
      <w:r w:rsidRPr="00CA1DF9">
        <w:rPr>
          <w:rFonts w:ascii="Arial" w:eastAsia="Times New Roman" w:hAnsi="Arial" w:cs="Arial"/>
          <w:b/>
          <w:bCs/>
          <w:color w:val="222222"/>
          <w:lang w:eastAsia="en-GB"/>
        </w:rPr>
        <w:t>HARMONY: THEORY AND PRACTICE</w:t>
      </w:r>
    </w:p>
    <w:bookmarkEnd w:id="0"/>
    <w:p w14:paraId="115EB680" w14:textId="77777777" w:rsidR="00CD1376" w:rsidRPr="00CA1DF9" w:rsidRDefault="00CD1376" w:rsidP="00CD1376">
      <w:pPr>
        <w:shd w:val="clear" w:color="auto" w:fill="FFFFFF"/>
        <w:spacing w:line="240" w:lineRule="auto"/>
        <w:contextualSpacing/>
        <w:rPr>
          <w:rFonts w:ascii="Arial" w:eastAsia="Times New Roman" w:hAnsi="Arial" w:cs="Arial"/>
          <w:b/>
          <w:bCs/>
          <w:color w:val="222222"/>
          <w:lang w:eastAsia="en-GB"/>
        </w:rPr>
      </w:pPr>
    </w:p>
    <w:p w14:paraId="798C0E35" w14:textId="51937FF6" w:rsidR="00CD1376" w:rsidRPr="00CA1DF9" w:rsidRDefault="00CD1376" w:rsidP="00CD1376">
      <w:pPr>
        <w:shd w:val="clear" w:color="auto" w:fill="FFFFFF"/>
        <w:spacing w:line="240" w:lineRule="auto"/>
        <w:contextualSpacing/>
        <w:rPr>
          <w:rFonts w:ascii="Arial" w:eastAsia="Times New Roman" w:hAnsi="Arial" w:cs="Arial"/>
          <w:b/>
          <w:bCs/>
          <w:color w:val="222222"/>
          <w:lang w:eastAsia="en-GB"/>
        </w:rPr>
      </w:pPr>
      <w:r w:rsidRPr="00CA1DF9">
        <w:rPr>
          <w:rFonts w:ascii="Arial" w:eastAsia="Times New Roman" w:hAnsi="Arial" w:cs="Arial"/>
          <w:b/>
          <w:bCs/>
          <w:color w:val="222222"/>
          <w:lang w:eastAsia="en-GB"/>
        </w:rPr>
        <w:t>WEEK 3 DESCRIPTION</w:t>
      </w:r>
    </w:p>
    <w:p w14:paraId="0D0A12EC" w14:textId="77777777" w:rsidR="00CD1376" w:rsidRPr="00CA1DF9" w:rsidRDefault="00CD1376" w:rsidP="00CD1376">
      <w:pPr>
        <w:shd w:val="clear" w:color="auto" w:fill="FFFFFF"/>
        <w:spacing w:line="240" w:lineRule="auto"/>
        <w:contextualSpacing/>
        <w:rPr>
          <w:rFonts w:ascii="Arial" w:eastAsia="Times New Roman" w:hAnsi="Arial" w:cs="Arial"/>
          <w:b/>
          <w:bCs/>
          <w:color w:val="222222"/>
          <w:lang w:eastAsia="en-GB"/>
        </w:rPr>
      </w:pPr>
    </w:p>
    <w:p w14:paraId="5684B163" w14:textId="77777777" w:rsidR="00CD1376" w:rsidRPr="00CA1DF9" w:rsidRDefault="00CD1376" w:rsidP="00CD1376">
      <w:pPr>
        <w:shd w:val="clear" w:color="auto" w:fill="FFFFFF"/>
        <w:spacing w:line="240" w:lineRule="auto"/>
        <w:contextualSpacing/>
        <w:rPr>
          <w:rFonts w:ascii="Arial" w:eastAsia="Times New Roman" w:hAnsi="Arial" w:cs="Arial"/>
          <w:b/>
          <w:bCs/>
          <w:color w:val="222222"/>
          <w:lang w:eastAsia="en-GB"/>
        </w:rPr>
      </w:pPr>
      <w:r w:rsidRPr="00CA1DF9">
        <w:rPr>
          <w:rFonts w:ascii="Arial" w:eastAsia="Times New Roman" w:hAnsi="Arial" w:cs="Arial"/>
          <w:b/>
          <w:bCs/>
          <w:color w:val="222222"/>
          <w:lang w:eastAsia="en-GB"/>
        </w:rPr>
        <w:t>NICK CAMPION</w:t>
      </w:r>
    </w:p>
    <w:p w14:paraId="073DB7EA" w14:textId="77777777" w:rsidR="00CD1376" w:rsidRPr="00CA1DF9" w:rsidRDefault="00CD1376" w:rsidP="006D5156">
      <w:pPr>
        <w:spacing w:line="240" w:lineRule="auto"/>
        <w:rPr>
          <w:rFonts w:ascii="Arial" w:hAnsi="Arial" w:cs="Arial"/>
          <w:b/>
          <w:bCs/>
        </w:rPr>
      </w:pPr>
    </w:p>
    <w:p w14:paraId="376D572E" w14:textId="77777777" w:rsidR="00D0315C" w:rsidRPr="00CA1DF9" w:rsidRDefault="00D0315C" w:rsidP="00D0315C">
      <w:pPr>
        <w:shd w:val="clear" w:color="auto" w:fill="FFFFFF"/>
        <w:spacing w:line="240" w:lineRule="auto"/>
        <w:contextualSpacing/>
        <w:jc w:val="both"/>
        <w:rPr>
          <w:rFonts w:ascii="Arial" w:eastAsia="Times New Roman" w:hAnsi="Arial" w:cs="Arial"/>
          <w:lang w:eastAsia="en-GB"/>
        </w:rPr>
      </w:pPr>
      <w:r w:rsidRPr="00CA1DF9">
        <w:rPr>
          <w:rFonts w:ascii="Arial" w:eastAsia="Times New Roman" w:hAnsi="Arial" w:cs="Arial"/>
          <w:b/>
          <w:bCs/>
          <w:lang w:eastAsia="en-GB"/>
        </w:rPr>
        <w:t>Tasks for this week.</w:t>
      </w:r>
    </w:p>
    <w:p w14:paraId="78B64278" w14:textId="42CBDA5F" w:rsidR="00D0315C" w:rsidRPr="00CA1DF9" w:rsidRDefault="00D0315C" w:rsidP="00D0315C">
      <w:pPr>
        <w:shd w:val="clear" w:color="auto" w:fill="FFFFFF"/>
        <w:spacing w:line="240" w:lineRule="auto"/>
        <w:contextualSpacing/>
        <w:jc w:val="both"/>
        <w:rPr>
          <w:rFonts w:ascii="Arial" w:eastAsia="Times New Roman" w:hAnsi="Arial" w:cs="Arial"/>
          <w:lang w:eastAsia="en-GB"/>
        </w:rPr>
      </w:pPr>
      <w:r w:rsidRPr="00CA1DF9">
        <w:rPr>
          <w:rFonts w:ascii="Arial" w:eastAsia="Times New Roman" w:hAnsi="Arial" w:cs="Arial"/>
          <w:lang w:eastAsia="en-GB"/>
        </w:rPr>
        <w:t>1.</w:t>
      </w:r>
      <w:r w:rsidR="00F951B5" w:rsidRPr="00CA1DF9">
        <w:rPr>
          <w:rFonts w:ascii="Arial" w:eastAsia="Times New Roman" w:hAnsi="Arial" w:cs="Arial"/>
          <w:lang w:eastAsia="en-GB"/>
        </w:rPr>
        <w:t xml:space="preserve">Continue </w:t>
      </w:r>
      <w:r w:rsidR="004C0501" w:rsidRPr="00CA1DF9">
        <w:rPr>
          <w:rFonts w:ascii="Arial" w:eastAsia="Times New Roman" w:hAnsi="Arial" w:cs="Arial"/>
          <w:lang w:eastAsia="en-GB"/>
        </w:rPr>
        <w:t>with</w:t>
      </w:r>
      <w:r w:rsidRPr="00CA1DF9">
        <w:rPr>
          <w:rFonts w:ascii="Arial" w:eastAsia="Times New Roman" w:hAnsi="Arial" w:cs="Arial"/>
          <w:lang w:eastAsia="en-GB"/>
        </w:rPr>
        <w:t xml:space="preserve"> your reading for essay 1.</w:t>
      </w:r>
    </w:p>
    <w:p w14:paraId="0320EFBB" w14:textId="77777777" w:rsidR="00D0315C" w:rsidRPr="00CA1DF9" w:rsidRDefault="00D0315C" w:rsidP="00D0315C">
      <w:pPr>
        <w:shd w:val="clear" w:color="auto" w:fill="FFFFFF"/>
        <w:spacing w:line="240" w:lineRule="auto"/>
        <w:contextualSpacing/>
        <w:jc w:val="both"/>
        <w:rPr>
          <w:rFonts w:ascii="Arial" w:eastAsia="Times New Roman" w:hAnsi="Arial" w:cs="Arial"/>
          <w:lang w:eastAsia="en-GB"/>
        </w:rPr>
      </w:pPr>
      <w:r w:rsidRPr="00CA1DF9">
        <w:rPr>
          <w:rFonts w:ascii="Arial" w:eastAsia="Times New Roman" w:hAnsi="Arial" w:cs="Arial"/>
          <w:lang w:eastAsia="en-GB"/>
        </w:rPr>
        <w:t>2.If you have not finished the required reading for week 1 then continue with it</w:t>
      </w:r>
    </w:p>
    <w:p w14:paraId="21998F69" w14:textId="0027AAD0" w:rsidR="00D0315C" w:rsidRPr="00CA1DF9" w:rsidRDefault="00D0315C" w:rsidP="00D0315C">
      <w:pPr>
        <w:shd w:val="clear" w:color="auto" w:fill="FFFFFF"/>
        <w:spacing w:line="240" w:lineRule="auto"/>
        <w:contextualSpacing/>
        <w:jc w:val="both"/>
        <w:rPr>
          <w:rFonts w:ascii="Arial" w:eastAsia="Times New Roman" w:hAnsi="Arial" w:cs="Arial"/>
          <w:lang w:eastAsia="en-GB"/>
        </w:rPr>
      </w:pPr>
      <w:r w:rsidRPr="00CA1DF9">
        <w:rPr>
          <w:rFonts w:ascii="Arial" w:eastAsia="Times New Roman" w:hAnsi="Arial" w:cs="Arial"/>
          <w:lang w:eastAsia="en-GB"/>
        </w:rPr>
        <w:t xml:space="preserve">3.Make sure you consult </w:t>
      </w:r>
      <w:r w:rsidR="004C0501" w:rsidRPr="00CA1DF9">
        <w:rPr>
          <w:rFonts w:ascii="Arial" w:eastAsia="Times New Roman" w:hAnsi="Arial" w:cs="Arial"/>
          <w:lang w:eastAsia="en-GB"/>
        </w:rPr>
        <w:t>any</w:t>
      </w:r>
      <w:r w:rsidRPr="00CA1DF9">
        <w:rPr>
          <w:rFonts w:ascii="Arial" w:eastAsia="Times New Roman" w:hAnsi="Arial" w:cs="Arial"/>
          <w:lang w:eastAsia="en-GB"/>
        </w:rPr>
        <w:t xml:space="preserve"> primary sources</w:t>
      </w:r>
      <w:r w:rsidR="004C0501" w:rsidRPr="00CA1DF9">
        <w:rPr>
          <w:rFonts w:ascii="Arial" w:eastAsia="Times New Roman" w:hAnsi="Arial" w:cs="Arial"/>
          <w:lang w:eastAsia="en-GB"/>
        </w:rPr>
        <w:t xml:space="preserve"> that are referenced in the week’s reading</w:t>
      </w:r>
    </w:p>
    <w:p w14:paraId="1B1F64A6" w14:textId="77777777" w:rsidR="00D0315C" w:rsidRPr="00CA1DF9" w:rsidRDefault="00D0315C" w:rsidP="00D0315C">
      <w:pPr>
        <w:shd w:val="clear" w:color="auto" w:fill="FFFFFF"/>
        <w:spacing w:line="240" w:lineRule="auto"/>
        <w:contextualSpacing/>
        <w:jc w:val="both"/>
        <w:rPr>
          <w:rFonts w:ascii="Arial" w:eastAsia="Times New Roman" w:hAnsi="Arial" w:cs="Arial"/>
          <w:lang w:eastAsia="en-GB"/>
        </w:rPr>
      </w:pPr>
      <w:r w:rsidRPr="00CA1DF9">
        <w:rPr>
          <w:rFonts w:ascii="Arial" w:eastAsia="Times New Roman" w:hAnsi="Arial" w:cs="Arial"/>
          <w:lang w:eastAsia="en-GB"/>
        </w:rPr>
        <w:t>4.Do the required reading for the week – or download it for later.</w:t>
      </w:r>
    </w:p>
    <w:p w14:paraId="1E64F2F2" w14:textId="22E3A845" w:rsidR="00D0315C" w:rsidRPr="00CA1DF9" w:rsidRDefault="00D0315C" w:rsidP="00D0315C">
      <w:pPr>
        <w:spacing w:line="240" w:lineRule="auto"/>
        <w:rPr>
          <w:rFonts w:ascii="Arial" w:hAnsi="Arial" w:cs="Arial"/>
        </w:rPr>
      </w:pPr>
      <w:r w:rsidRPr="00CA1DF9">
        <w:rPr>
          <w:rFonts w:ascii="Arial" w:eastAsia="Times New Roman" w:hAnsi="Arial" w:cs="Arial"/>
          <w:lang w:eastAsia="en-GB"/>
        </w:rPr>
        <w:t>5.</w:t>
      </w:r>
      <w:r w:rsidRPr="00CA1DF9">
        <w:rPr>
          <w:rFonts w:ascii="Arial" w:hAnsi="Arial" w:cs="Arial"/>
          <w:b/>
          <w:bCs/>
        </w:rPr>
        <w:t xml:space="preserve"> </w:t>
      </w:r>
      <w:r w:rsidRPr="00CA1DF9">
        <w:rPr>
          <w:rFonts w:ascii="Arial" w:hAnsi="Arial" w:cs="Arial"/>
        </w:rPr>
        <w:t>For Discussion on the Forum</w:t>
      </w:r>
      <w:r w:rsidR="001516FF" w:rsidRPr="00CA1DF9">
        <w:rPr>
          <w:rFonts w:ascii="Arial" w:hAnsi="Arial" w:cs="Arial"/>
        </w:rPr>
        <w:t xml:space="preserve"> – see under ‘Reading’.</w:t>
      </w:r>
    </w:p>
    <w:p w14:paraId="3760D29D" w14:textId="77777777" w:rsidR="00D0315C" w:rsidRPr="00CA1DF9" w:rsidRDefault="00D0315C" w:rsidP="00D0315C">
      <w:pPr>
        <w:shd w:val="clear" w:color="auto" w:fill="FFFFFF"/>
        <w:spacing w:line="240" w:lineRule="auto"/>
        <w:contextualSpacing/>
        <w:jc w:val="both"/>
        <w:rPr>
          <w:rFonts w:ascii="Arial" w:eastAsia="Times New Roman" w:hAnsi="Arial" w:cs="Arial"/>
          <w:lang w:eastAsia="en-GB"/>
        </w:rPr>
      </w:pPr>
    </w:p>
    <w:p w14:paraId="187CB0B9" w14:textId="77777777" w:rsidR="00D0315C" w:rsidRPr="00CA1DF9" w:rsidRDefault="00D0315C" w:rsidP="00D0315C">
      <w:pPr>
        <w:shd w:val="clear" w:color="auto" w:fill="FFFFFF"/>
        <w:spacing w:line="240" w:lineRule="auto"/>
        <w:contextualSpacing/>
        <w:jc w:val="both"/>
        <w:rPr>
          <w:rFonts w:ascii="Arial" w:eastAsia="Times New Roman" w:hAnsi="Arial" w:cs="Arial"/>
          <w:b/>
          <w:bCs/>
          <w:lang w:eastAsia="en-GB"/>
        </w:rPr>
      </w:pPr>
      <w:r w:rsidRPr="00CA1DF9">
        <w:rPr>
          <w:rFonts w:ascii="Arial" w:eastAsia="Times New Roman" w:hAnsi="Arial" w:cs="Arial"/>
          <w:b/>
          <w:bCs/>
          <w:lang w:eastAsia="en-GB"/>
        </w:rPr>
        <w:t>Themes for the Week</w:t>
      </w:r>
    </w:p>
    <w:p w14:paraId="4AB9E40A" w14:textId="46A0DC8B" w:rsidR="006C6A92" w:rsidRPr="00CA1DF9" w:rsidRDefault="00D0315C" w:rsidP="00D0315C">
      <w:pPr>
        <w:shd w:val="clear" w:color="auto" w:fill="FFFFFF"/>
        <w:spacing w:line="240" w:lineRule="auto"/>
        <w:contextualSpacing/>
        <w:jc w:val="both"/>
        <w:rPr>
          <w:rFonts w:ascii="Arial" w:eastAsia="Times New Roman" w:hAnsi="Arial" w:cs="Arial"/>
          <w:lang w:eastAsia="en-GB"/>
        </w:rPr>
      </w:pPr>
      <w:r w:rsidRPr="00CA1DF9">
        <w:rPr>
          <w:rFonts w:ascii="Arial" w:eastAsia="Times New Roman" w:hAnsi="Arial" w:cs="Arial"/>
          <w:lang w:eastAsia="en-GB"/>
        </w:rPr>
        <w:t>Th</w:t>
      </w:r>
      <w:r w:rsidR="001516FF" w:rsidRPr="00CA1DF9">
        <w:rPr>
          <w:rFonts w:ascii="Arial" w:eastAsia="Times New Roman" w:hAnsi="Arial" w:cs="Arial"/>
          <w:lang w:eastAsia="en-GB"/>
        </w:rPr>
        <w:t xml:space="preserve">is week </w:t>
      </w:r>
      <w:r w:rsidR="006C6A92" w:rsidRPr="00CA1DF9">
        <w:rPr>
          <w:rFonts w:ascii="Arial" w:eastAsia="Times New Roman" w:hAnsi="Arial" w:cs="Arial"/>
          <w:lang w:eastAsia="en-GB"/>
        </w:rPr>
        <w:t>we focus on</w:t>
      </w:r>
      <w:r w:rsidR="003C0BE4" w:rsidRPr="00CA1DF9">
        <w:rPr>
          <w:rFonts w:ascii="Arial" w:eastAsia="Times New Roman" w:hAnsi="Arial" w:cs="Arial"/>
          <w:lang w:eastAsia="en-GB"/>
        </w:rPr>
        <w:t xml:space="preserve"> China,</w:t>
      </w:r>
      <w:r w:rsidR="006C6A92" w:rsidRPr="00CA1DF9">
        <w:rPr>
          <w:rFonts w:ascii="Arial" w:eastAsia="Times New Roman" w:hAnsi="Arial" w:cs="Arial"/>
          <w:lang w:eastAsia="en-GB"/>
        </w:rPr>
        <w:t xml:space="preserve"> the </w:t>
      </w:r>
      <w:r w:rsidR="003C0BE4" w:rsidRPr="00CA1DF9">
        <w:rPr>
          <w:rFonts w:ascii="Arial" w:eastAsia="Times New Roman" w:hAnsi="Arial" w:cs="Arial"/>
          <w:lang w:eastAsia="en-GB"/>
        </w:rPr>
        <w:t>main source of theorising about Harmony in addition to classical Greece. There is also a small amount of reading about India and other, ‘indigenous</w:t>
      </w:r>
      <w:r w:rsidR="000223CB" w:rsidRPr="00CA1DF9">
        <w:rPr>
          <w:rFonts w:ascii="Arial" w:eastAsia="Times New Roman" w:hAnsi="Arial" w:cs="Arial"/>
          <w:lang w:eastAsia="en-GB"/>
        </w:rPr>
        <w:t>’</w:t>
      </w:r>
      <w:r w:rsidR="003C0BE4" w:rsidRPr="00CA1DF9">
        <w:rPr>
          <w:rFonts w:ascii="Arial" w:eastAsia="Times New Roman" w:hAnsi="Arial" w:cs="Arial"/>
          <w:lang w:eastAsia="en-GB"/>
        </w:rPr>
        <w:t xml:space="preserve"> traditions</w:t>
      </w:r>
      <w:r w:rsidR="000223CB" w:rsidRPr="00CA1DF9">
        <w:rPr>
          <w:rFonts w:ascii="Arial" w:eastAsia="Times New Roman" w:hAnsi="Arial" w:cs="Arial"/>
          <w:lang w:eastAsia="en-GB"/>
        </w:rPr>
        <w:t xml:space="preserve">. </w:t>
      </w:r>
      <w:r w:rsidR="0056678B" w:rsidRPr="00CA1DF9">
        <w:rPr>
          <w:rFonts w:ascii="Arial" w:eastAsia="Times New Roman" w:hAnsi="Arial" w:cs="Arial"/>
          <w:lang w:eastAsia="en-GB"/>
        </w:rPr>
        <w:t xml:space="preserve">The reason for this emphasis in the reading is purely that </w:t>
      </w:r>
      <w:r w:rsidR="008720FB" w:rsidRPr="00CA1DF9">
        <w:rPr>
          <w:rFonts w:ascii="Arial" w:eastAsia="Times New Roman" w:hAnsi="Arial" w:cs="Arial"/>
          <w:lang w:eastAsia="en-GB"/>
        </w:rPr>
        <w:t xml:space="preserve">the vast majority of scholarly </w:t>
      </w:r>
      <w:r w:rsidR="005F081F" w:rsidRPr="00CA1DF9">
        <w:rPr>
          <w:rFonts w:ascii="Arial" w:eastAsia="Times New Roman" w:hAnsi="Arial" w:cs="Arial"/>
          <w:lang w:eastAsia="en-GB"/>
        </w:rPr>
        <w:t>sources deal with China.</w:t>
      </w:r>
      <w:r w:rsidR="00FD163D" w:rsidRPr="00CA1DF9">
        <w:rPr>
          <w:rFonts w:ascii="Arial" w:eastAsia="Times New Roman" w:hAnsi="Arial" w:cs="Arial"/>
          <w:lang w:eastAsia="en-GB"/>
        </w:rPr>
        <w:t xml:space="preserve"> There is therefore a huge scope for the investigation of </w:t>
      </w:r>
      <w:r w:rsidR="00B01D45" w:rsidRPr="00CA1DF9">
        <w:rPr>
          <w:rFonts w:ascii="Arial" w:eastAsia="Times New Roman" w:hAnsi="Arial" w:cs="Arial"/>
          <w:lang w:eastAsia="en-GB"/>
        </w:rPr>
        <w:t xml:space="preserve">the theory and practice of Harmony in India (both Hindu and Buddhist) and other cultural areas. In addition, most of the scholarly work on Chinese thought and practice focuses on Confucianism rather than Taoism. </w:t>
      </w:r>
    </w:p>
    <w:p w14:paraId="20971A51" w14:textId="77777777" w:rsidR="005F5D9D" w:rsidRPr="00CA1DF9" w:rsidRDefault="005F5D9D" w:rsidP="006D5156">
      <w:pPr>
        <w:spacing w:line="240" w:lineRule="auto"/>
        <w:rPr>
          <w:rFonts w:ascii="Arial" w:hAnsi="Arial" w:cs="Arial"/>
          <w:b/>
          <w:bCs/>
        </w:rPr>
      </w:pPr>
    </w:p>
    <w:p w14:paraId="29DBDCB5" w14:textId="509CB753" w:rsidR="000223CB" w:rsidRPr="00CA1DF9" w:rsidRDefault="00AE2622" w:rsidP="006D5156">
      <w:pPr>
        <w:spacing w:line="240" w:lineRule="auto"/>
        <w:rPr>
          <w:rFonts w:ascii="Arial" w:hAnsi="Arial" w:cs="Arial"/>
          <w:b/>
          <w:bCs/>
        </w:rPr>
      </w:pPr>
      <w:r w:rsidRPr="00CA1DF9">
        <w:rPr>
          <w:rFonts w:ascii="Arial" w:hAnsi="Arial" w:cs="Arial"/>
          <w:b/>
          <w:bCs/>
        </w:rPr>
        <w:t>DESCRIPTION</w:t>
      </w:r>
    </w:p>
    <w:p w14:paraId="1459F7C9" w14:textId="6CDAA368" w:rsidR="00383753" w:rsidRPr="00CA1DF9" w:rsidRDefault="00383753" w:rsidP="006D5156">
      <w:pPr>
        <w:spacing w:line="240" w:lineRule="auto"/>
        <w:rPr>
          <w:rFonts w:ascii="Arial" w:hAnsi="Arial" w:cs="Arial"/>
          <w:b/>
          <w:bCs/>
        </w:rPr>
      </w:pPr>
      <w:r w:rsidRPr="00CA1DF9">
        <w:rPr>
          <w:rFonts w:ascii="Arial" w:hAnsi="Arial" w:cs="Arial"/>
          <w:b/>
          <w:bCs/>
        </w:rPr>
        <w:t>CHINA</w:t>
      </w:r>
    </w:p>
    <w:p w14:paraId="3A4B225C" w14:textId="2FBA2CEB" w:rsidR="00AE2622" w:rsidRPr="00CA1DF9" w:rsidRDefault="006307EB" w:rsidP="006D5156">
      <w:pPr>
        <w:spacing w:line="240" w:lineRule="auto"/>
        <w:rPr>
          <w:rFonts w:ascii="Arial" w:hAnsi="Arial" w:cs="Arial"/>
        </w:rPr>
      </w:pPr>
      <w:r w:rsidRPr="00CA1DF9">
        <w:rPr>
          <w:rFonts w:ascii="Arial" w:hAnsi="Arial" w:cs="Arial"/>
        </w:rPr>
        <w:t xml:space="preserve">Harmony is a Greek word, so </w:t>
      </w:r>
      <w:r w:rsidR="005C1D02" w:rsidRPr="00CA1DF9">
        <w:rPr>
          <w:rFonts w:ascii="Arial" w:hAnsi="Arial" w:cs="Arial"/>
        </w:rPr>
        <w:t xml:space="preserve">to trace </w:t>
      </w:r>
      <w:r w:rsidRPr="00CA1DF9">
        <w:rPr>
          <w:rFonts w:ascii="Arial" w:hAnsi="Arial" w:cs="Arial"/>
        </w:rPr>
        <w:t xml:space="preserve">its </w:t>
      </w:r>
      <w:r w:rsidR="005C1D02" w:rsidRPr="00CA1DF9">
        <w:rPr>
          <w:rFonts w:ascii="Arial" w:hAnsi="Arial" w:cs="Arial"/>
        </w:rPr>
        <w:t xml:space="preserve">origins, </w:t>
      </w:r>
      <w:r w:rsidRPr="00CA1DF9">
        <w:rPr>
          <w:rFonts w:ascii="Arial" w:hAnsi="Arial" w:cs="Arial"/>
        </w:rPr>
        <w:t xml:space="preserve">philosophy and practice </w:t>
      </w:r>
      <w:r w:rsidR="005C1D02" w:rsidRPr="00CA1DF9">
        <w:rPr>
          <w:rFonts w:ascii="Arial" w:hAnsi="Arial" w:cs="Arial"/>
        </w:rPr>
        <w:t xml:space="preserve">in Greece and </w:t>
      </w:r>
      <w:r w:rsidR="00D91B9F" w:rsidRPr="00CA1DF9">
        <w:rPr>
          <w:rFonts w:ascii="Arial" w:hAnsi="Arial" w:cs="Arial"/>
        </w:rPr>
        <w:t xml:space="preserve">in </w:t>
      </w:r>
      <w:r w:rsidR="005C1D02" w:rsidRPr="00CA1DF9">
        <w:rPr>
          <w:rFonts w:ascii="Arial" w:hAnsi="Arial" w:cs="Arial"/>
        </w:rPr>
        <w:t xml:space="preserve">cultures directly influenced by it </w:t>
      </w:r>
      <w:r w:rsidR="008802B2" w:rsidRPr="00CA1DF9">
        <w:rPr>
          <w:rFonts w:ascii="Arial" w:hAnsi="Arial" w:cs="Arial"/>
        </w:rPr>
        <w:t xml:space="preserve">or in the same linguistic </w:t>
      </w:r>
      <w:r w:rsidR="008802B2" w:rsidRPr="00CA1DF9">
        <w:rPr>
          <w:rFonts w:ascii="Arial" w:hAnsi="Arial" w:cs="Arial"/>
        </w:rPr>
        <w:t xml:space="preserve">group </w:t>
      </w:r>
      <w:r w:rsidR="00BC7447" w:rsidRPr="00CA1DF9">
        <w:rPr>
          <w:rFonts w:ascii="Arial" w:hAnsi="Arial" w:cs="Arial"/>
        </w:rPr>
        <w:t xml:space="preserve">is relatively straightforward. </w:t>
      </w:r>
      <w:r w:rsidR="00CA5A8F" w:rsidRPr="00CA1DF9">
        <w:rPr>
          <w:rFonts w:ascii="Arial" w:hAnsi="Arial" w:cs="Arial"/>
        </w:rPr>
        <w:t>To consider Harmony in China we have to look for words and concepts which match the Greek concepts of interconnectedness, cycle and balance</w:t>
      </w:r>
      <w:r w:rsidR="00DD2603" w:rsidRPr="00CA1DF9">
        <w:rPr>
          <w:rFonts w:ascii="Arial" w:hAnsi="Arial" w:cs="Arial"/>
        </w:rPr>
        <w:t xml:space="preserve">. The paper by Joachim Gentz deals with this issue. </w:t>
      </w:r>
      <w:r w:rsidR="00E31A1D" w:rsidRPr="00CA1DF9">
        <w:rPr>
          <w:rFonts w:ascii="Arial" w:hAnsi="Arial" w:cs="Arial"/>
        </w:rPr>
        <w:t xml:space="preserve">Regardless of linguistic issues, </w:t>
      </w:r>
      <w:r w:rsidR="003F2880" w:rsidRPr="00CA1DF9">
        <w:rPr>
          <w:rFonts w:ascii="Arial" w:hAnsi="Arial" w:cs="Arial"/>
        </w:rPr>
        <w:t>interconnectedness, cycle and balance are central to the metaphysical concepts of Daoism</w:t>
      </w:r>
      <w:r w:rsidR="00D91B9F" w:rsidRPr="00CA1DF9">
        <w:rPr>
          <w:rFonts w:ascii="Arial" w:hAnsi="Arial" w:cs="Arial"/>
        </w:rPr>
        <w:t xml:space="preserve"> </w:t>
      </w:r>
      <w:r w:rsidR="00D15A18" w:rsidRPr="00CA1DF9">
        <w:rPr>
          <w:rFonts w:ascii="Arial" w:hAnsi="Arial" w:cs="Arial"/>
        </w:rPr>
        <w:t xml:space="preserve">(and its social ramifications) and the social concepts of Confucianism (and their metaphysical </w:t>
      </w:r>
      <w:r w:rsidR="00657B4C" w:rsidRPr="00CA1DF9">
        <w:rPr>
          <w:rFonts w:ascii="Arial" w:hAnsi="Arial" w:cs="Arial"/>
        </w:rPr>
        <w:t xml:space="preserve">ramifications). </w:t>
      </w:r>
    </w:p>
    <w:p w14:paraId="293CA08A" w14:textId="2CFE5359" w:rsidR="008564B1" w:rsidRPr="00CA1DF9" w:rsidRDefault="005A597E" w:rsidP="006D5156">
      <w:pPr>
        <w:spacing w:line="240" w:lineRule="auto"/>
        <w:rPr>
          <w:rFonts w:ascii="Arial" w:hAnsi="Arial" w:cs="Arial"/>
        </w:rPr>
      </w:pPr>
      <w:r w:rsidRPr="00CA1DF9">
        <w:rPr>
          <w:rFonts w:ascii="Arial" w:hAnsi="Arial" w:cs="Arial"/>
        </w:rPr>
        <w:t xml:space="preserve">The Taoist approach </w:t>
      </w:r>
      <w:r w:rsidR="00A7613B" w:rsidRPr="00CA1DF9">
        <w:rPr>
          <w:rFonts w:ascii="Arial" w:hAnsi="Arial" w:cs="Arial"/>
        </w:rPr>
        <w:t>is based in the concept of the universe as oscil</w:t>
      </w:r>
      <w:r w:rsidR="00703AB3" w:rsidRPr="00CA1DF9">
        <w:rPr>
          <w:rFonts w:ascii="Arial" w:hAnsi="Arial" w:cs="Arial"/>
        </w:rPr>
        <w:t>l</w:t>
      </w:r>
      <w:r w:rsidR="00A7613B" w:rsidRPr="00CA1DF9">
        <w:rPr>
          <w:rFonts w:ascii="Arial" w:hAnsi="Arial" w:cs="Arial"/>
        </w:rPr>
        <w:t xml:space="preserve">ating between the </w:t>
      </w:r>
      <w:r w:rsidR="00703AB3" w:rsidRPr="00CA1DF9">
        <w:rPr>
          <w:rFonts w:ascii="Arial" w:hAnsi="Arial" w:cs="Arial"/>
        </w:rPr>
        <w:t>two kinds of energy and being which permeate all things, Yang, which is active</w:t>
      </w:r>
      <w:r w:rsidR="00D34631" w:rsidRPr="00CA1DF9">
        <w:rPr>
          <w:rFonts w:ascii="Arial" w:hAnsi="Arial" w:cs="Arial"/>
        </w:rPr>
        <w:t xml:space="preserve"> and Yin, which is passive. Harmonisation </w:t>
      </w:r>
      <w:r w:rsidR="004A4D25" w:rsidRPr="00CA1DF9">
        <w:rPr>
          <w:rFonts w:ascii="Arial" w:hAnsi="Arial" w:cs="Arial"/>
        </w:rPr>
        <w:t>is focussed o</w:t>
      </w:r>
      <w:r w:rsidRPr="00CA1DF9">
        <w:rPr>
          <w:rFonts w:ascii="Arial" w:hAnsi="Arial" w:cs="Arial"/>
        </w:rPr>
        <w:t xml:space="preserve">n </w:t>
      </w:r>
      <w:r w:rsidR="00B310C1" w:rsidRPr="00CA1DF9">
        <w:rPr>
          <w:rFonts w:ascii="Arial" w:hAnsi="Arial" w:cs="Arial"/>
        </w:rPr>
        <w:t xml:space="preserve">individual autonomy </w:t>
      </w:r>
      <w:r w:rsidR="004A4D25" w:rsidRPr="00CA1DF9">
        <w:rPr>
          <w:rFonts w:ascii="Arial" w:hAnsi="Arial" w:cs="Arial"/>
        </w:rPr>
        <w:t xml:space="preserve">and the individual’s </w:t>
      </w:r>
      <w:r w:rsidR="00F52948" w:rsidRPr="00CA1DF9">
        <w:rPr>
          <w:rFonts w:ascii="Arial" w:hAnsi="Arial" w:cs="Arial"/>
        </w:rPr>
        <w:t>freedom to live in a</w:t>
      </w:r>
      <w:r w:rsidR="000905A2" w:rsidRPr="00CA1DF9">
        <w:rPr>
          <w:rFonts w:ascii="Arial" w:hAnsi="Arial" w:cs="Arial"/>
        </w:rPr>
        <w:t xml:space="preserve"> manner which respects all other things (</w:t>
      </w:r>
      <w:r w:rsidR="000A46EE" w:rsidRPr="00CA1DF9">
        <w:rPr>
          <w:rFonts w:ascii="Arial" w:hAnsi="Arial" w:cs="Arial"/>
        </w:rPr>
        <w:t>including all that in western though came t</w:t>
      </w:r>
      <w:r w:rsidR="00A93D5F" w:rsidRPr="00CA1DF9">
        <w:rPr>
          <w:rFonts w:ascii="Arial" w:hAnsi="Arial" w:cs="Arial"/>
        </w:rPr>
        <w:t>o</w:t>
      </w:r>
      <w:r w:rsidR="000A46EE" w:rsidRPr="00CA1DF9">
        <w:rPr>
          <w:rFonts w:ascii="Arial" w:hAnsi="Arial" w:cs="Arial"/>
        </w:rPr>
        <w:t xml:space="preserve"> be divided between animate and inanimate) and the cycles</w:t>
      </w:r>
      <w:r w:rsidR="00CC7BCE" w:rsidRPr="00CA1DF9">
        <w:rPr>
          <w:rFonts w:ascii="Arial" w:hAnsi="Arial" w:cs="Arial"/>
        </w:rPr>
        <w:t>, rhythms and changing qualities of time.</w:t>
      </w:r>
    </w:p>
    <w:p w14:paraId="33E63DC3" w14:textId="79F884C9" w:rsidR="006E1EA6" w:rsidRPr="00CA1DF9" w:rsidRDefault="00A93D5F" w:rsidP="006D5156">
      <w:pPr>
        <w:spacing w:line="240" w:lineRule="auto"/>
        <w:rPr>
          <w:rFonts w:ascii="Arial" w:hAnsi="Arial" w:cs="Arial"/>
        </w:rPr>
      </w:pPr>
      <w:r w:rsidRPr="00CA1DF9">
        <w:rPr>
          <w:rFonts w:ascii="Arial" w:hAnsi="Arial" w:cs="Arial"/>
        </w:rPr>
        <w:t xml:space="preserve">Confucianism </w:t>
      </w:r>
      <w:r w:rsidR="00B85C46" w:rsidRPr="00CA1DF9">
        <w:rPr>
          <w:rFonts w:ascii="Arial" w:hAnsi="Arial" w:cs="Arial"/>
        </w:rPr>
        <w:t xml:space="preserve">emphasises the social realm, a </w:t>
      </w:r>
      <w:r w:rsidR="008564B1" w:rsidRPr="00CA1DF9">
        <w:rPr>
          <w:rFonts w:ascii="Arial" w:hAnsi="Arial" w:cs="Arial"/>
        </w:rPr>
        <w:t xml:space="preserve">key debate </w:t>
      </w:r>
      <w:r w:rsidR="00B85C46" w:rsidRPr="00CA1DF9">
        <w:rPr>
          <w:rFonts w:ascii="Arial" w:hAnsi="Arial" w:cs="Arial"/>
        </w:rPr>
        <w:t>being</w:t>
      </w:r>
      <w:r w:rsidR="006A3A90" w:rsidRPr="00CA1DF9">
        <w:rPr>
          <w:rFonts w:ascii="Arial" w:hAnsi="Arial" w:cs="Arial"/>
        </w:rPr>
        <w:t xml:space="preserve"> whether the </w:t>
      </w:r>
      <w:r w:rsidR="00CE4CA1" w:rsidRPr="00CA1DF9">
        <w:rPr>
          <w:rFonts w:ascii="Arial" w:hAnsi="Arial" w:cs="Arial"/>
        </w:rPr>
        <w:t xml:space="preserve">individual or the collective is the focus of social and political organisation. The same issue is central to Platonism as well as to debates in the twentieth century west, and </w:t>
      </w:r>
      <w:r w:rsidR="00617510" w:rsidRPr="00CA1DF9">
        <w:rPr>
          <w:rFonts w:ascii="Arial" w:hAnsi="Arial" w:cs="Arial"/>
        </w:rPr>
        <w:t xml:space="preserve">to </w:t>
      </w:r>
      <w:r w:rsidR="004145AF" w:rsidRPr="00CA1DF9">
        <w:rPr>
          <w:rFonts w:ascii="Arial" w:hAnsi="Arial" w:cs="Arial"/>
        </w:rPr>
        <w:t>Deep Ecology.</w:t>
      </w:r>
      <w:r w:rsidR="0012087F" w:rsidRPr="00CA1DF9">
        <w:rPr>
          <w:rFonts w:ascii="Arial" w:hAnsi="Arial" w:cs="Arial"/>
        </w:rPr>
        <w:t xml:space="preserve"> </w:t>
      </w:r>
      <w:r w:rsidR="008730CD" w:rsidRPr="00CA1DF9">
        <w:rPr>
          <w:rFonts w:ascii="Arial" w:hAnsi="Arial" w:cs="Arial"/>
        </w:rPr>
        <w:t>The nuances and subtleties are discussed by Li Chenyang</w:t>
      </w:r>
      <w:r w:rsidR="009E7063" w:rsidRPr="00CA1DF9">
        <w:rPr>
          <w:rFonts w:ascii="Arial" w:hAnsi="Arial" w:cs="Arial"/>
        </w:rPr>
        <w:t xml:space="preserve"> who asks whether Harmony is a matter of grand concepts or mundane examples.</w:t>
      </w:r>
      <w:r w:rsidR="004F4F2E" w:rsidRPr="00CA1DF9">
        <w:rPr>
          <w:rFonts w:ascii="Arial" w:hAnsi="Arial" w:cs="Arial"/>
        </w:rPr>
        <w:t xml:space="preserve"> Responding to </w:t>
      </w:r>
      <w:r w:rsidR="004F4F2E" w:rsidRPr="00CA1DF9">
        <w:rPr>
          <w:rFonts w:ascii="Arial" w:eastAsia="Times New Roman" w:hAnsi="Arial" w:cs="Arial"/>
          <w:lang w:eastAsia="en-GB"/>
        </w:rPr>
        <w:t>Yu Jiyuan’s review</w:t>
      </w:r>
      <w:r w:rsidR="00A519BF" w:rsidRPr="00CA1DF9">
        <w:rPr>
          <w:rFonts w:ascii="Arial" w:eastAsia="Times New Roman" w:hAnsi="Arial" w:cs="Arial"/>
          <w:lang w:eastAsia="en-GB"/>
        </w:rPr>
        <w:t xml:space="preserve"> </w:t>
      </w:r>
      <w:r w:rsidR="004F4F2E" w:rsidRPr="00CA1DF9">
        <w:rPr>
          <w:rFonts w:ascii="Arial" w:eastAsia="Times New Roman" w:hAnsi="Arial" w:cs="Arial"/>
          <w:lang w:eastAsia="en-GB"/>
        </w:rPr>
        <w:t xml:space="preserve">of his book </w:t>
      </w:r>
      <w:r w:rsidR="00A519BF" w:rsidRPr="00CA1DF9">
        <w:rPr>
          <w:rFonts w:ascii="Arial" w:eastAsia="Times New Roman" w:hAnsi="Arial" w:cs="Arial"/>
          <w:lang w:eastAsia="en-GB"/>
        </w:rPr>
        <w:t>he comments:</w:t>
      </w:r>
    </w:p>
    <w:p w14:paraId="23FC32CB" w14:textId="77777777" w:rsidR="001B5125" w:rsidRPr="00CA1DF9" w:rsidRDefault="002160C0" w:rsidP="001B5125">
      <w:pPr>
        <w:spacing w:line="240" w:lineRule="auto"/>
        <w:ind w:left="720"/>
        <w:rPr>
          <w:rFonts w:ascii="Arial" w:hAnsi="Arial" w:cs="Arial"/>
          <w:b/>
          <w:bCs/>
        </w:rPr>
      </w:pPr>
      <w:r w:rsidRPr="00CA1DF9">
        <w:rPr>
          <w:rFonts w:ascii="Arial" w:hAnsi="Arial" w:cs="Arial"/>
        </w:rPr>
        <w:t>Y</w:t>
      </w:r>
      <w:r w:rsidR="009E7063" w:rsidRPr="00CA1DF9">
        <w:rPr>
          <w:rFonts w:ascii="Arial" w:hAnsi="Arial" w:cs="Arial"/>
        </w:rPr>
        <w:t>u</w:t>
      </w:r>
      <w:r w:rsidRPr="00CA1DF9">
        <w:rPr>
          <w:rFonts w:ascii="Arial" w:hAnsi="Arial" w:cs="Arial"/>
        </w:rPr>
        <w:t xml:space="preserve"> Jiyuan’s insightful comments focus on the comparison between the Confucian notion of harmony and ancient Greek notions of harmony. On his expert account, the Greek word harmonia is derived from the verb </w:t>
      </w:r>
      <w:r w:rsidRPr="00CA1DF9">
        <w:rPr>
          <w:rFonts w:ascii="Arial" w:hAnsi="Arial" w:cs="Arial"/>
          <w:i/>
          <w:iCs/>
        </w:rPr>
        <w:t>harmozein,</w:t>
      </w:r>
      <w:r w:rsidRPr="00CA1DF9">
        <w:rPr>
          <w:rFonts w:ascii="Arial" w:hAnsi="Arial" w:cs="Arial"/>
        </w:rPr>
        <w:t xml:space="preserve"> which means “to fit together,” and the word can be translated as “structure.” Hence, “structure” is inherently implied in Greek notions of harmony. The Pythagoreans found such a </w:t>
      </w:r>
      <w:r w:rsidRPr="00CA1DF9">
        <w:rPr>
          <w:rFonts w:ascii="Arial" w:hAnsi="Arial" w:cs="Arial"/>
        </w:rPr>
        <w:lastRenderedPageBreak/>
        <w:t xml:space="preserve">structure in music and numbers, on which their notion of harmony is based. This approach can be said to have a “scientific orientation.” </w:t>
      </w:r>
      <w:r w:rsidR="001B5125" w:rsidRPr="00CA1DF9">
        <w:rPr>
          <w:rStyle w:val="FootnoteReference"/>
          <w:rFonts w:ascii="Arial" w:hAnsi="Arial" w:cs="Arial"/>
        </w:rPr>
        <w:footnoteReference w:id="1"/>
      </w:r>
    </w:p>
    <w:p w14:paraId="3DC923CD" w14:textId="05DF0D27" w:rsidR="001B5125" w:rsidRPr="00CA1DF9" w:rsidRDefault="008D0F75" w:rsidP="008D0F75">
      <w:pPr>
        <w:spacing w:line="240" w:lineRule="auto"/>
        <w:rPr>
          <w:rFonts w:ascii="Arial" w:hAnsi="Arial" w:cs="Arial"/>
        </w:rPr>
      </w:pPr>
      <w:r w:rsidRPr="00CA1DF9">
        <w:rPr>
          <w:rFonts w:ascii="Arial" w:hAnsi="Arial" w:cs="Arial"/>
        </w:rPr>
        <w:t>Li Chenyang</w:t>
      </w:r>
      <w:r w:rsidRPr="00CA1DF9">
        <w:rPr>
          <w:rFonts w:ascii="Arial" w:hAnsi="Arial" w:cs="Arial"/>
        </w:rPr>
        <w:t xml:space="preserve"> then looks at the Confucian approach:</w:t>
      </w:r>
    </w:p>
    <w:p w14:paraId="02782DF5" w14:textId="4CB7AF33" w:rsidR="002160C0" w:rsidRPr="00CA1DF9" w:rsidRDefault="002160C0" w:rsidP="005B6B3E">
      <w:pPr>
        <w:spacing w:line="240" w:lineRule="auto"/>
        <w:ind w:left="720"/>
        <w:rPr>
          <w:rFonts w:ascii="Arial" w:hAnsi="Arial" w:cs="Arial"/>
          <w:b/>
          <w:bCs/>
        </w:rPr>
      </w:pPr>
      <w:r w:rsidRPr="00CA1DF9">
        <w:rPr>
          <w:rFonts w:ascii="Arial" w:hAnsi="Arial" w:cs="Arial"/>
        </w:rPr>
        <w:t>In contrast, the Confucian approach focuses on “daily examples such as soup.” Such an approach, he argues, “does not have to be in conflict with the scientific approach.” After all, with the exception of a few well</w:t>
      </w:r>
      <w:r w:rsidR="006205D0" w:rsidRPr="00CA1DF9">
        <w:rPr>
          <w:rFonts w:ascii="Arial" w:hAnsi="Arial" w:cs="Arial"/>
        </w:rPr>
        <w:t xml:space="preserve"> </w:t>
      </w:r>
      <w:r w:rsidRPr="00CA1DF9">
        <w:rPr>
          <w:rFonts w:ascii="Arial" w:hAnsi="Arial" w:cs="Arial"/>
        </w:rPr>
        <w:t>experienced chefs, most people need recipes to cook soup, and the recipes are usually full of numerical and quantitative proportions of ingredients and spices. Hence, Y</w:t>
      </w:r>
      <w:r w:rsidR="009E7063" w:rsidRPr="00CA1DF9">
        <w:rPr>
          <w:rFonts w:ascii="Arial" w:hAnsi="Arial" w:cs="Arial"/>
        </w:rPr>
        <w:t>u</w:t>
      </w:r>
      <w:r w:rsidRPr="00CA1DF9">
        <w:rPr>
          <w:rFonts w:ascii="Arial" w:hAnsi="Arial" w:cs="Arial"/>
        </w:rPr>
        <w:t xml:space="preserve"> Jiyuan queries, why didn’t the Confucians take a similar “scientific” approach when they used music as a prototype for harmony as the Pythagoreans did? From their prototypes of soup and music, why didn’t ancient Confucians integrate an approach based on daily life experience (e.g., making a soup) with a scientific approach (e.g., numeric proportion) in formulating the concept of harmony? These are undoubtedly important questions.</w:t>
      </w:r>
      <w:r w:rsidR="002C5C6D" w:rsidRPr="00CA1DF9">
        <w:rPr>
          <w:rStyle w:val="FootnoteReference"/>
          <w:rFonts w:ascii="Arial" w:hAnsi="Arial" w:cs="Arial"/>
        </w:rPr>
        <w:footnoteReference w:id="2"/>
      </w:r>
    </w:p>
    <w:p w14:paraId="1381690A" w14:textId="77777777" w:rsidR="00A519BF" w:rsidRPr="00CA1DF9" w:rsidRDefault="00A519BF" w:rsidP="00A519BF">
      <w:pPr>
        <w:spacing w:line="240" w:lineRule="auto"/>
        <w:rPr>
          <w:rFonts w:ascii="Arial" w:hAnsi="Arial" w:cs="Arial"/>
          <w:b/>
          <w:bCs/>
        </w:rPr>
      </w:pPr>
    </w:p>
    <w:p w14:paraId="45AB46E2" w14:textId="332AE78E" w:rsidR="00A519BF" w:rsidRPr="00CA1DF9" w:rsidRDefault="008D0F75" w:rsidP="00A519BF">
      <w:pPr>
        <w:spacing w:line="240" w:lineRule="auto"/>
        <w:rPr>
          <w:rFonts w:ascii="Arial" w:hAnsi="Arial" w:cs="Arial"/>
          <w:b/>
          <w:bCs/>
        </w:rPr>
      </w:pPr>
      <w:r w:rsidRPr="00CA1DF9">
        <w:rPr>
          <w:rFonts w:ascii="Arial" w:hAnsi="Arial" w:cs="Arial"/>
        </w:rPr>
        <w:t xml:space="preserve">Then, </w:t>
      </w:r>
      <w:r w:rsidRPr="00CA1DF9">
        <w:rPr>
          <w:rFonts w:ascii="Arial" w:hAnsi="Arial" w:cs="Arial"/>
          <w:b/>
          <w:bCs/>
        </w:rPr>
        <w:t>i</w:t>
      </w:r>
      <w:r w:rsidR="00A519BF" w:rsidRPr="00CA1DF9">
        <w:rPr>
          <w:rFonts w:ascii="Arial" w:hAnsi="Arial" w:cs="Arial"/>
        </w:rPr>
        <w:t>n response to Yu Kam-por he considers the relationship between Harmony and authority:</w:t>
      </w:r>
    </w:p>
    <w:p w14:paraId="1767E036" w14:textId="79842270" w:rsidR="008D0F75" w:rsidRPr="00CA1DF9" w:rsidRDefault="005B6B3E" w:rsidP="008D0F75">
      <w:pPr>
        <w:spacing w:line="240" w:lineRule="auto"/>
        <w:ind w:left="720"/>
        <w:rPr>
          <w:rFonts w:ascii="Arial" w:hAnsi="Arial" w:cs="Arial"/>
          <w:b/>
          <w:bCs/>
        </w:rPr>
      </w:pPr>
      <w:r w:rsidRPr="00CA1DF9">
        <w:rPr>
          <w:rFonts w:ascii="Arial" w:hAnsi="Arial" w:cs="Arial"/>
        </w:rPr>
        <w:t>Y</w:t>
      </w:r>
      <w:r w:rsidR="009E7063" w:rsidRPr="00CA1DF9">
        <w:rPr>
          <w:rFonts w:ascii="Arial" w:hAnsi="Arial" w:cs="Arial"/>
        </w:rPr>
        <w:t>u</w:t>
      </w:r>
      <w:r w:rsidRPr="00CA1DF9">
        <w:rPr>
          <w:rFonts w:ascii="Arial" w:hAnsi="Arial" w:cs="Arial"/>
        </w:rPr>
        <w:t xml:space="preserve"> Kam-por’s second issue has to do with the relation between harmony and authority. Can harmony coexist with authority? My view is that, on the one hand, harmony can take place without an authority, such as in nature and between friends, and on the other, authority does not necessarily contradict harmony. Can a philosophy class, in which the professor has authority, be taught in a harmonious way? Can a country, where the government has authority, be run harmoniously? I think the answers have to be yes. It depends on what kind of authority and how it is exercised. In social affairs, good authority can facilitate and help bring about harmony. That is a major reason we need good leadership.</w:t>
      </w:r>
      <w:r w:rsidR="008D0F75" w:rsidRPr="00CA1DF9">
        <w:rPr>
          <w:rStyle w:val="Heading3Char"/>
          <w:rFonts w:ascii="Arial" w:hAnsi="Arial" w:cs="Arial"/>
          <w:sz w:val="22"/>
          <w:szCs w:val="22"/>
        </w:rPr>
        <w:t xml:space="preserve"> </w:t>
      </w:r>
      <w:r w:rsidR="008D0F75" w:rsidRPr="00CA1DF9">
        <w:rPr>
          <w:rStyle w:val="FootnoteReference"/>
          <w:rFonts w:ascii="Arial" w:hAnsi="Arial" w:cs="Arial"/>
        </w:rPr>
        <w:footnoteReference w:id="3"/>
      </w:r>
    </w:p>
    <w:p w14:paraId="6157F7C8" w14:textId="77777777" w:rsidR="008D0F75" w:rsidRPr="00CA1DF9" w:rsidRDefault="008D0F75" w:rsidP="008D0F75">
      <w:pPr>
        <w:spacing w:line="240" w:lineRule="auto"/>
        <w:rPr>
          <w:rFonts w:ascii="Arial" w:hAnsi="Arial" w:cs="Arial"/>
        </w:rPr>
      </w:pPr>
    </w:p>
    <w:p w14:paraId="7D807861" w14:textId="196702BE" w:rsidR="008D0F75" w:rsidRPr="00CA1DF9" w:rsidRDefault="008D0F75" w:rsidP="008D0F75">
      <w:pPr>
        <w:spacing w:line="240" w:lineRule="auto"/>
        <w:rPr>
          <w:rFonts w:ascii="Arial" w:hAnsi="Arial" w:cs="Arial"/>
        </w:rPr>
      </w:pPr>
      <w:r w:rsidRPr="00CA1DF9">
        <w:rPr>
          <w:rFonts w:ascii="Arial" w:hAnsi="Arial" w:cs="Arial"/>
        </w:rPr>
        <w:t>In relation to Confucian thought he continues,</w:t>
      </w:r>
    </w:p>
    <w:p w14:paraId="68131FED" w14:textId="77777777" w:rsidR="002030F4" w:rsidRPr="00CA1DF9" w:rsidRDefault="005B6B3E" w:rsidP="005B6B3E">
      <w:pPr>
        <w:spacing w:line="240" w:lineRule="auto"/>
        <w:ind w:left="720"/>
        <w:rPr>
          <w:rFonts w:ascii="Arial" w:hAnsi="Arial" w:cs="Arial"/>
        </w:rPr>
      </w:pPr>
      <w:r w:rsidRPr="00CA1DF9">
        <w:rPr>
          <w:rFonts w:ascii="Arial" w:hAnsi="Arial" w:cs="Arial"/>
        </w:rPr>
        <w:t xml:space="preserve">The Confucian belief that the universe as a whole is largely harmonious does not mean there is no need for human effort, especially when human society is concerned. Human beings can contribute to social harmony by actively coordinating with one another. YU Kam-por seems to see a close link between “coordination” and authority. In my view, coordination does not have to imply authority. A harmony between friends or between husband and wife probably does not need any authority even though coordination is needed. When we talk about coordination, we often have in mind conscious activities, usually by human beings. Broadly construed, however, coordination does not require consciousness. Symbiotic species can coordinate. Even two plants next to each other negotiate space for growth and they can </w:t>
      </w:r>
      <w:r w:rsidRPr="00CA1DF9">
        <w:rPr>
          <w:rFonts w:ascii="Arial" w:hAnsi="Arial" w:cs="Arial"/>
        </w:rPr>
        <w:lastRenderedPageBreak/>
        <w:t xml:space="preserve">coordinate. For Confucians, governments definitely have a leading role to play in promoting social harmony. In that sense, yes, an authority can and should contribute to harmony. However, that does not imply centralism—if by it is meant an exclusive role in total control of social harmonization—or authoritarianism. </w:t>
      </w:r>
    </w:p>
    <w:p w14:paraId="5924E6D9" w14:textId="17D02094" w:rsidR="002030F4" w:rsidRPr="00CA1DF9" w:rsidRDefault="002030F4" w:rsidP="002030F4">
      <w:pPr>
        <w:spacing w:line="240" w:lineRule="auto"/>
        <w:rPr>
          <w:rFonts w:ascii="Arial" w:hAnsi="Arial" w:cs="Arial"/>
        </w:rPr>
      </w:pPr>
      <w:r w:rsidRPr="00CA1DF9">
        <w:rPr>
          <w:rFonts w:ascii="Arial" w:hAnsi="Arial" w:cs="Arial"/>
        </w:rPr>
        <w:t xml:space="preserve">He goes on to deal with the question of whether </w:t>
      </w:r>
      <w:r w:rsidR="008109DB" w:rsidRPr="00CA1DF9">
        <w:rPr>
          <w:rFonts w:ascii="Arial" w:hAnsi="Arial" w:cs="Arial"/>
        </w:rPr>
        <w:t>harmony can be manipulated.</w:t>
      </w:r>
    </w:p>
    <w:p w14:paraId="13E0B437" w14:textId="17880B44" w:rsidR="005B6B3E" w:rsidRPr="00CA1DF9" w:rsidRDefault="005B6B3E" w:rsidP="005B6B3E">
      <w:pPr>
        <w:spacing w:line="240" w:lineRule="auto"/>
        <w:ind w:left="720"/>
        <w:rPr>
          <w:rFonts w:ascii="Arial" w:hAnsi="Arial" w:cs="Arial"/>
        </w:rPr>
      </w:pPr>
      <w:r w:rsidRPr="00CA1DF9">
        <w:rPr>
          <w:rFonts w:ascii="Arial" w:hAnsi="Arial" w:cs="Arial"/>
        </w:rPr>
        <w:t>Y</w:t>
      </w:r>
      <w:r w:rsidR="002030F4" w:rsidRPr="00CA1DF9">
        <w:rPr>
          <w:rFonts w:ascii="Arial" w:hAnsi="Arial" w:cs="Arial"/>
        </w:rPr>
        <w:t>u</w:t>
      </w:r>
      <w:r w:rsidRPr="00CA1DF9">
        <w:rPr>
          <w:rFonts w:ascii="Arial" w:hAnsi="Arial" w:cs="Arial"/>
        </w:rPr>
        <w:t xml:space="preserve"> Kam-por worries that harmony can be manipulated if there is a party who can direct and dominate the harmonization process. His worry is not unfounded. In fact, today many Confucian thinkers turn away from discussing harmony because they fear being manipulated by authoritarian governments using it for ulterior purposes. That is indeed unfortunate. It is true that harmony can be manipulated. But is there anything that is immune to manipulation if one party dominates the process? Few would question justice as a good value. But if slave owners dominate, they can defend slavery on the ground of their property right of what they have paid for, which justice commonly implies. As a solution, we should clarify what justice really should be, including whether property right implies ownership of other human beings, rather than giving up on the notion of justice or property right altogether. Similarly, we should clarify whether it is real harmony if governments dominate and dictate everything in society at the expense of ordinary people, rather than giving up on the notion of harmony altogether. One major reason for us to debate about harmony, I take it, is precisely to clarify, and possibly further develop, the Confucian notion of harmony for contemporary societies</w:t>
      </w:r>
      <w:r w:rsidR="00671993" w:rsidRPr="00CA1DF9">
        <w:rPr>
          <w:rFonts w:ascii="Arial" w:hAnsi="Arial" w:cs="Arial"/>
        </w:rPr>
        <w:t>.</w:t>
      </w:r>
      <w:r w:rsidR="00671993" w:rsidRPr="00CA1DF9">
        <w:rPr>
          <w:rStyle w:val="FootnoteReference"/>
          <w:rFonts w:ascii="Arial" w:hAnsi="Arial" w:cs="Arial"/>
        </w:rPr>
        <w:footnoteReference w:id="4"/>
      </w:r>
    </w:p>
    <w:p w14:paraId="508B2207" w14:textId="4DEFC16B" w:rsidR="00C24AEB" w:rsidRPr="00CA1DF9" w:rsidRDefault="00C24AEB" w:rsidP="006D5156">
      <w:pPr>
        <w:spacing w:line="240" w:lineRule="auto"/>
        <w:rPr>
          <w:rFonts w:ascii="Arial" w:hAnsi="Arial" w:cs="Arial"/>
          <w:b/>
          <w:bCs/>
        </w:rPr>
      </w:pPr>
      <w:r w:rsidRPr="00CA1DF9">
        <w:rPr>
          <w:rFonts w:ascii="Arial" w:hAnsi="Arial" w:cs="Arial"/>
        </w:rPr>
        <w:t xml:space="preserve">We then move on from considering the philosophy of Harmony to considering its </w:t>
      </w:r>
      <w:r w:rsidR="000C7E63" w:rsidRPr="00CA1DF9">
        <w:rPr>
          <w:rFonts w:ascii="Arial" w:hAnsi="Arial" w:cs="Arial"/>
        </w:rPr>
        <w:t xml:space="preserve">consequences. </w:t>
      </w:r>
      <w:r w:rsidR="000C7E63" w:rsidRPr="00CA1DF9">
        <w:rPr>
          <w:rFonts w:ascii="Arial" w:hAnsi="Arial" w:cs="Arial"/>
          <w:shd w:val="clear" w:color="auto" w:fill="FFFFFF"/>
        </w:rPr>
        <w:t xml:space="preserve">Li Chenyang’s work makes clear that there is no </w:t>
      </w:r>
      <w:r w:rsidR="000C7E63" w:rsidRPr="00CA1DF9">
        <w:rPr>
          <w:rFonts w:ascii="Arial" w:hAnsi="Arial" w:cs="Arial"/>
          <w:i/>
          <w:iCs/>
          <w:shd w:val="clear" w:color="auto" w:fill="FFFFFF"/>
        </w:rPr>
        <w:t xml:space="preserve">necessary </w:t>
      </w:r>
      <w:r w:rsidR="000C7E63" w:rsidRPr="00CA1DF9">
        <w:rPr>
          <w:rFonts w:ascii="Arial" w:hAnsi="Arial" w:cs="Arial"/>
          <w:shd w:val="clear" w:color="auto" w:fill="FFFFFF"/>
        </w:rPr>
        <w:t xml:space="preserve">relationship </w:t>
      </w:r>
      <w:r w:rsidR="00AD0F16" w:rsidRPr="00CA1DF9">
        <w:rPr>
          <w:rFonts w:ascii="Arial" w:hAnsi="Arial" w:cs="Arial"/>
          <w:shd w:val="clear" w:color="auto" w:fill="FFFFFF"/>
        </w:rPr>
        <w:t>between</w:t>
      </w:r>
      <w:r w:rsidR="00AA6378" w:rsidRPr="00CA1DF9">
        <w:rPr>
          <w:rFonts w:ascii="Arial" w:hAnsi="Arial" w:cs="Arial"/>
          <w:shd w:val="clear" w:color="auto" w:fill="FFFFFF"/>
        </w:rPr>
        <w:t xml:space="preserve"> </w:t>
      </w:r>
      <w:r w:rsidR="00AD0F16" w:rsidRPr="00CA1DF9">
        <w:rPr>
          <w:rFonts w:ascii="Arial" w:hAnsi="Arial" w:cs="Arial"/>
          <w:shd w:val="clear" w:color="auto" w:fill="FFFFFF"/>
        </w:rPr>
        <w:t xml:space="preserve">Harmonious </w:t>
      </w:r>
      <w:r w:rsidR="00AA6378" w:rsidRPr="00CA1DF9">
        <w:rPr>
          <w:rFonts w:ascii="Arial" w:hAnsi="Arial" w:cs="Arial"/>
          <w:shd w:val="clear" w:color="auto" w:fill="FFFFFF"/>
        </w:rPr>
        <w:t xml:space="preserve">patterns or structures in the universe, and social or political </w:t>
      </w:r>
      <w:r w:rsidR="000D517D" w:rsidRPr="00CA1DF9">
        <w:rPr>
          <w:rFonts w:ascii="Arial" w:hAnsi="Arial" w:cs="Arial"/>
          <w:shd w:val="clear" w:color="auto" w:fill="FFFFFF"/>
        </w:rPr>
        <w:t>ideologies, philosophies and structures.</w:t>
      </w:r>
    </w:p>
    <w:p w14:paraId="56413D63" w14:textId="77777777" w:rsidR="00CA08EA" w:rsidRPr="00CA1DF9" w:rsidRDefault="00CA08EA" w:rsidP="006D5156">
      <w:pPr>
        <w:spacing w:line="240" w:lineRule="auto"/>
        <w:rPr>
          <w:rFonts w:ascii="Arial" w:hAnsi="Arial" w:cs="Arial"/>
          <w:b/>
          <w:bCs/>
        </w:rPr>
      </w:pPr>
    </w:p>
    <w:p w14:paraId="53F6F203" w14:textId="71C60F2E" w:rsidR="00C24AEB" w:rsidRPr="00CA1DF9" w:rsidRDefault="003306D2" w:rsidP="006D5156">
      <w:pPr>
        <w:spacing w:line="240" w:lineRule="auto"/>
        <w:rPr>
          <w:rFonts w:ascii="Arial" w:hAnsi="Arial" w:cs="Arial"/>
          <w:b/>
          <w:bCs/>
        </w:rPr>
      </w:pPr>
      <w:r w:rsidRPr="00CA1DF9">
        <w:rPr>
          <w:rFonts w:ascii="Arial" w:hAnsi="Arial" w:cs="Arial"/>
          <w:b/>
          <w:bCs/>
        </w:rPr>
        <w:t>INDIA</w:t>
      </w:r>
    </w:p>
    <w:p w14:paraId="02521D31" w14:textId="2B6D9FB8" w:rsidR="007A7F2D" w:rsidRPr="00CA1DF9" w:rsidRDefault="00D56940" w:rsidP="00CA08EA">
      <w:pPr>
        <w:spacing w:after="0" w:line="240" w:lineRule="auto"/>
        <w:rPr>
          <w:rFonts w:ascii="Arial" w:hAnsi="Arial" w:cs="Arial"/>
          <w:lang w:eastAsia="en-GB"/>
        </w:rPr>
      </w:pPr>
      <w:r w:rsidRPr="00CA1DF9">
        <w:rPr>
          <w:rFonts w:ascii="Arial" w:eastAsia="Times New Roman" w:hAnsi="Arial" w:cs="Arial"/>
          <w:color w:val="222222"/>
          <w:shd w:val="clear" w:color="auto" w:fill="FFFFFF"/>
          <w:lang w:eastAsia="en-GB"/>
        </w:rPr>
        <w:t xml:space="preserve">Two words used in India as similes for Harmony are </w:t>
      </w:r>
      <w:r w:rsidRPr="00CA1DF9">
        <w:rPr>
          <w:rFonts w:ascii="Arial" w:eastAsia="Times New Roman" w:hAnsi="Arial" w:cs="Arial"/>
          <w:i/>
          <w:iCs/>
          <w:color w:val="222222"/>
          <w:shd w:val="clear" w:color="auto" w:fill="FFFFFF"/>
          <w:lang w:eastAsia="en-GB"/>
        </w:rPr>
        <w:t>avirodha</w:t>
      </w:r>
      <w:r w:rsidRPr="00CA1DF9">
        <w:rPr>
          <w:rFonts w:ascii="Arial" w:eastAsia="Times New Roman" w:hAnsi="Arial" w:cs="Arial"/>
          <w:color w:val="222222"/>
          <w:shd w:val="clear" w:color="auto" w:fill="FFFFFF"/>
          <w:lang w:eastAsia="en-GB"/>
        </w:rPr>
        <w:t xml:space="preserve"> or </w:t>
      </w:r>
      <w:r w:rsidRPr="00CA1DF9">
        <w:rPr>
          <w:rFonts w:ascii="Arial" w:eastAsia="Times New Roman" w:hAnsi="Arial" w:cs="Arial"/>
          <w:i/>
          <w:iCs/>
          <w:color w:val="222222"/>
          <w:shd w:val="clear" w:color="auto" w:fill="FFFFFF"/>
          <w:lang w:eastAsia="en-GB"/>
        </w:rPr>
        <w:t>sahita</w:t>
      </w:r>
      <w:r w:rsidR="0080671F" w:rsidRPr="00CA1DF9">
        <w:rPr>
          <w:rFonts w:ascii="Arial" w:eastAsia="Times New Roman" w:hAnsi="Arial" w:cs="Arial"/>
          <w:color w:val="222222"/>
          <w:shd w:val="clear" w:color="auto" w:fill="FFFFFF"/>
          <w:lang w:eastAsia="en-GB"/>
        </w:rPr>
        <w:t xml:space="preserve">, which refer to </w:t>
      </w:r>
      <w:r w:rsidR="00CA08EA" w:rsidRPr="00CA1DF9">
        <w:rPr>
          <w:rFonts w:ascii="Arial" w:eastAsia="Times New Roman" w:hAnsi="Arial" w:cs="Arial"/>
          <w:color w:val="222222"/>
          <w:shd w:val="clear" w:color="auto" w:fill="FFFFFF"/>
          <w:lang w:eastAsia="en-GB"/>
        </w:rPr>
        <w:t>the smooth, pleasant and non-contentious functioning together of two or more things. The Buddha often spoke of the need and also the desirability of harmony within and between groups of people. Some of the things contributing to what he called ‘the progress of a society’ (aparihàniya dhamma) are the ability ‘to meet together in harmony, adjourn in harmony and conduct business in harmony’.</w:t>
      </w:r>
      <w:r w:rsidR="00CA08EA" w:rsidRPr="00CA1DF9">
        <w:rPr>
          <w:rStyle w:val="FootnoteReference"/>
          <w:rFonts w:ascii="Arial" w:eastAsia="Times New Roman" w:hAnsi="Arial" w:cs="Arial"/>
          <w:color w:val="222222"/>
          <w:shd w:val="clear" w:color="auto" w:fill="FFFFFF"/>
          <w:lang w:eastAsia="en-GB"/>
        </w:rPr>
        <w:footnoteReference w:id="5"/>
      </w:r>
      <w:r w:rsidR="00CA08EA" w:rsidRPr="00CA1DF9">
        <w:rPr>
          <w:rFonts w:ascii="Arial" w:hAnsi="Arial" w:cs="Arial"/>
          <w:lang w:eastAsia="en-GB"/>
        </w:rPr>
        <w:t xml:space="preserve"> </w:t>
      </w:r>
      <w:r w:rsidR="00A627FC" w:rsidRPr="00CA1DF9">
        <w:rPr>
          <w:rFonts w:ascii="Arial" w:hAnsi="Arial" w:cs="Arial"/>
          <w:lang w:eastAsia="en-GB"/>
        </w:rPr>
        <w:t xml:space="preserve">The meaning of </w:t>
      </w:r>
      <w:r w:rsidR="00A627FC" w:rsidRPr="00CA1DF9">
        <w:rPr>
          <w:rFonts w:ascii="Arial" w:eastAsia="Times New Roman" w:hAnsi="Arial" w:cs="Arial"/>
          <w:i/>
          <w:iCs/>
          <w:color w:val="222222"/>
          <w:shd w:val="clear" w:color="auto" w:fill="FFFFFF"/>
          <w:lang w:eastAsia="en-GB"/>
        </w:rPr>
        <w:t>avirodha</w:t>
      </w:r>
      <w:r w:rsidR="00A627FC" w:rsidRPr="00CA1DF9">
        <w:rPr>
          <w:rFonts w:ascii="Arial" w:eastAsia="Times New Roman" w:hAnsi="Arial" w:cs="Arial"/>
          <w:i/>
          <w:iCs/>
          <w:color w:val="222222"/>
          <w:shd w:val="clear" w:color="auto" w:fill="FFFFFF"/>
          <w:lang w:eastAsia="en-GB"/>
        </w:rPr>
        <w:t xml:space="preserve"> </w:t>
      </w:r>
      <w:r w:rsidR="00A627FC" w:rsidRPr="00CA1DF9">
        <w:rPr>
          <w:rFonts w:ascii="Arial" w:eastAsia="Times New Roman" w:hAnsi="Arial" w:cs="Arial"/>
          <w:color w:val="222222"/>
          <w:shd w:val="clear" w:color="auto" w:fill="FFFFFF"/>
          <w:lang w:eastAsia="en-GB"/>
        </w:rPr>
        <w:t>is clearly congruent with Harmony:</w:t>
      </w:r>
    </w:p>
    <w:p w14:paraId="42AB7BE3" w14:textId="77777777" w:rsidR="00EB7D65" w:rsidRPr="00CA1DF9" w:rsidRDefault="00EB7D65" w:rsidP="00CA08EA">
      <w:pPr>
        <w:spacing w:after="0" w:line="240" w:lineRule="auto"/>
        <w:rPr>
          <w:rFonts w:ascii="Arial" w:hAnsi="Arial" w:cs="Arial"/>
          <w:lang w:eastAsia="en-GB"/>
        </w:rPr>
      </w:pPr>
    </w:p>
    <w:p w14:paraId="7EC0E687" w14:textId="47BC90FA" w:rsidR="007A7F2D" w:rsidRPr="00CA1DF9" w:rsidRDefault="00CA4FC9" w:rsidP="00CA4FC9">
      <w:pPr>
        <w:spacing w:after="0" w:line="240" w:lineRule="auto"/>
        <w:ind w:left="720"/>
        <w:rPr>
          <w:rFonts w:ascii="Arial" w:hAnsi="Arial" w:cs="Arial"/>
          <w:lang w:eastAsia="en-GB"/>
        </w:rPr>
      </w:pPr>
      <w:r w:rsidRPr="00CA1DF9">
        <w:rPr>
          <w:rFonts w:ascii="Arial" w:hAnsi="Arial" w:cs="Arial"/>
          <w:color w:val="323232"/>
          <w:shd w:val="clear" w:color="auto" w:fill="FFFFFF"/>
        </w:rPr>
        <w:t>Avirodha (</w:t>
      </w:r>
      <w:r w:rsidRPr="00CA1DF9">
        <w:rPr>
          <w:rFonts w:ascii="Nirmala UI" w:hAnsi="Nirmala UI" w:cs="Nirmala UI"/>
          <w:color w:val="323232"/>
          <w:shd w:val="clear" w:color="auto" w:fill="FFFFFF"/>
        </w:rPr>
        <w:t>अविरोध</w:t>
      </w:r>
      <w:r w:rsidRPr="00CA1DF9">
        <w:rPr>
          <w:rFonts w:ascii="Arial" w:hAnsi="Arial" w:cs="Arial"/>
          <w:color w:val="323232"/>
          <w:shd w:val="clear" w:color="auto" w:fill="FFFFFF"/>
        </w:rPr>
        <w:t>) refers to “not being in contradiction with”, according to the Gaganagañjaparipṛcchā: the eighth chapter of the Mahāsaṃnipāta (a collection of Mahāyāna Buddhist Sūtras).—Accordingly, “How then, son of good family, does the Bodhisattva who has attained memory never forget? Son of good family, the Bodhisattva attains memory (</w:t>
      </w:r>
      <w:r w:rsidRPr="00CA1DF9">
        <w:rPr>
          <w:rStyle w:val="Emphasis"/>
          <w:rFonts w:ascii="Arial" w:hAnsi="Arial" w:cs="Arial"/>
          <w:color w:val="323232"/>
          <w:shd w:val="clear" w:color="auto" w:fill="FFFFFF"/>
        </w:rPr>
        <w:t>dhāraṇī</w:t>
      </w:r>
      <w:r w:rsidRPr="00CA1DF9">
        <w:rPr>
          <w:rFonts w:ascii="Arial" w:hAnsi="Arial" w:cs="Arial"/>
          <w:color w:val="323232"/>
          <w:shd w:val="clear" w:color="auto" w:fill="FFFFFF"/>
        </w:rPr>
        <w:t xml:space="preserve">) by purifying his memory. What then is the </w:t>
      </w:r>
      <w:r w:rsidRPr="00CA1DF9">
        <w:rPr>
          <w:rFonts w:ascii="Arial" w:hAnsi="Arial" w:cs="Arial"/>
          <w:color w:val="323232"/>
          <w:shd w:val="clear" w:color="auto" w:fill="FFFFFF"/>
        </w:rPr>
        <w:lastRenderedPageBreak/>
        <w:t>purification of memory? Son of good family, there are thirty-two purifications of memory. What are the thirty-two? [...] (21) never rejecting even the six defilements; (22) not giving up the six ways of politeness; (23) practicing the dharma without thought which is hostile towards all living beings; (24) not being in contradiction with dependent origination (</w:t>
      </w:r>
      <w:r w:rsidRPr="00CA1DF9">
        <w:rPr>
          <w:rStyle w:val="Emphasis"/>
          <w:rFonts w:ascii="Arial" w:hAnsi="Arial" w:cs="Arial"/>
          <w:color w:val="323232"/>
          <w:shd w:val="clear" w:color="auto" w:fill="FFFFFF"/>
        </w:rPr>
        <w:t>pratītyasamutpāda-avirodha</w:t>
      </w:r>
      <w:r w:rsidRPr="00CA1DF9">
        <w:rPr>
          <w:rFonts w:ascii="Arial" w:hAnsi="Arial" w:cs="Arial"/>
          <w:color w:val="323232"/>
          <w:shd w:val="clear" w:color="auto" w:fill="FFFFFF"/>
        </w:rPr>
        <w:t>); [...]”.</w:t>
      </w:r>
      <w:r w:rsidR="00EB7D65" w:rsidRPr="00CA1DF9">
        <w:rPr>
          <w:rStyle w:val="FootnoteReference"/>
          <w:rFonts w:ascii="Arial" w:hAnsi="Arial" w:cs="Arial"/>
          <w:color w:val="323232"/>
          <w:shd w:val="clear" w:color="auto" w:fill="FFFFFF"/>
        </w:rPr>
        <w:footnoteReference w:id="6"/>
      </w:r>
    </w:p>
    <w:p w14:paraId="7944C82C" w14:textId="0693A77F" w:rsidR="00CA08EA" w:rsidRPr="00CA1DF9" w:rsidRDefault="00CA08EA" w:rsidP="006D5156">
      <w:pPr>
        <w:spacing w:line="240" w:lineRule="auto"/>
        <w:rPr>
          <w:rFonts w:ascii="Arial" w:hAnsi="Arial" w:cs="Arial"/>
          <w:b/>
          <w:bCs/>
        </w:rPr>
      </w:pPr>
    </w:p>
    <w:p w14:paraId="1C9614D3" w14:textId="0E1F69AA" w:rsidR="00A627FC" w:rsidRPr="00CA1DF9" w:rsidRDefault="000A7D81" w:rsidP="006D5156">
      <w:pPr>
        <w:spacing w:line="240" w:lineRule="auto"/>
        <w:rPr>
          <w:rFonts w:ascii="Arial" w:hAnsi="Arial" w:cs="Arial"/>
        </w:rPr>
      </w:pPr>
      <w:r w:rsidRPr="00CA1DF9">
        <w:rPr>
          <w:rFonts w:ascii="Arial" w:hAnsi="Arial" w:cs="Arial"/>
        </w:rPr>
        <w:t xml:space="preserve">The lack of scholarship on Buddhist and Hindu concepts of harmony ad their ramifications </w:t>
      </w:r>
      <w:r w:rsidR="00975C9A" w:rsidRPr="00CA1DF9">
        <w:rPr>
          <w:rFonts w:ascii="Arial" w:hAnsi="Arial" w:cs="Arial"/>
        </w:rPr>
        <w:t>restricts what we can study for now.</w:t>
      </w:r>
      <w:r w:rsidR="00CA1DF9" w:rsidRPr="00CA1DF9">
        <w:rPr>
          <w:rFonts w:ascii="Arial" w:hAnsi="Arial" w:cs="Arial"/>
        </w:rPr>
        <w:t xml:space="preserve"> There is much scope for future research.</w:t>
      </w:r>
    </w:p>
    <w:p w14:paraId="6B1A5C06" w14:textId="77777777" w:rsidR="003306D2" w:rsidRPr="00CA1DF9" w:rsidRDefault="003306D2" w:rsidP="006D5156">
      <w:pPr>
        <w:spacing w:line="240" w:lineRule="auto"/>
        <w:rPr>
          <w:rFonts w:ascii="Arial" w:hAnsi="Arial" w:cs="Arial"/>
          <w:b/>
          <w:bCs/>
        </w:rPr>
      </w:pPr>
    </w:p>
    <w:sectPr w:rsidR="003306D2" w:rsidRPr="00CA1D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C0BF9" w14:textId="77777777" w:rsidR="005B1E6D" w:rsidRDefault="005B1E6D" w:rsidP="002C5C6D">
      <w:pPr>
        <w:spacing w:after="0" w:line="240" w:lineRule="auto"/>
      </w:pPr>
      <w:r>
        <w:separator/>
      </w:r>
    </w:p>
  </w:endnote>
  <w:endnote w:type="continuationSeparator" w:id="0">
    <w:p w14:paraId="1E835EDE" w14:textId="77777777" w:rsidR="005B1E6D" w:rsidRDefault="005B1E6D" w:rsidP="002C5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Neue">
    <w:altName w:val="Times New Roman"/>
    <w:charset w:val="00"/>
    <w:family w:val="auto"/>
    <w:pitch w:val="variable"/>
    <w:sig w:usb0="E50002FF" w:usb1="500079DB" w:usb2="00000010" w:usb3="00000000" w:csb0="00000001"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5CBBB" w14:textId="77777777" w:rsidR="005B1E6D" w:rsidRDefault="005B1E6D" w:rsidP="002C5C6D">
      <w:pPr>
        <w:spacing w:after="0" w:line="240" w:lineRule="auto"/>
      </w:pPr>
      <w:r>
        <w:separator/>
      </w:r>
    </w:p>
  </w:footnote>
  <w:footnote w:type="continuationSeparator" w:id="0">
    <w:p w14:paraId="6EC7CEF9" w14:textId="77777777" w:rsidR="005B1E6D" w:rsidRDefault="005B1E6D" w:rsidP="002C5C6D">
      <w:pPr>
        <w:spacing w:after="0" w:line="240" w:lineRule="auto"/>
      </w:pPr>
      <w:r>
        <w:continuationSeparator/>
      </w:r>
    </w:p>
  </w:footnote>
  <w:footnote w:id="1">
    <w:p w14:paraId="2060C038" w14:textId="77777777" w:rsidR="001B5125" w:rsidRDefault="001B5125" w:rsidP="001B5125">
      <w:r>
        <w:rPr>
          <w:rStyle w:val="FootnoteReference"/>
        </w:rPr>
        <w:footnoteRef/>
      </w:r>
      <w:r>
        <w:t xml:space="preserve"> Li, Chenyang, ‘Confucian Harmony, Greek Harmony and Liberal Harmony’, </w:t>
      </w:r>
      <w:r>
        <w:rPr>
          <w:i/>
          <w:iCs/>
        </w:rPr>
        <w:t>Dao: a journal of comparative philosophy</w:t>
      </w:r>
      <w:r>
        <w:t>, 2016, Vol 15 (3), pp. 427-435 (p. 427).</w:t>
      </w:r>
    </w:p>
    <w:p w14:paraId="3ABAD8A5" w14:textId="77777777" w:rsidR="001B5125" w:rsidRDefault="001B5125" w:rsidP="001B5125">
      <w:pPr>
        <w:pStyle w:val="FootnoteText"/>
      </w:pPr>
    </w:p>
  </w:footnote>
  <w:footnote w:id="2">
    <w:p w14:paraId="59EAE874" w14:textId="0104FF98" w:rsidR="002C5C6D" w:rsidRDefault="002C5C6D" w:rsidP="002C5C6D">
      <w:r>
        <w:rPr>
          <w:rStyle w:val="FootnoteReference"/>
        </w:rPr>
        <w:footnoteRef/>
      </w:r>
      <w:r>
        <w:t xml:space="preserve"> Li, Chenyang, ‘Confucian Harmony, Greek Harmony and Liberal Harmony’, </w:t>
      </w:r>
      <w:r>
        <w:rPr>
          <w:i/>
          <w:iCs/>
        </w:rPr>
        <w:t>Dao: a journal of comparative philosophy</w:t>
      </w:r>
      <w:r>
        <w:t xml:space="preserve">, 2016, Vol 15 (3), pp. 427-435 (p. </w:t>
      </w:r>
      <w:r w:rsidR="00671993">
        <w:t>427).</w:t>
      </w:r>
    </w:p>
    <w:p w14:paraId="578A610C" w14:textId="23E48AA6" w:rsidR="002C5C6D" w:rsidRDefault="002C5C6D">
      <w:pPr>
        <w:pStyle w:val="FootnoteText"/>
      </w:pPr>
    </w:p>
  </w:footnote>
  <w:footnote w:id="3">
    <w:p w14:paraId="37C353FF" w14:textId="77777777" w:rsidR="008D0F75" w:rsidRDefault="008D0F75" w:rsidP="008D0F75">
      <w:r>
        <w:rPr>
          <w:rStyle w:val="FootnoteReference"/>
        </w:rPr>
        <w:footnoteRef/>
      </w:r>
      <w:r>
        <w:t xml:space="preserve"> Li, Chenyang, ‘Confucian Harmony, Greek Harmony and Liberal Harmony’, </w:t>
      </w:r>
      <w:r>
        <w:rPr>
          <w:i/>
          <w:iCs/>
        </w:rPr>
        <w:t>Dao: a journal of comparative philosophy</w:t>
      </w:r>
      <w:r>
        <w:t>, 2016, Vol 15 (3), pp. 427-435 (p. 427).</w:t>
      </w:r>
    </w:p>
    <w:p w14:paraId="5B7A2FAF" w14:textId="77777777" w:rsidR="008D0F75" w:rsidRDefault="008D0F75" w:rsidP="008D0F75">
      <w:pPr>
        <w:pStyle w:val="FootnoteText"/>
      </w:pPr>
    </w:p>
  </w:footnote>
  <w:footnote w:id="4">
    <w:p w14:paraId="59792890" w14:textId="689263AE" w:rsidR="00671993" w:rsidRDefault="00671993" w:rsidP="00671993">
      <w:r>
        <w:rPr>
          <w:rStyle w:val="FootnoteReference"/>
        </w:rPr>
        <w:footnoteRef/>
      </w:r>
      <w:r>
        <w:t xml:space="preserve"> Li, Chenyang, ‘Confucian Harmony, Greek Harmony and Liberal Harmony’, </w:t>
      </w:r>
      <w:r>
        <w:rPr>
          <w:i/>
          <w:iCs/>
        </w:rPr>
        <w:t>Dao: a journal of comparative philosophy</w:t>
      </w:r>
      <w:r>
        <w:t>, 2016, Vol 15 (3), pp. 427-435 (p. 431).</w:t>
      </w:r>
    </w:p>
    <w:p w14:paraId="5B4D66F1" w14:textId="181605BD" w:rsidR="00671993" w:rsidRDefault="00671993">
      <w:pPr>
        <w:pStyle w:val="FootnoteText"/>
      </w:pPr>
    </w:p>
  </w:footnote>
  <w:footnote w:id="5">
    <w:p w14:paraId="378F54BD" w14:textId="767CB967" w:rsidR="00C50DF8" w:rsidRDefault="00CA08EA" w:rsidP="00C50DF8">
      <w:pPr>
        <w:spacing w:after="0" w:line="240" w:lineRule="auto"/>
        <w:rPr>
          <w:rFonts w:ascii="Arial" w:eastAsia="Times New Roman" w:hAnsi="Arial" w:cs="Arial"/>
          <w:color w:val="222222"/>
          <w:sz w:val="24"/>
          <w:szCs w:val="24"/>
          <w:shd w:val="clear" w:color="auto" w:fill="FFFFFF"/>
          <w:lang w:eastAsia="en-GB"/>
        </w:rPr>
      </w:pPr>
      <w:r>
        <w:rPr>
          <w:rStyle w:val="FootnoteReference"/>
        </w:rPr>
        <w:footnoteRef/>
      </w:r>
      <w:r>
        <w:t xml:space="preserve"> </w:t>
      </w:r>
      <w:r>
        <w:rPr>
          <w:rFonts w:ascii="Helvetica Neue" w:eastAsia="Times New Roman" w:hAnsi="Helvetica Neue" w:cs="Times New Roman"/>
          <w:color w:val="2C2C2C"/>
          <w:kern w:val="36"/>
          <w:sz w:val="24"/>
          <w:szCs w:val="24"/>
          <w:lang w:eastAsia="en-GB"/>
        </w:rPr>
        <w:t xml:space="preserve">T.W. Rhys Davids (ed.), </w:t>
      </w:r>
      <w:r>
        <w:rPr>
          <w:rFonts w:ascii="Helvetica Neue" w:eastAsia="Times New Roman" w:hAnsi="Helvetica Neue" w:cs="Times New Roman"/>
          <w:i/>
          <w:iCs/>
          <w:color w:val="2C2C2C"/>
          <w:kern w:val="36"/>
          <w:sz w:val="24"/>
          <w:szCs w:val="24"/>
          <w:lang w:eastAsia="en-GB"/>
        </w:rPr>
        <w:t>Digha</w:t>
      </w:r>
      <w:r>
        <w:rPr>
          <w:rFonts w:ascii="Helvetica Neue" w:eastAsia="Times New Roman" w:hAnsi="Helvetica Neue" w:cs="Times New Roman"/>
          <w:color w:val="2C2C2C"/>
          <w:kern w:val="36"/>
          <w:sz w:val="24"/>
          <w:szCs w:val="24"/>
          <w:lang w:eastAsia="en-GB"/>
        </w:rPr>
        <w:t xml:space="preserve"> </w:t>
      </w:r>
      <w:r>
        <w:rPr>
          <w:rFonts w:ascii="Helvetica Neue" w:eastAsia="Times New Roman" w:hAnsi="Helvetica Neue" w:cs="Times New Roman"/>
          <w:i/>
          <w:iCs/>
          <w:color w:val="2C2C2C"/>
          <w:kern w:val="36"/>
          <w:sz w:val="24"/>
          <w:szCs w:val="24"/>
          <w:lang w:eastAsia="en-GB"/>
        </w:rPr>
        <w:t>Nik</w:t>
      </w:r>
      <w:r>
        <w:rPr>
          <w:rFonts w:ascii="Times New Roman" w:eastAsia="Times New Roman" w:hAnsi="Times New Roman" w:cs="Times New Roman"/>
          <w:i/>
          <w:iCs/>
          <w:color w:val="2C2C2C"/>
          <w:kern w:val="36"/>
          <w:sz w:val="24"/>
          <w:szCs w:val="24"/>
          <w:lang w:eastAsia="en-GB"/>
        </w:rPr>
        <w:t>ā</w:t>
      </w:r>
      <w:r>
        <w:rPr>
          <w:rFonts w:ascii="Helvetica Neue" w:eastAsia="Times New Roman" w:hAnsi="Helvetica Neue" w:cs="Times New Roman"/>
          <w:i/>
          <w:iCs/>
          <w:color w:val="2C2C2C"/>
          <w:kern w:val="36"/>
          <w:sz w:val="24"/>
          <w:szCs w:val="24"/>
          <w:lang w:eastAsia="en-GB"/>
        </w:rPr>
        <w:t xml:space="preserve">ya </w:t>
      </w:r>
      <w:r>
        <w:rPr>
          <w:rFonts w:ascii="Helvetica Neue" w:eastAsia="Times New Roman" w:hAnsi="Helvetica Neue" w:cs="Times New Roman"/>
          <w:color w:val="2C2C2C"/>
          <w:kern w:val="36"/>
          <w:sz w:val="24"/>
          <w:szCs w:val="24"/>
          <w:lang w:eastAsia="en-GB"/>
        </w:rPr>
        <w:t>(London: J.E. Carpenter, 1890-1911), 1,74</w:t>
      </w:r>
      <w:r w:rsidR="00C50DF8">
        <w:rPr>
          <w:rFonts w:ascii="Helvetica Neue" w:eastAsia="Times New Roman" w:hAnsi="Helvetica Neue" w:cs="Times New Roman"/>
          <w:color w:val="2C2C2C"/>
          <w:kern w:val="36"/>
          <w:sz w:val="24"/>
          <w:szCs w:val="24"/>
          <w:lang w:eastAsia="en-GB"/>
        </w:rPr>
        <w:t xml:space="preserve">, cited in </w:t>
      </w:r>
      <w:r w:rsidR="00C50DF8">
        <w:rPr>
          <w:rFonts w:ascii="Arial" w:eastAsia="Times New Roman" w:hAnsi="Arial" w:cs="Arial"/>
          <w:i/>
          <w:iCs/>
          <w:color w:val="222222"/>
          <w:sz w:val="24"/>
          <w:szCs w:val="24"/>
          <w:shd w:val="clear" w:color="auto" w:fill="FFFFFF"/>
          <w:lang w:eastAsia="en-GB"/>
        </w:rPr>
        <w:t>Guide to Buddhism</w:t>
      </w:r>
      <w:r w:rsidR="00C50DF8">
        <w:rPr>
          <w:rFonts w:ascii="Arial" w:eastAsia="Times New Roman" w:hAnsi="Arial" w:cs="Arial"/>
          <w:color w:val="222222"/>
          <w:sz w:val="24"/>
          <w:szCs w:val="24"/>
          <w:shd w:val="clear" w:color="auto" w:fill="FFFFFF"/>
          <w:lang w:eastAsia="en-GB"/>
        </w:rPr>
        <w:t>, ‘Harmony’,</w:t>
      </w:r>
      <w:r w:rsidR="00C50DF8">
        <w:t xml:space="preserve"> </w:t>
      </w:r>
      <w:hyperlink r:id="rId1" w:history="1">
        <w:r w:rsidR="00C50DF8">
          <w:rPr>
            <w:rStyle w:val="Hyperlink"/>
            <w:rFonts w:ascii="Arial" w:eastAsia="Times New Roman" w:hAnsi="Arial" w:cs="Arial"/>
            <w:sz w:val="24"/>
            <w:szCs w:val="24"/>
            <w:shd w:val="clear" w:color="auto" w:fill="FFFFFF"/>
            <w:lang w:eastAsia="en-GB"/>
          </w:rPr>
          <w:t>https://www.buddhisma2z.com/content.php?id=166</w:t>
        </w:r>
      </w:hyperlink>
      <w:r w:rsidR="00C50DF8">
        <w:rPr>
          <w:rFonts w:ascii="Arial" w:eastAsia="Times New Roman" w:hAnsi="Arial" w:cs="Arial"/>
          <w:color w:val="222222"/>
          <w:sz w:val="24"/>
          <w:szCs w:val="24"/>
          <w:shd w:val="clear" w:color="auto" w:fill="FFFFFF"/>
          <w:lang w:eastAsia="en-GB"/>
        </w:rPr>
        <w:t xml:space="preserve"> [accessed 20 January 2024].</w:t>
      </w:r>
    </w:p>
    <w:p w14:paraId="21BAAA1B" w14:textId="10B2B932" w:rsidR="00CA08EA" w:rsidRDefault="00CA08EA" w:rsidP="00CA08EA">
      <w:pPr>
        <w:shd w:val="clear" w:color="auto" w:fill="FFFFFF"/>
        <w:spacing w:after="0" w:line="240" w:lineRule="auto"/>
        <w:outlineLvl w:val="0"/>
        <w:rPr>
          <w:rFonts w:ascii="Helvetica Neue" w:eastAsia="Times New Roman" w:hAnsi="Helvetica Neue" w:cs="Times New Roman"/>
          <w:color w:val="2C2C2C"/>
          <w:kern w:val="36"/>
          <w:sz w:val="24"/>
          <w:szCs w:val="24"/>
          <w:lang w:eastAsia="en-GB"/>
        </w:rPr>
      </w:pPr>
    </w:p>
    <w:p w14:paraId="111C9345" w14:textId="77777777" w:rsidR="00CA08EA" w:rsidRDefault="00CA08EA" w:rsidP="00CA08EA">
      <w:pPr>
        <w:pStyle w:val="FootnoteText"/>
        <w:rPr>
          <w:kern w:val="2"/>
          <w14:ligatures w14:val="standardContextual"/>
        </w:rPr>
      </w:pPr>
    </w:p>
  </w:footnote>
  <w:footnote w:id="6">
    <w:p w14:paraId="58E8AD3F" w14:textId="4891801C" w:rsidR="00EB7D65" w:rsidRPr="000210B1" w:rsidRDefault="00EB7D65" w:rsidP="000210B1">
      <w:pPr>
        <w:pStyle w:val="Heading1"/>
        <w:shd w:val="clear" w:color="auto" w:fill="FFFFFF"/>
        <w:spacing w:before="0" w:after="240" w:line="525" w:lineRule="atLeast"/>
        <w:contextualSpacing/>
        <w:rPr>
          <w:rFonts w:ascii="Arial" w:eastAsia="Times New Roman" w:hAnsi="Arial" w:cs="Arial"/>
          <w:color w:val="1B1B1B"/>
          <w:kern w:val="36"/>
          <w:sz w:val="22"/>
          <w:szCs w:val="22"/>
          <w:lang w:eastAsia="en-GB"/>
          <w14:ligatures w14:val="none"/>
        </w:rPr>
      </w:pPr>
      <w:r w:rsidRPr="000210B1">
        <w:rPr>
          <w:rStyle w:val="FootnoteReference"/>
          <w:rFonts w:ascii="Arial" w:hAnsi="Arial" w:cs="Arial"/>
          <w:sz w:val="22"/>
          <w:szCs w:val="22"/>
        </w:rPr>
        <w:footnoteRef/>
      </w:r>
      <w:r w:rsidRPr="000210B1">
        <w:rPr>
          <w:rFonts w:ascii="Arial" w:hAnsi="Arial" w:cs="Arial"/>
          <w:sz w:val="22"/>
          <w:szCs w:val="22"/>
        </w:rPr>
        <w:t xml:space="preserve"> </w:t>
      </w:r>
      <w:r w:rsidR="000210B1">
        <w:rPr>
          <w:rFonts w:ascii="Arial" w:hAnsi="Arial" w:cs="Arial"/>
          <w:sz w:val="22"/>
          <w:szCs w:val="22"/>
        </w:rPr>
        <w:t>‘</w:t>
      </w:r>
      <w:r w:rsidRPr="000210B1">
        <w:rPr>
          <w:rFonts w:ascii="Arial" w:eastAsia="Times New Roman" w:hAnsi="Arial" w:cs="Arial"/>
          <w:color w:val="1B1B1B"/>
          <w:kern w:val="36"/>
          <w:sz w:val="22"/>
          <w:szCs w:val="22"/>
          <w:lang w:eastAsia="en-GB"/>
          <w14:ligatures w14:val="none"/>
        </w:rPr>
        <w:t>Avirodha: 12 definitions</w:t>
      </w:r>
      <w:r w:rsidR="000210B1">
        <w:rPr>
          <w:rFonts w:ascii="Arial" w:eastAsia="Times New Roman" w:hAnsi="Arial" w:cs="Arial"/>
          <w:color w:val="1B1B1B"/>
          <w:kern w:val="36"/>
          <w:sz w:val="22"/>
          <w:szCs w:val="22"/>
          <w:lang w:eastAsia="en-GB"/>
          <w14:ligatures w14:val="none"/>
        </w:rPr>
        <w:t>’</w:t>
      </w:r>
      <w:r w:rsidRPr="000210B1">
        <w:rPr>
          <w:rFonts w:ascii="Arial" w:eastAsia="Times New Roman" w:hAnsi="Arial" w:cs="Arial"/>
          <w:color w:val="1B1B1B"/>
          <w:kern w:val="36"/>
          <w:sz w:val="22"/>
          <w:szCs w:val="22"/>
          <w:lang w:eastAsia="en-GB"/>
          <w14:ligatures w14:val="none"/>
        </w:rPr>
        <w:t xml:space="preserve">, </w:t>
      </w:r>
      <w:r w:rsidRPr="000210B1">
        <w:rPr>
          <w:rFonts w:ascii="Arial" w:eastAsia="Times New Roman" w:hAnsi="Arial" w:cs="Arial"/>
          <w:i/>
          <w:iCs/>
          <w:color w:val="1B1B1B"/>
          <w:kern w:val="36"/>
          <w:sz w:val="22"/>
          <w:szCs w:val="22"/>
          <w:lang w:eastAsia="en-GB"/>
          <w14:ligatures w14:val="none"/>
        </w:rPr>
        <w:t>Wisdom Library</w:t>
      </w:r>
      <w:r w:rsidRPr="000210B1">
        <w:rPr>
          <w:rFonts w:ascii="Arial" w:eastAsia="Times New Roman" w:hAnsi="Arial" w:cs="Arial"/>
          <w:color w:val="1B1B1B"/>
          <w:kern w:val="36"/>
          <w:sz w:val="22"/>
          <w:szCs w:val="22"/>
          <w:lang w:eastAsia="en-GB"/>
          <w14:ligatures w14:val="none"/>
        </w:rPr>
        <w:t xml:space="preserve">, </w:t>
      </w:r>
      <w:hyperlink r:id="rId2" w:history="1">
        <w:r w:rsidR="00B1058A" w:rsidRPr="000210B1">
          <w:rPr>
            <w:rStyle w:val="Hyperlink"/>
            <w:rFonts w:ascii="Arial" w:eastAsia="Times New Roman" w:hAnsi="Arial" w:cs="Arial"/>
            <w:kern w:val="36"/>
            <w:sz w:val="22"/>
            <w:szCs w:val="22"/>
            <w:lang w:eastAsia="en-GB"/>
            <w14:ligatures w14:val="none"/>
          </w:rPr>
          <w:t>https://www.wisdomlib.org/definition/avirodha</w:t>
        </w:r>
      </w:hyperlink>
      <w:r w:rsidR="00B1058A" w:rsidRPr="000210B1">
        <w:rPr>
          <w:rFonts w:ascii="Arial" w:eastAsia="Times New Roman" w:hAnsi="Arial" w:cs="Arial"/>
          <w:color w:val="1B1B1B"/>
          <w:kern w:val="36"/>
          <w:sz w:val="22"/>
          <w:szCs w:val="22"/>
          <w:lang w:eastAsia="en-GB"/>
          <w14:ligatures w14:val="none"/>
        </w:rPr>
        <w:t xml:space="preserve"> [accessed 21 January </w:t>
      </w:r>
      <w:r w:rsidR="000210B1" w:rsidRPr="000210B1">
        <w:rPr>
          <w:rFonts w:ascii="Arial" w:eastAsia="Times New Roman" w:hAnsi="Arial" w:cs="Arial"/>
          <w:color w:val="1B1B1B"/>
          <w:kern w:val="36"/>
          <w:sz w:val="22"/>
          <w:szCs w:val="22"/>
          <w:lang w:eastAsia="en-GB"/>
          <w14:ligatures w14:val="none"/>
        </w:rPr>
        <w:t>2024].</w:t>
      </w:r>
    </w:p>
    <w:p w14:paraId="281294AC" w14:textId="714B388E" w:rsidR="00EB7D65" w:rsidRDefault="00EB7D6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156"/>
    <w:rsid w:val="000210B1"/>
    <w:rsid w:val="000223CB"/>
    <w:rsid w:val="000259A6"/>
    <w:rsid w:val="000905A2"/>
    <w:rsid w:val="000A46EE"/>
    <w:rsid w:val="000A7D81"/>
    <w:rsid w:val="000C3E24"/>
    <w:rsid w:val="000C7E63"/>
    <w:rsid w:val="000D517D"/>
    <w:rsid w:val="00102907"/>
    <w:rsid w:val="0012087F"/>
    <w:rsid w:val="001516FF"/>
    <w:rsid w:val="001B5125"/>
    <w:rsid w:val="001D3C2C"/>
    <w:rsid w:val="001E7498"/>
    <w:rsid w:val="001F4AF4"/>
    <w:rsid w:val="002030F4"/>
    <w:rsid w:val="002160C0"/>
    <w:rsid w:val="00222BC2"/>
    <w:rsid w:val="002A3F25"/>
    <w:rsid w:val="002C075B"/>
    <w:rsid w:val="002C5C6D"/>
    <w:rsid w:val="00314694"/>
    <w:rsid w:val="003216C4"/>
    <w:rsid w:val="003306D2"/>
    <w:rsid w:val="0035419F"/>
    <w:rsid w:val="00383753"/>
    <w:rsid w:val="003C0BE4"/>
    <w:rsid w:val="003F2591"/>
    <w:rsid w:val="003F2880"/>
    <w:rsid w:val="004145AF"/>
    <w:rsid w:val="004614B3"/>
    <w:rsid w:val="004A4D25"/>
    <w:rsid w:val="004C0501"/>
    <w:rsid w:val="004F4F2E"/>
    <w:rsid w:val="0056678B"/>
    <w:rsid w:val="005A597E"/>
    <w:rsid w:val="005B1E6D"/>
    <w:rsid w:val="005B6B3E"/>
    <w:rsid w:val="005C1D02"/>
    <w:rsid w:val="005F081F"/>
    <w:rsid w:val="005F5D9D"/>
    <w:rsid w:val="00617510"/>
    <w:rsid w:val="006205D0"/>
    <w:rsid w:val="006307EB"/>
    <w:rsid w:val="00657B4C"/>
    <w:rsid w:val="00671993"/>
    <w:rsid w:val="006A3A90"/>
    <w:rsid w:val="006A50B7"/>
    <w:rsid w:val="006C6A92"/>
    <w:rsid w:val="006D5156"/>
    <w:rsid w:val="006E1EA6"/>
    <w:rsid w:val="00703AB3"/>
    <w:rsid w:val="00706107"/>
    <w:rsid w:val="00797321"/>
    <w:rsid w:val="007A1EC8"/>
    <w:rsid w:val="007A7F2D"/>
    <w:rsid w:val="007D338D"/>
    <w:rsid w:val="0080671F"/>
    <w:rsid w:val="008109DB"/>
    <w:rsid w:val="0081280E"/>
    <w:rsid w:val="00840309"/>
    <w:rsid w:val="008564B1"/>
    <w:rsid w:val="008720FB"/>
    <w:rsid w:val="008730CD"/>
    <w:rsid w:val="008802B2"/>
    <w:rsid w:val="008D0F75"/>
    <w:rsid w:val="00925CCA"/>
    <w:rsid w:val="00975C9A"/>
    <w:rsid w:val="009E7063"/>
    <w:rsid w:val="009F63E1"/>
    <w:rsid w:val="00A519BF"/>
    <w:rsid w:val="00A627FC"/>
    <w:rsid w:val="00A7613B"/>
    <w:rsid w:val="00A921DC"/>
    <w:rsid w:val="00A93D5F"/>
    <w:rsid w:val="00AA6378"/>
    <w:rsid w:val="00AD0F16"/>
    <w:rsid w:val="00AE2622"/>
    <w:rsid w:val="00AE53DF"/>
    <w:rsid w:val="00B01D45"/>
    <w:rsid w:val="00B1058A"/>
    <w:rsid w:val="00B310C1"/>
    <w:rsid w:val="00B85C46"/>
    <w:rsid w:val="00BC7447"/>
    <w:rsid w:val="00BE5A10"/>
    <w:rsid w:val="00C24AEB"/>
    <w:rsid w:val="00C32553"/>
    <w:rsid w:val="00C50DF8"/>
    <w:rsid w:val="00CA08EA"/>
    <w:rsid w:val="00CA1DF9"/>
    <w:rsid w:val="00CA4FC9"/>
    <w:rsid w:val="00CA5A8F"/>
    <w:rsid w:val="00CC7BCE"/>
    <w:rsid w:val="00CD1376"/>
    <w:rsid w:val="00CE4CA1"/>
    <w:rsid w:val="00D0315C"/>
    <w:rsid w:val="00D15A18"/>
    <w:rsid w:val="00D34631"/>
    <w:rsid w:val="00D56940"/>
    <w:rsid w:val="00D86CCB"/>
    <w:rsid w:val="00D91B9F"/>
    <w:rsid w:val="00DD2603"/>
    <w:rsid w:val="00DD723C"/>
    <w:rsid w:val="00E31A1D"/>
    <w:rsid w:val="00EB7D65"/>
    <w:rsid w:val="00F52948"/>
    <w:rsid w:val="00F951B5"/>
    <w:rsid w:val="00FD1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9426"/>
  <w15:chartTrackingRefBased/>
  <w15:docId w15:val="{CF69FAAF-A698-44A4-B915-2ED1804E1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125"/>
    <w:rPr>
      <w:kern w:val="0"/>
      <w14:ligatures w14:val="none"/>
    </w:rPr>
  </w:style>
  <w:style w:type="paragraph" w:styleId="Heading1">
    <w:name w:val="heading 1"/>
    <w:basedOn w:val="Normal"/>
    <w:next w:val="Normal"/>
    <w:link w:val="Heading1Char"/>
    <w:uiPriority w:val="9"/>
    <w:qFormat/>
    <w:rsid w:val="006D5156"/>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D5156"/>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D5156"/>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D5156"/>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D5156"/>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D5156"/>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D5156"/>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D5156"/>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D5156"/>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156"/>
    <w:rPr>
      <w:rFonts w:eastAsiaTheme="majorEastAsia" w:cstheme="majorBidi"/>
      <w:color w:val="272727" w:themeColor="text1" w:themeTint="D8"/>
    </w:rPr>
  </w:style>
  <w:style w:type="paragraph" w:styleId="Title">
    <w:name w:val="Title"/>
    <w:basedOn w:val="Normal"/>
    <w:next w:val="Normal"/>
    <w:link w:val="TitleChar"/>
    <w:uiPriority w:val="10"/>
    <w:qFormat/>
    <w:rsid w:val="006D5156"/>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D5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156"/>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D5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156"/>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6D5156"/>
    <w:rPr>
      <w:i/>
      <w:iCs/>
      <w:color w:val="404040" w:themeColor="text1" w:themeTint="BF"/>
    </w:rPr>
  </w:style>
  <w:style w:type="paragraph" w:styleId="ListParagraph">
    <w:name w:val="List Paragraph"/>
    <w:basedOn w:val="Normal"/>
    <w:uiPriority w:val="34"/>
    <w:qFormat/>
    <w:rsid w:val="006D5156"/>
    <w:pPr>
      <w:ind w:left="720"/>
      <w:contextualSpacing/>
    </w:pPr>
    <w:rPr>
      <w:kern w:val="2"/>
      <w14:ligatures w14:val="standardContextual"/>
    </w:rPr>
  </w:style>
  <w:style w:type="character" w:styleId="IntenseEmphasis">
    <w:name w:val="Intense Emphasis"/>
    <w:basedOn w:val="DefaultParagraphFont"/>
    <w:uiPriority w:val="21"/>
    <w:qFormat/>
    <w:rsid w:val="006D5156"/>
    <w:rPr>
      <w:i/>
      <w:iCs/>
      <w:color w:val="0F4761" w:themeColor="accent1" w:themeShade="BF"/>
    </w:rPr>
  </w:style>
  <w:style w:type="paragraph" w:styleId="IntenseQuote">
    <w:name w:val="Intense Quote"/>
    <w:basedOn w:val="Normal"/>
    <w:next w:val="Normal"/>
    <w:link w:val="IntenseQuoteChar"/>
    <w:uiPriority w:val="30"/>
    <w:qFormat/>
    <w:rsid w:val="006D5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6D5156"/>
    <w:rPr>
      <w:i/>
      <w:iCs/>
      <w:color w:val="0F4761" w:themeColor="accent1" w:themeShade="BF"/>
    </w:rPr>
  </w:style>
  <w:style w:type="character" w:styleId="IntenseReference">
    <w:name w:val="Intense Reference"/>
    <w:basedOn w:val="DefaultParagraphFont"/>
    <w:uiPriority w:val="32"/>
    <w:qFormat/>
    <w:rsid w:val="006D5156"/>
    <w:rPr>
      <w:b/>
      <w:bCs/>
      <w:smallCaps/>
      <w:color w:val="0F4761" w:themeColor="accent1" w:themeShade="BF"/>
      <w:spacing w:val="5"/>
    </w:rPr>
  </w:style>
  <w:style w:type="character" w:customStyle="1" w:styleId="product-banner-author-name">
    <w:name w:val="product-banner-author-name"/>
    <w:basedOn w:val="DefaultParagraphFont"/>
    <w:rsid w:val="006D5156"/>
  </w:style>
  <w:style w:type="paragraph" w:customStyle="1" w:styleId="Default">
    <w:name w:val="Default"/>
    <w:rsid w:val="006D5156"/>
    <w:pPr>
      <w:autoSpaceDE w:val="0"/>
      <w:autoSpaceDN w:val="0"/>
      <w:adjustRightInd w:val="0"/>
      <w:spacing w:after="0" w:line="240" w:lineRule="auto"/>
    </w:pPr>
    <w:rPr>
      <w:rFonts w:ascii="Code" w:hAnsi="Code" w:cs="Code"/>
      <w:color w:val="000000"/>
      <w:kern w:val="0"/>
      <w:sz w:val="24"/>
      <w:szCs w:val="24"/>
      <w14:ligatures w14:val="none"/>
    </w:rPr>
  </w:style>
  <w:style w:type="character" w:styleId="Hyperlink">
    <w:name w:val="Hyperlink"/>
    <w:basedOn w:val="DefaultParagraphFont"/>
    <w:uiPriority w:val="99"/>
    <w:unhideWhenUsed/>
    <w:rsid w:val="006D5156"/>
    <w:rPr>
      <w:color w:val="0000FF"/>
      <w:u w:val="single"/>
    </w:rPr>
  </w:style>
  <w:style w:type="paragraph" w:customStyle="1" w:styleId="nova-legacy-e-listitem">
    <w:name w:val="nova-legacy-e-list__item"/>
    <w:basedOn w:val="Normal"/>
    <w:rsid w:val="006D51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C5C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5C6D"/>
    <w:rPr>
      <w:kern w:val="0"/>
      <w:sz w:val="20"/>
      <w:szCs w:val="20"/>
      <w14:ligatures w14:val="none"/>
    </w:rPr>
  </w:style>
  <w:style w:type="character" w:styleId="FootnoteReference">
    <w:name w:val="footnote reference"/>
    <w:basedOn w:val="DefaultParagraphFont"/>
    <w:uiPriority w:val="99"/>
    <w:semiHidden/>
    <w:unhideWhenUsed/>
    <w:rsid w:val="002C5C6D"/>
    <w:rPr>
      <w:vertAlign w:val="superscript"/>
    </w:rPr>
  </w:style>
  <w:style w:type="character" w:styleId="Emphasis">
    <w:name w:val="Emphasis"/>
    <w:basedOn w:val="DefaultParagraphFont"/>
    <w:uiPriority w:val="20"/>
    <w:qFormat/>
    <w:rsid w:val="00CA4FC9"/>
    <w:rPr>
      <w:i/>
      <w:iCs/>
    </w:rPr>
  </w:style>
  <w:style w:type="character" w:styleId="UnresolvedMention">
    <w:name w:val="Unresolved Mention"/>
    <w:basedOn w:val="DefaultParagraphFont"/>
    <w:uiPriority w:val="99"/>
    <w:semiHidden/>
    <w:unhideWhenUsed/>
    <w:rsid w:val="00B105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69075">
      <w:bodyDiv w:val="1"/>
      <w:marLeft w:val="0"/>
      <w:marRight w:val="0"/>
      <w:marTop w:val="0"/>
      <w:marBottom w:val="0"/>
      <w:divBdr>
        <w:top w:val="none" w:sz="0" w:space="0" w:color="auto"/>
        <w:left w:val="none" w:sz="0" w:space="0" w:color="auto"/>
        <w:bottom w:val="none" w:sz="0" w:space="0" w:color="auto"/>
        <w:right w:val="none" w:sz="0" w:space="0" w:color="auto"/>
      </w:divBdr>
    </w:div>
    <w:div w:id="89357973">
      <w:bodyDiv w:val="1"/>
      <w:marLeft w:val="0"/>
      <w:marRight w:val="0"/>
      <w:marTop w:val="0"/>
      <w:marBottom w:val="0"/>
      <w:divBdr>
        <w:top w:val="none" w:sz="0" w:space="0" w:color="auto"/>
        <w:left w:val="none" w:sz="0" w:space="0" w:color="auto"/>
        <w:bottom w:val="none" w:sz="0" w:space="0" w:color="auto"/>
        <w:right w:val="none" w:sz="0" w:space="0" w:color="auto"/>
      </w:divBdr>
    </w:div>
    <w:div w:id="158733080">
      <w:bodyDiv w:val="1"/>
      <w:marLeft w:val="0"/>
      <w:marRight w:val="0"/>
      <w:marTop w:val="0"/>
      <w:marBottom w:val="0"/>
      <w:divBdr>
        <w:top w:val="none" w:sz="0" w:space="0" w:color="auto"/>
        <w:left w:val="none" w:sz="0" w:space="0" w:color="auto"/>
        <w:bottom w:val="none" w:sz="0" w:space="0" w:color="auto"/>
        <w:right w:val="none" w:sz="0" w:space="0" w:color="auto"/>
      </w:divBdr>
    </w:div>
    <w:div w:id="209463161">
      <w:bodyDiv w:val="1"/>
      <w:marLeft w:val="0"/>
      <w:marRight w:val="0"/>
      <w:marTop w:val="0"/>
      <w:marBottom w:val="0"/>
      <w:divBdr>
        <w:top w:val="none" w:sz="0" w:space="0" w:color="auto"/>
        <w:left w:val="none" w:sz="0" w:space="0" w:color="auto"/>
        <w:bottom w:val="none" w:sz="0" w:space="0" w:color="auto"/>
        <w:right w:val="none" w:sz="0" w:space="0" w:color="auto"/>
      </w:divBdr>
    </w:div>
    <w:div w:id="350572631">
      <w:bodyDiv w:val="1"/>
      <w:marLeft w:val="0"/>
      <w:marRight w:val="0"/>
      <w:marTop w:val="0"/>
      <w:marBottom w:val="0"/>
      <w:divBdr>
        <w:top w:val="none" w:sz="0" w:space="0" w:color="auto"/>
        <w:left w:val="none" w:sz="0" w:space="0" w:color="auto"/>
        <w:bottom w:val="none" w:sz="0" w:space="0" w:color="auto"/>
        <w:right w:val="none" w:sz="0" w:space="0" w:color="auto"/>
      </w:divBdr>
    </w:div>
    <w:div w:id="401222363">
      <w:bodyDiv w:val="1"/>
      <w:marLeft w:val="0"/>
      <w:marRight w:val="0"/>
      <w:marTop w:val="0"/>
      <w:marBottom w:val="0"/>
      <w:divBdr>
        <w:top w:val="none" w:sz="0" w:space="0" w:color="auto"/>
        <w:left w:val="none" w:sz="0" w:space="0" w:color="auto"/>
        <w:bottom w:val="none" w:sz="0" w:space="0" w:color="auto"/>
        <w:right w:val="none" w:sz="0" w:space="0" w:color="auto"/>
      </w:divBdr>
    </w:div>
    <w:div w:id="435291511">
      <w:bodyDiv w:val="1"/>
      <w:marLeft w:val="0"/>
      <w:marRight w:val="0"/>
      <w:marTop w:val="0"/>
      <w:marBottom w:val="0"/>
      <w:divBdr>
        <w:top w:val="none" w:sz="0" w:space="0" w:color="auto"/>
        <w:left w:val="none" w:sz="0" w:space="0" w:color="auto"/>
        <w:bottom w:val="none" w:sz="0" w:space="0" w:color="auto"/>
        <w:right w:val="none" w:sz="0" w:space="0" w:color="auto"/>
      </w:divBdr>
    </w:div>
    <w:div w:id="565603520">
      <w:bodyDiv w:val="1"/>
      <w:marLeft w:val="0"/>
      <w:marRight w:val="0"/>
      <w:marTop w:val="0"/>
      <w:marBottom w:val="0"/>
      <w:divBdr>
        <w:top w:val="none" w:sz="0" w:space="0" w:color="auto"/>
        <w:left w:val="none" w:sz="0" w:space="0" w:color="auto"/>
        <w:bottom w:val="none" w:sz="0" w:space="0" w:color="auto"/>
        <w:right w:val="none" w:sz="0" w:space="0" w:color="auto"/>
      </w:divBdr>
    </w:div>
    <w:div w:id="574125090">
      <w:bodyDiv w:val="1"/>
      <w:marLeft w:val="0"/>
      <w:marRight w:val="0"/>
      <w:marTop w:val="0"/>
      <w:marBottom w:val="0"/>
      <w:divBdr>
        <w:top w:val="none" w:sz="0" w:space="0" w:color="auto"/>
        <w:left w:val="none" w:sz="0" w:space="0" w:color="auto"/>
        <w:bottom w:val="none" w:sz="0" w:space="0" w:color="auto"/>
        <w:right w:val="none" w:sz="0" w:space="0" w:color="auto"/>
      </w:divBdr>
    </w:div>
    <w:div w:id="604581214">
      <w:bodyDiv w:val="1"/>
      <w:marLeft w:val="0"/>
      <w:marRight w:val="0"/>
      <w:marTop w:val="0"/>
      <w:marBottom w:val="0"/>
      <w:divBdr>
        <w:top w:val="none" w:sz="0" w:space="0" w:color="auto"/>
        <w:left w:val="none" w:sz="0" w:space="0" w:color="auto"/>
        <w:bottom w:val="none" w:sz="0" w:space="0" w:color="auto"/>
        <w:right w:val="none" w:sz="0" w:space="0" w:color="auto"/>
      </w:divBdr>
    </w:div>
    <w:div w:id="798495923">
      <w:bodyDiv w:val="1"/>
      <w:marLeft w:val="0"/>
      <w:marRight w:val="0"/>
      <w:marTop w:val="0"/>
      <w:marBottom w:val="0"/>
      <w:divBdr>
        <w:top w:val="none" w:sz="0" w:space="0" w:color="auto"/>
        <w:left w:val="none" w:sz="0" w:space="0" w:color="auto"/>
        <w:bottom w:val="none" w:sz="0" w:space="0" w:color="auto"/>
        <w:right w:val="none" w:sz="0" w:space="0" w:color="auto"/>
      </w:divBdr>
    </w:div>
    <w:div w:id="865674947">
      <w:bodyDiv w:val="1"/>
      <w:marLeft w:val="0"/>
      <w:marRight w:val="0"/>
      <w:marTop w:val="0"/>
      <w:marBottom w:val="0"/>
      <w:divBdr>
        <w:top w:val="none" w:sz="0" w:space="0" w:color="auto"/>
        <w:left w:val="none" w:sz="0" w:space="0" w:color="auto"/>
        <w:bottom w:val="none" w:sz="0" w:space="0" w:color="auto"/>
        <w:right w:val="none" w:sz="0" w:space="0" w:color="auto"/>
      </w:divBdr>
    </w:div>
    <w:div w:id="893199081">
      <w:bodyDiv w:val="1"/>
      <w:marLeft w:val="0"/>
      <w:marRight w:val="0"/>
      <w:marTop w:val="0"/>
      <w:marBottom w:val="0"/>
      <w:divBdr>
        <w:top w:val="none" w:sz="0" w:space="0" w:color="auto"/>
        <w:left w:val="none" w:sz="0" w:space="0" w:color="auto"/>
        <w:bottom w:val="none" w:sz="0" w:space="0" w:color="auto"/>
        <w:right w:val="none" w:sz="0" w:space="0" w:color="auto"/>
      </w:divBdr>
    </w:div>
    <w:div w:id="1029376441">
      <w:bodyDiv w:val="1"/>
      <w:marLeft w:val="0"/>
      <w:marRight w:val="0"/>
      <w:marTop w:val="0"/>
      <w:marBottom w:val="0"/>
      <w:divBdr>
        <w:top w:val="none" w:sz="0" w:space="0" w:color="auto"/>
        <w:left w:val="none" w:sz="0" w:space="0" w:color="auto"/>
        <w:bottom w:val="none" w:sz="0" w:space="0" w:color="auto"/>
        <w:right w:val="none" w:sz="0" w:space="0" w:color="auto"/>
      </w:divBdr>
    </w:div>
    <w:div w:id="1054045664">
      <w:bodyDiv w:val="1"/>
      <w:marLeft w:val="0"/>
      <w:marRight w:val="0"/>
      <w:marTop w:val="0"/>
      <w:marBottom w:val="0"/>
      <w:divBdr>
        <w:top w:val="none" w:sz="0" w:space="0" w:color="auto"/>
        <w:left w:val="none" w:sz="0" w:space="0" w:color="auto"/>
        <w:bottom w:val="none" w:sz="0" w:space="0" w:color="auto"/>
        <w:right w:val="none" w:sz="0" w:space="0" w:color="auto"/>
      </w:divBdr>
    </w:div>
    <w:div w:id="1174681616">
      <w:bodyDiv w:val="1"/>
      <w:marLeft w:val="0"/>
      <w:marRight w:val="0"/>
      <w:marTop w:val="0"/>
      <w:marBottom w:val="0"/>
      <w:divBdr>
        <w:top w:val="none" w:sz="0" w:space="0" w:color="auto"/>
        <w:left w:val="none" w:sz="0" w:space="0" w:color="auto"/>
        <w:bottom w:val="none" w:sz="0" w:space="0" w:color="auto"/>
        <w:right w:val="none" w:sz="0" w:space="0" w:color="auto"/>
      </w:divBdr>
    </w:div>
    <w:div w:id="1358848748">
      <w:bodyDiv w:val="1"/>
      <w:marLeft w:val="0"/>
      <w:marRight w:val="0"/>
      <w:marTop w:val="0"/>
      <w:marBottom w:val="0"/>
      <w:divBdr>
        <w:top w:val="none" w:sz="0" w:space="0" w:color="auto"/>
        <w:left w:val="none" w:sz="0" w:space="0" w:color="auto"/>
        <w:bottom w:val="none" w:sz="0" w:space="0" w:color="auto"/>
        <w:right w:val="none" w:sz="0" w:space="0" w:color="auto"/>
      </w:divBdr>
    </w:div>
    <w:div w:id="1409696116">
      <w:bodyDiv w:val="1"/>
      <w:marLeft w:val="0"/>
      <w:marRight w:val="0"/>
      <w:marTop w:val="0"/>
      <w:marBottom w:val="0"/>
      <w:divBdr>
        <w:top w:val="none" w:sz="0" w:space="0" w:color="auto"/>
        <w:left w:val="none" w:sz="0" w:space="0" w:color="auto"/>
        <w:bottom w:val="none" w:sz="0" w:space="0" w:color="auto"/>
        <w:right w:val="none" w:sz="0" w:space="0" w:color="auto"/>
      </w:divBdr>
    </w:div>
    <w:div w:id="1446079642">
      <w:bodyDiv w:val="1"/>
      <w:marLeft w:val="0"/>
      <w:marRight w:val="0"/>
      <w:marTop w:val="0"/>
      <w:marBottom w:val="0"/>
      <w:divBdr>
        <w:top w:val="none" w:sz="0" w:space="0" w:color="auto"/>
        <w:left w:val="none" w:sz="0" w:space="0" w:color="auto"/>
        <w:bottom w:val="none" w:sz="0" w:space="0" w:color="auto"/>
        <w:right w:val="none" w:sz="0" w:space="0" w:color="auto"/>
      </w:divBdr>
    </w:div>
    <w:div w:id="1568760418">
      <w:bodyDiv w:val="1"/>
      <w:marLeft w:val="0"/>
      <w:marRight w:val="0"/>
      <w:marTop w:val="0"/>
      <w:marBottom w:val="0"/>
      <w:divBdr>
        <w:top w:val="none" w:sz="0" w:space="0" w:color="auto"/>
        <w:left w:val="none" w:sz="0" w:space="0" w:color="auto"/>
        <w:bottom w:val="none" w:sz="0" w:space="0" w:color="auto"/>
        <w:right w:val="none" w:sz="0" w:space="0" w:color="auto"/>
      </w:divBdr>
    </w:div>
    <w:div w:id="1673677381">
      <w:bodyDiv w:val="1"/>
      <w:marLeft w:val="0"/>
      <w:marRight w:val="0"/>
      <w:marTop w:val="0"/>
      <w:marBottom w:val="0"/>
      <w:divBdr>
        <w:top w:val="none" w:sz="0" w:space="0" w:color="auto"/>
        <w:left w:val="none" w:sz="0" w:space="0" w:color="auto"/>
        <w:bottom w:val="none" w:sz="0" w:space="0" w:color="auto"/>
        <w:right w:val="none" w:sz="0" w:space="0" w:color="auto"/>
      </w:divBdr>
    </w:div>
    <w:div w:id="1859154511">
      <w:bodyDiv w:val="1"/>
      <w:marLeft w:val="0"/>
      <w:marRight w:val="0"/>
      <w:marTop w:val="0"/>
      <w:marBottom w:val="0"/>
      <w:divBdr>
        <w:top w:val="none" w:sz="0" w:space="0" w:color="auto"/>
        <w:left w:val="none" w:sz="0" w:space="0" w:color="auto"/>
        <w:bottom w:val="none" w:sz="0" w:space="0" w:color="auto"/>
        <w:right w:val="none" w:sz="0" w:space="0" w:color="auto"/>
      </w:divBdr>
    </w:div>
    <w:div w:id="1951156829">
      <w:bodyDiv w:val="1"/>
      <w:marLeft w:val="0"/>
      <w:marRight w:val="0"/>
      <w:marTop w:val="0"/>
      <w:marBottom w:val="0"/>
      <w:divBdr>
        <w:top w:val="none" w:sz="0" w:space="0" w:color="auto"/>
        <w:left w:val="none" w:sz="0" w:space="0" w:color="auto"/>
        <w:bottom w:val="none" w:sz="0" w:space="0" w:color="auto"/>
        <w:right w:val="none" w:sz="0" w:space="0" w:color="auto"/>
      </w:divBdr>
    </w:div>
    <w:div w:id="2135832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wisdomlib.org/definition/avirodha" TargetMode="External"/><Relationship Id="rId1" Type="http://schemas.openxmlformats.org/officeDocument/2006/relationships/hyperlink" Target="https://www.buddhisma2z.com/content.php?id=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BEC7B-2271-4615-BE6E-2D9242EBF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1376</Words>
  <Characters>7710</Characters>
  <Application>Microsoft Office Word</Application>
  <DocSecurity>0</DocSecurity>
  <Lines>202</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Campion</dc:creator>
  <cp:keywords/>
  <dc:description/>
  <cp:lastModifiedBy>Nicholas Campion</cp:lastModifiedBy>
  <cp:revision>4</cp:revision>
  <dcterms:created xsi:type="dcterms:W3CDTF">2024-01-21T12:53:00Z</dcterms:created>
  <dcterms:modified xsi:type="dcterms:W3CDTF">2024-01-21T12:54:00Z</dcterms:modified>
</cp:coreProperties>
</file>