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8D260" w14:textId="77777777" w:rsidR="00CD3443" w:rsidRDefault="00CD3443" w:rsidP="00CD3443">
      <w:r>
        <w:rPr>
          <w:noProof/>
        </w:rPr>
        <w:drawing>
          <wp:inline distT="0" distB="0" distL="0" distR="0" wp14:anchorId="5794CE05" wp14:editId="02B081B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12B7448" w14:textId="77777777" w:rsidR="00CD3443" w:rsidRDefault="00CD3443" w:rsidP="00CD3443"/>
    <w:p w14:paraId="5B18CBF7" w14:textId="77777777" w:rsidR="00CD3443" w:rsidRDefault="00CD3443" w:rsidP="00CD3443"/>
    <w:p w14:paraId="724B4E59" w14:textId="607A81E8" w:rsidR="00FA765B" w:rsidRPr="00F85B51" w:rsidRDefault="0054118C" w:rsidP="00FA765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t>Assignment</w:t>
      </w:r>
    </w:p>
    <w:p w14:paraId="4E099BE6" w14:textId="0A866488" w:rsidR="00FA765B" w:rsidRPr="00F85B51" w:rsidRDefault="007D693A" w:rsidP="00FA765B">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Support Work with Special Needs Children: Difficult but Rewarding</w:t>
      </w:r>
    </w:p>
    <w:p w14:paraId="73E1F653" w14:textId="77777777" w:rsidR="00CD3443" w:rsidRDefault="00CD3443" w:rsidP="00CD3443"/>
    <w:p w14:paraId="37E83EF3" w14:textId="77777777" w:rsidR="00D23D40" w:rsidRPr="00D23D40" w:rsidRDefault="00D23D40" w:rsidP="00D23D40">
      <w:pPr>
        <w:shd w:val="clear" w:color="auto" w:fill="FFFFFF"/>
        <w:spacing w:before="240"/>
        <w:rPr>
          <w:rFonts w:ascii="Arial" w:eastAsia="Times New Roman" w:hAnsi="Arial" w:cs="Arial"/>
          <w:kern w:val="0"/>
          <w:sz w:val="28"/>
          <w:szCs w:val="28"/>
          <w:lang w:eastAsia="en-GB"/>
          <w14:ligatures w14:val="none"/>
        </w:rPr>
      </w:pPr>
      <w:r w:rsidRPr="00D23D40">
        <w:rPr>
          <w:rFonts w:ascii="Arial" w:eastAsia="Times New Roman" w:hAnsi="Arial" w:cs="Arial"/>
          <w:b/>
          <w:bCs/>
          <w:kern w:val="0"/>
          <w:sz w:val="28"/>
          <w:szCs w:val="28"/>
          <w:lang w:eastAsia="en-GB"/>
          <w14:ligatures w14:val="none"/>
        </w:rPr>
        <w:t>Student Name:</w:t>
      </w:r>
      <w:r w:rsidRPr="00D23D40">
        <w:rPr>
          <w:rFonts w:ascii="Arial" w:eastAsia="Times New Roman" w:hAnsi="Arial" w:cs="Arial"/>
          <w:kern w:val="0"/>
          <w:sz w:val="28"/>
          <w:szCs w:val="28"/>
          <w:lang w:eastAsia="en-GB"/>
          <w14:ligatures w14:val="none"/>
        </w:rPr>
        <w:t> Sadia Batool</w:t>
      </w:r>
    </w:p>
    <w:p w14:paraId="63C3D248" w14:textId="77777777" w:rsidR="00D23D40" w:rsidRPr="00D23D40" w:rsidRDefault="00D23D40" w:rsidP="00D23D40">
      <w:pPr>
        <w:shd w:val="clear" w:color="auto" w:fill="FFFFFF"/>
        <w:rPr>
          <w:rFonts w:ascii="Arial" w:eastAsia="Times New Roman" w:hAnsi="Arial" w:cs="Arial"/>
          <w:kern w:val="0"/>
          <w:sz w:val="28"/>
          <w:szCs w:val="28"/>
          <w:lang w:eastAsia="en-GB"/>
          <w14:ligatures w14:val="none"/>
        </w:rPr>
      </w:pPr>
      <w:r w:rsidRPr="00D23D40">
        <w:rPr>
          <w:rFonts w:ascii="Arial" w:eastAsia="Times New Roman" w:hAnsi="Arial" w:cs="Arial"/>
          <w:b/>
          <w:bCs/>
          <w:kern w:val="0"/>
          <w:sz w:val="28"/>
          <w:szCs w:val="28"/>
          <w:lang w:eastAsia="en-GB"/>
          <w14:ligatures w14:val="none"/>
        </w:rPr>
        <w:t>Student ID Number:</w:t>
      </w:r>
      <w:r w:rsidRPr="00D23D40">
        <w:rPr>
          <w:rFonts w:ascii="Arial" w:eastAsia="Times New Roman" w:hAnsi="Arial" w:cs="Arial"/>
          <w:kern w:val="0"/>
          <w:sz w:val="28"/>
          <w:szCs w:val="28"/>
          <w:lang w:eastAsia="en-GB"/>
          <w14:ligatures w14:val="none"/>
        </w:rPr>
        <w:t> 2512945</w:t>
      </w:r>
    </w:p>
    <w:p w14:paraId="6A670479" w14:textId="77777777" w:rsidR="00D23D40" w:rsidRPr="00D23D40" w:rsidRDefault="00D23D40" w:rsidP="00D23D40">
      <w:pPr>
        <w:shd w:val="clear" w:color="auto" w:fill="FFFFFF"/>
        <w:rPr>
          <w:rFonts w:ascii="Arial" w:eastAsia="Times New Roman" w:hAnsi="Arial" w:cs="Arial"/>
          <w:kern w:val="0"/>
          <w:sz w:val="28"/>
          <w:szCs w:val="28"/>
          <w:lang w:eastAsia="en-GB"/>
          <w14:ligatures w14:val="none"/>
        </w:rPr>
      </w:pPr>
      <w:r w:rsidRPr="00D23D40">
        <w:rPr>
          <w:rFonts w:ascii="Arial" w:eastAsia="Times New Roman" w:hAnsi="Arial" w:cs="Arial"/>
          <w:b/>
          <w:bCs/>
          <w:kern w:val="0"/>
          <w:sz w:val="28"/>
          <w:szCs w:val="28"/>
          <w:lang w:eastAsia="en-GB"/>
          <w14:ligatures w14:val="none"/>
        </w:rPr>
        <w:t>Module Code:</w:t>
      </w:r>
      <w:r w:rsidRPr="00D23D40">
        <w:rPr>
          <w:rFonts w:ascii="Arial" w:eastAsia="Times New Roman" w:hAnsi="Arial" w:cs="Arial"/>
          <w:kern w:val="0"/>
          <w:sz w:val="28"/>
          <w:szCs w:val="28"/>
          <w:lang w:eastAsia="en-GB"/>
          <w14:ligatures w14:val="none"/>
        </w:rPr>
        <w:t> LCHS4001(Task 3)</w:t>
      </w:r>
    </w:p>
    <w:p w14:paraId="0D237A84" w14:textId="77777777" w:rsidR="00D23D40" w:rsidRPr="00D23D40" w:rsidRDefault="00D23D40" w:rsidP="00D23D40">
      <w:pPr>
        <w:shd w:val="clear" w:color="auto" w:fill="FFFFFF"/>
        <w:rPr>
          <w:rFonts w:ascii="Arial" w:eastAsia="Times New Roman" w:hAnsi="Arial" w:cs="Arial"/>
          <w:kern w:val="0"/>
          <w:sz w:val="28"/>
          <w:szCs w:val="28"/>
          <w:lang w:eastAsia="en-GB"/>
          <w14:ligatures w14:val="none"/>
        </w:rPr>
      </w:pPr>
      <w:r w:rsidRPr="00D23D40">
        <w:rPr>
          <w:rFonts w:ascii="Arial" w:eastAsia="Times New Roman" w:hAnsi="Arial" w:cs="Arial"/>
          <w:b/>
          <w:bCs/>
          <w:kern w:val="0"/>
          <w:sz w:val="28"/>
          <w:szCs w:val="28"/>
          <w:lang w:eastAsia="en-GB"/>
          <w14:ligatures w14:val="none"/>
        </w:rPr>
        <w:t>Module Title:</w:t>
      </w:r>
      <w:r w:rsidRPr="00D23D40">
        <w:rPr>
          <w:rFonts w:ascii="Arial" w:eastAsia="Times New Roman" w:hAnsi="Arial" w:cs="Arial"/>
          <w:kern w:val="0"/>
          <w:sz w:val="28"/>
          <w:szCs w:val="28"/>
          <w:lang w:eastAsia="en-GB"/>
          <w14:ligatures w14:val="none"/>
        </w:rPr>
        <w:t> Academic and Employability Skills</w:t>
      </w:r>
    </w:p>
    <w:p w14:paraId="251FC44A" w14:textId="77777777" w:rsidR="00D23D40" w:rsidRPr="00D23D40" w:rsidRDefault="00D23D40" w:rsidP="00D23D40">
      <w:pPr>
        <w:jc w:val="both"/>
        <w:rPr>
          <w:rFonts w:ascii="Quattrocento Sans" w:eastAsia="Quattrocento Sans" w:hAnsi="Quattrocento Sans" w:cs="Quattrocento Sans"/>
          <w:kern w:val="0"/>
          <w:sz w:val="28"/>
          <w:szCs w:val="28"/>
          <w:lang w:eastAsia="en-GB"/>
          <w14:ligatures w14:val="none"/>
        </w:rPr>
      </w:pPr>
      <w:r w:rsidRPr="00D23D40">
        <w:rPr>
          <w:rFonts w:ascii="Arial" w:eastAsia="Times New Roman" w:hAnsi="Arial" w:cs="Arial"/>
          <w:b/>
          <w:bCs/>
          <w:kern w:val="0"/>
          <w:sz w:val="28"/>
          <w:szCs w:val="28"/>
          <w:lang w:eastAsia="en-GB"/>
          <w14:ligatures w14:val="none"/>
        </w:rPr>
        <w:t xml:space="preserve">Lecturer's Name: </w:t>
      </w:r>
      <w:r w:rsidRPr="00D23D40">
        <w:rPr>
          <w:rFonts w:ascii="Arial" w:eastAsia="Quattrocento Sans" w:hAnsi="Arial" w:cs="Arial"/>
          <w:kern w:val="0"/>
          <w:sz w:val="28"/>
          <w:szCs w:val="28"/>
          <w:lang w:eastAsia="en-GB"/>
          <w14:ligatures w14:val="none"/>
        </w:rPr>
        <w:t>Daniel Jenkin Smith</w:t>
      </w:r>
    </w:p>
    <w:p w14:paraId="2AADB963" w14:textId="77777777" w:rsidR="00CD3443" w:rsidRPr="00EA5203" w:rsidRDefault="00CD3443" w:rsidP="00CD3443">
      <w:pPr>
        <w:jc w:val="both"/>
        <w:rPr>
          <w:rFonts w:ascii="Arial" w:hAnsi="Arial" w:cs="Arial"/>
          <w:sz w:val="28"/>
          <w:szCs w:val="28"/>
        </w:rPr>
      </w:pPr>
    </w:p>
    <w:p w14:paraId="65ADCCC0" w14:textId="671D3D91" w:rsidR="00CD3443" w:rsidRPr="00EA5203" w:rsidRDefault="00CD3443" w:rsidP="00CD3443">
      <w:pPr>
        <w:jc w:val="both"/>
        <w:rPr>
          <w:rFonts w:ascii="Arial" w:hAnsi="Arial" w:cs="Arial"/>
          <w:sz w:val="28"/>
          <w:szCs w:val="28"/>
        </w:rPr>
      </w:pPr>
      <w:r w:rsidRPr="00D82579">
        <w:rPr>
          <w:rFonts w:ascii="Arial" w:hAnsi="Arial" w:cs="Arial"/>
          <w:b/>
          <w:bCs/>
          <w:sz w:val="28"/>
          <w:szCs w:val="28"/>
        </w:rPr>
        <w:t>Submitted on:</w:t>
      </w:r>
      <w:r w:rsidRPr="00EA5203">
        <w:rPr>
          <w:rFonts w:ascii="Arial" w:hAnsi="Arial" w:cs="Arial"/>
          <w:sz w:val="28"/>
          <w:szCs w:val="28"/>
        </w:rPr>
        <w:t xml:space="preserve">  </w:t>
      </w:r>
      <w:r w:rsidR="00722934" w:rsidRPr="00EA5203">
        <w:rPr>
          <w:rFonts w:ascii="Arial" w:hAnsi="Arial" w:cs="Arial"/>
          <w:sz w:val="28"/>
          <w:szCs w:val="28"/>
        </w:rPr>
        <w:t>2</w:t>
      </w:r>
      <w:r w:rsidR="00D23D40">
        <w:rPr>
          <w:rFonts w:ascii="Arial" w:hAnsi="Arial" w:cs="Arial"/>
          <w:sz w:val="28"/>
          <w:szCs w:val="28"/>
        </w:rPr>
        <w:t>6</w:t>
      </w:r>
      <w:r w:rsidR="00722934" w:rsidRPr="00EA5203">
        <w:rPr>
          <w:rFonts w:ascii="Arial" w:hAnsi="Arial" w:cs="Arial"/>
          <w:sz w:val="28"/>
          <w:szCs w:val="28"/>
          <w:vertAlign w:val="superscript"/>
        </w:rPr>
        <w:t>th</w:t>
      </w:r>
      <w:r w:rsidR="00722934" w:rsidRPr="00EA5203">
        <w:rPr>
          <w:rFonts w:ascii="Arial" w:hAnsi="Arial" w:cs="Arial"/>
          <w:sz w:val="28"/>
          <w:szCs w:val="28"/>
        </w:rPr>
        <w:t xml:space="preserve"> March 2026</w:t>
      </w:r>
    </w:p>
    <w:p w14:paraId="22DA3039" w14:textId="77777777" w:rsidR="00CD3443" w:rsidRDefault="00CD3443" w:rsidP="004A407F">
      <w:pPr>
        <w:rPr>
          <w:rFonts w:ascii="Arial" w:hAnsi="Arial" w:cs="Arial"/>
          <w:b/>
          <w:bCs/>
        </w:rPr>
      </w:pPr>
    </w:p>
    <w:p w14:paraId="19294715" w14:textId="77777777" w:rsidR="00CD3443" w:rsidRDefault="00CD3443" w:rsidP="004A407F">
      <w:pPr>
        <w:rPr>
          <w:rFonts w:ascii="Arial" w:hAnsi="Arial" w:cs="Arial"/>
          <w:b/>
          <w:bCs/>
        </w:rPr>
      </w:pPr>
    </w:p>
    <w:p w14:paraId="7F1B831F" w14:textId="77777777" w:rsidR="00CD3443" w:rsidRDefault="00CD3443" w:rsidP="004A407F">
      <w:pPr>
        <w:rPr>
          <w:rFonts w:ascii="Arial" w:hAnsi="Arial" w:cs="Arial"/>
          <w:b/>
          <w:bCs/>
        </w:rPr>
      </w:pPr>
    </w:p>
    <w:p w14:paraId="68B54EA2" w14:textId="77777777" w:rsidR="00CD3443" w:rsidRDefault="00CD3443" w:rsidP="004A407F">
      <w:pPr>
        <w:rPr>
          <w:rFonts w:ascii="Arial" w:hAnsi="Arial" w:cs="Arial"/>
          <w:b/>
          <w:bCs/>
        </w:rPr>
      </w:pPr>
    </w:p>
    <w:p w14:paraId="3FE0B89E" w14:textId="77777777" w:rsidR="00CD3443" w:rsidRDefault="00CD3443" w:rsidP="004A407F">
      <w:pPr>
        <w:rPr>
          <w:rFonts w:ascii="Arial" w:hAnsi="Arial" w:cs="Arial"/>
          <w:b/>
          <w:bCs/>
        </w:rPr>
      </w:pPr>
    </w:p>
    <w:p w14:paraId="3865F316" w14:textId="77777777" w:rsidR="00CD3443" w:rsidRDefault="00CD3443" w:rsidP="004A407F">
      <w:pPr>
        <w:rPr>
          <w:rFonts w:ascii="Arial" w:hAnsi="Arial" w:cs="Arial"/>
          <w:b/>
          <w:bCs/>
        </w:rPr>
      </w:pPr>
    </w:p>
    <w:p w14:paraId="2DCD26A2" w14:textId="77777777" w:rsidR="00CD3443" w:rsidRDefault="00CD3443" w:rsidP="004A407F">
      <w:pPr>
        <w:rPr>
          <w:rFonts w:ascii="Arial" w:hAnsi="Arial" w:cs="Arial"/>
          <w:b/>
          <w:bCs/>
        </w:rPr>
      </w:pPr>
    </w:p>
    <w:p w14:paraId="3B4EDE78" w14:textId="77777777" w:rsidR="00CD3443" w:rsidRDefault="00CD3443" w:rsidP="004A407F">
      <w:pPr>
        <w:rPr>
          <w:rFonts w:ascii="Arial" w:hAnsi="Arial" w:cs="Arial"/>
          <w:b/>
          <w:bCs/>
        </w:rPr>
      </w:pPr>
    </w:p>
    <w:p w14:paraId="7750B104" w14:textId="77777777" w:rsidR="00CD3443" w:rsidRDefault="00CD3443" w:rsidP="004A407F">
      <w:pPr>
        <w:rPr>
          <w:rFonts w:ascii="Arial" w:hAnsi="Arial" w:cs="Arial"/>
          <w:b/>
          <w:bCs/>
        </w:rPr>
      </w:pPr>
    </w:p>
    <w:p w14:paraId="4427E8F4" w14:textId="77777777" w:rsidR="00CD3443" w:rsidRDefault="00CD3443" w:rsidP="004A407F">
      <w:pPr>
        <w:rPr>
          <w:rFonts w:ascii="Arial" w:hAnsi="Arial" w:cs="Arial"/>
          <w:b/>
          <w:bCs/>
        </w:rPr>
      </w:pPr>
    </w:p>
    <w:p w14:paraId="62B3F2A1" w14:textId="77777777" w:rsidR="00CD3443" w:rsidRDefault="00CD3443" w:rsidP="004A407F">
      <w:pPr>
        <w:rPr>
          <w:rFonts w:ascii="Arial" w:hAnsi="Arial" w:cs="Arial"/>
          <w:b/>
          <w:bCs/>
        </w:rPr>
      </w:pPr>
    </w:p>
    <w:p w14:paraId="179C7C6C"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lastRenderedPageBreak/>
        <w:t>Introduction</w:t>
      </w:r>
    </w:p>
    <w:p w14:paraId="67F70AEF" w14:textId="283F9AFF"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 xml:space="preserve">Child support workers provide vital care and assistance to young people facing physical disabilities, learning difficulties, autism, and other complex health issues. Children with special needs require extra support with daily activities, education, and </w:t>
      </w:r>
      <w:r w:rsidR="004C4C89">
        <w:rPr>
          <w:rFonts w:ascii="Arial" w:eastAsia="Times New Roman" w:hAnsi="Arial" w:cs="Arial"/>
          <w:color w:val="0F1115"/>
          <w:kern w:val="0"/>
          <w:lang w:eastAsia="en-GB"/>
          <w14:ligatures w14:val="none"/>
        </w:rPr>
        <w:t>the pursuit of</w:t>
      </w:r>
      <w:r w:rsidRPr="008B68EE">
        <w:rPr>
          <w:rFonts w:ascii="Arial" w:eastAsia="Times New Roman" w:hAnsi="Arial" w:cs="Arial"/>
          <w:color w:val="0F1115"/>
          <w:kern w:val="0"/>
          <w:lang w:eastAsia="en-GB"/>
          <w14:ligatures w14:val="none"/>
        </w:rPr>
        <w:t xml:space="preserve"> their potential. Therefore, hiring a support worker is essential to ensure these children receive the care, dignity, and opportunities they deserve.</w:t>
      </w:r>
    </w:p>
    <w:p w14:paraId="5EFCCFCE"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Working with children who have special needs is both challenging and rewarding, demanding a combination of personal qualities and professional skills that should be continually developed. Challenges arise from the complexity and unpredictability of the work, the emotional strain of supporting vulnerable children, and communication difficulties. However, the rewards are significant: the hope of making a real difference in children’s lives, joy in seeing small behavioural improvements, and the satisfaction of building trusting relationships with both children and their families.</w:t>
      </w:r>
    </w:p>
    <w:p w14:paraId="4942F4C2"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This report will explore the role of support workers in assisting children with special needs, focusing on three essential skills needed to perform this role effectively and strategies to cultivate these abilities.</w:t>
      </w:r>
    </w:p>
    <w:p w14:paraId="0944F8A8"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The Role of a Support Worker for Children with Special Needs</w:t>
      </w:r>
    </w:p>
    <w:p w14:paraId="59DFA3D4"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A support worker for children with special needs is someone who cares for and supports children and young people requiring extra help due to disabilities or developmental conditions (Hasson et al., 2022). They play a vital role in enhancing quality of life by promoting independence, ensuring safety, and supporting the physical and emotional well-being of these children and young people.</w:t>
      </w:r>
    </w:p>
    <w:p w14:paraId="2F98923A"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This role entails close collaboration with families, teachers, healthcare professionals, and social workers to develop a coordinated, person-centred care plan. Common responsibilities include assisting with personal care, providing emotional and behavioural support, organising activities, facilitating communication, and monitoring health and medication.</w:t>
      </w:r>
    </w:p>
    <w:p w14:paraId="361A4ACC"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Why Working with Children with Special Needs Is Challenging</w:t>
      </w:r>
    </w:p>
    <w:p w14:paraId="0C7F17BA"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Many hurdles make working with children with special needs demanding. Emotionally intense situations are common in a support worker’s daily routine, as they witness children in distress, pain, or frustration (McMain, 2023). Establishing a strong rapport and connection with children, which can lead to referrals to other services or adult care, can also be emotionally taxing. The physical aspect of the role involves lifting, transferring, and supporting children with mobility issues.</w:t>
      </w:r>
    </w:p>
    <w:p w14:paraId="4D7E7BB8"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lastRenderedPageBreak/>
        <w:t>An even greater challenge is the communication barrier, since not all children can express themselves verbally; hence, a support worker must master understanding behaviour and body language.</w:t>
      </w:r>
    </w:p>
    <w:p w14:paraId="113B1C2B"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Why Working with Children with Special Needs Is Rewarding</w:t>
      </w:r>
    </w:p>
    <w:p w14:paraId="10EC8000" w14:textId="2FAF9B05"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 xml:space="preserve">Despite the considerable challenges, working with children with special needs is profoundly rewarding. Support workers </w:t>
      </w:r>
      <w:proofErr w:type="gramStart"/>
      <w:r w:rsidRPr="008B68EE">
        <w:rPr>
          <w:rFonts w:ascii="Arial" w:eastAsia="Times New Roman" w:hAnsi="Arial" w:cs="Arial"/>
          <w:color w:val="0F1115"/>
          <w:kern w:val="0"/>
          <w:lang w:eastAsia="en-GB"/>
          <w14:ligatures w14:val="none"/>
        </w:rPr>
        <w:t>have the opportunity to</w:t>
      </w:r>
      <w:proofErr w:type="gramEnd"/>
      <w:r w:rsidRPr="008B68EE">
        <w:rPr>
          <w:rFonts w:ascii="Arial" w:eastAsia="Times New Roman" w:hAnsi="Arial" w:cs="Arial"/>
          <w:color w:val="0F1115"/>
          <w:kern w:val="0"/>
          <w:lang w:eastAsia="en-GB"/>
          <w14:ligatures w14:val="none"/>
        </w:rPr>
        <w:t xml:space="preserve"> make tangible differences in children’s lives (</w:t>
      </w:r>
      <w:proofErr w:type="spellStart"/>
      <w:r w:rsidRPr="008B68EE">
        <w:rPr>
          <w:rFonts w:ascii="Arial" w:eastAsia="Times New Roman" w:hAnsi="Arial" w:cs="Arial"/>
          <w:color w:val="0F1115"/>
          <w:kern w:val="0"/>
          <w:lang w:eastAsia="en-GB"/>
          <w14:ligatures w14:val="none"/>
        </w:rPr>
        <w:t>Cologon</w:t>
      </w:r>
      <w:proofErr w:type="spellEnd"/>
      <w:r w:rsidR="00484E1A">
        <w:rPr>
          <w:rFonts w:ascii="Arial" w:eastAsia="Times New Roman" w:hAnsi="Arial" w:cs="Arial"/>
          <w:color w:val="0F1115"/>
          <w:kern w:val="0"/>
          <w:lang w:eastAsia="en-GB"/>
          <w14:ligatures w14:val="none"/>
        </w:rPr>
        <w:t xml:space="preserve"> et al.</w:t>
      </w:r>
      <w:r w:rsidRPr="008B68EE">
        <w:rPr>
          <w:rFonts w:ascii="Arial" w:eastAsia="Times New Roman" w:hAnsi="Arial" w:cs="Arial"/>
          <w:color w:val="0F1115"/>
          <w:kern w:val="0"/>
          <w:lang w:eastAsia="en-GB"/>
          <w14:ligatures w14:val="none"/>
        </w:rPr>
        <w:t>, 2020). Witnessing improvements — whether a child learning a new sign to communicate or taking their first independent steps — provides immense job satisfaction and a sense of achievement.</w:t>
      </w:r>
    </w:p>
    <w:p w14:paraId="0EED941F"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Building trusting relationships with children, who show their trust and affection in unique ways, is also highly rewarding. Support workers can transform families and foster positive change through respite care and updates on the child’s progress, offering hope and motivation.</w:t>
      </w:r>
    </w:p>
    <w:p w14:paraId="107577C3"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Essential Skills 1: Emotional Resilience and Patience</w:t>
      </w:r>
    </w:p>
    <w:p w14:paraId="025F040E"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Patience and emotional strength are critical qualities for working with children with special needs. Children with autism, ADHD, and other challenging conditions may exhibit behavioural issues, lack verbal communication skills, and require ongoing support for simple tasks (</w:t>
      </w:r>
      <w:proofErr w:type="spellStart"/>
      <w:r w:rsidRPr="008B68EE">
        <w:rPr>
          <w:rFonts w:ascii="Arial" w:eastAsia="Times New Roman" w:hAnsi="Arial" w:cs="Arial"/>
          <w:color w:val="0F1115"/>
          <w:kern w:val="0"/>
          <w:lang w:eastAsia="en-GB"/>
          <w14:ligatures w14:val="none"/>
        </w:rPr>
        <w:t>Minsih</w:t>
      </w:r>
      <w:proofErr w:type="spellEnd"/>
      <w:r w:rsidRPr="008B68EE">
        <w:rPr>
          <w:rFonts w:ascii="Arial" w:eastAsia="Times New Roman" w:hAnsi="Arial" w:cs="Arial"/>
          <w:color w:val="0F1115"/>
          <w:kern w:val="0"/>
          <w:lang w:eastAsia="en-GB"/>
          <w14:ligatures w14:val="none"/>
        </w:rPr>
        <w:t xml:space="preserve"> et al., 2025). In such cases, patience is vital, as a child’s progress can be slow, gradual, and unpredictable. It may take weeks for a child to learn a new skill, and minor setbacks due to distress or illness can cause regression. Support workers should remain calm and encouraging throughout the learning process, celebrating even small behavioural improvements.</w:t>
      </w:r>
    </w:p>
    <w:p w14:paraId="45356E4B" w14:textId="77777777" w:rsidR="008B68EE" w:rsidRPr="008B68EE"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Support workers are often exposed to emotionally distressing situations, making emotional resilience highly important. Emphasising resilience can help them feel valued for their strength and motivate ongoing skill development. Research shows that more patient and resilient employees tend to have better relationships with children and lower rates of burnout and job stress.</w:t>
      </w:r>
    </w:p>
    <w:p w14:paraId="4A806620" w14:textId="77777777" w:rsidR="008B68EE" w:rsidRDefault="008B68EE" w:rsidP="004C4C89">
      <w:pPr>
        <w:spacing w:line="360" w:lineRule="auto"/>
        <w:jc w:val="both"/>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Essential Skill 2: Communication and Active Listening</w:t>
      </w:r>
    </w:p>
    <w:p w14:paraId="6B72049D" w14:textId="7D6F6C30" w:rsidR="00EA5A9F" w:rsidRPr="00EA5A9F" w:rsidRDefault="008B68EE" w:rsidP="004C4C89">
      <w:pPr>
        <w:spacing w:line="360" w:lineRule="auto"/>
        <w:jc w:val="both"/>
        <w:rPr>
          <w:rFonts w:ascii="Arial" w:eastAsia="Times New Roman" w:hAnsi="Arial" w:cs="Arial"/>
          <w:color w:val="0F1115"/>
          <w:kern w:val="0"/>
          <w:lang w:eastAsia="en-GB"/>
          <w14:ligatures w14:val="none"/>
        </w:rPr>
      </w:pPr>
      <w:r w:rsidRPr="008B68EE">
        <w:rPr>
          <w:rFonts w:ascii="Arial" w:eastAsia="Times New Roman" w:hAnsi="Arial" w:cs="Arial"/>
          <w:color w:val="0F1115"/>
          <w:kern w:val="0"/>
          <w:lang w:eastAsia="en-GB"/>
          <w14:ligatures w14:val="none"/>
        </w:rPr>
        <w:t xml:space="preserve">Another vital skill for support workers is effective communication. Many children with special needs face communication challenges; for some, verbal communication may be inaccessible (Heady et al., 2022). Workers need to learn a variety of communication techniques and listen attentively to interpret children’s nonverbal cues. Poor communication can lead to frustration and behavioural issues. For example, a nonverbal child might be distressed because they cannot express their hunger. A support worker who understands this and can provide </w:t>
      </w:r>
      <w:r w:rsidRPr="008B68EE">
        <w:rPr>
          <w:rFonts w:ascii="Arial" w:eastAsia="Times New Roman" w:hAnsi="Arial" w:cs="Arial"/>
          <w:color w:val="0F1115"/>
          <w:kern w:val="0"/>
          <w:lang w:eastAsia="en-GB"/>
          <w14:ligatures w14:val="none"/>
        </w:rPr>
        <w:lastRenderedPageBreak/>
        <w:t>appropriate support greatly enhances the child's wellbeing.</w:t>
      </w:r>
      <w:r>
        <w:rPr>
          <w:rFonts w:ascii="Arial" w:eastAsia="Times New Roman" w:hAnsi="Arial" w:cs="Arial"/>
          <w:b/>
          <w:bCs/>
          <w:color w:val="0F1115"/>
          <w:kern w:val="0"/>
          <w:lang w:eastAsia="en-GB"/>
          <w14:ligatures w14:val="none"/>
        </w:rPr>
        <w:t xml:space="preserve"> </w:t>
      </w:r>
      <w:r w:rsidR="00EA5A9F" w:rsidRPr="00EA5A9F">
        <w:rPr>
          <w:rFonts w:ascii="Arial" w:eastAsia="Times New Roman" w:hAnsi="Arial" w:cs="Arial"/>
          <w:color w:val="0F1115"/>
          <w:kern w:val="0"/>
          <w:lang w:eastAsia="en-GB"/>
          <w14:ligatures w14:val="none"/>
        </w:rPr>
        <w:t xml:space="preserve">food using picture cards helps avoid distress and develop a trusting relationship with the child. </w:t>
      </w:r>
    </w:p>
    <w:p w14:paraId="65A809E4" w14:textId="6ABFBF9E" w:rsidR="00EA5A9F" w:rsidRPr="007A17DF" w:rsidRDefault="00EA5A9F" w:rsidP="004C4C89">
      <w:pPr>
        <w:spacing w:line="360" w:lineRule="auto"/>
        <w:jc w:val="both"/>
        <w:rPr>
          <w:rFonts w:ascii="Arial" w:eastAsia="Times New Roman" w:hAnsi="Arial" w:cs="Arial"/>
          <w:color w:val="0F1115"/>
          <w:kern w:val="0"/>
          <w:lang w:eastAsia="en-GB"/>
          <w14:ligatures w14:val="none"/>
        </w:rPr>
      </w:pPr>
      <w:r w:rsidRPr="00EA5A9F">
        <w:rPr>
          <w:rFonts w:ascii="Arial" w:eastAsia="Times New Roman" w:hAnsi="Arial" w:cs="Arial"/>
          <w:color w:val="0F1115"/>
          <w:kern w:val="0"/>
          <w:lang w:eastAsia="en-GB"/>
          <w14:ligatures w14:val="none"/>
        </w:rPr>
        <w:t xml:space="preserve">Active listening involves paying attention to facial expressions, body language, and behaviour. In the case of non-verbal children, this may imply understanding that rocking behaviour is an indication of anxiety. Effective communication among workers, families, and professionals is also required to facilitate coordinated care. </w:t>
      </w:r>
    </w:p>
    <w:p w14:paraId="7A906BE8" w14:textId="77777777" w:rsidR="00EA5A9F" w:rsidRPr="00EA5A9F" w:rsidRDefault="00EA5A9F" w:rsidP="004C4C89">
      <w:pPr>
        <w:spacing w:after="0"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 xml:space="preserve">Essential Skill 3: Adaptability and Creative Problem Solving </w:t>
      </w:r>
    </w:p>
    <w:p w14:paraId="40C9AB3E" w14:textId="7814E735" w:rsidR="00EA5A9F" w:rsidRPr="007A17DF" w:rsidRDefault="00EA5A9F" w:rsidP="004C4C89">
      <w:pPr>
        <w:spacing w:line="360" w:lineRule="auto"/>
        <w:jc w:val="both"/>
        <w:rPr>
          <w:rFonts w:ascii="Arial" w:eastAsia="Times New Roman" w:hAnsi="Arial" w:cs="Arial"/>
          <w:color w:val="0F1115"/>
          <w:kern w:val="0"/>
          <w:lang w:eastAsia="en-GB"/>
          <w14:ligatures w14:val="none"/>
        </w:rPr>
      </w:pPr>
      <w:r w:rsidRPr="00EA5A9F">
        <w:rPr>
          <w:rFonts w:ascii="Arial" w:eastAsia="Times New Roman" w:hAnsi="Arial" w:cs="Arial"/>
          <w:color w:val="0F1115"/>
          <w:kern w:val="0"/>
          <w:lang w:eastAsia="en-GB"/>
          <w14:ligatures w14:val="none"/>
        </w:rPr>
        <w:t>A support worker needs a lot of flexibility and adaptability, as each day brings different challenges. The children’s conditions vary, routines change unexpectedly, and workers need to think and execute a new plan on the spot. This uncertainty of the child’s behaviour makes the job challenging. Flexibility is also critical, since what works with one child might not work with another, and what was effective yesterday might not be effective today. For instance, autistic children can experience a meltdown because of sensory overload, and a child with a learning disability may need a different technique of learning. All these changes require an immediate adjustment by the worker (</w:t>
      </w:r>
      <w:proofErr w:type="spellStart"/>
      <w:r w:rsidRPr="00EA5A9F">
        <w:rPr>
          <w:rFonts w:ascii="Arial" w:eastAsia="Times New Roman" w:hAnsi="Arial" w:cs="Arial"/>
          <w:color w:val="0F1115"/>
          <w:kern w:val="0"/>
          <w:lang w:eastAsia="en-GB"/>
          <w14:ligatures w14:val="none"/>
        </w:rPr>
        <w:t>Högstedt</w:t>
      </w:r>
      <w:proofErr w:type="spellEnd"/>
      <w:r w:rsidRPr="00EA5A9F">
        <w:rPr>
          <w:rFonts w:ascii="Arial" w:eastAsia="Times New Roman" w:hAnsi="Arial" w:cs="Arial"/>
          <w:color w:val="0F1115"/>
          <w:kern w:val="0"/>
          <w:lang w:eastAsia="en-GB"/>
          <w14:ligatures w14:val="none"/>
        </w:rPr>
        <w:t xml:space="preserve"> </w:t>
      </w:r>
      <w:r w:rsidRPr="00EA5A9F">
        <w:rPr>
          <w:rFonts w:ascii="Arial" w:eastAsia="Times New Roman" w:hAnsi="Arial" w:cs="Arial"/>
          <w:i/>
          <w:iCs/>
          <w:color w:val="0F1115"/>
          <w:kern w:val="0"/>
          <w:lang w:eastAsia="en-GB"/>
          <w14:ligatures w14:val="none"/>
        </w:rPr>
        <w:t>et al.,</w:t>
      </w:r>
      <w:r w:rsidRPr="00EA5A9F">
        <w:rPr>
          <w:rFonts w:ascii="Arial" w:eastAsia="Times New Roman" w:hAnsi="Arial" w:cs="Arial"/>
          <w:color w:val="0F1115"/>
          <w:kern w:val="0"/>
          <w:lang w:eastAsia="en-GB"/>
          <w14:ligatures w14:val="none"/>
        </w:rPr>
        <w:t xml:space="preserve"> 2022)</w:t>
      </w:r>
      <w:r w:rsidRPr="00EA5A9F">
        <w:rPr>
          <w:rFonts w:ascii="Arial" w:eastAsia="Times New Roman" w:hAnsi="Arial" w:cs="Arial"/>
          <w:color w:val="0F1115"/>
          <w:kern w:val="0"/>
          <w:lang w:val="en-US" w:eastAsia="en-GB"/>
          <w14:ligatures w14:val="none"/>
        </w:rPr>
        <w:t>.</w:t>
      </w:r>
      <w:r w:rsidRPr="00EA5A9F">
        <w:rPr>
          <w:rFonts w:ascii="Arial" w:eastAsia="Times New Roman" w:hAnsi="Arial" w:cs="Arial"/>
          <w:color w:val="0F1115"/>
          <w:kern w:val="0"/>
          <w:lang w:eastAsia="en-GB"/>
          <w14:ligatures w14:val="none"/>
        </w:rPr>
        <w:t xml:space="preserve">  </w:t>
      </w:r>
    </w:p>
    <w:p w14:paraId="13BB507A" w14:textId="77777777" w:rsidR="00EA5A9F" w:rsidRPr="00EA5A9F" w:rsidRDefault="00EA5A9F" w:rsidP="004C4C89">
      <w:pPr>
        <w:spacing w:after="0"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 xml:space="preserve">Strategies to Develop Essential Skills </w:t>
      </w:r>
    </w:p>
    <w:p w14:paraId="140B21D4" w14:textId="77777777" w:rsidR="00EA5A9F" w:rsidRPr="00EA5A9F" w:rsidRDefault="00EA5A9F" w:rsidP="004C4C89">
      <w:pPr>
        <w:spacing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Developing Patience and Emotional Resilience</w:t>
      </w:r>
    </w:p>
    <w:p w14:paraId="0A1D7CC3" w14:textId="69AEFDF0" w:rsidR="00EA5A9F" w:rsidRPr="00EA5A9F" w:rsidRDefault="00EA5A9F" w:rsidP="004C4C89">
      <w:pPr>
        <w:spacing w:line="360" w:lineRule="auto"/>
        <w:jc w:val="both"/>
        <w:rPr>
          <w:rFonts w:ascii="Arial" w:eastAsia="Times New Roman" w:hAnsi="Arial" w:cs="Arial"/>
          <w:color w:val="0F1115"/>
          <w:kern w:val="0"/>
          <w:lang w:eastAsia="en-GB"/>
          <w14:ligatures w14:val="none"/>
        </w:rPr>
      </w:pPr>
      <w:r w:rsidRPr="00EA5A9F">
        <w:rPr>
          <w:rFonts w:ascii="Arial" w:eastAsia="Times New Roman" w:hAnsi="Arial" w:cs="Arial"/>
          <w:color w:val="0F1115"/>
          <w:kern w:val="0"/>
          <w:lang w:eastAsia="en-GB"/>
          <w14:ligatures w14:val="none"/>
        </w:rPr>
        <w:t>Patience and resilience can be cultivated through mindfulness and reflective self-care.</w:t>
      </w:r>
      <w:r w:rsidRPr="00EA5A9F">
        <w:rPr>
          <w:rFonts w:ascii="Arial" w:eastAsia="Times New Roman" w:hAnsi="Arial" w:cs="Arial"/>
          <w:b/>
          <w:bCs/>
          <w:color w:val="0F1115"/>
          <w:kern w:val="0"/>
          <w:lang w:eastAsia="en-GB"/>
          <w14:ligatures w14:val="none"/>
        </w:rPr>
        <w:t xml:space="preserve"> </w:t>
      </w:r>
      <w:r w:rsidRPr="00EA5A9F">
        <w:rPr>
          <w:rFonts w:ascii="Arial" w:eastAsia="Times New Roman" w:hAnsi="Arial" w:cs="Arial"/>
          <w:color w:val="0F1115"/>
          <w:kern w:val="0"/>
          <w:lang w:eastAsia="en-GB"/>
          <w14:ligatures w14:val="none"/>
        </w:rPr>
        <w:t>The ability of a support worker to pause and breathe before responding to problematic behaviours and difficult situations, and to take time to devise a more favourable plan, is developed through patience.</w:t>
      </w:r>
      <w:r w:rsidRPr="00EA5A9F">
        <w:rPr>
          <w:rFonts w:ascii="Arial" w:eastAsia="Times New Roman" w:hAnsi="Arial" w:cs="Arial"/>
          <w:color w:val="0F1115"/>
          <w:kern w:val="0"/>
          <w:lang w:val="en-US" w:eastAsia="en-GB"/>
          <w14:ligatures w14:val="none"/>
        </w:rPr>
        <w:t xml:space="preserve"> </w:t>
      </w:r>
      <w:r w:rsidRPr="00EA5A9F">
        <w:rPr>
          <w:rFonts w:ascii="Arial" w:eastAsia="Times New Roman" w:hAnsi="Arial" w:cs="Arial"/>
          <w:color w:val="0F1115"/>
          <w:kern w:val="0"/>
          <w:lang w:eastAsia="en-GB"/>
          <w14:ligatures w14:val="none"/>
        </w:rPr>
        <w:t xml:space="preserve">Reflective practices involve frequently reconsidering difficult experiences, identifying triggers, and planning one’s own reactions in advance. </w:t>
      </w:r>
    </w:p>
    <w:p w14:paraId="6E63F232" w14:textId="77777777" w:rsidR="00EA5A9F" w:rsidRPr="00EA5A9F" w:rsidRDefault="00EA5A9F" w:rsidP="004C4C89">
      <w:pPr>
        <w:spacing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Developing Communication and Active Listening</w:t>
      </w:r>
    </w:p>
    <w:p w14:paraId="25507C73" w14:textId="360533B1" w:rsidR="00EA5A9F" w:rsidRPr="00FA6F3F" w:rsidRDefault="00EA5A9F" w:rsidP="004C4C89">
      <w:pPr>
        <w:spacing w:line="360" w:lineRule="auto"/>
        <w:jc w:val="both"/>
        <w:rPr>
          <w:rFonts w:ascii="Arial" w:eastAsia="Times New Roman" w:hAnsi="Arial" w:cs="Arial"/>
          <w:color w:val="0F1115"/>
          <w:kern w:val="0"/>
          <w:lang w:eastAsia="en-GB"/>
          <w14:ligatures w14:val="none"/>
        </w:rPr>
      </w:pPr>
      <w:r w:rsidRPr="00EA5A9F">
        <w:rPr>
          <w:rFonts w:ascii="Arial" w:eastAsia="Times New Roman" w:hAnsi="Arial" w:cs="Arial"/>
          <w:color w:val="0F1115"/>
          <w:kern w:val="0"/>
          <w:lang w:eastAsia="en-GB"/>
          <w14:ligatures w14:val="none"/>
        </w:rPr>
        <w:t xml:space="preserve">Workers should also be trained to use alternative </w:t>
      </w:r>
      <w:r w:rsidR="00437339">
        <w:rPr>
          <w:rFonts w:ascii="Arial" w:eastAsia="Times New Roman" w:hAnsi="Arial" w:cs="Arial"/>
          <w:color w:val="0F1115"/>
          <w:kern w:val="0"/>
          <w:lang w:eastAsia="en-GB"/>
          <w14:ligatures w14:val="none"/>
        </w:rPr>
        <w:t>communication methods, such as Makaton, to support</w:t>
      </w:r>
      <w:r w:rsidRPr="00EA5A9F">
        <w:rPr>
          <w:rFonts w:ascii="Arial" w:eastAsia="Times New Roman" w:hAnsi="Arial" w:cs="Arial"/>
          <w:color w:val="0F1115"/>
          <w:kern w:val="0"/>
          <w:lang w:eastAsia="en-GB"/>
          <w14:ligatures w14:val="none"/>
        </w:rPr>
        <w:t xml:space="preserve"> children who lack verbal skills. A worker who can communicate in Makaton will be able to assist a child in ordering a drink, thereby reducing frustration and encouraging independence.</w:t>
      </w:r>
      <w:r w:rsidRPr="00EA5A9F">
        <w:rPr>
          <w:rFonts w:ascii="Arial" w:eastAsia="Times New Roman" w:hAnsi="Arial" w:cs="Arial"/>
          <w:color w:val="0F1115"/>
          <w:kern w:val="0"/>
          <w:lang w:val="en-US" w:eastAsia="en-GB"/>
          <w14:ligatures w14:val="none"/>
        </w:rPr>
        <w:t xml:space="preserve"> </w:t>
      </w:r>
      <w:r w:rsidRPr="00EA5A9F">
        <w:rPr>
          <w:rFonts w:ascii="Arial" w:eastAsia="Times New Roman" w:hAnsi="Arial" w:cs="Arial"/>
          <w:color w:val="0F1115"/>
          <w:kern w:val="0"/>
          <w:lang w:eastAsia="en-GB"/>
          <w14:ligatures w14:val="none"/>
        </w:rPr>
        <w:t xml:space="preserve">The techniques of active listening </w:t>
      </w:r>
      <w:proofErr w:type="gramStart"/>
      <w:r w:rsidRPr="00EA5A9F">
        <w:rPr>
          <w:rFonts w:ascii="Arial" w:eastAsia="Times New Roman" w:hAnsi="Arial" w:cs="Arial"/>
          <w:color w:val="0F1115"/>
          <w:kern w:val="0"/>
          <w:lang w:eastAsia="en-GB"/>
          <w14:ligatures w14:val="none"/>
        </w:rPr>
        <w:t>are:</w:t>
      </w:r>
      <w:proofErr w:type="gramEnd"/>
      <w:r w:rsidRPr="00EA5A9F">
        <w:rPr>
          <w:rFonts w:ascii="Arial" w:eastAsia="Times New Roman" w:hAnsi="Arial" w:cs="Arial"/>
          <w:color w:val="0F1115"/>
          <w:kern w:val="0"/>
          <w:lang w:eastAsia="en-GB"/>
          <w14:ligatures w14:val="none"/>
        </w:rPr>
        <w:t xml:space="preserve"> reflecting and paraphrasing to improve comprehension, analysing nonverbal cues, reducing distractions, and giving children time to respond. </w:t>
      </w:r>
      <w:r w:rsidR="00437339">
        <w:rPr>
          <w:rFonts w:ascii="Arial" w:eastAsia="Times New Roman" w:hAnsi="Arial" w:cs="Arial"/>
          <w:color w:val="0F1115"/>
          <w:kern w:val="0"/>
          <w:lang w:val="en-US" w:eastAsia="en-GB"/>
          <w14:ligatures w14:val="none"/>
        </w:rPr>
        <w:t>Communication</w:t>
      </w:r>
      <w:r w:rsidRPr="00EA5A9F">
        <w:rPr>
          <w:rFonts w:ascii="Arial" w:eastAsia="Times New Roman" w:hAnsi="Arial" w:cs="Arial"/>
          <w:color w:val="0F1115"/>
          <w:kern w:val="0"/>
          <w:lang w:eastAsia="en-GB"/>
          <w14:ligatures w14:val="none"/>
        </w:rPr>
        <w:t xml:space="preserve"> training enhances outcomes for children and job satisfaction.</w:t>
      </w:r>
    </w:p>
    <w:p w14:paraId="1BC31A6D" w14:textId="77777777" w:rsidR="00EA5A9F" w:rsidRPr="00EA5A9F" w:rsidRDefault="00EA5A9F" w:rsidP="00E67F40">
      <w:pPr>
        <w:spacing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 xml:space="preserve">Developing Adaptability and Problem Solving </w:t>
      </w:r>
    </w:p>
    <w:p w14:paraId="0255E26E" w14:textId="2DDDDA6D" w:rsidR="00EA5A9F" w:rsidRPr="00437339" w:rsidRDefault="00EA5A9F" w:rsidP="00E67F40">
      <w:pPr>
        <w:spacing w:line="360" w:lineRule="auto"/>
        <w:jc w:val="both"/>
        <w:rPr>
          <w:rFonts w:ascii="Arial" w:eastAsia="Times New Roman" w:hAnsi="Arial" w:cs="Arial"/>
          <w:color w:val="0F1115"/>
          <w:kern w:val="0"/>
          <w:lang w:eastAsia="en-GB"/>
          <w14:ligatures w14:val="none"/>
        </w:rPr>
      </w:pPr>
      <w:r w:rsidRPr="00EA5A9F">
        <w:rPr>
          <w:rFonts w:ascii="Arial" w:eastAsia="Times New Roman" w:hAnsi="Arial" w:cs="Arial"/>
          <w:color w:val="0F1115"/>
          <w:kern w:val="0"/>
          <w:lang w:eastAsia="en-GB"/>
          <w14:ligatures w14:val="none"/>
        </w:rPr>
        <w:t xml:space="preserve">Professional training and networking should be part of a continuous process of skill development, enabling workers to acquire knowledge </w:t>
      </w:r>
      <w:r w:rsidR="00437339">
        <w:rPr>
          <w:rFonts w:ascii="Arial" w:eastAsia="Times New Roman" w:hAnsi="Arial" w:cs="Arial"/>
          <w:color w:val="0F1115"/>
          <w:kern w:val="0"/>
          <w:lang w:eastAsia="en-GB"/>
          <w14:ligatures w14:val="none"/>
        </w:rPr>
        <w:t>of various conditions and interventions, as connecting with peers offers viable,</w:t>
      </w:r>
      <w:r w:rsidRPr="00EA5A9F">
        <w:rPr>
          <w:rFonts w:ascii="Arial" w:eastAsia="Times New Roman" w:hAnsi="Arial" w:cs="Arial"/>
          <w:color w:val="0F1115"/>
          <w:kern w:val="0"/>
          <w:lang w:eastAsia="en-GB"/>
          <w14:ligatures w14:val="none"/>
        </w:rPr>
        <w:t xml:space="preserve"> innovative solutions to everyday problems.</w:t>
      </w:r>
      <w:r w:rsidRPr="00EA5A9F">
        <w:rPr>
          <w:rFonts w:ascii="Arial" w:eastAsia="Times New Roman" w:hAnsi="Arial" w:cs="Arial"/>
          <w:color w:val="0F1115"/>
          <w:kern w:val="0"/>
          <w:lang w:val="en-US" w:eastAsia="en-GB"/>
          <w14:ligatures w14:val="none"/>
        </w:rPr>
        <w:t xml:space="preserve"> </w:t>
      </w:r>
      <w:r w:rsidRPr="00EA5A9F">
        <w:rPr>
          <w:rFonts w:ascii="Arial" w:eastAsia="Times New Roman" w:hAnsi="Arial" w:cs="Arial"/>
          <w:color w:val="0F1115"/>
          <w:kern w:val="0"/>
          <w:lang w:eastAsia="en-GB"/>
          <w14:ligatures w14:val="none"/>
        </w:rPr>
        <w:t>The plan-</w:t>
      </w:r>
      <w:r w:rsidRPr="00EA5A9F">
        <w:rPr>
          <w:rFonts w:ascii="Arial" w:eastAsia="Times New Roman" w:hAnsi="Arial" w:cs="Arial"/>
          <w:color w:val="0F1115"/>
          <w:kern w:val="0"/>
          <w:lang w:eastAsia="en-GB"/>
          <w14:ligatures w14:val="none"/>
        </w:rPr>
        <w:lastRenderedPageBreak/>
        <w:t xml:space="preserve">Do-Study-Act cycle provides a step-by-step framework for problem-solving: identifying the problem, planning a viable solution, implementing it, observing the results, and deciding whether to continue the strategy or revise it. </w:t>
      </w:r>
    </w:p>
    <w:p w14:paraId="33DC4039" w14:textId="77777777" w:rsidR="00EA5A9F" w:rsidRPr="00EA5A9F" w:rsidRDefault="00EA5A9F" w:rsidP="00E67F40">
      <w:pPr>
        <w:spacing w:after="0"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b/>
          <w:bCs/>
          <w:color w:val="0F1115"/>
          <w:kern w:val="0"/>
          <w:lang w:eastAsia="en-GB"/>
          <w14:ligatures w14:val="none"/>
        </w:rPr>
        <w:t>Conclusion</w:t>
      </w:r>
    </w:p>
    <w:p w14:paraId="23988F45" w14:textId="5A044E6E" w:rsidR="00EA5A9F" w:rsidRPr="00EA5A9F" w:rsidRDefault="00EA5A9F" w:rsidP="00E67F40">
      <w:pPr>
        <w:spacing w:line="360" w:lineRule="auto"/>
        <w:jc w:val="both"/>
        <w:rPr>
          <w:rFonts w:ascii="Arial" w:eastAsia="Times New Roman" w:hAnsi="Arial" w:cs="Arial"/>
          <w:b/>
          <w:bCs/>
          <w:color w:val="0F1115"/>
          <w:kern w:val="0"/>
          <w:lang w:eastAsia="en-GB"/>
          <w14:ligatures w14:val="none"/>
        </w:rPr>
      </w:pPr>
      <w:r w:rsidRPr="00EA5A9F">
        <w:rPr>
          <w:rFonts w:ascii="Arial" w:eastAsia="Times New Roman" w:hAnsi="Arial" w:cs="Arial"/>
          <w:color w:val="0F1115"/>
          <w:kern w:val="0"/>
          <w:lang w:eastAsia="en-GB"/>
          <w14:ligatures w14:val="none"/>
        </w:rPr>
        <w:t xml:space="preserve">This report </w:t>
      </w:r>
      <w:r w:rsidR="00437339">
        <w:rPr>
          <w:rFonts w:ascii="Arial" w:eastAsia="Times New Roman" w:hAnsi="Arial" w:cs="Arial"/>
          <w:color w:val="0F1115"/>
          <w:kern w:val="0"/>
          <w:lang w:eastAsia="en-GB"/>
          <w14:ligatures w14:val="none"/>
        </w:rPr>
        <w:t>discusses the role of a support worker for children with special needs and explains</w:t>
      </w:r>
      <w:r w:rsidRPr="00EA5A9F">
        <w:rPr>
          <w:rFonts w:ascii="Arial" w:eastAsia="Times New Roman" w:hAnsi="Arial" w:cs="Arial"/>
          <w:color w:val="0F1115"/>
          <w:kern w:val="0"/>
          <w:lang w:eastAsia="en-GB"/>
          <w14:ligatures w14:val="none"/>
        </w:rPr>
        <w:t xml:space="preserve"> why this is a challenging yet fulfilling job. The challenges are emotional demands, physical challenges, communication barriers, and unpredictability. The rewards are making a difference in children’s lives, seeing progress, establishing trusting relationships, and developing oneself. Three fundamental competencies were identified. Each competency will help to deliver person-centred care and establish trusting relationships, and practical development strategies have been suggested regarding each skill. </w:t>
      </w:r>
    </w:p>
    <w:p w14:paraId="2EBD1C44"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27F21A25"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0DE1D530"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2BBC3A73"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6F1B2777"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7FC5EA53"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66BB7A25"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4149D15B" w14:textId="77777777" w:rsidR="00EA5A9F" w:rsidRPr="00F47739" w:rsidRDefault="00EA5A9F" w:rsidP="00EA5A9F">
      <w:pPr>
        <w:spacing w:line="360" w:lineRule="auto"/>
        <w:jc w:val="both"/>
        <w:rPr>
          <w:rFonts w:asciiTheme="minorBidi" w:eastAsia="Times New Roman" w:hAnsiTheme="minorBidi"/>
          <w:color w:val="0F1115"/>
          <w:kern w:val="0"/>
          <w:lang w:eastAsia="en-GB"/>
          <w14:ligatures w14:val="none"/>
        </w:rPr>
      </w:pPr>
    </w:p>
    <w:p w14:paraId="360EFE74" w14:textId="77777777" w:rsidR="00EA5A9F" w:rsidRDefault="00EA5A9F" w:rsidP="00EA5A9F">
      <w:pPr>
        <w:spacing w:line="360" w:lineRule="auto"/>
        <w:jc w:val="both"/>
        <w:rPr>
          <w:rFonts w:asciiTheme="minorBidi" w:eastAsia="Times New Roman" w:hAnsiTheme="minorBidi"/>
          <w:color w:val="0F1115"/>
          <w:kern w:val="0"/>
          <w:lang w:eastAsia="en-GB"/>
          <w14:ligatures w14:val="none"/>
        </w:rPr>
      </w:pPr>
    </w:p>
    <w:p w14:paraId="374B3F64" w14:textId="77777777" w:rsidR="008743DC" w:rsidRDefault="008743DC" w:rsidP="00EA5A9F">
      <w:pPr>
        <w:spacing w:line="360" w:lineRule="auto"/>
        <w:jc w:val="both"/>
        <w:rPr>
          <w:rFonts w:asciiTheme="minorBidi" w:eastAsia="Times New Roman" w:hAnsiTheme="minorBidi"/>
          <w:b/>
          <w:bCs/>
          <w:color w:val="0F1115"/>
          <w:kern w:val="0"/>
          <w:lang w:eastAsia="en-GB"/>
          <w14:ligatures w14:val="none"/>
        </w:rPr>
      </w:pPr>
    </w:p>
    <w:p w14:paraId="0F7FE44E" w14:textId="77777777" w:rsidR="008743DC" w:rsidRDefault="008743DC" w:rsidP="00EA5A9F">
      <w:pPr>
        <w:spacing w:line="360" w:lineRule="auto"/>
        <w:jc w:val="both"/>
        <w:rPr>
          <w:rFonts w:asciiTheme="minorBidi" w:eastAsia="Times New Roman" w:hAnsiTheme="minorBidi"/>
          <w:b/>
          <w:bCs/>
          <w:color w:val="0F1115"/>
          <w:kern w:val="0"/>
          <w:lang w:eastAsia="en-GB"/>
          <w14:ligatures w14:val="none"/>
        </w:rPr>
      </w:pPr>
    </w:p>
    <w:p w14:paraId="480A0F1C" w14:textId="77777777" w:rsidR="008743DC" w:rsidRDefault="008743DC" w:rsidP="00EA5A9F">
      <w:pPr>
        <w:spacing w:line="360" w:lineRule="auto"/>
        <w:jc w:val="both"/>
        <w:rPr>
          <w:rFonts w:asciiTheme="minorBidi" w:eastAsia="Times New Roman" w:hAnsiTheme="minorBidi"/>
          <w:b/>
          <w:bCs/>
          <w:color w:val="0F1115"/>
          <w:kern w:val="0"/>
          <w:lang w:eastAsia="en-GB"/>
          <w14:ligatures w14:val="none"/>
        </w:rPr>
      </w:pPr>
    </w:p>
    <w:p w14:paraId="25027325" w14:textId="77777777" w:rsidR="008743DC" w:rsidRDefault="008743DC" w:rsidP="00EA5A9F">
      <w:pPr>
        <w:spacing w:line="360" w:lineRule="auto"/>
        <w:jc w:val="both"/>
        <w:rPr>
          <w:rFonts w:asciiTheme="minorBidi" w:eastAsia="Times New Roman" w:hAnsiTheme="minorBidi"/>
          <w:b/>
          <w:bCs/>
          <w:color w:val="0F1115"/>
          <w:kern w:val="0"/>
          <w:lang w:eastAsia="en-GB"/>
          <w14:ligatures w14:val="none"/>
        </w:rPr>
      </w:pPr>
    </w:p>
    <w:p w14:paraId="53617CD0" w14:textId="77777777" w:rsidR="008743DC" w:rsidRDefault="008743DC" w:rsidP="00EA5A9F">
      <w:pPr>
        <w:spacing w:line="360" w:lineRule="auto"/>
        <w:jc w:val="both"/>
        <w:rPr>
          <w:rFonts w:asciiTheme="minorBidi" w:eastAsia="Times New Roman" w:hAnsiTheme="minorBidi"/>
          <w:b/>
          <w:bCs/>
          <w:color w:val="0F1115"/>
          <w:kern w:val="0"/>
          <w:lang w:eastAsia="en-GB"/>
          <w14:ligatures w14:val="none"/>
        </w:rPr>
      </w:pPr>
    </w:p>
    <w:p w14:paraId="3FA136C0" w14:textId="77777777" w:rsidR="00E67F40" w:rsidRDefault="00E67F40" w:rsidP="00E67F40">
      <w:pPr>
        <w:spacing w:line="360" w:lineRule="auto"/>
        <w:jc w:val="both"/>
        <w:rPr>
          <w:rFonts w:ascii="Arial" w:eastAsia="Times New Roman" w:hAnsi="Arial" w:cs="Arial"/>
          <w:b/>
          <w:bCs/>
          <w:color w:val="0F1115"/>
          <w:kern w:val="0"/>
          <w:lang w:eastAsia="en-GB"/>
          <w14:ligatures w14:val="none"/>
        </w:rPr>
      </w:pPr>
    </w:p>
    <w:p w14:paraId="6B0B7E80" w14:textId="77777777" w:rsidR="00E67F40" w:rsidRDefault="00E67F40" w:rsidP="00E67F40">
      <w:pPr>
        <w:spacing w:line="360" w:lineRule="auto"/>
        <w:jc w:val="both"/>
        <w:rPr>
          <w:rFonts w:ascii="Arial" w:eastAsia="Times New Roman" w:hAnsi="Arial" w:cs="Arial"/>
          <w:b/>
          <w:bCs/>
          <w:color w:val="0F1115"/>
          <w:kern w:val="0"/>
          <w:lang w:eastAsia="en-GB"/>
          <w14:ligatures w14:val="none"/>
        </w:rPr>
      </w:pPr>
    </w:p>
    <w:p w14:paraId="439C3309" w14:textId="77777777" w:rsidR="00E67F40" w:rsidRDefault="00E67F40" w:rsidP="00E67F40">
      <w:pPr>
        <w:spacing w:line="360" w:lineRule="auto"/>
        <w:jc w:val="both"/>
        <w:rPr>
          <w:rFonts w:ascii="Arial" w:eastAsia="Times New Roman" w:hAnsi="Arial" w:cs="Arial"/>
          <w:b/>
          <w:bCs/>
          <w:color w:val="0F1115"/>
          <w:kern w:val="0"/>
          <w:lang w:eastAsia="en-GB"/>
          <w14:ligatures w14:val="none"/>
        </w:rPr>
      </w:pPr>
    </w:p>
    <w:p w14:paraId="7FB4AEBA" w14:textId="77777777" w:rsidR="00E67F40" w:rsidRDefault="00E67F40" w:rsidP="00E67F40">
      <w:pPr>
        <w:spacing w:line="360" w:lineRule="auto"/>
        <w:jc w:val="both"/>
        <w:rPr>
          <w:rFonts w:ascii="Arial" w:eastAsia="Times New Roman" w:hAnsi="Arial" w:cs="Arial"/>
          <w:b/>
          <w:bCs/>
          <w:color w:val="0F1115"/>
          <w:kern w:val="0"/>
          <w:lang w:eastAsia="en-GB"/>
          <w14:ligatures w14:val="none"/>
        </w:rPr>
      </w:pPr>
    </w:p>
    <w:p w14:paraId="1971337B" w14:textId="5A5EBE3A" w:rsidR="00EA5A9F" w:rsidRPr="00FA6F3F" w:rsidRDefault="00EA5A9F" w:rsidP="00E67F40">
      <w:pPr>
        <w:spacing w:line="360" w:lineRule="auto"/>
        <w:jc w:val="both"/>
        <w:rPr>
          <w:rFonts w:ascii="Arial" w:eastAsia="Times New Roman" w:hAnsi="Arial" w:cs="Arial"/>
          <w:b/>
          <w:bCs/>
          <w:color w:val="0F1115"/>
          <w:kern w:val="0"/>
          <w:lang w:eastAsia="en-GB"/>
          <w14:ligatures w14:val="none"/>
        </w:rPr>
      </w:pPr>
      <w:r w:rsidRPr="00FA6F3F">
        <w:rPr>
          <w:rFonts w:ascii="Arial" w:eastAsia="Times New Roman" w:hAnsi="Arial" w:cs="Arial"/>
          <w:b/>
          <w:bCs/>
          <w:color w:val="0F1115"/>
          <w:kern w:val="0"/>
          <w:lang w:eastAsia="en-GB"/>
          <w14:ligatures w14:val="none"/>
        </w:rPr>
        <w:lastRenderedPageBreak/>
        <w:t xml:space="preserve">References </w:t>
      </w:r>
    </w:p>
    <w:p w14:paraId="26D0A63D" w14:textId="77777777" w:rsidR="00EA5A9F" w:rsidRPr="00F47739" w:rsidRDefault="00EA5A9F" w:rsidP="00EA5A9F">
      <w:pPr>
        <w:pStyle w:val="NormalWeb"/>
        <w:spacing w:beforeAutospacing="0" w:afterAutospacing="0" w:line="360" w:lineRule="auto"/>
        <w:ind w:hanging="720"/>
        <w:rPr>
          <w:rFonts w:ascii="Arial" w:hAnsi="Arial" w:cs="Arial"/>
          <w:sz w:val="22"/>
          <w:szCs w:val="22"/>
        </w:rPr>
      </w:pPr>
      <w:proofErr w:type="spellStart"/>
      <w:r w:rsidRPr="00E67F40">
        <w:rPr>
          <w:rFonts w:ascii="Arial" w:hAnsi="Arial" w:cs="Arial"/>
          <w:b/>
          <w:bCs/>
          <w:sz w:val="22"/>
          <w:szCs w:val="22"/>
        </w:rPr>
        <w:t>Cologon</w:t>
      </w:r>
      <w:proofErr w:type="spellEnd"/>
      <w:r w:rsidRPr="00E67F40">
        <w:rPr>
          <w:rFonts w:ascii="Arial" w:hAnsi="Arial" w:cs="Arial"/>
          <w:b/>
          <w:bCs/>
          <w:sz w:val="22"/>
          <w:szCs w:val="22"/>
        </w:rPr>
        <w:t>, K. (2020)</w:t>
      </w:r>
      <w:r w:rsidRPr="00F47739">
        <w:rPr>
          <w:rFonts w:ascii="Arial" w:hAnsi="Arial" w:cs="Arial"/>
          <w:sz w:val="22"/>
          <w:szCs w:val="22"/>
        </w:rPr>
        <w:t xml:space="preserve"> 'Is inclusive education really for everyone? Family stories of children and young people labelled with ‘severe and multiple’ or ‘profound’ ‘disabilities,’' </w:t>
      </w:r>
      <w:r w:rsidRPr="00F47739">
        <w:rPr>
          <w:rFonts w:ascii="Arial" w:hAnsi="Arial" w:cs="Arial"/>
          <w:i/>
          <w:iCs/>
          <w:sz w:val="22"/>
          <w:szCs w:val="22"/>
        </w:rPr>
        <w:t>Research Papers in Education</w:t>
      </w:r>
      <w:r w:rsidRPr="00F47739">
        <w:rPr>
          <w:rFonts w:ascii="Arial" w:hAnsi="Arial" w:cs="Arial"/>
          <w:sz w:val="22"/>
          <w:szCs w:val="22"/>
        </w:rPr>
        <w:t>, 37(3), pp. 395–417. https://doi.org/10.1080/02671522.2020.1849372.</w:t>
      </w:r>
    </w:p>
    <w:p w14:paraId="2D86409D" w14:textId="05110C0C" w:rsidR="00EA5A9F" w:rsidRPr="00F47739" w:rsidRDefault="00EA5A9F" w:rsidP="00EA5A9F">
      <w:pPr>
        <w:pStyle w:val="NormalWeb"/>
        <w:spacing w:beforeAutospacing="0" w:afterAutospacing="0" w:line="360" w:lineRule="auto"/>
        <w:ind w:hanging="720"/>
        <w:rPr>
          <w:rFonts w:ascii="Arial" w:hAnsi="Arial" w:cs="Arial"/>
          <w:sz w:val="22"/>
          <w:szCs w:val="22"/>
        </w:rPr>
      </w:pPr>
      <w:r w:rsidRPr="00E67F40">
        <w:rPr>
          <w:rFonts w:ascii="Arial" w:hAnsi="Arial" w:cs="Arial"/>
          <w:b/>
          <w:bCs/>
          <w:sz w:val="22"/>
          <w:szCs w:val="22"/>
        </w:rPr>
        <w:t>Hasson, L. (2022)</w:t>
      </w:r>
      <w:r w:rsidRPr="00F47739">
        <w:rPr>
          <w:rFonts w:ascii="Arial" w:hAnsi="Arial" w:cs="Arial"/>
          <w:sz w:val="22"/>
          <w:szCs w:val="22"/>
        </w:rPr>
        <w:t xml:space="preserve"> 'Inclusivity in education for autism spectrum disorders: Experiences of support from the perspective of parent/carers, school teaching staff and young people on the autism spectrum,' </w:t>
      </w:r>
      <w:r w:rsidRPr="00F47739">
        <w:rPr>
          <w:rFonts w:ascii="Arial" w:hAnsi="Arial" w:cs="Arial"/>
          <w:i/>
          <w:iCs/>
          <w:sz w:val="22"/>
          <w:szCs w:val="22"/>
        </w:rPr>
        <w:t>International Journal of Developmental Disabilities</w:t>
      </w:r>
      <w:r w:rsidRPr="00F47739">
        <w:rPr>
          <w:rFonts w:ascii="Arial" w:hAnsi="Arial" w:cs="Arial"/>
          <w:sz w:val="22"/>
          <w:szCs w:val="22"/>
        </w:rPr>
        <w:t>, 70(2), pp. 201–212. https://doi.org/10.1080/20473869.2022.2070418.</w:t>
      </w:r>
    </w:p>
    <w:p w14:paraId="12698155" w14:textId="7A07D2B1" w:rsidR="00EA5A9F" w:rsidRPr="00F47739" w:rsidRDefault="00EA5A9F" w:rsidP="00EA5A9F">
      <w:pPr>
        <w:pStyle w:val="NormalWeb"/>
        <w:spacing w:beforeAutospacing="0" w:afterAutospacing="0" w:line="360" w:lineRule="auto"/>
        <w:ind w:hanging="720"/>
        <w:rPr>
          <w:rFonts w:ascii="Arial" w:hAnsi="Arial" w:cs="Arial"/>
          <w:sz w:val="22"/>
          <w:szCs w:val="22"/>
        </w:rPr>
      </w:pPr>
      <w:r w:rsidRPr="00E67F40">
        <w:rPr>
          <w:rFonts w:ascii="Arial" w:hAnsi="Arial" w:cs="Arial"/>
          <w:b/>
          <w:bCs/>
          <w:sz w:val="22"/>
          <w:szCs w:val="22"/>
        </w:rPr>
        <w:t>Heady, N. (2022)</w:t>
      </w:r>
      <w:r w:rsidRPr="00F47739">
        <w:rPr>
          <w:rFonts w:ascii="Arial" w:hAnsi="Arial" w:cs="Arial"/>
          <w:sz w:val="22"/>
          <w:szCs w:val="22"/>
        </w:rPr>
        <w:t xml:space="preserve"> 'The challenges that social care services face in relation to looked after children with neurodevelopmental disorders: A unique insight from a social worker perspective,' </w:t>
      </w:r>
      <w:r w:rsidRPr="00F47739">
        <w:rPr>
          <w:rFonts w:ascii="Arial" w:hAnsi="Arial" w:cs="Arial"/>
          <w:i/>
          <w:iCs/>
          <w:sz w:val="22"/>
          <w:szCs w:val="22"/>
        </w:rPr>
        <w:t>Adoption &amp; Fostering</w:t>
      </w:r>
      <w:r w:rsidRPr="00F47739">
        <w:rPr>
          <w:rFonts w:ascii="Arial" w:hAnsi="Arial" w:cs="Arial"/>
          <w:sz w:val="22"/>
          <w:szCs w:val="22"/>
        </w:rPr>
        <w:t>, 46(2), pp. 184–204. https://doi.org/10.1177/03085759221100585.</w:t>
      </w:r>
    </w:p>
    <w:p w14:paraId="7493597D" w14:textId="5CE6E61F" w:rsidR="00EA5A9F" w:rsidRPr="00F47739" w:rsidRDefault="00EA5A9F" w:rsidP="00EA5A9F">
      <w:pPr>
        <w:pStyle w:val="NormalWeb"/>
        <w:spacing w:beforeAutospacing="0" w:afterAutospacing="0" w:line="360" w:lineRule="auto"/>
        <w:ind w:hanging="720"/>
        <w:rPr>
          <w:rFonts w:ascii="Arial" w:hAnsi="Arial" w:cs="Arial"/>
          <w:sz w:val="22"/>
          <w:szCs w:val="22"/>
        </w:rPr>
      </w:pPr>
      <w:proofErr w:type="spellStart"/>
      <w:r w:rsidRPr="00E67F40">
        <w:rPr>
          <w:rFonts w:ascii="Arial" w:hAnsi="Arial" w:cs="Arial"/>
          <w:b/>
          <w:bCs/>
          <w:sz w:val="22"/>
          <w:szCs w:val="22"/>
        </w:rPr>
        <w:t>Högstedt</w:t>
      </w:r>
      <w:proofErr w:type="spellEnd"/>
      <w:r w:rsidRPr="00E67F40">
        <w:rPr>
          <w:rFonts w:ascii="Arial" w:hAnsi="Arial" w:cs="Arial"/>
          <w:b/>
          <w:bCs/>
          <w:sz w:val="22"/>
          <w:szCs w:val="22"/>
        </w:rPr>
        <w:t>, E. (2022)</w:t>
      </w:r>
      <w:r w:rsidRPr="00F47739">
        <w:rPr>
          <w:rFonts w:ascii="Arial" w:hAnsi="Arial" w:cs="Arial"/>
          <w:sz w:val="22"/>
          <w:szCs w:val="22"/>
        </w:rPr>
        <w:t xml:space="preserve"> '‘It’s like it is designed to keep me stressed’—Working sustainably with ADHD</w:t>
      </w:r>
      <w:r w:rsidR="006559BD">
        <w:rPr>
          <w:rFonts w:ascii="Arial" w:hAnsi="Arial" w:cs="Arial"/>
          <w:sz w:val="22"/>
          <w:szCs w:val="22"/>
        </w:rPr>
        <w:t xml:space="preserve"> </w:t>
      </w:r>
      <w:r w:rsidRPr="00F47739">
        <w:rPr>
          <w:rFonts w:ascii="Arial" w:hAnsi="Arial" w:cs="Arial"/>
          <w:sz w:val="22"/>
          <w:szCs w:val="22"/>
        </w:rPr>
        <w:t xml:space="preserve">or autism,' </w:t>
      </w:r>
      <w:r w:rsidRPr="00F47739">
        <w:rPr>
          <w:rFonts w:ascii="Arial" w:hAnsi="Arial" w:cs="Arial"/>
          <w:i/>
          <w:iCs/>
          <w:sz w:val="22"/>
          <w:szCs w:val="22"/>
        </w:rPr>
        <w:t>Scandinavian Journal of Occupational Therapy</w:t>
      </w:r>
      <w:r w:rsidRPr="00F47739">
        <w:rPr>
          <w:rFonts w:ascii="Arial" w:hAnsi="Arial" w:cs="Arial"/>
          <w:sz w:val="22"/>
          <w:szCs w:val="22"/>
        </w:rPr>
        <w:t>, 30(8), pp. 1280–1291. https://doi.org/10.1080/11038128.2022.2143420.</w:t>
      </w:r>
    </w:p>
    <w:p w14:paraId="53DD18C7" w14:textId="77777777" w:rsidR="00EA5A9F" w:rsidRPr="00F47739" w:rsidRDefault="00EA5A9F" w:rsidP="00EA5A9F">
      <w:pPr>
        <w:pStyle w:val="NormalWeb"/>
        <w:spacing w:beforeAutospacing="0" w:afterAutospacing="0" w:line="360" w:lineRule="auto"/>
        <w:ind w:hanging="720"/>
        <w:rPr>
          <w:rFonts w:ascii="Arial" w:hAnsi="Arial" w:cs="Arial"/>
          <w:sz w:val="22"/>
          <w:szCs w:val="22"/>
        </w:rPr>
      </w:pPr>
      <w:r w:rsidRPr="00E67F40">
        <w:rPr>
          <w:rFonts w:ascii="Arial" w:hAnsi="Arial" w:cs="Arial"/>
          <w:b/>
          <w:bCs/>
          <w:sz w:val="22"/>
          <w:szCs w:val="22"/>
        </w:rPr>
        <w:t>McMain, E. (2023)</w:t>
      </w:r>
      <w:r w:rsidRPr="00F47739">
        <w:rPr>
          <w:rFonts w:ascii="Arial" w:hAnsi="Arial" w:cs="Arial"/>
          <w:sz w:val="22"/>
          <w:szCs w:val="22"/>
        </w:rPr>
        <w:t xml:space="preserve"> 'Getting good at bad emotion: teachers resist and reproduce hegemonic positivity in a discourse community,' </w:t>
      </w:r>
      <w:r w:rsidRPr="00F47739">
        <w:rPr>
          <w:rFonts w:ascii="Arial" w:hAnsi="Arial" w:cs="Arial"/>
          <w:i/>
          <w:iCs/>
          <w:sz w:val="22"/>
          <w:szCs w:val="22"/>
        </w:rPr>
        <w:t>Critical Studies in Education</w:t>
      </w:r>
      <w:r w:rsidRPr="00F47739">
        <w:rPr>
          <w:rFonts w:ascii="Arial" w:hAnsi="Arial" w:cs="Arial"/>
          <w:sz w:val="22"/>
          <w:szCs w:val="22"/>
        </w:rPr>
        <w:t>, 65(1), pp. 57–74. https://doi.org/10.1080/17508487.2023.2217867.</w:t>
      </w:r>
    </w:p>
    <w:p w14:paraId="640C7A9C" w14:textId="1868AF3D" w:rsidR="00EA5A9F" w:rsidRPr="00F47739" w:rsidRDefault="00EA5A9F" w:rsidP="00EA5A9F">
      <w:pPr>
        <w:pStyle w:val="NormalWeb"/>
        <w:spacing w:beforeAutospacing="0" w:afterAutospacing="0" w:line="360" w:lineRule="auto"/>
        <w:ind w:hanging="720"/>
        <w:rPr>
          <w:rFonts w:ascii="Arial" w:hAnsi="Arial" w:cs="Arial"/>
          <w:sz w:val="22"/>
          <w:szCs w:val="22"/>
        </w:rPr>
      </w:pPr>
      <w:proofErr w:type="spellStart"/>
      <w:r w:rsidRPr="00E67F40">
        <w:rPr>
          <w:rFonts w:ascii="Arial" w:hAnsi="Arial" w:cs="Arial"/>
          <w:b/>
          <w:bCs/>
          <w:sz w:val="22"/>
          <w:szCs w:val="22"/>
        </w:rPr>
        <w:t>Minsih</w:t>
      </w:r>
      <w:proofErr w:type="spellEnd"/>
      <w:r w:rsidRPr="00E67F40">
        <w:rPr>
          <w:rFonts w:ascii="Arial" w:hAnsi="Arial" w:cs="Arial"/>
          <w:b/>
          <w:bCs/>
          <w:sz w:val="22"/>
          <w:szCs w:val="22"/>
        </w:rPr>
        <w:t>, M</w:t>
      </w:r>
      <w:r w:rsidRPr="00E67F40">
        <w:rPr>
          <w:rFonts w:ascii="Arial" w:hAnsi="Arial" w:cs="Arial"/>
          <w:b/>
          <w:bCs/>
          <w:i/>
          <w:iCs/>
          <w:sz w:val="22"/>
          <w:szCs w:val="22"/>
        </w:rPr>
        <w:t>.</w:t>
      </w:r>
      <w:r w:rsidRPr="00E67F40">
        <w:rPr>
          <w:rFonts w:ascii="Arial" w:hAnsi="Arial" w:cs="Arial"/>
          <w:b/>
          <w:bCs/>
          <w:sz w:val="22"/>
          <w:szCs w:val="22"/>
        </w:rPr>
        <w:t xml:space="preserve"> (2025)</w:t>
      </w:r>
      <w:r w:rsidRPr="00F47739">
        <w:rPr>
          <w:rFonts w:ascii="Arial" w:hAnsi="Arial" w:cs="Arial"/>
          <w:sz w:val="22"/>
          <w:szCs w:val="22"/>
        </w:rPr>
        <w:t xml:space="preserve"> 'Analysis of Social-Emotional </w:t>
      </w:r>
      <w:r w:rsidR="00437339">
        <w:rPr>
          <w:rFonts w:ascii="Arial" w:hAnsi="Arial" w:cs="Arial"/>
          <w:sz w:val="22"/>
          <w:szCs w:val="22"/>
        </w:rPr>
        <w:t>Behaviour</w:t>
      </w:r>
      <w:r w:rsidRPr="00F47739">
        <w:rPr>
          <w:rFonts w:ascii="Arial" w:hAnsi="Arial" w:cs="Arial"/>
          <w:sz w:val="22"/>
          <w:szCs w:val="22"/>
        </w:rPr>
        <w:t xml:space="preserve"> in Students with Autism Spectrum Disorder, ADHD, and Anxiety in Inclusive Schools,' </w:t>
      </w:r>
      <w:r w:rsidRPr="00F47739">
        <w:rPr>
          <w:rFonts w:ascii="Arial" w:hAnsi="Arial" w:cs="Arial"/>
          <w:i/>
          <w:iCs/>
          <w:sz w:val="22"/>
          <w:szCs w:val="22"/>
        </w:rPr>
        <w:t>Indonesian Journal on Learning and Advanced Education (IJOLAE)</w:t>
      </w:r>
      <w:r w:rsidRPr="00F47739">
        <w:rPr>
          <w:rFonts w:ascii="Arial" w:hAnsi="Arial" w:cs="Arial"/>
          <w:sz w:val="22"/>
          <w:szCs w:val="22"/>
        </w:rPr>
        <w:t>, pp. 553–565. https://doi.org/10.23917/ijolae.v7i3.8728.</w:t>
      </w:r>
    </w:p>
    <w:p w14:paraId="490C16C4" w14:textId="77777777" w:rsidR="00FA765B" w:rsidRDefault="00FA765B" w:rsidP="004A407F">
      <w:pPr>
        <w:rPr>
          <w:rFonts w:ascii="Arial" w:hAnsi="Arial" w:cs="Arial"/>
          <w:b/>
          <w:bCs/>
        </w:rPr>
      </w:pPr>
    </w:p>
    <w:sectPr w:rsidR="00FA765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69703" w14:textId="77777777" w:rsidR="006D34FB" w:rsidRDefault="006D34FB" w:rsidP="00513DA9">
      <w:pPr>
        <w:spacing w:after="0" w:line="240" w:lineRule="auto"/>
      </w:pPr>
      <w:r>
        <w:separator/>
      </w:r>
    </w:p>
  </w:endnote>
  <w:endnote w:type="continuationSeparator" w:id="0">
    <w:p w14:paraId="44130ABD" w14:textId="77777777" w:rsidR="006D34FB" w:rsidRDefault="006D34FB" w:rsidP="00513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2CA76D" w14:textId="77777777" w:rsidR="00513DA9" w:rsidRDefault="00513DA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BC5327B" w14:textId="77777777" w:rsidR="00513DA9" w:rsidRDefault="00513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F1EF0" w14:textId="77777777" w:rsidR="006D34FB" w:rsidRDefault="006D34FB" w:rsidP="00513DA9">
      <w:pPr>
        <w:spacing w:after="0" w:line="240" w:lineRule="auto"/>
      </w:pPr>
      <w:r>
        <w:separator/>
      </w:r>
    </w:p>
  </w:footnote>
  <w:footnote w:type="continuationSeparator" w:id="0">
    <w:p w14:paraId="7FFAE1F3" w14:textId="77777777" w:rsidR="006D34FB" w:rsidRDefault="006D34FB" w:rsidP="00513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3F1C7E"/>
    <w:multiLevelType w:val="hybridMultilevel"/>
    <w:tmpl w:val="72882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922125"/>
    <w:multiLevelType w:val="multilevel"/>
    <w:tmpl w:val="58922125"/>
    <w:lvl w:ilvl="0">
      <w:start w:val="1"/>
      <w:numFmt w:val="decimal"/>
      <w:lvlText w:val="%1."/>
      <w:lvlJc w:val="left"/>
      <w:pPr>
        <w:ind w:left="360" w:hanging="360"/>
      </w:pPr>
      <w:rPr>
        <w:rFonts w:hint="default"/>
        <w:b/>
        <w:bCs/>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53030201">
    <w:abstractNumId w:val="1"/>
  </w:num>
  <w:num w:numId="2" w16cid:durableId="423495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548"/>
    <w:rsid w:val="000467F4"/>
    <w:rsid w:val="00076334"/>
    <w:rsid w:val="000B3EF0"/>
    <w:rsid w:val="000C491E"/>
    <w:rsid w:val="000D2FF1"/>
    <w:rsid w:val="001267CF"/>
    <w:rsid w:val="0014549A"/>
    <w:rsid w:val="001A4FD4"/>
    <w:rsid w:val="001B3E83"/>
    <w:rsid w:val="001C24A9"/>
    <w:rsid w:val="001D37F7"/>
    <w:rsid w:val="0027772C"/>
    <w:rsid w:val="00315AAE"/>
    <w:rsid w:val="00334F51"/>
    <w:rsid w:val="0033555E"/>
    <w:rsid w:val="00354F8A"/>
    <w:rsid w:val="00356206"/>
    <w:rsid w:val="003C21C5"/>
    <w:rsid w:val="0042241B"/>
    <w:rsid w:val="004272F3"/>
    <w:rsid w:val="00437339"/>
    <w:rsid w:val="00472EBD"/>
    <w:rsid w:val="00484E1A"/>
    <w:rsid w:val="004A407F"/>
    <w:rsid w:val="004C4C89"/>
    <w:rsid w:val="00513DA9"/>
    <w:rsid w:val="0054118C"/>
    <w:rsid w:val="00580311"/>
    <w:rsid w:val="005E7612"/>
    <w:rsid w:val="00650D74"/>
    <w:rsid w:val="006559BD"/>
    <w:rsid w:val="006A3ACF"/>
    <w:rsid w:val="006B20FE"/>
    <w:rsid w:val="006C3A3A"/>
    <w:rsid w:val="006C5E89"/>
    <w:rsid w:val="006D34FB"/>
    <w:rsid w:val="00722934"/>
    <w:rsid w:val="0075575E"/>
    <w:rsid w:val="00762514"/>
    <w:rsid w:val="007A7909"/>
    <w:rsid w:val="007D693A"/>
    <w:rsid w:val="007F4200"/>
    <w:rsid w:val="00815217"/>
    <w:rsid w:val="00836D70"/>
    <w:rsid w:val="00855DEF"/>
    <w:rsid w:val="008743DC"/>
    <w:rsid w:val="00880616"/>
    <w:rsid w:val="0089696C"/>
    <w:rsid w:val="008B68EE"/>
    <w:rsid w:val="008D09A9"/>
    <w:rsid w:val="009169F6"/>
    <w:rsid w:val="00923E8A"/>
    <w:rsid w:val="0093734E"/>
    <w:rsid w:val="00945161"/>
    <w:rsid w:val="0097207A"/>
    <w:rsid w:val="00A51FFD"/>
    <w:rsid w:val="00B24284"/>
    <w:rsid w:val="00B33D39"/>
    <w:rsid w:val="00B46022"/>
    <w:rsid w:val="00B93E37"/>
    <w:rsid w:val="00BE6393"/>
    <w:rsid w:val="00BF2197"/>
    <w:rsid w:val="00BF6B57"/>
    <w:rsid w:val="00C04548"/>
    <w:rsid w:val="00C05A02"/>
    <w:rsid w:val="00C47FE0"/>
    <w:rsid w:val="00CC4A74"/>
    <w:rsid w:val="00CD3443"/>
    <w:rsid w:val="00CF2EB1"/>
    <w:rsid w:val="00D23D40"/>
    <w:rsid w:val="00D53F26"/>
    <w:rsid w:val="00D561FB"/>
    <w:rsid w:val="00D6368D"/>
    <w:rsid w:val="00D769E6"/>
    <w:rsid w:val="00D82579"/>
    <w:rsid w:val="00DF42E9"/>
    <w:rsid w:val="00E27E27"/>
    <w:rsid w:val="00E51C6F"/>
    <w:rsid w:val="00E67F40"/>
    <w:rsid w:val="00EA5203"/>
    <w:rsid w:val="00EA5A9F"/>
    <w:rsid w:val="00EE2573"/>
    <w:rsid w:val="00EF1DEF"/>
    <w:rsid w:val="00F06FC6"/>
    <w:rsid w:val="00F142A1"/>
    <w:rsid w:val="00F3772F"/>
    <w:rsid w:val="00F70202"/>
    <w:rsid w:val="00F72E9E"/>
    <w:rsid w:val="00F77D61"/>
    <w:rsid w:val="00FA6F3F"/>
    <w:rsid w:val="00FA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25568"/>
  <w15:chartTrackingRefBased/>
  <w15:docId w15:val="{C78F748C-F535-42AD-8274-1EA607A6C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548"/>
    <w:rPr>
      <w:rFonts w:eastAsiaTheme="majorEastAsia" w:cstheme="majorBidi"/>
      <w:color w:val="272727" w:themeColor="text1" w:themeTint="D8"/>
    </w:rPr>
  </w:style>
  <w:style w:type="paragraph" w:styleId="Title">
    <w:name w:val="Title"/>
    <w:basedOn w:val="Normal"/>
    <w:next w:val="Normal"/>
    <w:link w:val="TitleChar"/>
    <w:uiPriority w:val="10"/>
    <w:qFormat/>
    <w:rsid w:val="00C0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548"/>
    <w:pPr>
      <w:spacing w:before="160"/>
      <w:jc w:val="center"/>
    </w:pPr>
    <w:rPr>
      <w:i/>
      <w:iCs/>
      <w:color w:val="404040" w:themeColor="text1" w:themeTint="BF"/>
    </w:rPr>
  </w:style>
  <w:style w:type="character" w:customStyle="1" w:styleId="QuoteChar">
    <w:name w:val="Quote Char"/>
    <w:basedOn w:val="DefaultParagraphFont"/>
    <w:link w:val="Quote"/>
    <w:uiPriority w:val="29"/>
    <w:rsid w:val="00C04548"/>
    <w:rPr>
      <w:i/>
      <w:iCs/>
      <w:color w:val="404040" w:themeColor="text1" w:themeTint="BF"/>
    </w:rPr>
  </w:style>
  <w:style w:type="paragraph" w:styleId="ListParagraph">
    <w:name w:val="List Paragraph"/>
    <w:basedOn w:val="Normal"/>
    <w:uiPriority w:val="34"/>
    <w:qFormat/>
    <w:rsid w:val="00C04548"/>
    <w:pPr>
      <w:ind w:left="720"/>
      <w:contextualSpacing/>
    </w:pPr>
  </w:style>
  <w:style w:type="character" w:styleId="IntenseEmphasis">
    <w:name w:val="Intense Emphasis"/>
    <w:basedOn w:val="DefaultParagraphFont"/>
    <w:uiPriority w:val="21"/>
    <w:qFormat/>
    <w:rsid w:val="00C04548"/>
    <w:rPr>
      <w:i/>
      <w:iCs/>
      <w:color w:val="0F4761" w:themeColor="accent1" w:themeShade="BF"/>
    </w:rPr>
  </w:style>
  <w:style w:type="paragraph" w:styleId="IntenseQuote">
    <w:name w:val="Intense Quote"/>
    <w:basedOn w:val="Normal"/>
    <w:next w:val="Normal"/>
    <w:link w:val="IntenseQuoteChar"/>
    <w:uiPriority w:val="30"/>
    <w:qFormat/>
    <w:rsid w:val="00C0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548"/>
    <w:rPr>
      <w:i/>
      <w:iCs/>
      <w:color w:val="0F4761" w:themeColor="accent1" w:themeShade="BF"/>
    </w:rPr>
  </w:style>
  <w:style w:type="character" w:styleId="IntenseReference">
    <w:name w:val="Intense Reference"/>
    <w:basedOn w:val="DefaultParagraphFont"/>
    <w:uiPriority w:val="32"/>
    <w:qFormat/>
    <w:rsid w:val="00C04548"/>
    <w:rPr>
      <w:b/>
      <w:bCs/>
      <w:smallCaps/>
      <w:color w:val="0F4761" w:themeColor="accent1" w:themeShade="BF"/>
      <w:spacing w:val="5"/>
    </w:rPr>
  </w:style>
  <w:style w:type="paragraph" w:styleId="NormalWeb">
    <w:name w:val="Normal (Web)"/>
    <w:basedOn w:val="Normal"/>
    <w:uiPriority w:val="99"/>
    <w:semiHidden/>
    <w:unhideWhenUsed/>
    <w:rsid w:val="00F142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13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DA9"/>
  </w:style>
  <w:style w:type="paragraph" w:styleId="Footer">
    <w:name w:val="footer"/>
    <w:basedOn w:val="Normal"/>
    <w:link w:val="FooterChar"/>
    <w:uiPriority w:val="99"/>
    <w:unhideWhenUsed/>
    <w:rsid w:val="00513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DA9"/>
  </w:style>
  <w:style w:type="paragraph" w:customStyle="1" w:styleId="ds-markdown-paragraph">
    <w:name w:val="ds-markdown-paragraph"/>
    <w:basedOn w:val="Normal"/>
    <w:rsid w:val="00B242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24284"/>
    <w:rPr>
      <w:i/>
      <w:iCs/>
    </w:rPr>
  </w:style>
  <w:style w:type="character" w:styleId="Hyperlink">
    <w:name w:val="Hyperlink"/>
    <w:basedOn w:val="DefaultParagraphFont"/>
    <w:uiPriority w:val="99"/>
    <w:semiHidden/>
    <w:unhideWhenUsed/>
    <w:rsid w:val="00B242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1582</Words>
  <Characters>9024</Characters>
  <Application>Microsoft Office Word</Application>
  <DocSecurity>0</DocSecurity>
  <Lines>75</Lines>
  <Paragraphs>21</Paragraphs>
  <ScaleCrop>false</ScaleCrop>
  <Company/>
  <LinksUpToDate>false</LinksUpToDate>
  <CharactersWithSpaces>10585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 Iqbal</dc:creator>
  <cp:keywords/>
  <dc:description/>
  <cp:lastModifiedBy>Sadia Batool (2512945)</cp:lastModifiedBy>
  <cp:revision>2</cp:revision>
  <dcterms:created xsi:type="dcterms:W3CDTF">2026-03-26T10:45:00Z</dcterms:created>
  <dcterms:modified xsi:type="dcterms:W3CDTF">2026-03-26T10:45:00Z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4161fe9e-1e90-471b-b61d-8340f2a61337</vt:lpwstr>
  </property>
</Properties>
</file>