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67A8F3" w14:textId="768DBBE7" w:rsidR="00F04AFC" w:rsidRPr="00AA7E8C" w:rsidRDefault="005E1DB1" w:rsidP="00EA4B5C">
      <w:pPr>
        <w:spacing w:line="360" w:lineRule="auto"/>
        <w:rPr>
          <w:rFonts w:ascii="Arial" w:hAnsi="Arial" w:cs="Arial"/>
          <w:sz w:val="22"/>
          <w:szCs w:val="22"/>
        </w:rPr>
      </w:pPr>
      <w:r w:rsidRPr="00AA7E8C">
        <w:rPr>
          <w:rFonts w:ascii="Arial" w:hAnsi="Arial" w:cs="Arial"/>
          <w:sz w:val="22"/>
          <w:szCs w:val="22"/>
        </w:rPr>
        <w:t>Human resource management plays a central role in organisational performance as it supports employee effectiveness, operational efficiency and long-term business success</w:t>
      </w:r>
      <w:r w:rsidR="00090102" w:rsidRPr="00AA7E8C">
        <w:rPr>
          <w:rFonts w:ascii="Arial" w:hAnsi="Arial" w:cs="Arial"/>
          <w:color w:val="000000"/>
          <w:sz w:val="22"/>
          <w:szCs w:val="22"/>
        </w:rPr>
        <w:t xml:space="preserve"> </w:t>
      </w:r>
      <w:r w:rsidR="00090102" w:rsidRPr="00AA7E8C">
        <w:rPr>
          <w:rFonts w:ascii="Arial" w:hAnsi="Arial" w:cs="Arial"/>
          <w:color w:val="000000"/>
          <w:sz w:val="22"/>
          <w:szCs w:val="22"/>
        </w:rPr>
        <w:t>(Xin</w:t>
      </w:r>
      <w:r w:rsidR="00090102" w:rsidRPr="00AA7E8C">
        <w:rPr>
          <w:rStyle w:val="apple-converted-space"/>
          <w:rFonts w:ascii="Arial" w:hAnsi="Arial" w:cs="Arial"/>
          <w:color w:val="000000"/>
          <w:sz w:val="22"/>
          <w:szCs w:val="22"/>
        </w:rPr>
        <w:t> </w:t>
      </w:r>
      <w:r w:rsidR="00090102" w:rsidRPr="00AA7E8C">
        <w:rPr>
          <w:rFonts w:ascii="Arial" w:hAnsi="Arial" w:cs="Arial"/>
          <w:i/>
          <w:iCs/>
          <w:color w:val="000000"/>
          <w:sz w:val="22"/>
          <w:szCs w:val="22"/>
        </w:rPr>
        <w:t>et al.</w:t>
      </w:r>
      <w:r w:rsidR="00090102" w:rsidRPr="00AA7E8C">
        <w:rPr>
          <w:rFonts w:ascii="Arial" w:hAnsi="Arial" w:cs="Arial"/>
          <w:color w:val="000000"/>
          <w:sz w:val="22"/>
          <w:szCs w:val="22"/>
        </w:rPr>
        <w:t>, 2022)</w:t>
      </w:r>
      <w:r w:rsidRPr="00AA7E8C">
        <w:rPr>
          <w:rFonts w:ascii="Arial" w:hAnsi="Arial" w:cs="Arial"/>
          <w:sz w:val="22"/>
          <w:szCs w:val="22"/>
        </w:rPr>
        <w:t xml:space="preserve">. </w:t>
      </w:r>
      <w:r w:rsidRPr="00AA7E8C">
        <w:rPr>
          <w:rFonts w:ascii="Arial" w:hAnsi="Arial" w:cs="Arial"/>
          <w:sz w:val="22"/>
          <w:szCs w:val="22"/>
        </w:rPr>
        <w:t xml:space="preserve">In today’s business environment, organisations must respond to fast technological changes, increasing competition for skilled workers and the need to manage a much more diverse workforce. </w:t>
      </w:r>
      <w:r w:rsidRPr="00AA7E8C">
        <w:rPr>
          <w:rFonts w:ascii="Arial" w:hAnsi="Arial" w:cs="Arial"/>
          <w:sz w:val="22"/>
          <w:szCs w:val="22"/>
        </w:rPr>
        <w:t>Consequently, HR functions must continually adapt their practices to remain effective and strategically relevant in achieving organisational objectives.</w:t>
      </w:r>
      <w:r w:rsidRPr="00AA7E8C">
        <w:rPr>
          <w:rFonts w:ascii="Arial" w:hAnsi="Arial" w:cs="Arial"/>
          <w:sz w:val="22"/>
          <w:szCs w:val="22"/>
        </w:rPr>
        <w:t xml:space="preserve"> Tesco is one of the largest retail stores in the UK and employs a big workforce across stores, distribution centres and corporate roles. </w:t>
      </w:r>
      <w:r w:rsidRPr="00AA7E8C">
        <w:rPr>
          <w:rFonts w:ascii="Arial" w:hAnsi="Arial" w:cs="Arial"/>
          <w:sz w:val="22"/>
          <w:szCs w:val="22"/>
        </w:rPr>
        <w:t>Due to its size and customer-focused operations, effective HR management is essential to employee performance, service quality and overall competitiveness.</w:t>
      </w:r>
      <w:r w:rsidRPr="00AA7E8C">
        <w:rPr>
          <w:rFonts w:ascii="Arial" w:hAnsi="Arial" w:cs="Arial"/>
          <w:sz w:val="22"/>
          <w:szCs w:val="22"/>
        </w:rPr>
        <w:t xml:space="preserve"> This report focuses on three key HR issues that are affecting Tesco</w:t>
      </w:r>
      <w:r w:rsidR="007F0F49" w:rsidRPr="00AA7E8C">
        <w:rPr>
          <w:rFonts w:ascii="Arial" w:hAnsi="Arial" w:cs="Arial"/>
          <w:sz w:val="22"/>
          <w:szCs w:val="22"/>
        </w:rPr>
        <w:t xml:space="preserve"> such as technological advancement, talent acquisition and retention and diversity, equity and inclusion. </w:t>
      </w:r>
      <w:r w:rsidRPr="00AA7E8C">
        <w:rPr>
          <w:rFonts w:ascii="Arial" w:hAnsi="Arial" w:cs="Arial"/>
          <w:sz w:val="22"/>
          <w:szCs w:val="22"/>
        </w:rPr>
        <w:t>These issues influence workforce capability, employee commitment and organisational culture. This report aims to explain these factors, evaluate contemporary HR practices used to address them, critically assess the role of departmental managers in ensuring these practices are implemented as a matter of urgency, and provide recommendations for improvement.</w:t>
      </w:r>
    </w:p>
    <w:p w14:paraId="490B2C93" w14:textId="77777777" w:rsidR="00F04AFC" w:rsidRPr="00AA7E8C" w:rsidRDefault="007F0F49" w:rsidP="00EA4B5C">
      <w:pPr>
        <w:spacing w:line="360" w:lineRule="auto"/>
        <w:rPr>
          <w:rFonts w:ascii="Arial" w:hAnsi="Arial" w:cs="Arial"/>
          <w:sz w:val="22"/>
          <w:szCs w:val="22"/>
        </w:rPr>
      </w:pPr>
      <w:r w:rsidRPr="007F0F49">
        <w:rPr>
          <w:rFonts w:ascii="Arial" w:eastAsia="Times New Roman" w:hAnsi="Arial" w:cs="Arial"/>
          <w:kern w:val="0"/>
          <w:sz w:val="22"/>
          <w:szCs w:val="22"/>
          <w:lang w:eastAsia="en-GB"/>
          <w14:ligatures w14:val="none"/>
        </w:rPr>
        <w:t>Factors Affecting HR Practice at Tesco</w:t>
      </w:r>
    </w:p>
    <w:p w14:paraId="1136EA47" w14:textId="76F1816A" w:rsidR="00F04AFC" w:rsidRPr="00AA7E8C" w:rsidRDefault="00F04AFC" w:rsidP="00EA4B5C">
      <w:pPr>
        <w:spacing w:line="360" w:lineRule="auto"/>
        <w:rPr>
          <w:rFonts w:ascii="Arial" w:hAnsi="Arial" w:cs="Arial"/>
          <w:sz w:val="22"/>
          <w:szCs w:val="22"/>
        </w:rPr>
      </w:pPr>
      <w:r w:rsidRPr="00AA7E8C">
        <w:rPr>
          <w:rFonts w:ascii="Arial" w:eastAsia="Times New Roman" w:hAnsi="Arial" w:cs="Arial"/>
          <w:kern w:val="0"/>
          <w:sz w:val="22"/>
          <w:szCs w:val="22"/>
          <w:lang w:eastAsia="en-GB"/>
          <w14:ligatures w14:val="none"/>
        </w:rPr>
        <w:t xml:space="preserve">1. </w:t>
      </w:r>
      <w:r w:rsidR="007F0F49" w:rsidRPr="00AA7E8C">
        <w:rPr>
          <w:rFonts w:ascii="Arial" w:eastAsia="Times New Roman" w:hAnsi="Arial" w:cs="Arial"/>
          <w:kern w:val="0"/>
          <w:sz w:val="22"/>
          <w:szCs w:val="22"/>
          <w:lang w:eastAsia="en-GB"/>
          <w14:ligatures w14:val="none"/>
        </w:rPr>
        <w:t>Meeting Technological Advancement</w:t>
      </w:r>
    </w:p>
    <w:p w14:paraId="62E2166E" w14:textId="31D272A2" w:rsidR="007F0F49" w:rsidRPr="00AA7E8C" w:rsidRDefault="007F0F49" w:rsidP="00EA4B5C">
      <w:pPr>
        <w:spacing w:line="360" w:lineRule="auto"/>
        <w:rPr>
          <w:rFonts w:ascii="Arial" w:eastAsia="Times New Roman" w:hAnsi="Arial" w:cs="Arial"/>
          <w:kern w:val="0"/>
          <w:sz w:val="22"/>
          <w:szCs w:val="22"/>
          <w:lang w:eastAsia="en-GB"/>
          <w14:ligatures w14:val="none"/>
        </w:rPr>
      </w:pPr>
      <w:r w:rsidRPr="00AA7E8C">
        <w:rPr>
          <w:rFonts w:ascii="Arial" w:eastAsia="Times New Roman" w:hAnsi="Arial" w:cs="Arial"/>
          <w:kern w:val="0"/>
          <w:sz w:val="22"/>
          <w:szCs w:val="22"/>
          <w:lang w:eastAsia="en-GB"/>
          <w14:ligatures w14:val="none"/>
        </w:rPr>
        <w:t xml:space="preserve">Technological advancement is a major factor affecting HR practice because retail organisations are increasingly using digital systems to improve efficiency and customer service. </w:t>
      </w:r>
      <w:r w:rsidR="00F04AFC" w:rsidRPr="00AA7E8C">
        <w:rPr>
          <w:rFonts w:ascii="Arial" w:eastAsia="Times New Roman" w:hAnsi="Arial" w:cs="Arial"/>
          <w:kern w:val="0"/>
          <w:sz w:val="22"/>
          <w:szCs w:val="22"/>
          <w:lang w:eastAsia="en-GB"/>
          <w14:ligatures w14:val="none"/>
        </w:rPr>
        <w:t xml:space="preserve">In Tesco this includes online </w:t>
      </w:r>
      <w:r w:rsidR="00731241" w:rsidRPr="00AA7E8C">
        <w:rPr>
          <w:rFonts w:ascii="Arial" w:eastAsia="Times New Roman" w:hAnsi="Arial" w:cs="Arial"/>
          <w:kern w:val="0"/>
          <w:sz w:val="22"/>
          <w:szCs w:val="22"/>
          <w:lang w:eastAsia="en-GB"/>
          <w14:ligatures w14:val="none"/>
        </w:rPr>
        <w:t xml:space="preserve">click and collect systems, self-checkout machines and digital stock systems. </w:t>
      </w:r>
      <w:r w:rsidRPr="00AA7E8C">
        <w:rPr>
          <w:rFonts w:ascii="Arial" w:eastAsia="Times New Roman" w:hAnsi="Arial" w:cs="Arial"/>
          <w:kern w:val="0"/>
          <w:sz w:val="22"/>
          <w:szCs w:val="22"/>
          <w:lang w:eastAsia="en-GB"/>
          <w14:ligatures w14:val="none"/>
        </w:rPr>
        <w:t xml:space="preserve">These changes are important because they alter how employees work and the </w:t>
      </w:r>
      <w:proofErr w:type="gramStart"/>
      <w:r w:rsidRPr="00AA7E8C">
        <w:rPr>
          <w:rFonts w:ascii="Arial" w:eastAsia="Times New Roman" w:hAnsi="Arial" w:cs="Arial"/>
          <w:kern w:val="0"/>
          <w:sz w:val="22"/>
          <w:szCs w:val="22"/>
          <w:lang w:eastAsia="en-GB"/>
          <w14:ligatures w14:val="none"/>
        </w:rPr>
        <w:t>skills</w:t>
      </w:r>
      <w:proofErr w:type="gramEnd"/>
      <w:r w:rsidRPr="00AA7E8C">
        <w:rPr>
          <w:rFonts w:ascii="Arial" w:eastAsia="Times New Roman" w:hAnsi="Arial" w:cs="Arial"/>
          <w:kern w:val="0"/>
          <w:sz w:val="22"/>
          <w:szCs w:val="22"/>
          <w:lang w:eastAsia="en-GB"/>
          <w14:ligatures w14:val="none"/>
        </w:rPr>
        <w:t xml:space="preserve"> they need to perform effectively</w:t>
      </w:r>
      <w:r w:rsidR="00D818AE" w:rsidRPr="00AA7E8C">
        <w:rPr>
          <w:rFonts w:ascii="Arial" w:hAnsi="Arial" w:cs="Arial"/>
          <w:color w:val="000000"/>
          <w:sz w:val="22"/>
          <w:szCs w:val="22"/>
        </w:rPr>
        <w:t xml:space="preserve"> </w:t>
      </w:r>
      <w:r w:rsidR="00D818AE" w:rsidRPr="00AA7E8C">
        <w:rPr>
          <w:rFonts w:ascii="Arial" w:hAnsi="Arial" w:cs="Arial"/>
          <w:color w:val="000000"/>
          <w:sz w:val="22"/>
          <w:szCs w:val="22"/>
        </w:rPr>
        <w:t>(Kraus, Ferraris and Bertello, 2023)</w:t>
      </w:r>
      <w:r w:rsidRPr="00AA7E8C">
        <w:rPr>
          <w:rFonts w:ascii="Arial" w:eastAsia="Times New Roman" w:hAnsi="Arial" w:cs="Arial"/>
          <w:kern w:val="0"/>
          <w:sz w:val="22"/>
          <w:szCs w:val="22"/>
          <w:lang w:eastAsia="en-GB"/>
          <w14:ligatures w14:val="none"/>
        </w:rPr>
        <w:t>.</w:t>
      </w:r>
    </w:p>
    <w:p w14:paraId="168363D6" w14:textId="5C71E7CE" w:rsidR="007F0F49" w:rsidRPr="00AA7E8C" w:rsidRDefault="007F0F49" w:rsidP="00EA4B5C">
      <w:pPr>
        <w:spacing w:before="100" w:beforeAutospacing="1" w:after="100" w:afterAutospacing="1" w:line="360" w:lineRule="auto"/>
        <w:rPr>
          <w:rFonts w:ascii="Arial" w:eastAsia="Times New Roman" w:hAnsi="Arial" w:cs="Arial"/>
          <w:kern w:val="0"/>
          <w:sz w:val="22"/>
          <w:szCs w:val="22"/>
          <w:lang w:eastAsia="en-GB"/>
          <w14:ligatures w14:val="none"/>
        </w:rPr>
      </w:pPr>
      <w:r w:rsidRPr="007F0F49">
        <w:rPr>
          <w:rFonts w:ascii="Arial" w:eastAsia="Times New Roman" w:hAnsi="Arial" w:cs="Arial"/>
          <w:kern w:val="0"/>
          <w:sz w:val="22"/>
          <w:szCs w:val="22"/>
          <w:lang w:eastAsia="en-GB"/>
          <w14:ligatures w14:val="none"/>
        </w:rPr>
        <w:t>For Tesco, digital transformation creates both opportunities and challenges. On one hand, technology can improve productivity, reduce waiting times and support better service. On the other hand, it means employees must develop new digital skills and adapt to changing job roles</w:t>
      </w:r>
      <w:r w:rsidR="00A627BC" w:rsidRPr="00AA7E8C">
        <w:rPr>
          <w:rFonts w:ascii="Arial" w:hAnsi="Arial" w:cs="Arial"/>
          <w:color w:val="000000"/>
          <w:sz w:val="22"/>
          <w:szCs w:val="22"/>
        </w:rPr>
        <w:t xml:space="preserve"> </w:t>
      </w:r>
      <w:r w:rsidR="00A627BC" w:rsidRPr="00AA7E8C">
        <w:rPr>
          <w:rFonts w:ascii="Arial" w:hAnsi="Arial" w:cs="Arial"/>
          <w:color w:val="000000"/>
          <w:sz w:val="22"/>
          <w:szCs w:val="22"/>
        </w:rPr>
        <w:t>(</w:t>
      </w:r>
      <w:proofErr w:type="spellStart"/>
      <w:r w:rsidR="00A627BC" w:rsidRPr="00AA7E8C">
        <w:rPr>
          <w:rFonts w:ascii="Arial" w:hAnsi="Arial" w:cs="Arial"/>
          <w:color w:val="000000"/>
          <w:sz w:val="22"/>
          <w:szCs w:val="22"/>
        </w:rPr>
        <w:t>Mutambik</w:t>
      </w:r>
      <w:proofErr w:type="spellEnd"/>
      <w:r w:rsidR="00A627BC" w:rsidRPr="00AA7E8C">
        <w:rPr>
          <w:rFonts w:ascii="Arial" w:hAnsi="Arial" w:cs="Arial"/>
          <w:color w:val="000000"/>
          <w:sz w:val="22"/>
          <w:szCs w:val="22"/>
        </w:rPr>
        <w:t xml:space="preserve"> and </w:t>
      </w:r>
      <w:proofErr w:type="spellStart"/>
      <w:r w:rsidR="00A627BC" w:rsidRPr="00AA7E8C">
        <w:rPr>
          <w:rFonts w:ascii="Arial" w:hAnsi="Arial" w:cs="Arial"/>
          <w:color w:val="000000"/>
          <w:sz w:val="22"/>
          <w:szCs w:val="22"/>
        </w:rPr>
        <w:t>Almuqrin</w:t>
      </w:r>
      <w:proofErr w:type="spellEnd"/>
      <w:r w:rsidR="00A627BC" w:rsidRPr="00AA7E8C">
        <w:rPr>
          <w:rFonts w:ascii="Arial" w:hAnsi="Arial" w:cs="Arial"/>
          <w:color w:val="000000"/>
          <w:sz w:val="22"/>
          <w:szCs w:val="22"/>
        </w:rPr>
        <w:t>, 2024)</w:t>
      </w:r>
      <w:r w:rsidRPr="007F0F49">
        <w:rPr>
          <w:rFonts w:ascii="Arial" w:eastAsia="Times New Roman" w:hAnsi="Arial" w:cs="Arial"/>
          <w:kern w:val="0"/>
          <w:sz w:val="22"/>
          <w:szCs w:val="22"/>
          <w:lang w:eastAsia="en-GB"/>
          <w14:ligatures w14:val="none"/>
        </w:rPr>
        <w:t xml:space="preserve">. HR </w:t>
      </w:r>
      <w:r w:rsidR="00731241" w:rsidRPr="00AA7E8C">
        <w:rPr>
          <w:rFonts w:ascii="Arial" w:eastAsia="Times New Roman" w:hAnsi="Arial" w:cs="Arial"/>
          <w:kern w:val="0"/>
          <w:sz w:val="22"/>
          <w:szCs w:val="22"/>
          <w:lang w:eastAsia="en-GB"/>
          <w14:ligatures w14:val="none"/>
        </w:rPr>
        <w:t>then</w:t>
      </w:r>
      <w:r w:rsidRPr="007F0F49">
        <w:rPr>
          <w:rFonts w:ascii="Arial" w:eastAsia="Times New Roman" w:hAnsi="Arial" w:cs="Arial"/>
          <w:kern w:val="0"/>
          <w:sz w:val="22"/>
          <w:szCs w:val="22"/>
          <w:lang w:eastAsia="en-GB"/>
          <w14:ligatures w14:val="none"/>
        </w:rPr>
        <w:t xml:space="preserve"> has an important responsibility in workforce planning, training and development. Staff need ongoing support so they can use new systems confidently and maintain performance standards.</w:t>
      </w:r>
    </w:p>
    <w:p w14:paraId="4999D578" w14:textId="6E2E3CAE" w:rsidR="007F0F49" w:rsidRPr="007F0F49" w:rsidRDefault="00731241" w:rsidP="00EA4B5C">
      <w:pPr>
        <w:spacing w:before="100" w:beforeAutospacing="1" w:after="100" w:afterAutospacing="1" w:line="360" w:lineRule="auto"/>
        <w:rPr>
          <w:rFonts w:ascii="Arial" w:eastAsia="Times New Roman" w:hAnsi="Arial" w:cs="Arial"/>
          <w:kern w:val="0"/>
          <w:sz w:val="22"/>
          <w:szCs w:val="22"/>
          <w:lang w:eastAsia="en-GB"/>
          <w14:ligatures w14:val="none"/>
        </w:rPr>
      </w:pPr>
      <w:r w:rsidRPr="00AA7E8C">
        <w:rPr>
          <w:rFonts w:ascii="Arial" w:eastAsia="Times New Roman" w:hAnsi="Arial" w:cs="Arial"/>
          <w:kern w:val="0"/>
          <w:sz w:val="22"/>
          <w:szCs w:val="22"/>
          <w:lang w:eastAsia="en-GB"/>
          <w14:ligatures w14:val="none"/>
        </w:rPr>
        <w:t>A key challenge</w:t>
      </w:r>
      <w:r w:rsidR="00347EB8" w:rsidRPr="00AA7E8C">
        <w:rPr>
          <w:rFonts w:ascii="Arial" w:eastAsia="Times New Roman" w:hAnsi="Arial" w:cs="Arial"/>
          <w:kern w:val="0"/>
          <w:sz w:val="22"/>
          <w:szCs w:val="22"/>
          <w:lang w:eastAsia="en-GB"/>
          <w14:ligatures w14:val="none"/>
        </w:rPr>
        <w:t xml:space="preserve"> </w:t>
      </w:r>
      <w:r w:rsidR="00401002" w:rsidRPr="00AA7E8C">
        <w:rPr>
          <w:rFonts w:ascii="Arial" w:eastAsia="Times New Roman" w:hAnsi="Arial" w:cs="Arial"/>
          <w:kern w:val="0"/>
          <w:sz w:val="22"/>
          <w:szCs w:val="22"/>
          <w:lang w:eastAsia="en-GB"/>
          <w14:ligatures w14:val="none"/>
        </w:rPr>
        <w:t xml:space="preserve">are </w:t>
      </w:r>
      <w:r w:rsidR="007F0F49" w:rsidRPr="007F0F49">
        <w:rPr>
          <w:rFonts w:ascii="Arial" w:eastAsia="Times New Roman" w:hAnsi="Arial" w:cs="Arial"/>
          <w:kern w:val="0"/>
          <w:sz w:val="22"/>
          <w:szCs w:val="22"/>
          <w:lang w:eastAsia="en-GB"/>
          <w14:ligatures w14:val="none"/>
        </w:rPr>
        <w:t>employee</w:t>
      </w:r>
      <w:r w:rsidR="00401002" w:rsidRPr="00AA7E8C">
        <w:rPr>
          <w:rFonts w:ascii="Arial" w:eastAsia="Times New Roman" w:hAnsi="Arial" w:cs="Arial"/>
          <w:kern w:val="0"/>
          <w:sz w:val="22"/>
          <w:szCs w:val="22"/>
          <w:lang w:eastAsia="en-GB"/>
          <w14:ligatures w14:val="none"/>
        </w:rPr>
        <w:t>s that are</w:t>
      </w:r>
      <w:r w:rsidR="007F0F49" w:rsidRPr="007F0F49">
        <w:rPr>
          <w:rFonts w:ascii="Arial" w:eastAsia="Times New Roman" w:hAnsi="Arial" w:cs="Arial"/>
          <w:kern w:val="0"/>
          <w:sz w:val="22"/>
          <w:szCs w:val="22"/>
          <w:lang w:eastAsia="en-GB"/>
          <w14:ligatures w14:val="none"/>
        </w:rPr>
        <w:t xml:space="preserve"> </w:t>
      </w:r>
      <w:r w:rsidR="00CA0F2F" w:rsidRPr="00AA7E8C">
        <w:rPr>
          <w:rFonts w:ascii="Arial" w:eastAsia="Times New Roman" w:hAnsi="Arial" w:cs="Arial"/>
          <w:kern w:val="0"/>
          <w:sz w:val="22"/>
          <w:szCs w:val="22"/>
          <w:lang w:eastAsia="en-GB"/>
          <w14:ligatures w14:val="none"/>
        </w:rPr>
        <w:t>reluctant</w:t>
      </w:r>
      <w:r w:rsidR="007F0F49" w:rsidRPr="007F0F49">
        <w:rPr>
          <w:rFonts w:ascii="Arial" w:eastAsia="Times New Roman" w:hAnsi="Arial" w:cs="Arial"/>
          <w:kern w:val="0"/>
          <w:sz w:val="22"/>
          <w:szCs w:val="22"/>
          <w:lang w:eastAsia="en-GB"/>
          <w14:ligatures w14:val="none"/>
        </w:rPr>
        <w:t xml:space="preserve"> to change. Some workers may feel uncertain about new technology or worry that automation could reduce job security. This means HR must not only provide </w:t>
      </w:r>
      <w:r w:rsidR="00ED5685" w:rsidRPr="00AA7E8C">
        <w:rPr>
          <w:rFonts w:ascii="Arial" w:eastAsia="Times New Roman" w:hAnsi="Arial" w:cs="Arial"/>
          <w:kern w:val="0"/>
          <w:sz w:val="22"/>
          <w:szCs w:val="22"/>
          <w:lang w:eastAsia="en-GB"/>
          <w14:ligatures w14:val="none"/>
        </w:rPr>
        <w:t>training but</w:t>
      </w:r>
      <w:r w:rsidR="007F0F49" w:rsidRPr="007F0F49">
        <w:rPr>
          <w:rFonts w:ascii="Arial" w:eastAsia="Times New Roman" w:hAnsi="Arial" w:cs="Arial"/>
          <w:kern w:val="0"/>
          <w:sz w:val="22"/>
          <w:szCs w:val="22"/>
          <w:lang w:eastAsia="en-GB"/>
          <w14:ligatures w14:val="none"/>
        </w:rPr>
        <w:t xml:space="preserve"> also manage change carefully through communication and support. Overall, technological advancement affects Tesco’s business </w:t>
      </w:r>
      <w:r w:rsidR="007F0F49" w:rsidRPr="007F0F49">
        <w:rPr>
          <w:rFonts w:ascii="Arial" w:eastAsia="Times New Roman" w:hAnsi="Arial" w:cs="Arial"/>
          <w:kern w:val="0"/>
          <w:sz w:val="22"/>
          <w:szCs w:val="22"/>
          <w:lang w:eastAsia="en-GB"/>
          <w14:ligatures w14:val="none"/>
        </w:rPr>
        <w:lastRenderedPageBreak/>
        <w:t>performance directly, because the benefits of digital investment will only be achieved if employees are prepared, supported and able to work effectively in a changing environment.</w:t>
      </w:r>
    </w:p>
    <w:p w14:paraId="2D9F366F" w14:textId="77777777" w:rsidR="007F0F49" w:rsidRPr="007F0F49" w:rsidRDefault="007F0F49" w:rsidP="00EA4B5C">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7F0F49">
        <w:rPr>
          <w:rFonts w:ascii="Arial" w:eastAsia="Times New Roman" w:hAnsi="Arial" w:cs="Arial"/>
          <w:kern w:val="0"/>
          <w:sz w:val="22"/>
          <w:szCs w:val="22"/>
          <w:lang w:eastAsia="en-GB"/>
          <w14:ligatures w14:val="none"/>
        </w:rPr>
        <w:t>2. Talent Acquisition and Retention</w:t>
      </w:r>
    </w:p>
    <w:p w14:paraId="4FF811FF" w14:textId="72CE7C56" w:rsidR="007F0F49" w:rsidRPr="007F0F49" w:rsidRDefault="007F0F49" w:rsidP="00EA4B5C">
      <w:pPr>
        <w:spacing w:before="100" w:beforeAutospacing="1" w:after="100" w:afterAutospacing="1" w:line="360" w:lineRule="auto"/>
        <w:rPr>
          <w:rFonts w:ascii="Arial" w:eastAsia="Times New Roman" w:hAnsi="Arial" w:cs="Arial"/>
          <w:kern w:val="0"/>
          <w:sz w:val="22"/>
          <w:szCs w:val="22"/>
          <w:lang w:eastAsia="en-GB"/>
          <w14:ligatures w14:val="none"/>
        </w:rPr>
      </w:pPr>
      <w:r w:rsidRPr="007F0F49">
        <w:rPr>
          <w:rFonts w:ascii="Arial" w:eastAsia="Times New Roman" w:hAnsi="Arial" w:cs="Arial"/>
          <w:kern w:val="0"/>
          <w:sz w:val="22"/>
          <w:szCs w:val="22"/>
          <w:lang w:eastAsia="en-GB"/>
          <w14:ligatures w14:val="none"/>
        </w:rPr>
        <w:t xml:space="preserve">Talent acquisition and retention </w:t>
      </w:r>
      <w:proofErr w:type="gramStart"/>
      <w:r w:rsidRPr="007F0F49">
        <w:rPr>
          <w:rFonts w:ascii="Arial" w:eastAsia="Times New Roman" w:hAnsi="Arial" w:cs="Arial"/>
          <w:kern w:val="0"/>
          <w:sz w:val="22"/>
          <w:szCs w:val="22"/>
          <w:lang w:eastAsia="en-GB"/>
          <w14:ligatures w14:val="none"/>
        </w:rPr>
        <w:t>refers</w:t>
      </w:r>
      <w:proofErr w:type="gramEnd"/>
      <w:r w:rsidRPr="007F0F49">
        <w:rPr>
          <w:rFonts w:ascii="Arial" w:eastAsia="Times New Roman" w:hAnsi="Arial" w:cs="Arial"/>
          <w:kern w:val="0"/>
          <w:sz w:val="22"/>
          <w:szCs w:val="22"/>
          <w:lang w:eastAsia="en-GB"/>
          <w14:ligatures w14:val="none"/>
        </w:rPr>
        <w:t xml:space="preserve"> to the ability of an organisation to attract suitable employees and keep them over time. This is a significant HR issue for Tesco because retail businesses often face labour shortages, high staff turnover and strong competition for skilled workers</w:t>
      </w:r>
      <w:r w:rsidR="00260099" w:rsidRPr="00AA7E8C">
        <w:rPr>
          <w:rFonts w:ascii="Arial" w:hAnsi="Arial" w:cs="Arial"/>
          <w:color w:val="000000"/>
          <w:sz w:val="22"/>
          <w:szCs w:val="22"/>
        </w:rPr>
        <w:t xml:space="preserve"> </w:t>
      </w:r>
      <w:r w:rsidR="00260099" w:rsidRPr="00AA7E8C">
        <w:rPr>
          <w:rFonts w:ascii="Arial" w:hAnsi="Arial" w:cs="Arial"/>
          <w:color w:val="000000"/>
          <w:sz w:val="22"/>
          <w:szCs w:val="22"/>
        </w:rPr>
        <w:t>(Nilsson and Backman, 2024)</w:t>
      </w:r>
      <w:r w:rsidRPr="007F0F49">
        <w:rPr>
          <w:rFonts w:ascii="Arial" w:eastAsia="Times New Roman" w:hAnsi="Arial" w:cs="Arial"/>
          <w:kern w:val="0"/>
          <w:sz w:val="22"/>
          <w:szCs w:val="22"/>
          <w:lang w:eastAsia="en-GB"/>
          <w14:ligatures w14:val="none"/>
        </w:rPr>
        <w:t>. Without effective recruitment and retention, organisations may struggle to maintain service quality and operational efficiency.</w:t>
      </w:r>
    </w:p>
    <w:p w14:paraId="7AD73D06" w14:textId="1AD870D9" w:rsidR="007F0F49" w:rsidRPr="007F0F49" w:rsidRDefault="007F0F49" w:rsidP="00EA4B5C">
      <w:pPr>
        <w:spacing w:before="100" w:beforeAutospacing="1" w:after="100" w:afterAutospacing="1" w:line="360" w:lineRule="auto"/>
        <w:rPr>
          <w:rFonts w:ascii="Arial" w:eastAsia="Times New Roman" w:hAnsi="Arial" w:cs="Arial"/>
          <w:kern w:val="0"/>
          <w:sz w:val="22"/>
          <w:szCs w:val="22"/>
          <w:lang w:eastAsia="en-GB"/>
          <w14:ligatures w14:val="none"/>
        </w:rPr>
      </w:pPr>
      <w:r w:rsidRPr="007F0F49">
        <w:rPr>
          <w:rFonts w:ascii="Arial" w:eastAsia="Times New Roman" w:hAnsi="Arial" w:cs="Arial"/>
          <w:kern w:val="0"/>
          <w:sz w:val="22"/>
          <w:szCs w:val="22"/>
          <w:lang w:eastAsia="en-GB"/>
          <w14:ligatures w14:val="none"/>
        </w:rPr>
        <w:t>Tesco relies on a large workforce across stores, warehouses and office-based roles, so attracting and retaining employees is essential to its success. HR must ensure that recruitment processes are efficient and targeted, bringing in people with the right skills and attitudes. However, recruitment alone is not enough</w:t>
      </w:r>
      <w:r w:rsidR="00CB57AD" w:rsidRPr="00AA7E8C">
        <w:rPr>
          <w:rFonts w:ascii="Arial" w:eastAsia="Times New Roman" w:hAnsi="Arial" w:cs="Arial"/>
          <w:kern w:val="0"/>
          <w:sz w:val="22"/>
          <w:szCs w:val="22"/>
          <w:lang w:eastAsia="en-GB"/>
          <w14:ligatures w14:val="none"/>
        </w:rPr>
        <w:t xml:space="preserve"> as </w:t>
      </w:r>
      <w:r w:rsidRPr="007F0F49">
        <w:rPr>
          <w:rFonts w:ascii="Arial" w:eastAsia="Times New Roman" w:hAnsi="Arial" w:cs="Arial"/>
          <w:kern w:val="0"/>
          <w:sz w:val="22"/>
          <w:szCs w:val="22"/>
          <w:lang w:eastAsia="en-GB"/>
          <w14:ligatures w14:val="none"/>
        </w:rPr>
        <w:t>Tesco must also retain employees through effective onboarding, fair rewards, training opportunities and career development. These practices can help employees feel valued and encourage long-term commitment to the organisation.</w:t>
      </w:r>
    </w:p>
    <w:p w14:paraId="2E4D03C5" w14:textId="77777777" w:rsidR="007F0F49" w:rsidRPr="007F0F49" w:rsidRDefault="007F0F49" w:rsidP="00EA4B5C">
      <w:pPr>
        <w:spacing w:before="100" w:beforeAutospacing="1" w:after="100" w:afterAutospacing="1" w:line="360" w:lineRule="auto"/>
        <w:rPr>
          <w:rFonts w:ascii="Arial" w:eastAsia="Times New Roman" w:hAnsi="Arial" w:cs="Arial"/>
          <w:kern w:val="0"/>
          <w:sz w:val="22"/>
          <w:szCs w:val="22"/>
          <w:lang w:eastAsia="en-GB"/>
          <w14:ligatures w14:val="none"/>
        </w:rPr>
      </w:pPr>
      <w:r w:rsidRPr="007F0F49">
        <w:rPr>
          <w:rFonts w:ascii="Arial" w:eastAsia="Times New Roman" w:hAnsi="Arial" w:cs="Arial"/>
          <w:kern w:val="0"/>
          <w:sz w:val="22"/>
          <w:szCs w:val="22"/>
          <w:lang w:eastAsia="en-GB"/>
          <w14:ligatures w14:val="none"/>
        </w:rPr>
        <w:t>One of the main HR challenges is that retail work can be demanding, with long hours, pressure and limited progression in some roles. This can reduce employee engagement and increase turnover. HR must therefore focus on retention strategies such as recognition, wellbeing support and development opportunities. Although these initiatives may increase short-term costs, they are often more effective than repeated recruitment. For Tesco, strong talent management improves stability, reduces disruption and helps maintain high standards of customer service.</w:t>
      </w:r>
    </w:p>
    <w:p w14:paraId="5B966851" w14:textId="77777777" w:rsidR="007F0F49" w:rsidRPr="007F0F49" w:rsidRDefault="007F0F49" w:rsidP="00EA4B5C">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7F0F49">
        <w:rPr>
          <w:rFonts w:ascii="Arial" w:eastAsia="Times New Roman" w:hAnsi="Arial" w:cs="Arial"/>
          <w:kern w:val="0"/>
          <w:sz w:val="22"/>
          <w:szCs w:val="22"/>
          <w:lang w:eastAsia="en-GB"/>
          <w14:ligatures w14:val="none"/>
        </w:rPr>
        <w:t>3. Diversity, Equity and Inclusion</w:t>
      </w:r>
    </w:p>
    <w:p w14:paraId="342CDDC4" w14:textId="079ADB82" w:rsidR="007F0F49" w:rsidRPr="007F0F49" w:rsidRDefault="007F0F49" w:rsidP="00EA4B5C">
      <w:pPr>
        <w:spacing w:before="100" w:beforeAutospacing="1" w:after="100" w:afterAutospacing="1" w:line="360" w:lineRule="auto"/>
        <w:rPr>
          <w:rFonts w:ascii="Arial" w:eastAsia="Times New Roman" w:hAnsi="Arial" w:cs="Arial"/>
          <w:kern w:val="0"/>
          <w:sz w:val="22"/>
          <w:szCs w:val="22"/>
          <w:lang w:eastAsia="en-GB"/>
          <w14:ligatures w14:val="none"/>
        </w:rPr>
      </w:pPr>
      <w:r w:rsidRPr="007F0F49">
        <w:rPr>
          <w:rFonts w:ascii="Arial" w:eastAsia="Times New Roman" w:hAnsi="Arial" w:cs="Arial"/>
          <w:kern w:val="0"/>
          <w:sz w:val="22"/>
          <w:szCs w:val="22"/>
          <w:lang w:eastAsia="en-GB"/>
          <w14:ligatures w14:val="none"/>
        </w:rPr>
        <w:t>Diversity, equity and inclusion is another key factor affecting HR practice at Tesco. Diversity refers to differences between employees, equity means fairness in access and treatment, and inclusion involves creating a workplace where people feel respected and valued</w:t>
      </w:r>
      <w:r w:rsidR="00B763FD" w:rsidRPr="00AA7E8C">
        <w:rPr>
          <w:rFonts w:ascii="Arial" w:hAnsi="Arial" w:cs="Arial"/>
          <w:color w:val="000000"/>
          <w:sz w:val="22"/>
          <w:szCs w:val="22"/>
        </w:rPr>
        <w:t xml:space="preserve"> </w:t>
      </w:r>
      <w:r w:rsidR="00B763FD" w:rsidRPr="00AA7E8C">
        <w:rPr>
          <w:rFonts w:ascii="Arial" w:hAnsi="Arial" w:cs="Arial"/>
          <w:color w:val="000000"/>
          <w:sz w:val="22"/>
          <w:szCs w:val="22"/>
        </w:rPr>
        <w:t>(Byrd, 2022)</w:t>
      </w:r>
      <w:r w:rsidRPr="007F0F49">
        <w:rPr>
          <w:rFonts w:ascii="Arial" w:eastAsia="Times New Roman" w:hAnsi="Arial" w:cs="Arial"/>
          <w:kern w:val="0"/>
          <w:sz w:val="22"/>
          <w:szCs w:val="22"/>
          <w:lang w:eastAsia="en-GB"/>
          <w14:ligatures w14:val="none"/>
        </w:rPr>
        <w:t>. This issue is important because modern organisations are expected to provide equal opportunities and build working environments that support employee wellbeing and belonging.</w:t>
      </w:r>
    </w:p>
    <w:p w14:paraId="38448916" w14:textId="77777777" w:rsidR="007F0F49" w:rsidRPr="00AA7E8C" w:rsidRDefault="007F0F49" w:rsidP="00EA4B5C">
      <w:pPr>
        <w:spacing w:before="100" w:beforeAutospacing="1" w:after="100" w:afterAutospacing="1" w:line="360" w:lineRule="auto"/>
        <w:rPr>
          <w:rFonts w:ascii="Arial" w:eastAsia="Times New Roman" w:hAnsi="Arial" w:cs="Arial"/>
          <w:kern w:val="0"/>
          <w:sz w:val="22"/>
          <w:szCs w:val="22"/>
          <w:lang w:eastAsia="en-GB"/>
          <w14:ligatures w14:val="none"/>
        </w:rPr>
      </w:pPr>
      <w:r w:rsidRPr="007F0F49">
        <w:rPr>
          <w:rFonts w:ascii="Arial" w:eastAsia="Times New Roman" w:hAnsi="Arial" w:cs="Arial"/>
          <w:kern w:val="0"/>
          <w:sz w:val="22"/>
          <w:szCs w:val="22"/>
          <w:lang w:eastAsia="en-GB"/>
          <w14:ligatures w14:val="none"/>
        </w:rPr>
        <w:t xml:space="preserve">Tesco employs a large and varied workforce and serves diverse communities, so DEI is highly relevant to its operations. HR must ensure that recruitment, promotion and </w:t>
      </w:r>
      <w:r w:rsidRPr="007F0F49">
        <w:rPr>
          <w:rFonts w:ascii="Arial" w:eastAsia="Times New Roman" w:hAnsi="Arial" w:cs="Arial"/>
          <w:kern w:val="0"/>
          <w:sz w:val="22"/>
          <w:szCs w:val="22"/>
          <w:lang w:eastAsia="en-GB"/>
          <w14:ligatures w14:val="none"/>
        </w:rPr>
        <w:lastRenderedPageBreak/>
        <w:t>development processes are fair and free from discrimination. It must also help create an inclusive culture where all employees feel able to contribute. This can improve morale, strengthen teamwork and enhance Tesco’s reputation as a responsible employer.</w:t>
      </w:r>
    </w:p>
    <w:p w14:paraId="13FC5113" w14:textId="4D48E0C9" w:rsidR="007F0F49" w:rsidRPr="00AA7E8C" w:rsidRDefault="0067465C" w:rsidP="00EA4B5C">
      <w:pPr>
        <w:spacing w:before="100" w:beforeAutospacing="1" w:after="100" w:afterAutospacing="1" w:line="360" w:lineRule="auto"/>
        <w:rPr>
          <w:rFonts w:ascii="Arial" w:eastAsia="Times New Roman" w:hAnsi="Arial" w:cs="Arial"/>
          <w:kern w:val="0"/>
          <w:sz w:val="22"/>
          <w:szCs w:val="22"/>
          <w:lang w:eastAsia="en-GB"/>
          <w14:ligatures w14:val="none"/>
        </w:rPr>
      </w:pPr>
      <w:r w:rsidRPr="00AA7E8C">
        <w:rPr>
          <w:rFonts w:ascii="Arial" w:eastAsia="Times New Roman" w:hAnsi="Arial" w:cs="Arial"/>
          <w:kern w:val="0"/>
          <w:sz w:val="22"/>
          <w:szCs w:val="22"/>
          <w:lang w:eastAsia="en-GB"/>
          <w14:ligatures w14:val="none"/>
        </w:rPr>
        <w:t xml:space="preserve">Having a diverse workforce on its own isn’t enough. </w:t>
      </w:r>
      <w:r w:rsidRPr="007F0F49">
        <w:rPr>
          <w:rFonts w:ascii="Arial" w:eastAsia="Times New Roman" w:hAnsi="Arial" w:cs="Arial"/>
          <w:kern w:val="0"/>
          <w:sz w:val="22"/>
          <w:szCs w:val="22"/>
          <w:lang w:eastAsia="en-GB"/>
          <w14:ligatures w14:val="none"/>
        </w:rPr>
        <w:t>If employees do not feel included or treated fairly, diversity may not lead to better performance.</w:t>
      </w:r>
      <w:r w:rsidR="000517F9" w:rsidRPr="00AA7E8C">
        <w:rPr>
          <w:rFonts w:ascii="Arial" w:eastAsia="Times New Roman" w:hAnsi="Arial" w:cs="Arial"/>
          <w:kern w:val="0"/>
          <w:sz w:val="22"/>
          <w:szCs w:val="22"/>
          <w:lang w:eastAsia="en-GB"/>
          <w14:ligatures w14:val="none"/>
        </w:rPr>
        <w:t xml:space="preserve"> This can create a challenge for HR because policies must be supported by management behaviour and workplace culture. </w:t>
      </w:r>
      <w:r w:rsidR="000517F9" w:rsidRPr="007F0F49">
        <w:rPr>
          <w:rFonts w:ascii="Arial" w:eastAsia="Times New Roman" w:hAnsi="Arial" w:cs="Arial"/>
          <w:kern w:val="0"/>
          <w:sz w:val="22"/>
          <w:szCs w:val="22"/>
          <w:lang w:eastAsia="en-GB"/>
          <w14:ligatures w14:val="none"/>
        </w:rPr>
        <w:t>Departmental managers play an important role in making inclusion part of everyday practice. For Tesco, effective DEI can improve engagement, reduce conflict and support business performance, while poor DEI practice can damage both employee relations and public reputation</w:t>
      </w:r>
      <w:r w:rsidR="000517F9" w:rsidRPr="00AA7E8C">
        <w:rPr>
          <w:rFonts w:ascii="Arial" w:eastAsia="Times New Roman" w:hAnsi="Arial" w:cs="Arial"/>
          <w:kern w:val="0"/>
          <w:sz w:val="22"/>
          <w:szCs w:val="22"/>
          <w:lang w:eastAsia="en-GB"/>
          <w14:ligatures w14:val="none"/>
        </w:rPr>
        <w:t>.</w:t>
      </w:r>
    </w:p>
    <w:p w14:paraId="7676BE7D" w14:textId="77777777" w:rsidR="000517F9" w:rsidRPr="00AA7E8C" w:rsidRDefault="000517F9" w:rsidP="00EA4B5C">
      <w:pPr>
        <w:spacing w:before="100" w:beforeAutospacing="1" w:after="100" w:afterAutospacing="1" w:line="360" w:lineRule="auto"/>
        <w:rPr>
          <w:rFonts w:ascii="Arial" w:eastAsia="Times New Roman" w:hAnsi="Arial" w:cs="Arial"/>
          <w:kern w:val="0"/>
          <w:sz w:val="22"/>
          <w:szCs w:val="22"/>
          <w:lang w:eastAsia="en-GB"/>
          <w14:ligatures w14:val="none"/>
        </w:rPr>
      </w:pPr>
    </w:p>
    <w:p w14:paraId="38DA5C19" w14:textId="77777777" w:rsidR="002C00C5" w:rsidRPr="002C00C5" w:rsidRDefault="002C00C5" w:rsidP="00EA4B5C">
      <w:pPr>
        <w:spacing w:before="100" w:beforeAutospacing="1" w:after="100" w:afterAutospacing="1" w:line="360" w:lineRule="auto"/>
        <w:outlineLvl w:val="1"/>
        <w:rPr>
          <w:rFonts w:ascii="Arial" w:eastAsia="Times New Roman" w:hAnsi="Arial" w:cs="Arial"/>
          <w:kern w:val="0"/>
          <w:sz w:val="22"/>
          <w:szCs w:val="22"/>
          <w:lang w:eastAsia="en-GB"/>
          <w14:ligatures w14:val="none"/>
        </w:rPr>
      </w:pPr>
      <w:r w:rsidRPr="002C00C5">
        <w:rPr>
          <w:rFonts w:ascii="Arial" w:eastAsia="Times New Roman" w:hAnsi="Arial" w:cs="Arial"/>
          <w:kern w:val="0"/>
          <w:sz w:val="22"/>
          <w:szCs w:val="22"/>
          <w:lang w:eastAsia="en-GB"/>
          <w14:ligatures w14:val="none"/>
        </w:rPr>
        <w:t>Evaluation of Contemporary HR Practices at Tesco</w:t>
      </w:r>
    </w:p>
    <w:p w14:paraId="2C0C0AC5" w14:textId="77777777" w:rsidR="002C00C5" w:rsidRPr="002C00C5" w:rsidRDefault="002C00C5" w:rsidP="00EA4B5C">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2C00C5">
        <w:rPr>
          <w:rFonts w:ascii="Arial" w:eastAsia="Times New Roman" w:hAnsi="Arial" w:cs="Arial"/>
          <w:kern w:val="0"/>
          <w:sz w:val="22"/>
          <w:szCs w:val="22"/>
          <w:lang w:eastAsia="en-GB"/>
          <w14:ligatures w14:val="none"/>
        </w:rPr>
        <w:t>1. HR Practices Addressing Technological Advancement</w:t>
      </w:r>
    </w:p>
    <w:p w14:paraId="7FC0F90E" w14:textId="4534BD92" w:rsidR="001716A0" w:rsidRPr="00AA7E8C" w:rsidRDefault="002C00C5" w:rsidP="00EA4B5C">
      <w:pPr>
        <w:spacing w:before="100" w:beforeAutospacing="1" w:after="100" w:afterAutospacing="1" w:line="360" w:lineRule="auto"/>
        <w:rPr>
          <w:rFonts w:ascii="Arial" w:eastAsia="Times New Roman" w:hAnsi="Arial" w:cs="Arial"/>
          <w:kern w:val="0"/>
          <w:sz w:val="22"/>
          <w:szCs w:val="22"/>
          <w:lang w:eastAsia="en-GB"/>
          <w14:ligatures w14:val="none"/>
        </w:rPr>
      </w:pPr>
      <w:r w:rsidRPr="002C00C5">
        <w:rPr>
          <w:rFonts w:ascii="Arial" w:eastAsia="Times New Roman" w:hAnsi="Arial" w:cs="Arial"/>
          <w:kern w:val="0"/>
          <w:sz w:val="22"/>
          <w:szCs w:val="22"/>
          <w:lang w:eastAsia="en-GB"/>
          <w14:ligatures w14:val="none"/>
        </w:rPr>
        <w:t>One contemporary HR practice used to address technological advancement is training and reskilling</w:t>
      </w:r>
      <w:r w:rsidR="00076DFE" w:rsidRPr="00AA7E8C">
        <w:rPr>
          <w:rFonts w:ascii="Arial" w:hAnsi="Arial" w:cs="Arial"/>
          <w:color w:val="000000"/>
          <w:sz w:val="22"/>
          <w:szCs w:val="22"/>
        </w:rPr>
        <w:t xml:space="preserve"> </w:t>
      </w:r>
      <w:r w:rsidR="00076DFE" w:rsidRPr="00AA7E8C">
        <w:rPr>
          <w:rFonts w:ascii="Arial" w:hAnsi="Arial" w:cs="Arial"/>
          <w:color w:val="000000"/>
          <w:sz w:val="22"/>
          <w:szCs w:val="22"/>
        </w:rPr>
        <w:t>(Leontes and Hoole, 2024)</w:t>
      </w:r>
      <w:r w:rsidRPr="002C00C5">
        <w:rPr>
          <w:rFonts w:ascii="Arial" w:eastAsia="Times New Roman" w:hAnsi="Arial" w:cs="Arial"/>
          <w:kern w:val="0"/>
          <w:sz w:val="22"/>
          <w:szCs w:val="22"/>
          <w:lang w:eastAsia="en-GB"/>
          <w14:ligatures w14:val="none"/>
        </w:rPr>
        <w:t>. This reflects Human Capital Theory, which suggests that investment in employee skills can improve organisational productivity and performance. For Tesco, this is important because employees must adapt to self-checkout systems, online fulfilment processes and digital stock controls. Training helps staff develop the skills and confidence needed to use new systems effectively, which may reduce resistance to change and maintain customer service standards. This may improve productivity and support smoother digital transformation. However, training programmes require significant time and financial investment, especially in a large organisation. A limitation is that some employees may adapt more slowly than others, while training periods may also increase workload pressure during transition. Therefore, training is effective, but only when it is targeted, continuous and supported by managers.</w:t>
      </w:r>
    </w:p>
    <w:p w14:paraId="716935B8" w14:textId="558E065C" w:rsidR="004D6C84" w:rsidRPr="002C00C5" w:rsidRDefault="004D6C84" w:rsidP="00EA4B5C">
      <w:pPr>
        <w:spacing w:before="100" w:beforeAutospacing="1" w:after="100" w:afterAutospacing="1" w:line="360" w:lineRule="auto"/>
        <w:rPr>
          <w:rFonts w:ascii="Arial" w:eastAsia="Times New Roman" w:hAnsi="Arial" w:cs="Arial"/>
          <w:kern w:val="0"/>
          <w:sz w:val="22"/>
          <w:szCs w:val="22"/>
          <w:lang w:eastAsia="en-GB"/>
          <w14:ligatures w14:val="none"/>
        </w:rPr>
      </w:pPr>
      <w:r w:rsidRPr="00AA7E8C">
        <w:rPr>
          <w:rFonts w:ascii="Arial" w:eastAsia="Times New Roman" w:hAnsi="Arial" w:cs="Arial"/>
          <w:kern w:val="0"/>
          <w:sz w:val="22"/>
          <w:szCs w:val="22"/>
          <w:lang w:eastAsia="en-GB"/>
          <w14:ligatures w14:val="none"/>
        </w:rPr>
        <w:t xml:space="preserve">Workforce planning and change management are also important HR practices. Tesco needs to identify future skill </w:t>
      </w:r>
      <w:r w:rsidR="004917BE" w:rsidRPr="00AA7E8C">
        <w:rPr>
          <w:rFonts w:ascii="Arial" w:eastAsia="Times New Roman" w:hAnsi="Arial" w:cs="Arial"/>
          <w:kern w:val="0"/>
          <w:sz w:val="22"/>
          <w:szCs w:val="22"/>
          <w:lang w:eastAsia="en-GB"/>
          <w14:ligatures w14:val="none"/>
        </w:rPr>
        <w:t xml:space="preserve">requirements and prepare employees before technological </w:t>
      </w:r>
      <w:r w:rsidR="00CC2753" w:rsidRPr="00AA7E8C">
        <w:rPr>
          <w:rFonts w:ascii="Arial" w:eastAsia="Times New Roman" w:hAnsi="Arial" w:cs="Arial"/>
          <w:kern w:val="0"/>
          <w:sz w:val="22"/>
          <w:szCs w:val="22"/>
          <w:lang w:eastAsia="en-GB"/>
          <w14:ligatures w14:val="none"/>
        </w:rPr>
        <w:t>change</w:t>
      </w:r>
      <w:r w:rsidR="004917BE" w:rsidRPr="00AA7E8C">
        <w:rPr>
          <w:rFonts w:ascii="Arial" w:eastAsia="Times New Roman" w:hAnsi="Arial" w:cs="Arial"/>
          <w:kern w:val="0"/>
          <w:sz w:val="22"/>
          <w:szCs w:val="22"/>
          <w:lang w:eastAsia="en-GB"/>
          <w14:ligatures w14:val="none"/>
        </w:rPr>
        <w:t xml:space="preserve"> is fully implemented. Change management theory</w:t>
      </w:r>
      <w:r w:rsidR="00711663" w:rsidRPr="00AA7E8C">
        <w:rPr>
          <w:rFonts w:ascii="Arial" w:eastAsia="Times New Roman" w:hAnsi="Arial" w:cs="Arial"/>
          <w:kern w:val="0"/>
          <w:sz w:val="22"/>
          <w:szCs w:val="22"/>
          <w:lang w:eastAsia="en-GB"/>
          <w14:ligatures w14:val="none"/>
        </w:rPr>
        <w:t xml:space="preserve"> shows that </w:t>
      </w:r>
      <w:r w:rsidR="00CC2753" w:rsidRPr="00AA7E8C">
        <w:rPr>
          <w:rFonts w:ascii="Arial" w:eastAsia="Times New Roman" w:hAnsi="Arial" w:cs="Arial"/>
          <w:kern w:val="0"/>
          <w:sz w:val="22"/>
          <w:szCs w:val="22"/>
          <w:lang w:eastAsia="en-GB"/>
          <w14:ligatures w14:val="none"/>
        </w:rPr>
        <w:t xml:space="preserve">employees are more likely to accept change </w:t>
      </w:r>
      <w:r w:rsidR="00B51E02" w:rsidRPr="00AA7E8C">
        <w:rPr>
          <w:rFonts w:ascii="Arial" w:eastAsia="Times New Roman" w:hAnsi="Arial" w:cs="Arial"/>
          <w:kern w:val="0"/>
          <w:sz w:val="22"/>
          <w:szCs w:val="22"/>
          <w:lang w:eastAsia="en-GB"/>
          <w14:ligatures w14:val="none"/>
        </w:rPr>
        <w:t>when communication, support and involvement are strong</w:t>
      </w:r>
      <w:r w:rsidR="00895D35" w:rsidRPr="00AA7E8C">
        <w:rPr>
          <w:rFonts w:ascii="Arial" w:hAnsi="Arial" w:cs="Arial"/>
          <w:color w:val="000000"/>
          <w:sz w:val="22"/>
          <w:szCs w:val="22"/>
        </w:rPr>
        <w:t xml:space="preserve"> </w:t>
      </w:r>
      <w:r w:rsidR="00895D35" w:rsidRPr="00AA7E8C">
        <w:rPr>
          <w:rFonts w:ascii="Arial" w:hAnsi="Arial" w:cs="Arial"/>
          <w:color w:val="000000"/>
          <w:sz w:val="22"/>
          <w:szCs w:val="22"/>
        </w:rPr>
        <w:t>(</w:t>
      </w:r>
      <w:proofErr w:type="spellStart"/>
      <w:r w:rsidR="00895D35" w:rsidRPr="00AA7E8C">
        <w:rPr>
          <w:rFonts w:ascii="Arial" w:hAnsi="Arial" w:cs="Arial"/>
          <w:color w:val="000000"/>
          <w:sz w:val="22"/>
          <w:szCs w:val="22"/>
        </w:rPr>
        <w:t>Jimmieson</w:t>
      </w:r>
      <w:proofErr w:type="spellEnd"/>
      <w:r w:rsidR="00895D35" w:rsidRPr="00AA7E8C">
        <w:rPr>
          <w:rFonts w:ascii="Arial" w:hAnsi="Arial" w:cs="Arial"/>
          <w:color w:val="000000"/>
          <w:sz w:val="22"/>
          <w:szCs w:val="22"/>
        </w:rPr>
        <w:t xml:space="preserve"> and White, 2011)</w:t>
      </w:r>
      <w:r w:rsidR="00B51E02" w:rsidRPr="00AA7E8C">
        <w:rPr>
          <w:rFonts w:ascii="Arial" w:eastAsia="Times New Roman" w:hAnsi="Arial" w:cs="Arial"/>
          <w:kern w:val="0"/>
          <w:sz w:val="22"/>
          <w:szCs w:val="22"/>
          <w:lang w:eastAsia="en-GB"/>
          <w14:ligatures w14:val="none"/>
        </w:rPr>
        <w:t>. This could improve acceptance of automation and reduce disruption.</w:t>
      </w:r>
      <w:r w:rsidR="00F36016" w:rsidRPr="00AA7E8C">
        <w:rPr>
          <w:rFonts w:ascii="Arial" w:eastAsia="Times New Roman" w:hAnsi="Arial" w:cs="Arial"/>
          <w:kern w:val="0"/>
          <w:sz w:val="22"/>
          <w:szCs w:val="22"/>
          <w:lang w:eastAsia="en-GB"/>
          <w14:ligatures w14:val="none"/>
        </w:rPr>
        <w:t xml:space="preserve"> On the other hand</w:t>
      </w:r>
      <w:r w:rsidR="0028215F" w:rsidRPr="00AA7E8C">
        <w:rPr>
          <w:rFonts w:ascii="Arial" w:eastAsia="Times New Roman" w:hAnsi="Arial" w:cs="Arial"/>
          <w:kern w:val="0"/>
          <w:sz w:val="22"/>
          <w:szCs w:val="22"/>
          <w:lang w:eastAsia="en-GB"/>
          <w14:ligatures w14:val="none"/>
        </w:rPr>
        <w:t xml:space="preserve">, poor communication can lead to uncertainly, low morale </w:t>
      </w:r>
      <w:r w:rsidR="00480D25" w:rsidRPr="00AA7E8C">
        <w:rPr>
          <w:rFonts w:ascii="Arial" w:eastAsia="Times New Roman" w:hAnsi="Arial" w:cs="Arial"/>
          <w:kern w:val="0"/>
          <w:sz w:val="22"/>
          <w:szCs w:val="22"/>
          <w:lang w:eastAsia="en-GB"/>
          <w14:ligatures w14:val="none"/>
        </w:rPr>
        <w:t xml:space="preserve">and increased fear </w:t>
      </w:r>
      <w:r w:rsidR="00480D25" w:rsidRPr="00AA7E8C">
        <w:rPr>
          <w:rFonts w:ascii="Arial" w:eastAsia="Times New Roman" w:hAnsi="Arial" w:cs="Arial"/>
          <w:kern w:val="0"/>
          <w:sz w:val="22"/>
          <w:szCs w:val="22"/>
          <w:lang w:eastAsia="en-GB"/>
          <w14:ligatures w14:val="none"/>
        </w:rPr>
        <w:lastRenderedPageBreak/>
        <w:t>about job security. Consequently, these practices are only fully effective when managers support employees during implementation</w:t>
      </w:r>
    </w:p>
    <w:p w14:paraId="1E1B6D4D" w14:textId="77777777" w:rsidR="002C00C5" w:rsidRPr="002C00C5" w:rsidRDefault="002C00C5" w:rsidP="00EA4B5C">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2C00C5">
        <w:rPr>
          <w:rFonts w:ascii="Arial" w:eastAsia="Times New Roman" w:hAnsi="Arial" w:cs="Arial"/>
          <w:kern w:val="0"/>
          <w:sz w:val="22"/>
          <w:szCs w:val="22"/>
          <w:lang w:eastAsia="en-GB"/>
          <w14:ligatures w14:val="none"/>
        </w:rPr>
        <w:t>2. HR Practices Addressing Talent Acquisition and Retention</w:t>
      </w:r>
    </w:p>
    <w:p w14:paraId="1D3CD52D" w14:textId="77777777" w:rsidR="002C00C5" w:rsidRPr="002C00C5" w:rsidRDefault="002C00C5" w:rsidP="00EA4B5C">
      <w:pPr>
        <w:spacing w:before="100" w:beforeAutospacing="1" w:after="100" w:afterAutospacing="1" w:line="360" w:lineRule="auto"/>
        <w:rPr>
          <w:rFonts w:ascii="Arial" w:eastAsia="Times New Roman" w:hAnsi="Arial" w:cs="Arial"/>
          <w:kern w:val="0"/>
          <w:sz w:val="22"/>
          <w:szCs w:val="22"/>
          <w:lang w:eastAsia="en-GB"/>
          <w14:ligatures w14:val="none"/>
        </w:rPr>
      </w:pPr>
      <w:r w:rsidRPr="002C00C5">
        <w:rPr>
          <w:rFonts w:ascii="Arial" w:eastAsia="Times New Roman" w:hAnsi="Arial" w:cs="Arial"/>
          <w:kern w:val="0"/>
          <w:sz w:val="22"/>
          <w:szCs w:val="22"/>
          <w:lang w:eastAsia="en-GB"/>
          <w14:ligatures w14:val="none"/>
        </w:rPr>
        <w:t>Employer branding and digital recruitment are important contemporary HR practices for attracting employees. Tesco operates in a competitive labour market and must recruit efficiently across stores, distribution and head office functions. A strong employer brand can help Tesco attract better candidates by promoting career opportunities, organisational values and employee benefits. Online recruitment methods may also improve speed and widen access to potential applicants. This can strengthen workforce supply and reduce hiring delays. However, short-term recruitment strategies may not solve long-term retention problems. If the reality of work does not match the promises made during recruitment, new employees may leave quickly. This suggests attraction strategies are useful, but insufficient on their own.</w:t>
      </w:r>
    </w:p>
    <w:p w14:paraId="750857DC" w14:textId="031EAF82" w:rsidR="00E63A31" w:rsidRPr="00AA7E8C" w:rsidRDefault="00E63A31" w:rsidP="00EA4B5C">
      <w:pPr>
        <w:spacing w:before="100" w:beforeAutospacing="1" w:after="100" w:afterAutospacing="1" w:line="360" w:lineRule="auto"/>
        <w:rPr>
          <w:rFonts w:ascii="Arial" w:eastAsia="Times New Roman" w:hAnsi="Arial" w:cs="Arial"/>
          <w:kern w:val="0"/>
          <w:sz w:val="22"/>
          <w:szCs w:val="22"/>
          <w:lang w:eastAsia="en-GB"/>
          <w14:ligatures w14:val="none"/>
        </w:rPr>
      </w:pPr>
      <w:r w:rsidRPr="00AA7E8C">
        <w:rPr>
          <w:rFonts w:ascii="Arial" w:eastAsia="Times New Roman" w:hAnsi="Arial" w:cs="Arial"/>
          <w:kern w:val="0"/>
          <w:sz w:val="22"/>
          <w:szCs w:val="22"/>
          <w:lang w:eastAsia="en-GB"/>
          <w14:ligatures w14:val="none"/>
        </w:rPr>
        <w:t>Retention practices such as career development, recog</w:t>
      </w:r>
      <w:r w:rsidR="00973F8A" w:rsidRPr="00AA7E8C">
        <w:rPr>
          <w:rFonts w:ascii="Arial" w:eastAsia="Times New Roman" w:hAnsi="Arial" w:cs="Arial"/>
          <w:kern w:val="0"/>
          <w:sz w:val="22"/>
          <w:szCs w:val="22"/>
          <w:lang w:eastAsia="en-GB"/>
          <w14:ligatures w14:val="none"/>
        </w:rPr>
        <w:t>nition, flexible working and employee enga</w:t>
      </w:r>
      <w:r w:rsidR="00F13901" w:rsidRPr="00AA7E8C">
        <w:rPr>
          <w:rFonts w:ascii="Arial" w:eastAsia="Times New Roman" w:hAnsi="Arial" w:cs="Arial"/>
          <w:kern w:val="0"/>
          <w:sz w:val="22"/>
          <w:szCs w:val="22"/>
          <w:lang w:eastAsia="en-GB"/>
          <w14:ligatures w14:val="none"/>
        </w:rPr>
        <w:t>ge</w:t>
      </w:r>
      <w:r w:rsidR="00973F8A" w:rsidRPr="00AA7E8C">
        <w:rPr>
          <w:rFonts w:ascii="Arial" w:eastAsia="Times New Roman" w:hAnsi="Arial" w:cs="Arial"/>
          <w:kern w:val="0"/>
          <w:sz w:val="22"/>
          <w:szCs w:val="22"/>
          <w:lang w:eastAsia="en-GB"/>
          <w14:ligatures w14:val="none"/>
        </w:rPr>
        <w:t xml:space="preserve">ment are as important. These practices link very closely to the psychological </w:t>
      </w:r>
      <w:r w:rsidR="00F13901" w:rsidRPr="00AA7E8C">
        <w:rPr>
          <w:rFonts w:ascii="Arial" w:eastAsia="Times New Roman" w:hAnsi="Arial" w:cs="Arial"/>
          <w:kern w:val="0"/>
          <w:sz w:val="22"/>
          <w:szCs w:val="22"/>
          <w:lang w:eastAsia="en-GB"/>
          <w14:ligatures w14:val="none"/>
        </w:rPr>
        <w:t>contract</w:t>
      </w:r>
      <w:r w:rsidR="008A4BF5" w:rsidRPr="00AA7E8C">
        <w:rPr>
          <w:rFonts w:ascii="Arial" w:eastAsia="Times New Roman" w:hAnsi="Arial" w:cs="Arial"/>
          <w:kern w:val="0"/>
          <w:sz w:val="22"/>
          <w:szCs w:val="22"/>
          <w:lang w:eastAsia="en-GB"/>
          <w14:ligatures w14:val="none"/>
        </w:rPr>
        <w:t xml:space="preserve">, which refers to expectations employees have about support, fairness and development in </w:t>
      </w:r>
      <w:r w:rsidR="00EC55B9" w:rsidRPr="00AA7E8C">
        <w:rPr>
          <w:rFonts w:ascii="Arial" w:eastAsia="Times New Roman" w:hAnsi="Arial" w:cs="Arial"/>
          <w:kern w:val="0"/>
          <w:sz w:val="22"/>
          <w:szCs w:val="22"/>
          <w:lang w:eastAsia="en-GB"/>
          <w14:ligatures w14:val="none"/>
        </w:rPr>
        <w:t>in return for commitment</w:t>
      </w:r>
      <w:r w:rsidR="000E0709" w:rsidRPr="00AA7E8C">
        <w:rPr>
          <w:rFonts w:ascii="Arial" w:hAnsi="Arial" w:cs="Arial"/>
          <w:color w:val="000000"/>
          <w:sz w:val="22"/>
          <w:szCs w:val="22"/>
        </w:rPr>
        <w:t xml:space="preserve"> </w:t>
      </w:r>
      <w:r w:rsidR="000E0709" w:rsidRPr="00AA7E8C">
        <w:rPr>
          <w:rFonts w:ascii="Arial" w:hAnsi="Arial" w:cs="Arial"/>
          <w:color w:val="000000"/>
          <w:sz w:val="22"/>
          <w:szCs w:val="22"/>
        </w:rPr>
        <w:t>(McInnis, Meyer and Feldman, 2008)</w:t>
      </w:r>
      <w:r w:rsidR="00EC55B9" w:rsidRPr="00AA7E8C">
        <w:rPr>
          <w:rFonts w:ascii="Arial" w:eastAsia="Times New Roman" w:hAnsi="Arial" w:cs="Arial"/>
          <w:kern w:val="0"/>
          <w:sz w:val="22"/>
          <w:szCs w:val="22"/>
          <w:lang w:eastAsia="en-GB"/>
          <w14:ligatures w14:val="none"/>
        </w:rPr>
        <w:t xml:space="preserve">. </w:t>
      </w:r>
      <w:r w:rsidR="00EC55B9" w:rsidRPr="002C00C5">
        <w:rPr>
          <w:rFonts w:ascii="Arial" w:eastAsia="Times New Roman" w:hAnsi="Arial" w:cs="Arial"/>
          <w:kern w:val="0"/>
          <w:sz w:val="22"/>
          <w:szCs w:val="22"/>
          <w:lang w:eastAsia="en-GB"/>
          <w14:ligatures w14:val="none"/>
        </w:rPr>
        <w:t>For Tesco, training and internal promotion may increase loyalty, while recognition and flexibility may improve morale and work-life balance.</w:t>
      </w:r>
      <w:r w:rsidR="00EC55B9" w:rsidRPr="00AA7E8C">
        <w:rPr>
          <w:rFonts w:ascii="Arial" w:eastAsia="Times New Roman" w:hAnsi="Arial" w:cs="Arial"/>
          <w:kern w:val="0"/>
          <w:sz w:val="22"/>
          <w:szCs w:val="22"/>
          <w:lang w:eastAsia="en-GB"/>
          <w14:ligatures w14:val="none"/>
        </w:rPr>
        <w:t xml:space="preserve"> This can re</w:t>
      </w:r>
      <w:r w:rsidR="00C95B9B" w:rsidRPr="00AA7E8C">
        <w:rPr>
          <w:rFonts w:ascii="Arial" w:eastAsia="Times New Roman" w:hAnsi="Arial" w:cs="Arial"/>
          <w:kern w:val="0"/>
          <w:sz w:val="22"/>
          <w:szCs w:val="22"/>
          <w:lang w:eastAsia="en-GB"/>
          <w14:ligatures w14:val="none"/>
        </w:rPr>
        <w:t xml:space="preserve">duce turnover and improve service quality. However flexible working may be harder to implement for instore </w:t>
      </w:r>
      <w:r w:rsidR="00F13901" w:rsidRPr="00AA7E8C">
        <w:rPr>
          <w:rFonts w:ascii="Arial" w:eastAsia="Times New Roman" w:hAnsi="Arial" w:cs="Arial"/>
          <w:kern w:val="0"/>
          <w:sz w:val="22"/>
          <w:szCs w:val="22"/>
          <w:lang w:eastAsia="en-GB"/>
          <w14:ligatures w14:val="none"/>
        </w:rPr>
        <w:t>roles,</w:t>
      </w:r>
      <w:r w:rsidR="00BD0EBC" w:rsidRPr="00AA7E8C">
        <w:rPr>
          <w:rFonts w:ascii="Arial" w:eastAsia="Times New Roman" w:hAnsi="Arial" w:cs="Arial"/>
          <w:kern w:val="0"/>
          <w:sz w:val="22"/>
          <w:szCs w:val="22"/>
          <w:lang w:eastAsia="en-GB"/>
          <w14:ligatures w14:val="none"/>
        </w:rPr>
        <w:t xml:space="preserve"> </w:t>
      </w:r>
      <w:r w:rsidR="00F13901" w:rsidRPr="00AA7E8C">
        <w:rPr>
          <w:rFonts w:ascii="Arial" w:eastAsia="Times New Roman" w:hAnsi="Arial" w:cs="Arial"/>
          <w:kern w:val="0"/>
          <w:sz w:val="22"/>
          <w:szCs w:val="22"/>
          <w:lang w:eastAsia="en-GB"/>
          <w14:ligatures w14:val="none"/>
        </w:rPr>
        <w:t>a</w:t>
      </w:r>
      <w:r w:rsidR="00BD0EBC" w:rsidRPr="00AA7E8C">
        <w:rPr>
          <w:rFonts w:ascii="Arial" w:eastAsia="Times New Roman" w:hAnsi="Arial" w:cs="Arial"/>
          <w:kern w:val="0"/>
          <w:sz w:val="22"/>
          <w:szCs w:val="22"/>
          <w:lang w:eastAsia="en-GB"/>
          <w14:ligatures w14:val="none"/>
        </w:rPr>
        <w:t xml:space="preserve">nd retention depends on the quality of management. </w:t>
      </w:r>
      <w:r w:rsidR="00F13901" w:rsidRPr="00AA7E8C">
        <w:rPr>
          <w:rFonts w:ascii="Arial" w:eastAsia="Times New Roman" w:hAnsi="Arial" w:cs="Arial"/>
          <w:kern w:val="0"/>
          <w:sz w:val="22"/>
          <w:szCs w:val="22"/>
          <w:lang w:eastAsia="en-GB"/>
          <w14:ligatures w14:val="none"/>
        </w:rPr>
        <w:t>These practices can improve commitment, but their success depends on consistent everyday management and realistic working conditions.</w:t>
      </w:r>
    </w:p>
    <w:p w14:paraId="210BCC07" w14:textId="77777777" w:rsidR="002C00C5" w:rsidRPr="002C00C5" w:rsidRDefault="002C00C5" w:rsidP="00EA4B5C">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2C00C5">
        <w:rPr>
          <w:rFonts w:ascii="Arial" w:eastAsia="Times New Roman" w:hAnsi="Arial" w:cs="Arial"/>
          <w:kern w:val="0"/>
          <w:sz w:val="22"/>
          <w:szCs w:val="22"/>
          <w:lang w:eastAsia="en-GB"/>
          <w14:ligatures w14:val="none"/>
        </w:rPr>
        <w:t>3. HR Practices Addressing Diversity, Equity and Inclusion</w:t>
      </w:r>
    </w:p>
    <w:p w14:paraId="5C9EF066" w14:textId="77777777" w:rsidR="002C00C5" w:rsidRPr="002C00C5" w:rsidRDefault="002C00C5" w:rsidP="00EA4B5C">
      <w:pPr>
        <w:spacing w:before="100" w:beforeAutospacing="1" w:after="100" w:afterAutospacing="1" w:line="360" w:lineRule="auto"/>
        <w:rPr>
          <w:rFonts w:ascii="Arial" w:eastAsia="Times New Roman" w:hAnsi="Arial" w:cs="Arial"/>
          <w:kern w:val="0"/>
          <w:sz w:val="22"/>
          <w:szCs w:val="22"/>
          <w:lang w:eastAsia="en-GB"/>
          <w14:ligatures w14:val="none"/>
        </w:rPr>
      </w:pPr>
      <w:r w:rsidRPr="002C00C5">
        <w:rPr>
          <w:rFonts w:ascii="Arial" w:eastAsia="Times New Roman" w:hAnsi="Arial" w:cs="Arial"/>
          <w:kern w:val="0"/>
          <w:sz w:val="22"/>
          <w:szCs w:val="22"/>
          <w:lang w:eastAsia="en-GB"/>
          <w14:ligatures w14:val="none"/>
        </w:rPr>
        <w:t>Inclusive recruitment and diversity training are widely used HR practices to support diversity, equity and inclusion. Inclusive recruitment aims to reduce bias and improve fairness in hiring, while diversity training seeks to raise awareness of discrimination, inclusion and respectful behaviour. These practices are linked to ideas of inclusive leadership, where fairness and belonging are actively promoted through organisational behaviour. For Tesco, inclusive recruitment can help build a workforce that reflects the diverse communities it serves, while training may strengthen awareness and improve workplace relationships. This may enhance fairness, reputation and employee trust. However, diversity training alone may have limited long-term impact if attitudes and behaviour do not change in practice. A limitation is that formal training may be completed without meaningful behavioural change.</w:t>
      </w:r>
    </w:p>
    <w:p w14:paraId="58795A4F" w14:textId="77777777" w:rsidR="002C00C5" w:rsidRPr="002C00C5" w:rsidRDefault="002C00C5" w:rsidP="00EA4B5C">
      <w:pPr>
        <w:spacing w:before="100" w:beforeAutospacing="1" w:after="100" w:afterAutospacing="1" w:line="360" w:lineRule="auto"/>
        <w:rPr>
          <w:rFonts w:ascii="Arial" w:eastAsia="Times New Roman" w:hAnsi="Arial" w:cs="Arial"/>
          <w:kern w:val="0"/>
          <w:sz w:val="22"/>
          <w:szCs w:val="22"/>
          <w:lang w:eastAsia="en-GB"/>
          <w14:ligatures w14:val="none"/>
        </w:rPr>
      </w:pPr>
      <w:r w:rsidRPr="002C00C5">
        <w:rPr>
          <w:rFonts w:ascii="Arial" w:eastAsia="Times New Roman" w:hAnsi="Arial" w:cs="Arial"/>
          <w:kern w:val="0"/>
          <w:sz w:val="22"/>
          <w:szCs w:val="22"/>
          <w:lang w:eastAsia="en-GB"/>
          <w14:ligatures w14:val="none"/>
        </w:rPr>
        <w:lastRenderedPageBreak/>
        <w:t>Employee networks, flexible working and transparent promotion systems are also important. These practices can support belonging, help employees with different needs and improve perceptions of fairness. For Tesco, this may strengthen engagement, retention and morale. However, DEI policies may exist formally but still be applied inconsistently across departments. Diversity on its own does not improve performance unless inclusion is genuinely achieved. Therefore, these practices are valuable, but they depend on leadership commitment and consistent manager behaviour to produce lasting organisational benefits.</w:t>
      </w:r>
    </w:p>
    <w:p w14:paraId="45CDB6CA" w14:textId="77777777" w:rsidR="008C5C68" w:rsidRPr="008C5C68" w:rsidRDefault="008C5C68" w:rsidP="00EA4B5C">
      <w:pPr>
        <w:spacing w:before="100" w:beforeAutospacing="1" w:after="100" w:afterAutospacing="1" w:line="360" w:lineRule="auto"/>
        <w:outlineLvl w:val="1"/>
        <w:rPr>
          <w:rFonts w:ascii="Arial" w:eastAsia="Times New Roman" w:hAnsi="Arial" w:cs="Arial"/>
          <w:kern w:val="0"/>
          <w:sz w:val="22"/>
          <w:szCs w:val="22"/>
          <w:lang w:eastAsia="en-GB"/>
          <w14:ligatures w14:val="none"/>
        </w:rPr>
      </w:pPr>
      <w:r w:rsidRPr="008C5C68">
        <w:rPr>
          <w:rFonts w:ascii="Arial" w:eastAsia="Times New Roman" w:hAnsi="Arial" w:cs="Arial"/>
          <w:kern w:val="0"/>
          <w:sz w:val="22"/>
          <w:szCs w:val="22"/>
          <w:lang w:eastAsia="en-GB"/>
          <w14:ligatures w14:val="none"/>
        </w:rPr>
        <w:t>Conclusion</w:t>
      </w:r>
    </w:p>
    <w:p w14:paraId="7FEA37E6" w14:textId="77777777" w:rsidR="008C5C68" w:rsidRPr="008C5C68" w:rsidRDefault="008C5C68" w:rsidP="00EA4B5C">
      <w:pPr>
        <w:spacing w:before="100" w:beforeAutospacing="1" w:after="100" w:afterAutospacing="1" w:line="360" w:lineRule="auto"/>
        <w:rPr>
          <w:rFonts w:ascii="Arial" w:eastAsia="Times New Roman" w:hAnsi="Arial" w:cs="Arial"/>
          <w:kern w:val="0"/>
          <w:sz w:val="22"/>
          <w:szCs w:val="22"/>
          <w:lang w:eastAsia="en-GB"/>
          <w14:ligatures w14:val="none"/>
        </w:rPr>
      </w:pPr>
      <w:r w:rsidRPr="008C5C68">
        <w:rPr>
          <w:rFonts w:ascii="Arial" w:eastAsia="Times New Roman" w:hAnsi="Arial" w:cs="Arial"/>
          <w:kern w:val="0"/>
          <w:sz w:val="22"/>
          <w:szCs w:val="22"/>
          <w:lang w:eastAsia="en-GB"/>
          <w14:ligatures w14:val="none"/>
        </w:rPr>
        <w:t>This report examined the key HR issues affecting Tesco, namely technological advancement, talent acquisition and retention, and diversity, equity and inclusion. These factors have a significant influence on workforce management, employee experience and organisational performance. The report also evaluated contemporary HR practices, including training and reskilling, recruitment and retention strategies, and inclusive workplace policies, as responses to these challenges. However, the overall effectiveness of these practices depends largely on the role of departmental managers in ensuring consistent and timely implementation. Tesco must therefore continue adapting its HR strategies to support workforce capability, employee commitment and long-term organisational success.</w:t>
      </w:r>
    </w:p>
    <w:p w14:paraId="576F6E8F" w14:textId="77777777" w:rsidR="008C5C68" w:rsidRPr="008C5C68" w:rsidRDefault="008C5C68" w:rsidP="00EA4B5C">
      <w:pPr>
        <w:spacing w:before="100" w:beforeAutospacing="1" w:after="100" w:afterAutospacing="1" w:line="360" w:lineRule="auto"/>
        <w:outlineLvl w:val="1"/>
        <w:rPr>
          <w:rFonts w:ascii="Arial" w:eastAsia="Times New Roman" w:hAnsi="Arial" w:cs="Arial"/>
          <w:kern w:val="0"/>
          <w:sz w:val="22"/>
          <w:szCs w:val="22"/>
          <w:lang w:eastAsia="en-GB"/>
          <w14:ligatures w14:val="none"/>
        </w:rPr>
      </w:pPr>
      <w:r w:rsidRPr="008C5C68">
        <w:rPr>
          <w:rFonts w:ascii="Arial" w:eastAsia="Times New Roman" w:hAnsi="Arial" w:cs="Arial"/>
          <w:kern w:val="0"/>
          <w:sz w:val="22"/>
          <w:szCs w:val="22"/>
          <w:lang w:eastAsia="en-GB"/>
          <w14:ligatures w14:val="none"/>
        </w:rPr>
        <w:t>Recommendations</w:t>
      </w:r>
    </w:p>
    <w:p w14:paraId="68F15577" w14:textId="77777777" w:rsidR="008C5C68" w:rsidRPr="008C5C68" w:rsidRDefault="008C5C68" w:rsidP="00EA4B5C">
      <w:pPr>
        <w:spacing w:before="100" w:beforeAutospacing="1" w:after="100" w:afterAutospacing="1" w:line="360" w:lineRule="auto"/>
        <w:rPr>
          <w:rFonts w:ascii="Arial" w:eastAsia="Times New Roman" w:hAnsi="Arial" w:cs="Arial"/>
          <w:kern w:val="0"/>
          <w:sz w:val="22"/>
          <w:szCs w:val="22"/>
          <w:lang w:eastAsia="en-GB"/>
          <w14:ligatures w14:val="none"/>
        </w:rPr>
      </w:pPr>
      <w:r w:rsidRPr="008C5C68">
        <w:rPr>
          <w:rFonts w:ascii="Arial" w:eastAsia="Times New Roman" w:hAnsi="Arial" w:cs="Arial"/>
          <w:kern w:val="0"/>
          <w:sz w:val="22"/>
          <w:szCs w:val="22"/>
          <w:lang w:eastAsia="en-GB"/>
          <w14:ligatures w14:val="none"/>
        </w:rPr>
        <w:t>It is recommended that Tesco strengthens digital training and reskilling programmes across all areas of the business. Continuous learning opportunities should be provided to help employees adapt to technological change, while departmental managers should be trained to support staff during digital transition.</w:t>
      </w:r>
    </w:p>
    <w:p w14:paraId="0D689731" w14:textId="77777777" w:rsidR="008C5C68" w:rsidRPr="008C5C68" w:rsidRDefault="008C5C68" w:rsidP="00EA4B5C">
      <w:pPr>
        <w:spacing w:before="100" w:beforeAutospacing="1" w:after="100" w:afterAutospacing="1" w:line="360" w:lineRule="auto"/>
        <w:rPr>
          <w:rFonts w:ascii="Arial" w:eastAsia="Times New Roman" w:hAnsi="Arial" w:cs="Arial"/>
          <w:kern w:val="0"/>
          <w:sz w:val="22"/>
          <w:szCs w:val="22"/>
          <w:lang w:eastAsia="en-GB"/>
          <w14:ligatures w14:val="none"/>
        </w:rPr>
      </w:pPr>
      <w:r w:rsidRPr="008C5C68">
        <w:rPr>
          <w:rFonts w:ascii="Arial" w:eastAsia="Times New Roman" w:hAnsi="Arial" w:cs="Arial"/>
          <w:kern w:val="0"/>
          <w:sz w:val="22"/>
          <w:szCs w:val="22"/>
          <w:lang w:eastAsia="en-GB"/>
          <w14:ligatures w14:val="none"/>
        </w:rPr>
        <w:t>It is recommended that Tesco improves retention by expanding career development opportunities, internal promotion pathways and employee engagement initiatives. Reward and recognition systems should also be reviewed to increase employee satisfaction, commitment and long-term retention.</w:t>
      </w:r>
    </w:p>
    <w:p w14:paraId="007CE7EE" w14:textId="77777777" w:rsidR="008C5C68" w:rsidRPr="008C5C68" w:rsidRDefault="008C5C68" w:rsidP="00EA4B5C">
      <w:pPr>
        <w:spacing w:before="100" w:beforeAutospacing="1" w:after="100" w:afterAutospacing="1" w:line="360" w:lineRule="auto"/>
        <w:rPr>
          <w:rFonts w:ascii="Arial" w:eastAsia="Times New Roman" w:hAnsi="Arial" w:cs="Arial"/>
          <w:kern w:val="0"/>
          <w:sz w:val="22"/>
          <w:szCs w:val="22"/>
          <w:lang w:eastAsia="en-GB"/>
          <w14:ligatures w14:val="none"/>
        </w:rPr>
      </w:pPr>
      <w:r w:rsidRPr="008C5C68">
        <w:rPr>
          <w:rFonts w:ascii="Arial" w:eastAsia="Times New Roman" w:hAnsi="Arial" w:cs="Arial"/>
          <w:kern w:val="0"/>
          <w:sz w:val="22"/>
          <w:szCs w:val="22"/>
          <w:lang w:eastAsia="en-GB"/>
          <w14:ligatures w14:val="none"/>
        </w:rPr>
        <w:t>It is further recommended that Tesco ensures departmental managers receive training in leadership, communication and inclusive people management. Managerial performance should be monitored against outcomes such as staff retention, training completion and DEI progress to improve accountability.</w:t>
      </w:r>
    </w:p>
    <w:p w14:paraId="52DA409E" w14:textId="77777777" w:rsidR="008C5C68" w:rsidRPr="00AA7E8C" w:rsidRDefault="008C5C68" w:rsidP="00EA4B5C">
      <w:pPr>
        <w:spacing w:before="100" w:beforeAutospacing="1" w:after="100" w:afterAutospacing="1" w:line="360" w:lineRule="auto"/>
        <w:rPr>
          <w:rFonts w:ascii="Arial" w:eastAsia="Times New Roman" w:hAnsi="Arial" w:cs="Arial"/>
          <w:kern w:val="0"/>
          <w:sz w:val="22"/>
          <w:szCs w:val="22"/>
          <w:lang w:eastAsia="en-GB"/>
          <w14:ligatures w14:val="none"/>
        </w:rPr>
      </w:pPr>
      <w:r w:rsidRPr="008C5C68">
        <w:rPr>
          <w:rFonts w:ascii="Arial" w:eastAsia="Times New Roman" w:hAnsi="Arial" w:cs="Arial"/>
          <w:kern w:val="0"/>
          <w:sz w:val="22"/>
          <w:szCs w:val="22"/>
          <w:lang w:eastAsia="en-GB"/>
          <w14:ligatures w14:val="none"/>
        </w:rPr>
        <w:lastRenderedPageBreak/>
        <w:t>It is also recommended that Tesco strengthens its DEI strategy through more inclusive recruitment, transparent promotion processes and greater support for employee networks. HR should work closely with departmental managers to monitor diversity data and ensure fair and consistent implementation across departments.</w:t>
      </w:r>
    </w:p>
    <w:p w14:paraId="20A773CA" w14:textId="77777777" w:rsidR="00AA7E8C" w:rsidRPr="00AA7E8C" w:rsidRDefault="00AA7E8C" w:rsidP="00EA4B5C">
      <w:pPr>
        <w:spacing w:before="100" w:beforeAutospacing="1" w:after="100" w:afterAutospacing="1" w:line="360" w:lineRule="auto"/>
        <w:rPr>
          <w:rFonts w:ascii="Arial" w:eastAsia="Times New Roman" w:hAnsi="Arial" w:cs="Arial"/>
          <w:kern w:val="0"/>
          <w:sz w:val="22"/>
          <w:szCs w:val="22"/>
          <w:lang w:eastAsia="en-GB"/>
          <w14:ligatures w14:val="none"/>
        </w:rPr>
      </w:pPr>
    </w:p>
    <w:p w14:paraId="6F6F5940" w14:textId="51310949" w:rsidR="00AA7E8C" w:rsidRPr="008C5C68" w:rsidRDefault="00EC7344" w:rsidP="00EA4B5C">
      <w:pPr>
        <w:spacing w:before="100" w:beforeAutospacing="1" w:after="100" w:afterAutospacing="1" w:line="360" w:lineRule="auto"/>
        <w:rPr>
          <w:rFonts w:ascii="Arial" w:eastAsia="Times New Roman" w:hAnsi="Arial" w:cs="Arial"/>
          <w:kern w:val="0"/>
          <w:sz w:val="22"/>
          <w:szCs w:val="22"/>
          <w:lang w:eastAsia="en-GB"/>
          <w14:ligatures w14:val="none"/>
        </w:rPr>
      </w:pPr>
      <w:r w:rsidRPr="00AA7E8C">
        <w:rPr>
          <w:rFonts w:ascii="Arial" w:eastAsia="Times New Roman" w:hAnsi="Arial" w:cs="Arial"/>
          <w:kern w:val="0"/>
          <w:sz w:val="22"/>
          <w:szCs w:val="22"/>
          <w:lang w:eastAsia="en-GB"/>
          <w14:ligatures w14:val="none"/>
        </w:rPr>
        <w:t>Reference</w:t>
      </w:r>
      <w:r w:rsidR="00AA7E8C" w:rsidRPr="00AA7E8C">
        <w:rPr>
          <w:rFonts w:ascii="Arial" w:eastAsia="Times New Roman" w:hAnsi="Arial" w:cs="Arial"/>
          <w:kern w:val="0"/>
          <w:sz w:val="22"/>
          <w:szCs w:val="22"/>
          <w:lang w:eastAsia="en-GB"/>
          <w14:ligatures w14:val="none"/>
        </w:rPr>
        <w:t xml:space="preserve"> list</w:t>
      </w:r>
    </w:p>
    <w:p w14:paraId="2AAAD3A0" w14:textId="77777777" w:rsidR="00AA7E8C" w:rsidRPr="00AA7E8C" w:rsidRDefault="00AA7E8C" w:rsidP="00EA4B5C">
      <w:pPr>
        <w:pStyle w:val="NormalWeb"/>
        <w:spacing w:before="0" w:beforeAutospacing="0" w:after="0" w:afterAutospacing="0" w:line="360" w:lineRule="auto"/>
        <w:ind w:left="720" w:hanging="720"/>
        <w:rPr>
          <w:rFonts w:ascii="Arial" w:hAnsi="Arial" w:cs="Arial"/>
          <w:color w:val="000000"/>
          <w:sz w:val="22"/>
          <w:szCs w:val="22"/>
        </w:rPr>
      </w:pPr>
      <w:r w:rsidRPr="00AA7E8C">
        <w:rPr>
          <w:rFonts w:ascii="Arial" w:hAnsi="Arial" w:cs="Arial"/>
          <w:color w:val="000000"/>
          <w:sz w:val="22"/>
          <w:szCs w:val="22"/>
        </w:rPr>
        <w:t>Byrd, M.Y. (2022) 'Creating a culture of inclusion and belongingness in remote work environments that sustains meaningful work,'</w:t>
      </w:r>
      <w:r w:rsidRPr="00AA7E8C">
        <w:rPr>
          <w:rStyle w:val="apple-converted-space"/>
          <w:rFonts w:ascii="Arial" w:eastAsiaTheme="majorEastAsia" w:hAnsi="Arial" w:cs="Arial"/>
          <w:color w:val="000000"/>
          <w:sz w:val="22"/>
          <w:szCs w:val="22"/>
        </w:rPr>
        <w:t> </w:t>
      </w:r>
      <w:r w:rsidRPr="00AA7E8C">
        <w:rPr>
          <w:rFonts w:ascii="Arial" w:hAnsi="Arial" w:cs="Arial"/>
          <w:i/>
          <w:iCs/>
          <w:color w:val="000000"/>
          <w:sz w:val="22"/>
          <w:szCs w:val="22"/>
        </w:rPr>
        <w:t>Human Resource Development International</w:t>
      </w:r>
      <w:r w:rsidRPr="00AA7E8C">
        <w:rPr>
          <w:rFonts w:ascii="Arial" w:hAnsi="Arial" w:cs="Arial"/>
          <w:color w:val="000000"/>
          <w:sz w:val="22"/>
          <w:szCs w:val="22"/>
        </w:rPr>
        <w:t>, 25(2), pp. 145–162.</w:t>
      </w:r>
      <w:r w:rsidRPr="00AA7E8C">
        <w:rPr>
          <w:rStyle w:val="apple-converted-space"/>
          <w:rFonts w:ascii="Arial" w:eastAsiaTheme="majorEastAsia" w:hAnsi="Arial" w:cs="Arial"/>
          <w:color w:val="000000"/>
          <w:sz w:val="22"/>
          <w:szCs w:val="22"/>
        </w:rPr>
        <w:t> </w:t>
      </w:r>
      <w:r w:rsidRPr="00AA7E8C">
        <w:rPr>
          <w:rStyle w:val="url"/>
          <w:rFonts w:ascii="Arial" w:eastAsiaTheme="majorEastAsia" w:hAnsi="Arial" w:cs="Arial"/>
          <w:color w:val="000000"/>
          <w:sz w:val="22"/>
          <w:szCs w:val="22"/>
        </w:rPr>
        <w:t>https://doi.org/10.1080/13678868.2022.2047252</w:t>
      </w:r>
      <w:r w:rsidRPr="00AA7E8C">
        <w:rPr>
          <w:rFonts w:ascii="Arial" w:hAnsi="Arial" w:cs="Arial"/>
          <w:color w:val="000000"/>
          <w:sz w:val="22"/>
          <w:szCs w:val="22"/>
        </w:rPr>
        <w:t>.</w:t>
      </w:r>
    </w:p>
    <w:p w14:paraId="76855DD0" w14:textId="77777777" w:rsidR="00AA7E8C" w:rsidRPr="00AA7E8C" w:rsidRDefault="00AA7E8C" w:rsidP="00EA4B5C">
      <w:pPr>
        <w:pStyle w:val="NormalWeb"/>
        <w:spacing w:before="0" w:beforeAutospacing="0" w:after="0" w:afterAutospacing="0" w:line="360" w:lineRule="auto"/>
        <w:ind w:left="720" w:hanging="720"/>
        <w:rPr>
          <w:rFonts w:ascii="Arial" w:hAnsi="Arial" w:cs="Arial"/>
          <w:color w:val="000000"/>
          <w:sz w:val="22"/>
          <w:szCs w:val="22"/>
        </w:rPr>
      </w:pPr>
      <w:r w:rsidRPr="00AA7E8C">
        <w:rPr>
          <w:rFonts w:ascii="Arial" w:hAnsi="Arial" w:cs="Arial"/>
          <w:color w:val="000000"/>
          <w:sz w:val="22"/>
          <w:szCs w:val="22"/>
        </w:rPr>
        <w:t>Jimmieson, N.L. and White, K.M. (2011) 'Predicting employee intentions to support organizational change: An examination of identification processes during a re</w:t>
      </w:r>
      <w:r w:rsidRPr="00AA7E8C">
        <w:rPr>
          <w:rFonts w:ascii="Cambria Math" w:hAnsi="Cambria Math" w:cs="Cambria Math"/>
          <w:color w:val="000000"/>
          <w:sz w:val="22"/>
          <w:szCs w:val="22"/>
        </w:rPr>
        <w:t>‐</w:t>
      </w:r>
      <w:r w:rsidRPr="00AA7E8C">
        <w:rPr>
          <w:rFonts w:ascii="Arial" w:hAnsi="Arial" w:cs="Arial"/>
          <w:color w:val="000000"/>
          <w:sz w:val="22"/>
          <w:szCs w:val="22"/>
        </w:rPr>
        <w:t>brand,'</w:t>
      </w:r>
      <w:r w:rsidRPr="00AA7E8C">
        <w:rPr>
          <w:rStyle w:val="apple-converted-space"/>
          <w:rFonts w:ascii="Arial" w:eastAsiaTheme="majorEastAsia" w:hAnsi="Arial" w:cs="Arial"/>
          <w:color w:val="000000"/>
          <w:sz w:val="22"/>
          <w:szCs w:val="22"/>
        </w:rPr>
        <w:t> </w:t>
      </w:r>
      <w:r w:rsidRPr="00AA7E8C">
        <w:rPr>
          <w:rFonts w:ascii="Arial" w:hAnsi="Arial" w:cs="Arial"/>
          <w:i/>
          <w:iCs/>
          <w:color w:val="000000"/>
          <w:sz w:val="22"/>
          <w:szCs w:val="22"/>
        </w:rPr>
        <w:t>British Journal of Social Psychology</w:t>
      </w:r>
      <w:r w:rsidRPr="00AA7E8C">
        <w:rPr>
          <w:rFonts w:ascii="Arial" w:hAnsi="Arial" w:cs="Arial"/>
          <w:color w:val="000000"/>
          <w:sz w:val="22"/>
          <w:szCs w:val="22"/>
        </w:rPr>
        <w:t>, 50(2), pp. 331–341.</w:t>
      </w:r>
      <w:r w:rsidRPr="00AA7E8C">
        <w:rPr>
          <w:rStyle w:val="apple-converted-space"/>
          <w:rFonts w:ascii="Arial" w:eastAsiaTheme="majorEastAsia" w:hAnsi="Arial" w:cs="Arial"/>
          <w:color w:val="000000"/>
          <w:sz w:val="22"/>
          <w:szCs w:val="22"/>
        </w:rPr>
        <w:t> </w:t>
      </w:r>
      <w:r w:rsidRPr="00AA7E8C">
        <w:rPr>
          <w:rStyle w:val="url"/>
          <w:rFonts w:ascii="Arial" w:eastAsiaTheme="majorEastAsia" w:hAnsi="Arial" w:cs="Arial"/>
          <w:color w:val="000000"/>
          <w:sz w:val="22"/>
          <w:szCs w:val="22"/>
        </w:rPr>
        <w:t>https://doi.org/10.1111/j.2044-8309.2010.02005.x</w:t>
      </w:r>
      <w:r w:rsidRPr="00AA7E8C">
        <w:rPr>
          <w:rFonts w:ascii="Arial" w:hAnsi="Arial" w:cs="Arial"/>
          <w:color w:val="000000"/>
          <w:sz w:val="22"/>
          <w:szCs w:val="22"/>
        </w:rPr>
        <w:t>.</w:t>
      </w:r>
    </w:p>
    <w:p w14:paraId="756CF9B5" w14:textId="77777777" w:rsidR="00AA7E8C" w:rsidRPr="00AA7E8C" w:rsidRDefault="00AA7E8C" w:rsidP="00EA4B5C">
      <w:pPr>
        <w:pStyle w:val="NormalWeb"/>
        <w:spacing w:before="0" w:beforeAutospacing="0" w:after="0" w:afterAutospacing="0" w:line="360" w:lineRule="auto"/>
        <w:ind w:left="720" w:hanging="720"/>
        <w:rPr>
          <w:rFonts w:ascii="Arial" w:hAnsi="Arial" w:cs="Arial"/>
          <w:color w:val="000000"/>
          <w:sz w:val="22"/>
          <w:szCs w:val="22"/>
        </w:rPr>
      </w:pPr>
      <w:r w:rsidRPr="00AA7E8C">
        <w:rPr>
          <w:rFonts w:ascii="Arial" w:hAnsi="Arial" w:cs="Arial"/>
          <w:color w:val="000000"/>
          <w:sz w:val="22"/>
          <w:szCs w:val="22"/>
        </w:rPr>
        <w:t>Kraus, S., Ferraris, A. and Bertello, A. (2023) 'The future of work: How innovation and digitalization re-shape the workplace,'</w:t>
      </w:r>
      <w:r w:rsidRPr="00AA7E8C">
        <w:rPr>
          <w:rStyle w:val="apple-converted-space"/>
          <w:rFonts w:ascii="Arial" w:eastAsiaTheme="majorEastAsia" w:hAnsi="Arial" w:cs="Arial"/>
          <w:color w:val="000000"/>
          <w:sz w:val="22"/>
          <w:szCs w:val="22"/>
        </w:rPr>
        <w:t> </w:t>
      </w:r>
      <w:r w:rsidRPr="00AA7E8C">
        <w:rPr>
          <w:rFonts w:ascii="Arial" w:hAnsi="Arial" w:cs="Arial"/>
          <w:i/>
          <w:iCs/>
          <w:color w:val="000000"/>
          <w:sz w:val="22"/>
          <w:szCs w:val="22"/>
        </w:rPr>
        <w:t>Journal of Innovation &amp; Knowledge</w:t>
      </w:r>
      <w:r w:rsidRPr="00AA7E8C">
        <w:rPr>
          <w:rFonts w:ascii="Arial" w:hAnsi="Arial" w:cs="Arial"/>
          <w:color w:val="000000"/>
          <w:sz w:val="22"/>
          <w:szCs w:val="22"/>
        </w:rPr>
        <w:t>, 8(4), p. 100438.</w:t>
      </w:r>
      <w:r w:rsidRPr="00AA7E8C">
        <w:rPr>
          <w:rStyle w:val="apple-converted-space"/>
          <w:rFonts w:ascii="Arial" w:eastAsiaTheme="majorEastAsia" w:hAnsi="Arial" w:cs="Arial"/>
          <w:color w:val="000000"/>
          <w:sz w:val="22"/>
          <w:szCs w:val="22"/>
        </w:rPr>
        <w:t> </w:t>
      </w:r>
      <w:r w:rsidRPr="00AA7E8C">
        <w:rPr>
          <w:rStyle w:val="url"/>
          <w:rFonts w:ascii="Arial" w:eastAsiaTheme="majorEastAsia" w:hAnsi="Arial" w:cs="Arial"/>
          <w:color w:val="000000"/>
          <w:sz w:val="22"/>
          <w:szCs w:val="22"/>
        </w:rPr>
        <w:t>https://doi.org/10.1016/j.jik.2023.100438</w:t>
      </w:r>
      <w:r w:rsidRPr="00AA7E8C">
        <w:rPr>
          <w:rFonts w:ascii="Arial" w:hAnsi="Arial" w:cs="Arial"/>
          <w:color w:val="000000"/>
          <w:sz w:val="22"/>
          <w:szCs w:val="22"/>
        </w:rPr>
        <w:t>.</w:t>
      </w:r>
    </w:p>
    <w:p w14:paraId="70B48C69" w14:textId="77777777" w:rsidR="00AA7E8C" w:rsidRPr="00AA7E8C" w:rsidRDefault="00AA7E8C" w:rsidP="00EA4B5C">
      <w:pPr>
        <w:pStyle w:val="NormalWeb"/>
        <w:spacing w:before="0" w:beforeAutospacing="0" w:after="0" w:afterAutospacing="0" w:line="360" w:lineRule="auto"/>
        <w:ind w:left="720" w:hanging="720"/>
        <w:rPr>
          <w:rFonts w:ascii="Arial" w:hAnsi="Arial" w:cs="Arial"/>
          <w:color w:val="000000"/>
          <w:sz w:val="22"/>
          <w:szCs w:val="22"/>
        </w:rPr>
      </w:pPr>
      <w:r w:rsidRPr="00AA7E8C">
        <w:rPr>
          <w:rFonts w:ascii="Arial" w:hAnsi="Arial" w:cs="Arial"/>
          <w:color w:val="000000"/>
          <w:sz w:val="22"/>
          <w:szCs w:val="22"/>
        </w:rPr>
        <w:t>Leontes, N.I. and Hoole, C. (2024) 'Bridging the Gap: Exploring the Impact of Human Capital Management on Employee Performance through Work Engagement,'</w:t>
      </w:r>
      <w:r w:rsidRPr="00AA7E8C">
        <w:rPr>
          <w:rStyle w:val="apple-converted-space"/>
          <w:rFonts w:ascii="Arial" w:eastAsiaTheme="majorEastAsia" w:hAnsi="Arial" w:cs="Arial"/>
          <w:color w:val="000000"/>
          <w:sz w:val="22"/>
          <w:szCs w:val="22"/>
        </w:rPr>
        <w:t> </w:t>
      </w:r>
      <w:r w:rsidRPr="00AA7E8C">
        <w:rPr>
          <w:rFonts w:ascii="Arial" w:hAnsi="Arial" w:cs="Arial"/>
          <w:i/>
          <w:iCs/>
          <w:color w:val="000000"/>
          <w:sz w:val="22"/>
          <w:szCs w:val="22"/>
        </w:rPr>
        <w:t>Administrative Sciences</w:t>
      </w:r>
      <w:r w:rsidRPr="00AA7E8C">
        <w:rPr>
          <w:rFonts w:ascii="Arial" w:hAnsi="Arial" w:cs="Arial"/>
          <w:color w:val="000000"/>
          <w:sz w:val="22"/>
          <w:szCs w:val="22"/>
        </w:rPr>
        <w:t>, 14(6), p. 129.</w:t>
      </w:r>
      <w:r w:rsidRPr="00AA7E8C">
        <w:rPr>
          <w:rStyle w:val="apple-converted-space"/>
          <w:rFonts w:ascii="Arial" w:eastAsiaTheme="majorEastAsia" w:hAnsi="Arial" w:cs="Arial"/>
          <w:color w:val="000000"/>
          <w:sz w:val="22"/>
          <w:szCs w:val="22"/>
        </w:rPr>
        <w:t> </w:t>
      </w:r>
      <w:r w:rsidRPr="00AA7E8C">
        <w:rPr>
          <w:rStyle w:val="url"/>
          <w:rFonts w:ascii="Arial" w:eastAsiaTheme="majorEastAsia" w:hAnsi="Arial" w:cs="Arial"/>
          <w:color w:val="000000"/>
          <w:sz w:val="22"/>
          <w:szCs w:val="22"/>
        </w:rPr>
        <w:t>https://doi.org/10.3390/admsci14060129</w:t>
      </w:r>
      <w:r w:rsidRPr="00AA7E8C">
        <w:rPr>
          <w:rFonts w:ascii="Arial" w:hAnsi="Arial" w:cs="Arial"/>
          <w:color w:val="000000"/>
          <w:sz w:val="22"/>
          <w:szCs w:val="22"/>
        </w:rPr>
        <w:t>.</w:t>
      </w:r>
    </w:p>
    <w:p w14:paraId="597B9B7E" w14:textId="77777777" w:rsidR="00AA7E8C" w:rsidRPr="00AA7E8C" w:rsidRDefault="00AA7E8C" w:rsidP="00EA4B5C">
      <w:pPr>
        <w:pStyle w:val="NormalWeb"/>
        <w:spacing w:before="0" w:beforeAutospacing="0" w:after="0" w:afterAutospacing="0" w:line="360" w:lineRule="auto"/>
        <w:ind w:left="720" w:hanging="720"/>
        <w:rPr>
          <w:rFonts w:ascii="Arial" w:hAnsi="Arial" w:cs="Arial"/>
          <w:color w:val="000000"/>
          <w:sz w:val="22"/>
          <w:szCs w:val="22"/>
        </w:rPr>
      </w:pPr>
      <w:r w:rsidRPr="00AA7E8C">
        <w:rPr>
          <w:rFonts w:ascii="Arial" w:hAnsi="Arial" w:cs="Arial"/>
          <w:color w:val="000000"/>
          <w:sz w:val="22"/>
          <w:szCs w:val="22"/>
        </w:rPr>
        <w:t>McInnis, K.J., Meyer, J.P. and Feldman, S. (2008) 'Psychological contracts and their implications for commitment: A feature-based approach,'</w:t>
      </w:r>
      <w:r w:rsidRPr="00AA7E8C">
        <w:rPr>
          <w:rStyle w:val="apple-converted-space"/>
          <w:rFonts w:ascii="Arial" w:eastAsiaTheme="majorEastAsia" w:hAnsi="Arial" w:cs="Arial"/>
          <w:color w:val="000000"/>
          <w:sz w:val="22"/>
          <w:szCs w:val="22"/>
        </w:rPr>
        <w:t> </w:t>
      </w:r>
      <w:r w:rsidRPr="00AA7E8C">
        <w:rPr>
          <w:rFonts w:ascii="Arial" w:hAnsi="Arial" w:cs="Arial"/>
          <w:i/>
          <w:iCs/>
          <w:color w:val="000000"/>
          <w:sz w:val="22"/>
          <w:szCs w:val="22"/>
        </w:rPr>
        <w:t xml:space="preserve">Journal of Vocational </w:t>
      </w:r>
      <w:proofErr w:type="spellStart"/>
      <w:r w:rsidRPr="00AA7E8C">
        <w:rPr>
          <w:rFonts w:ascii="Arial" w:hAnsi="Arial" w:cs="Arial"/>
          <w:i/>
          <w:iCs/>
          <w:color w:val="000000"/>
          <w:sz w:val="22"/>
          <w:szCs w:val="22"/>
        </w:rPr>
        <w:t>Behavior</w:t>
      </w:r>
      <w:proofErr w:type="spellEnd"/>
      <w:r w:rsidRPr="00AA7E8C">
        <w:rPr>
          <w:rFonts w:ascii="Arial" w:hAnsi="Arial" w:cs="Arial"/>
          <w:color w:val="000000"/>
          <w:sz w:val="22"/>
          <w:szCs w:val="22"/>
        </w:rPr>
        <w:t>, 74(2), pp. 165–180.</w:t>
      </w:r>
      <w:r w:rsidRPr="00AA7E8C">
        <w:rPr>
          <w:rStyle w:val="apple-converted-space"/>
          <w:rFonts w:ascii="Arial" w:eastAsiaTheme="majorEastAsia" w:hAnsi="Arial" w:cs="Arial"/>
          <w:color w:val="000000"/>
          <w:sz w:val="22"/>
          <w:szCs w:val="22"/>
        </w:rPr>
        <w:t> </w:t>
      </w:r>
      <w:r w:rsidRPr="00AA7E8C">
        <w:rPr>
          <w:rStyle w:val="url"/>
          <w:rFonts w:ascii="Arial" w:eastAsiaTheme="majorEastAsia" w:hAnsi="Arial" w:cs="Arial"/>
          <w:color w:val="000000"/>
          <w:sz w:val="22"/>
          <w:szCs w:val="22"/>
        </w:rPr>
        <w:t>https://doi.org/10.1016/j.jvb.2008.12.007</w:t>
      </w:r>
      <w:r w:rsidRPr="00AA7E8C">
        <w:rPr>
          <w:rFonts w:ascii="Arial" w:hAnsi="Arial" w:cs="Arial"/>
          <w:color w:val="000000"/>
          <w:sz w:val="22"/>
          <w:szCs w:val="22"/>
        </w:rPr>
        <w:t>.</w:t>
      </w:r>
    </w:p>
    <w:p w14:paraId="76091AA5" w14:textId="77777777" w:rsidR="00AA7E8C" w:rsidRPr="00AA7E8C" w:rsidRDefault="00AA7E8C" w:rsidP="00EA4B5C">
      <w:pPr>
        <w:pStyle w:val="NormalWeb"/>
        <w:spacing w:before="0" w:beforeAutospacing="0" w:after="0" w:afterAutospacing="0" w:line="360" w:lineRule="auto"/>
        <w:ind w:left="720" w:hanging="720"/>
        <w:rPr>
          <w:rFonts w:ascii="Arial" w:hAnsi="Arial" w:cs="Arial"/>
          <w:color w:val="000000"/>
          <w:sz w:val="22"/>
          <w:szCs w:val="22"/>
        </w:rPr>
      </w:pPr>
      <w:proofErr w:type="spellStart"/>
      <w:r w:rsidRPr="00AA7E8C">
        <w:rPr>
          <w:rFonts w:ascii="Arial" w:hAnsi="Arial" w:cs="Arial"/>
          <w:color w:val="000000"/>
          <w:sz w:val="22"/>
          <w:szCs w:val="22"/>
        </w:rPr>
        <w:t>Mutambik</w:t>
      </w:r>
      <w:proofErr w:type="spellEnd"/>
      <w:r w:rsidRPr="00AA7E8C">
        <w:rPr>
          <w:rFonts w:ascii="Arial" w:hAnsi="Arial" w:cs="Arial"/>
          <w:color w:val="000000"/>
          <w:sz w:val="22"/>
          <w:szCs w:val="22"/>
        </w:rPr>
        <w:t xml:space="preserve">, I. and </w:t>
      </w:r>
      <w:proofErr w:type="spellStart"/>
      <w:r w:rsidRPr="00AA7E8C">
        <w:rPr>
          <w:rFonts w:ascii="Arial" w:hAnsi="Arial" w:cs="Arial"/>
          <w:color w:val="000000"/>
          <w:sz w:val="22"/>
          <w:szCs w:val="22"/>
        </w:rPr>
        <w:t>Almuqrin</w:t>
      </w:r>
      <w:proofErr w:type="spellEnd"/>
      <w:r w:rsidRPr="00AA7E8C">
        <w:rPr>
          <w:rFonts w:ascii="Arial" w:hAnsi="Arial" w:cs="Arial"/>
          <w:color w:val="000000"/>
          <w:sz w:val="22"/>
          <w:szCs w:val="22"/>
        </w:rPr>
        <w:t>, A. (2024) 'Employee Acceptance of Digital Transformation: A study in a smart City context,'</w:t>
      </w:r>
      <w:r w:rsidRPr="00AA7E8C">
        <w:rPr>
          <w:rStyle w:val="apple-converted-space"/>
          <w:rFonts w:ascii="Arial" w:eastAsiaTheme="majorEastAsia" w:hAnsi="Arial" w:cs="Arial"/>
          <w:color w:val="000000"/>
          <w:sz w:val="22"/>
          <w:szCs w:val="22"/>
        </w:rPr>
        <w:t> </w:t>
      </w:r>
      <w:r w:rsidRPr="00AA7E8C">
        <w:rPr>
          <w:rFonts w:ascii="Arial" w:hAnsi="Arial" w:cs="Arial"/>
          <w:i/>
          <w:iCs/>
          <w:color w:val="000000"/>
          <w:sz w:val="22"/>
          <w:szCs w:val="22"/>
        </w:rPr>
        <w:t>Sustainability</w:t>
      </w:r>
      <w:r w:rsidRPr="00AA7E8C">
        <w:rPr>
          <w:rFonts w:ascii="Arial" w:hAnsi="Arial" w:cs="Arial"/>
          <w:color w:val="000000"/>
          <w:sz w:val="22"/>
          <w:szCs w:val="22"/>
        </w:rPr>
        <w:t>, 16(4), p. 1398.</w:t>
      </w:r>
      <w:r w:rsidRPr="00AA7E8C">
        <w:rPr>
          <w:rStyle w:val="apple-converted-space"/>
          <w:rFonts w:ascii="Arial" w:eastAsiaTheme="majorEastAsia" w:hAnsi="Arial" w:cs="Arial"/>
          <w:color w:val="000000"/>
          <w:sz w:val="22"/>
          <w:szCs w:val="22"/>
        </w:rPr>
        <w:t> </w:t>
      </w:r>
      <w:r w:rsidRPr="00AA7E8C">
        <w:rPr>
          <w:rStyle w:val="url"/>
          <w:rFonts w:ascii="Arial" w:eastAsiaTheme="majorEastAsia" w:hAnsi="Arial" w:cs="Arial"/>
          <w:color w:val="000000"/>
          <w:sz w:val="22"/>
          <w:szCs w:val="22"/>
        </w:rPr>
        <w:t>https://doi.org/10.3390/su16041398</w:t>
      </w:r>
      <w:r w:rsidRPr="00AA7E8C">
        <w:rPr>
          <w:rFonts w:ascii="Arial" w:hAnsi="Arial" w:cs="Arial"/>
          <w:color w:val="000000"/>
          <w:sz w:val="22"/>
          <w:szCs w:val="22"/>
        </w:rPr>
        <w:t>.</w:t>
      </w:r>
    </w:p>
    <w:p w14:paraId="56501F08" w14:textId="77777777" w:rsidR="00AA7E8C" w:rsidRPr="00AA7E8C" w:rsidRDefault="00AA7E8C" w:rsidP="00EA4B5C">
      <w:pPr>
        <w:pStyle w:val="NormalWeb"/>
        <w:spacing w:before="0" w:beforeAutospacing="0" w:after="0" w:afterAutospacing="0" w:line="360" w:lineRule="auto"/>
        <w:ind w:left="720" w:hanging="720"/>
        <w:rPr>
          <w:rFonts w:ascii="Arial" w:hAnsi="Arial" w:cs="Arial"/>
          <w:color w:val="000000"/>
          <w:sz w:val="22"/>
          <w:szCs w:val="22"/>
        </w:rPr>
      </w:pPr>
      <w:r w:rsidRPr="00AA7E8C">
        <w:rPr>
          <w:rFonts w:ascii="Arial" w:hAnsi="Arial" w:cs="Arial"/>
          <w:color w:val="000000"/>
          <w:sz w:val="22"/>
          <w:szCs w:val="22"/>
        </w:rPr>
        <w:t>Nilsson, H. and Backman, M. (2024) 'Retail employee turnover and turnover destinations – the role of human capital,'</w:t>
      </w:r>
      <w:r w:rsidRPr="00AA7E8C">
        <w:rPr>
          <w:rStyle w:val="apple-converted-space"/>
          <w:rFonts w:ascii="Arial" w:eastAsiaTheme="majorEastAsia" w:hAnsi="Arial" w:cs="Arial"/>
          <w:color w:val="000000"/>
          <w:sz w:val="22"/>
          <w:szCs w:val="22"/>
        </w:rPr>
        <w:t> </w:t>
      </w:r>
      <w:r w:rsidRPr="00AA7E8C">
        <w:rPr>
          <w:rFonts w:ascii="Arial" w:hAnsi="Arial" w:cs="Arial"/>
          <w:i/>
          <w:iCs/>
          <w:color w:val="000000"/>
          <w:sz w:val="22"/>
          <w:szCs w:val="22"/>
        </w:rPr>
        <w:t>The International Review of Retail Distribution and Consumer Research</w:t>
      </w:r>
      <w:r w:rsidRPr="00AA7E8C">
        <w:rPr>
          <w:rFonts w:ascii="Arial" w:hAnsi="Arial" w:cs="Arial"/>
          <w:color w:val="000000"/>
          <w:sz w:val="22"/>
          <w:szCs w:val="22"/>
        </w:rPr>
        <w:t>, 35(1), pp. 78–102.</w:t>
      </w:r>
      <w:r w:rsidRPr="00AA7E8C">
        <w:rPr>
          <w:rStyle w:val="apple-converted-space"/>
          <w:rFonts w:ascii="Arial" w:eastAsiaTheme="majorEastAsia" w:hAnsi="Arial" w:cs="Arial"/>
          <w:color w:val="000000"/>
          <w:sz w:val="22"/>
          <w:szCs w:val="22"/>
        </w:rPr>
        <w:t> </w:t>
      </w:r>
      <w:r w:rsidRPr="00AA7E8C">
        <w:rPr>
          <w:rStyle w:val="url"/>
          <w:rFonts w:ascii="Arial" w:eastAsiaTheme="majorEastAsia" w:hAnsi="Arial" w:cs="Arial"/>
          <w:color w:val="000000"/>
          <w:sz w:val="22"/>
          <w:szCs w:val="22"/>
        </w:rPr>
        <w:t>https://doi.org/10.1080/09593969.2024.2370256</w:t>
      </w:r>
      <w:r w:rsidRPr="00AA7E8C">
        <w:rPr>
          <w:rFonts w:ascii="Arial" w:hAnsi="Arial" w:cs="Arial"/>
          <w:color w:val="000000"/>
          <w:sz w:val="22"/>
          <w:szCs w:val="22"/>
        </w:rPr>
        <w:t>.</w:t>
      </w:r>
    </w:p>
    <w:p w14:paraId="5AC34FBE" w14:textId="77777777" w:rsidR="00AA7E8C" w:rsidRPr="00AA7E8C" w:rsidRDefault="00AA7E8C" w:rsidP="00EA4B5C">
      <w:pPr>
        <w:pStyle w:val="NormalWeb"/>
        <w:spacing w:before="0" w:beforeAutospacing="0" w:after="0" w:afterAutospacing="0" w:line="360" w:lineRule="auto"/>
        <w:ind w:left="720" w:hanging="720"/>
        <w:rPr>
          <w:rFonts w:ascii="Arial" w:hAnsi="Arial" w:cs="Arial"/>
          <w:color w:val="000000"/>
          <w:sz w:val="22"/>
          <w:szCs w:val="22"/>
        </w:rPr>
      </w:pPr>
      <w:r w:rsidRPr="00AA7E8C">
        <w:rPr>
          <w:rFonts w:ascii="Arial" w:hAnsi="Arial" w:cs="Arial"/>
          <w:color w:val="000000"/>
          <w:sz w:val="22"/>
          <w:szCs w:val="22"/>
        </w:rPr>
        <w:t>Xin, X.</w:t>
      </w:r>
      <w:r w:rsidRPr="00AA7E8C">
        <w:rPr>
          <w:rStyle w:val="apple-converted-space"/>
          <w:rFonts w:ascii="Arial" w:eastAsiaTheme="majorEastAsia" w:hAnsi="Arial" w:cs="Arial"/>
          <w:color w:val="000000"/>
          <w:sz w:val="22"/>
          <w:szCs w:val="22"/>
        </w:rPr>
        <w:t> </w:t>
      </w:r>
      <w:r w:rsidRPr="00AA7E8C">
        <w:rPr>
          <w:rFonts w:ascii="Arial" w:hAnsi="Arial" w:cs="Arial"/>
          <w:i/>
          <w:iCs/>
          <w:color w:val="000000"/>
          <w:sz w:val="22"/>
          <w:szCs w:val="22"/>
        </w:rPr>
        <w:t>et al.</w:t>
      </w:r>
      <w:r w:rsidRPr="00AA7E8C">
        <w:rPr>
          <w:rStyle w:val="apple-converted-space"/>
          <w:rFonts w:ascii="Arial" w:eastAsiaTheme="majorEastAsia" w:hAnsi="Arial" w:cs="Arial"/>
          <w:color w:val="000000"/>
          <w:sz w:val="22"/>
          <w:szCs w:val="22"/>
        </w:rPr>
        <w:t> </w:t>
      </w:r>
      <w:r w:rsidRPr="00AA7E8C">
        <w:rPr>
          <w:rFonts w:ascii="Arial" w:hAnsi="Arial" w:cs="Arial"/>
          <w:color w:val="000000"/>
          <w:sz w:val="22"/>
          <w:szCs w:val="22"/>
        </w:rPr>
        <w:t>(2022) 'Review on A big data-based innovative knowledge teaching evaluation system in universities,'</w:t>
      </w:r>
      <w:r w:rsidRPr="00AA7E8C">
        <w:rPr>
          <w:rStyle w:val="apple-converted-space"/>
          <w:rFonts w:ascii="Arial" w:eastAsiaTheme="majorEastAsia" w:hAnsi="Arial" w:cs="Arial"/>
          <w:color w:val="000000"/>
          <w:sz w:val="22"/>
          <w:szCs w:val="22"/>
        </w:rPr>
        <w:t> </w:t>
      </w:r>
      <w:r w:rsidRPr="00AA7E8C">
        <w:rPr>
          <w:rFonts w:ascii="Arial" w:hAnsi="Arial" w:cs="Arial"/>
          <w:i/>
          <w:iCs/>
          <w:color w:val="000000"/>
          <w:sz w:val="22"/>
          <w:szCs w:val="22"/>
        </w:rPr>
        <w:t>Journal of Innovation &amp; Knowledge</w:t>
      </w:r>
      <w:r w:rsidRPr="00AA7E8C">
        <w:rPr>
          <w:rFonts w:ascii="Arial" w:hAnsi="Arial" w:cs="Arial"/>
          <w:color w:val="000000"/>
          <w:sz w:val="22"/>
          <w:szCs w:val="22"/>
        </w:rPr>
        <w:t>, 7(3), p. 100197.</w:t>
      </w:r>
      <w:r w:rsidRPr="00AA7E8C">
        <w:rPr>
          <w:rStyle w:val="apple-converted-space"/>
          <w:rFonts w:ascii="Arial" w:eastAsiaTheme="majorEastAsia" w:hAnsi="Arial" w:cs="Arial"/>
          <w:color w:val="000000"/>
          <w:sz w:val="22"/>
          <w:szCs w:val="22"/>
        </w:rPr>
        <w:t> </w:t>
      </w:r>
      <w:r w:rsidRPr="00AA7E8C">
        <w:rPr>
          <w:rStyle w:val="url"/>
          <w:rFonts w:ascii="Arial" w:eastAsiaTheme="majorEastAsia" w:hAnsi="Arial" w:cs="Arial"/>
          <w:color w:val="000000"/>
          <w:sz w:val="22"/>
          <w:szCs w:val="22"/>
        </w:rPr>
        <w:t>https://doi.org/10.1016/j.jik.2022.100197</w:t>
      </w:r>
      <w:r w:rsidRPr="00AA7E8C">
        <w:rPr>
          <w:rFonts w:ascii="Arial" w:hAnsi="Arial" w:cs="Arial"/>
          <w:color w:val="000000"/>
          <w:sz w:val="22"/>
          <w:szCs w:val="22"/>
        </w:rPr>
        <w:t>.</w:t>
      </w:r>
    </w:p>
    <w:p w14:paraId="178A5CD7" w14:textId="77777777" w:rsidR="000517F9" w:rsidRPr="00AA7E8C" w:rsidRDefault="000517F9" w:rsidP="00EA4B5C">
      <w:pPr>
        <w:spacing w:before="100" w:beforeAutospacing="1" w:after="100" w:afterAutospacing="1" w:line="360" w:lineRule="auto"/>
        <w:rPr>
          <w:rFonts w:ascii="Arial" w:eastAsia="Times New Roman" w:hAnsi="Arial" w:cs="Arial"/>
          <w:kern w:val="0"/>
          <w:sz w:val="22"/>
          <w:szCs w:val="22"/>
          <w:lang w:eastAsia="en-GB"/>
          <w14:ligatures w14:val="none"/>
        </w:rPr>
      </w:pPr>
    </w:p>
    <w:sectPr w:rsidR="000517F9" w:rsidRPr="00AA7E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B65D9E"/>
    <w:multiLevelType w:val="hybridMultilevel"/>
    <w:tmpl w:val="E966912A"/>
    <w:lvl w:ilvl="0" w:tplc="8A6834AA">
      <w:start w:val="1"/>
      <w:numFmt w:val="decimal"/>
      <w:lvlText w:val="%1."/>
      <w:lvlJc w:val="left"/>
      <w:pPr>
        <w:ind w:left="720" w:hanging="360"/>
      </w:pPr>
      <w:rPr>
        <w:rFonts w:eastAsia="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721683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DB1"/>
    <w:rsid w:val="00004AA4"/>
    <w:rsid w:val="000517F9"/>
    <w:rsid w:val="00076DFE"/>
    <w:rsid w:val="00090102"/>
    <w:rsid w:val="000E0709"/>
    <w:rsid w:val="001716A0"/>
    <w:rsid w:val="00260099"/>
    <w:rsid w:val="0028215F"/>
    <w:rsid w:val="002C00C5"/>
    <w:rsid w:val="00347EB8"/>
    <w:rsid w:val="00401002"/>
    <w:rsid w:val="00480D25"/>
    <w:rsid w:val="004917BE"/>
    <w:rsid w:val="00497FD5"/>
    <w:rsid w:val="004D6C84"/>
    <w:rsid w:val="004F0BF1"/>
    <w:rsid w:val="005E1DB1"/>
    <w:rsid w:val="0067465C"/>
    <w:rsid w:val="00711663"/>
    <w:rsid w:val="00731241"/>
    <w:rsid w:val="007F0F49"/>
    <w:rsid w:val="00895D35"/>
    <w:rsid w:val="008A4BF5"/>
    <w:rsid w:val="008C5C68"/>
    <w:rsid w:val="009404FD"/>
    <w:rsid w:val="00973F8A"/>
    <w:rsid w:val="00A627BC"/>
    <w:rsid w:val="00AA7E8C"/>
    <w:rsid w:val="00B51E02"/>
    <w:rsid w:val="00B763FD"/>
    <w:rsid w:val="00BD0EBC"/>
    <w:rsid w:val="00C95B9B"/>
    <w:rsid w:val="00CA0F2F"/>
    <w:rsid w:val="00CB57AD"/>
    <w:rsid w:val="00CC2753"/>
    <w:rsid w:val="00D818AE"/>
    <w:rsid w:val="00E63A31"/>
    <w:rsid w:val="00EA4B5C"/>
    <w:rsid w:val="00EC55B9"/>
    <w:rsid w:val="00EC7344"/>
    <w:rsid w:val="00ED5685"/>
    <w:rsid w:val="00F04AFC"/>
    <w:rsid w:val="00F13901"/>
    <w:rsid w:val="00F36016"/>
    <w:rsid w:val="00FA54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1967DFC"/>
  <w15:chartTrackingRefBased/>
  <w15:docId w15:val="{2614DD9E-F4C5-D849-9D70-7D53C4845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1DB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5E1DB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5E1DB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E1DB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E1DB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E1D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1D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1D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1D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1DB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5E1DB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5E1DB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E1DB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E1DB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E1D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1D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1D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1DB1"/>
    <w:rPr>
      <w:rFonts w:eastAsiaTheme="majorEastAsia" w:cstheme="majorBidi"/>
      <w:color w:val="272727" w:themeColor="text1" w:themeTint="D8"/>
    </w:rPr>
  </w:style>
  <w:style w:type="paragraph" w:styleId="Title">
    <w:name w:val="Title"/>
    <w:basedOn w:val="Normal"/>
    <w:next w:val="Normal"/>
    <w:link w:val="TitleChar"/>
    <w:uiPriority w:val="10"/>
    <w:qFormat/>
    <w:rsid w:val="005E1D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1D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1D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1D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1DB1"/>
    <w:pPr>
      <w:spacing w:before="160"/>
      <w:jc w:val="center"/>
    </w:pPr>
    <w:rPr>
      <w:i/>
      <w:iCs/>
      <w:color w:val="404040" w:themeColor="text1" w:themeTint="BF"/>
    </w:rPr>
  </w:style>
  <w:style w:type="character" w:customStyle="1" w:styleId="QuoteChar">
    <w:name w:val="Quote Char"/>
    <w:basedOn w:val="DefaultParagraphFont"/>
    <w:link w:val="Quote"/>
    <w:uiPriority w:val="29"/>
    <w:rsid w:val="005E1DB1"/>
    <w:rPr>
      <w:i/>
      <w:iCs/>
      <w:color w:val="404040" w:themeColor="text1" w:themeTint="BF"/>
    </w:rPr>
  </w:style>
  <w:style w:type="paragraph" w:styleId="ListParagraph">
    <w:name w:val="List Paragraph"/>
    <w:basedOn w:val="Normal"/>
    <w:uiPriority w:val="34"/>
    <w:qFormat/>
    <w:rsid w:val="005E1DB1"/>
    <w:pPr>
      <w:ind w:left="720"/>
      <w:contextualSpacing/>
    </w:pPr>
  </w:style>
  <w:style w:type="character" w:styleId="IntenseEmphasis">
    <w:name w:val="Intense Emphasis"/>
    <w:basedOn w:val="DefaultParagraphFont"/>
    <w:uiPriority w:val="21"/>
    <w:qFormat/>
    <w:rsid w:val="005E1DB1"/>
    <w:rPr>
      <w:i/>
      <w:iCs/>
      <w:color w:val="2F5496" w:themeColor="accent1" w:themeShade="BF"/>
    </w:rPr>
  </w:style>
  <w:style w:type="paragraph" w:styleId="IntenseQuote">
    <w:name w:val="Intense Quote"/>
    <w:basedOn w:val="Normal"/>
    <w:next w:val="Normal"/>
    <w:link w:val="IntenseQuoteChar"/>
    <w:uiPriority w:val="30"/>
    <w:qFormat/>
    <w:rsid w:val="005E1D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E1DB1"/>
    <w:rPr>
      <w:i/>
      <w:iCs/>
      <w:color w:val="2F5496" w:themeColor="accent1" w:themeShade="BF"/>
    </w:rPr>
  </w:style>
  <w:style w:type="character" w:styleId="IntenseReference">
    <w:name w:val="Intense Reference"/>
    <w:basedOn w:val="DefaultParagraphFont"/>
    <w:uiPriority w:val="32"/>
    <w:qFormat/>
    <w:rsid w:val="005E1DB1"/>
    <w:rPr>
      <w:b/>
      <w:bCs/>
      <w:smallCaps/>
      <w:color w:val="2F5496" w:themeColor="accent1" w:themeShade="BF"/>
      <w:spacing w:val="5"/>
    </w:rPr>
  </w:style>
  <w:style w:type="paragraph" w:styleId="NormalWeb">
    <w:name w:val="Normal (Web)"/>
    <w:basedOn w:val="Normal"/>
    <w:uiPriority w:val="99"/>
    <w:semiHidden/>
    <w:unhideWhenUsed/>
    <w:rsid w:val="007F0F4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7F0F49"/>
  </w:style>
  <w:style w:type="character" w:styleId="Strong">
    <w:name w:val="Strong"/>
    <w:basedOn w:val="DefaultParagraphFont"/>
    <w:uiPriority w:val="22"/>
    <w:qFormat/>
    <w:rsid w:val="007F0F49"/>
    <w:rPr>
      <w:b/>
      <w:bCs/>
    </w:rPr>
  </w:style>
  <w:style w:type="character" w:customStyle="1" w:styleId="url">
    <w:name w:val="url"/>
    <w:basedOn w:val="DefaultParagraphFont"/>
    <w:rsid w:val="00AA7E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114</TotalTime>
  <Pages>6</Pages>
  <Words>2211</Words>
  <Characters>12609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Navsarka (2419942)</dc:creator>
  <cp:keywords/>
  <dc:description/>
  <cp:lastModifiedBy>Abdullah Navsarka (2419942)</cp:lastModifiedBy>
  <cp:revision>40</cp:revision>
  <dcterms:created xsi:type="dcterms:W3CDTF">2026-03-29T23:04:00Z</dcterms:created>
  <dcterms:modified xsi:type="dcterms:W3CDTF">2026-03-30T12:01:00Z</dcterms:modified>
</cp:coreProperties>
</file>