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2E0E215" w14:textId="5C8509D8" w:rsidR="00A94F4D" w:rsidRDefault="00EB24F9">
      <w:pPr>
        <w:pStyle w:val="Title"/>
      </w:pPr>
      <w:bookmarkStart w:id="0" w:name="_heading=h.yfvecney8bsd" w:colFirst="0" w:colLast="0"/>
      <w:bookmarkStart w:id="1" w:name="_GoBack"/>
      <w:bookmarkEnd w:id="0"/>
      <w:bookmarkEnd w:id="1"/>
      <w:r>
        <w:rPr>
          <w:noProof/>
          <w:lang w:val="en-US" w:eastAsia="en-US" w:bidi="gu-IN"/>
        </w:rPr>
        <w:drawing>
          <wp:inline distT="0" distB="0" distL="0" distR="0" wp14:anchorId="76D798CE" wp14:editId="0621374C">
            <wp:extent cx="3371850" cy="1407795"/>
            <wp:effectExtent l="0" t="0" r="0" b="1905"/>
            <wp:docPr id="1877235750" name="Picture 1" descr="University of Wales Trinity Saint David launches new digital healthcare  course - Digital Health and Care Wales"/>
            <wp:cNvGraphicFramePr/>
            <a:graphic xmlns:a="http://schemas.openxmlformats.org/drawingml/2006/main">
              <a:graphicData uri="http://schemas.openxmlformats.org/drawingml/2006/picture">
                <pic:pic xmlns:pic="http://schemas.openxmlformats.org/drawingml/2006/picture">
                  <pic:nvPicPr>
                    <pic:cNvPr id="1877235750" name="Picture 1" descr="University of Wales Trinity Saint David launches new digital healthcare  course - Digital Health and Care Wale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1850" cy="1407795"/>
                    </a:xfrm>
                    <a:prstGeom prst="rect">
                      <a:avLst/>
                    </a:prstGeom>
                    <a:noFill/>
                    <a:ln>
                      <a:noFill/>
                    </a:ln>
                  </pic:spPr>
                </pic:pic>
              </a:graphicData>
            </a:graphic>
          </wp:inline>
        </w:drawing>
      </w:r>
    </w:p>
    <w:p w14:paraId="47FD09C3" w14:textId="524F84DD" w:rsidR="00EB24F9" w:rsidRPr="006D08BB" w:rsidRDefault="00EB24F9" w:rsidP="007D606C">
      <w:pPr>
        <w:rPr>
          <w:b/>
          <w:bCs/>
          <w:sz w:val="32"/>
          <w:szCs w:val="32"/>
        </w:rPr>
      </w:pPr>
    </w:p>
    <w:p w14:paraId="516C544E" w14:textId="5766B6FF" w:rsidR="00EB24F9" w:rsidRPr="006D08BB" w:rsidRDefault="00EB24F9" w:rsidP="00EB24F9">
      <w:pPr>
        <w:jc w:val="center"/>
        <w:rPr>
          <w:b/>
          <w:bCs/>
          <w:sz w:val="32"/>
          <w:szCs w:val="32"/>
        </w:rPr>
      </w:pPr>
      <w:r>
        <w:rPr>
          <w:b/>
          <w:bCs/>
          <w:sz w:val="32"/>
          <w:szCs w:val="32"/>
        </w:rPr>
        <w:t>Module Code: LCMB7037</w:t>
      </w:r>
    </w:p>
    <w:p w14:paraId="2F123D6A" w14:textId="5AA98514" w:rsidR="00EB24F9" w:rsidRPr="001F2F51" w:rsidRDefault="00EB24F9" w:rsidP="001F2F51">
      <w:pPr>
        <w:jc w:val="center"/>
        <w:rPr>
          <w:b/>
          <w:bCs/>
          <w:sz w:val="32"/>
          <w:szCs w:val="32"/>
        </w:rPr>
      </w:pPr>
      <w:r>
        <w:rPr>
          <w:b/>
          <w:bCs/>
          <w:sz w:val="32"/>
          <w:szCs w:val="32"/>
        </w:rPr>
        <w:t xml:space="preserve">Assignment Title: Bussiness development proposal </w:t>
      </w:r>
    </w:p>
    <w:p w14:paraId="512E4BC1" w14:textId="526FE6AD" w:rsidR="00EB24F9" w:rsidRPr="006D08BB" w:rsidRDefault="00EB24F9" w:rsidP="00EB24F9">
      <w:pPr>
        <w:jc w:val="center"/>
        <w:rPr>
          <w:rFonts w:cs="Cambria"/>
          <w:b/>
          <w:bCs/>
          <w:sz w:val="32"/>
          <w:szCs w:val="32"/>
          <w:u w:val="single"/>
        </w:rPr>
      </w:pPr>
      <w:r>
        <w:rPr>
          <w:b/>
          <w:bCs/>
          <w:sz w:val="32"/>
          <w:szCs w:val="32"/>
          <w:u w:val="single"/>
        </w:rPr>
        <w:t>Supervisor Name: Dr.mansoob Murshed (MBA Supervisor)</w:t>
      </w:r>
    </w:p>
    <w:p w14:paraId="69CAC8DF" w14:textId="77777777" w:rsidR="00EB24F9" w:rsidRPr="006D08BB" w:rsidRDefault="00EB24F9" w:rsidP="00EB24F9">
      <w:pPr>
        <w:jc w:val="center"/>
        <w:rPr>
          <w:b/>
          <w:bCs/>
          <w:sz w:val="32"/>
          <w:szCs w:val="32"/>
          <w:u w:val="single"/>
        </w:rPr>
      </w:pPr>
    </w:p>
    <w:p w14:paraId="23890A26" w14:textId="77777777" w:rsidR="00EB24F9" w:rsidRPr="007D606C" w:rsidRDefault="00EB24F9" w:rsidP="00EB24F9">
      <w:pPr>
        <w:jc w:val="center"/>
        <w:rPr>
          <w:rFonts w:cs="Cambria"/>
          <w:b/>
          <w:bCs/>
          <w:sz w:val="32"/>
          <w:szCs w:val="32"/>
          <w:u w:val="single"/>
          <w:lang w:val="nl-NL"/>
        </w:rPr>
      </w:pPr>
      <w:r w:rsidRPr="007D606C">
        <w:rPr>
          <w:b/>
          <w:bCs/>
          <w:sz w:val="32"/>
          <w:szCs w:val="32"/>
          <w:u w:val="single"/>
          <w:lang w:val="nl-NL"/>
        </w:rPr>
        <w:t>Student</w:t>
      </w:r>
      <w:r w:rsidRPr="007D606C">
        <w:rPr>
          <w:sz w:val="32"/>
          <w:szCs w:val="32"/>
          <w:lang w:val="nl-NL"/>
        </w:rPr>
        <w:t xml:space="preserve"> </w:t>
      </w:r>
      <w:r w:rsidRPr="007D606C">
        <w:rPr>
          <w:b/>
          <w:bCs/>
          <w:sz w:val="32"/>
          <w:szCs w:val="32"/>
          <w:u w:val="single"/>
          <w:lang w:val="nl-NL"/>
        </w:rPr>
        <w:t>Name</w:t>
      </w:r>
      <w:r w:rsidRPr="007D606C">
        <w:rPr>
          <w:sz w:val="32"/>
          <w:szCs w:val="32"/>
          <w:u w:val="single"/>
          <w:lang w:val="nl-NL"/>
        </w:rPr>
        <w:t xml:space="preserve">: </w:t>
      </w:r>
      <w:r w:rsidRPr="007D606C">
        <w:rPr>
          <w:b/>
          <w:bCs/>
          <w:sz w:val="32"/>
          <w:szCs w:val="32"/>
          <w:u w:val="single"/>
          <w:lang w:val="nl-NL"/>
        </w:rPr>
        <w:t>Arjun Sanjaybhai Parmar</w:t>
      </w:r>
    </w:p>
    <w:p w14:paraId="5B57264D" w14:textId="77777777" w:rsidR="00EB24F9" w:rsidRPr="007D606C" w:rsidRDefault="00EB24F9" w:rsidP="00EB24F9">
      <w:pPr>
        <w:jc w:val="center"/>
        <w:rPr>
          <w:b/>
          <w:bCs/>
          <w:sz w:val="32"/>
          <w:szCs w:val="32"/>
          <w:u w:val="single"/>
          <w:lang w:val="nl-NL"/>
        </w:rPr>
      </w:pPr>
      <w:r w:rsidRPr="007D606C">
        <w:rPr>
          <w:b/>
          <w:bCs/>
          <w:sz w:val="32"/>
          <w:szCs w:val="32"/>
          <w:u w:val="single"/>
          <w:lang w:val="nl-NL"/>
        </w:rPr>
        <w:t>Student ID: 2411725</w:t>
      </w:r>
    </w:p>
    <w:p w14:paraId="1A24A82C" w14:textId="77777777" w:rsidR="00A94F4D" w:rsidRPr="007D606C" w:rsidRDefault="00A94F4D">
      <w:pPr>
        <w:pStyle w:val="Title"/>
        <w:jc w:val="left"/>
        <w:rPr>
          <w:lang w:val="nl-NL"/>
        </w:rPr>
      </w:pPr>
      <w:bookmarkStart w:id="2" w:name="_heading=h.iau6endu8anz" w:colFirst="0" w:colLast="0"/>
      <w:bookmarkStart w:id="3" w:name="_heading=h.f53b1zkj1bjq" w:colFirst="0" w:colLast="0"/>
      <w:bookmarkStart w:id="4" w:name="_heading=h.yt49odr03sur" w:colFirst="0" w:colLast="0"/>
      <w:bookmarkEnd w:id="2"/>
      <w:bookmarkEnd w:id="3"/>
      <w:bookmarkEnd w:id="4"/>
    </w:p>
    <w:p w14:paraId="0B545CD4" w14:textId="77777777" w:rsidR="00A94F4D" w:rsidRPr="007D606C" w:rsidRDefault="00A94F4D">
      <w:pPr>
        <w:pStyle w:val="Title"/>
        <w:rPr>
          <w:lang w:val="nl-NL"/>
        </w:rPr>
      </w:pPr>
      <w:bookmarkStart w:id="5" w:name="_heading=h.jtc07m8liapb" w:colFirst="0" w:colLast="0"/>
      <w:bookmarkEnd w:id="5"/>
    </w:p>
    <w:p w14:paraId="3E79F760" w14:textId="77777777" w:rsidR="00A94F4D" w:rsidRPr="00EB24F9" w:rsidRDefault="00845BB4">
      <w:pPr>
        <w:pStyle w:val="Title"/>
        <w:rPr>
          <w:u w:val="single"/>
        </w:rPr>
      </w:pPr>
      <w:bookmarkStart w:id="6" w:name="_heading=h.6t3fz21txv4u" w:colFirst="0" w:colLast="0"/>
      <w:bookmarkEnd w:id="6"/>
      <w:r w:rsidRPr="00EB24F9">
        <w:rPr>
          <w:u w:val="single"/>
        </w:rPr>
        <w:t>BUSINESS DEVELOPMENT PROPOSAL FOR OLA CABS</w:t>
      </w:r>
    </w:p>
    <w:p w14:paraId="6813E6DA" w14:textId="77777777" w:rsidR="00A94F4D" w:rsidRDefault="00A94F4D">
      <w:pPr>
        <w:pStyle w:val="Title"/>
      </w:pPr>
      <w:bookmarkStart w:id="7" w:name="_heading=h.cwhqny33mkig" w:colFirst="0" w:colLast="0"/>
      <w:bookmarkEnd w:id="7"/>
    </w:p>
    <w:p w14:paraId="5E8C3640" w14:textId="77777777" w:rsidR="00A94F4D" w:rsidRDefault="00A94F4D"/>
    <w:p w14:paraId="440A1529" w14:textId="77777777" w:rsidR="00A94F4D" w:rsidRDefault="00845BB4">
      <w:pPr>
        <w:pStyle w:val="Title"/>
      </w:pPr>
      <w:bookmarkStart w:id="8" w:name="_heading=h.cvq0ka9bievu" w:colFirst="0" w:colLast="0"/>
      <w:bookmarkEnd w:id="8"/>
      <w:r>
        <w:t xml:space="preserve"> DEVELOPING OLA GREENROUTE FOR SHARED ELECTRIC VEHICLE EMPLOYEE COMMUTES</w:t>
      </w:r>
    </w:p>
    <w:p w14:paraId="51DA8C8D" w14:textId="77777777" w:rsidR="00A94F4D" w:rsidRDefault="00845BB4">
      <w:pPr>
        <w:jc w:val="center"/>
        <w:rPr>
          <w:b/>
          <w:bCs/>
        </w:rPr>
      </w:pPr>
      <w:r>
        <w:br w:type="page"/>
      </w:r>
    </w:p>
    <w:p w14:paraId="484EE213" w14:textId="77777777" w:rsidR="00A94F4D" w:rsidRDefault="00845BB4">
      <w:pPr>
        <w:jc w:val="center"/>
        <w:rPr>
          <w:b/>
          <w:bCs/>
          <w:color w:val="000000"/>
        </w:rPr>
      </w:pPr>
      <w:r>
        <w:rPr>
          <w:b/>
          <w:bCs/>
          <w:color w:val="000000"/>
        </w:rPr>
        <w:lastRenderedPageBreak/>
        <w:t>Table of Contents</w:t>
      </w:r>
    </w:p>
    <w:p w14:paraId="1543DF7A" w14:textId="77777777" w:rsidR="00A94F4D" w:rsidRDefault="00A94F4D">
      <w:pPr>
        <w:jc w:val="center"/>
        <w:rPr>
          <w:b/>
          <w:bCs/>
        </w:rPr>
      </w:pPr>
    </w:p>
    <w:sdt>
      <w:sdtPr>
        <w:rPr>
          <w:rFonts w:ascii="Times New Roman" w:hAnsi="Times New Roman"/>
          <w:b w:val="0"/>
          <w:bCs w:val="0"/>
          <w:i w:val="0"/>
          <w:iCs w:val="0"/>
        </w:rPr>
        <w:id w:val="-1469230643"/>
        <w:docPartObj>
          <w:docPartGallery w:val="Table of Contents"/>
          <w:docPartUnique/>
        </w:docPartObj>
      </w:sdtPr>
      <w:sdtEndPr/>
      <w:sdtContent>
        <w:p w14:paraId="17572D07" w14:textId="5BDF043A" w:rsidR="00091FD8" w:rsidRPr="00091FD8" w:rsidRDefault="00845BB4"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r w:rsidRPr="00091FD8">
            <w:rPr>
              <w:rFonts w:ascii="Times New Roman" w:hAnsi="Times New Roman"/>
              <w:b w:val="0"/>
              <w:bCs w:val="0"/>
              <w:i w:val="0"/>
              <w:iCs w:val="0"/>
            </w:rPr>
            <w:fldChar w:fldCharType="begin"/>
          </w:r>
          <w:r w:rsidRPr="00091FD8">
            <w:rPr>
              <w:rFonts w:ascii="Times New Roman" w:hAnsi="Times New Roman"/>
              <w:b w:val="0"/>
              <w:bCs w:val="0"/>
              <w:i w:val="0"/>
              <w:iCs w:val="0"/>
            </w:rPr>
            <w:instrText xml:space="preserve"> TOC \h \u \z \t "Heading 1,1,Heading 2,2,Heading 3,3,"</w:instrText>
          </w:r>
          <w:r w:rsidRPr="00091FD8">
            <w:rPr>
              <w:rFonts w:ascii="Times New Roman" w:hAnsi="Times New Roman"/>
              <w:b w:val="0"/>
              <w:bCs w:val="0"/>
              <w:i w:val="0"/>
              <w:iCs w:val="0"/>
            </w:rPr>
            <w:fldChar w:fldCharType="separate"/>
          </w:r>
          <w:hyperlink w:anchor="_Toc241358917" w:history="1">
            <w:r w:rsidR="00091FD8" w:rsidRPr="00091FD8">
              <w:rPr>
                <w:rStyle w:val="Hyperlink"/>
                <w:rFonts w:ascii="Times New Roman" w:hAnsi="Times New Roman"/>
                <w:b w:val="0"/>
                <w:bCs w:val="0"/>
                <w:i w:val="0"/>
                <w:iCs w:val="0"/>
                <w:noProof/>
              </w:rPr>
              <w:t>1. Introduction</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_Toc241358917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3</w:t>
            </w:r>
            <w:r w:rsidR="00091FD8" w:rsidRPr="00091FD8">
              <w:rPr>
                <w:rFonts w:ascii="Times New Roman" w:hAnsi="Times New Roman"/>
                <w:b w:val="0"/>
                <w:bCs w:val="0"/>
                <w:i w:val="0"/>
                <w:iCs w:val="0"/>
                <w:noProof/>
                <w:webHidden/>
              </w:rPr>
              <w:fldChar w:fldCharType="end"/>
            </w:r>
          </w:hyperlink>
        </w:p>
        <w:p w14:paraId="06672BAE" w14:textId="3A1E94E0"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18" w:history="1">
            <w:r w:rsidR="00091FD8" w:rsidRPr="00091FD8">
              <w:rPr>
                <w:rStyle w:val="Hyperlink"/>
                <w:rFonts w:ascii="Times New Roman" w:hAnsi="Times New Roman"/>
                <w:b w:val="0"/>
                <w:bCs w:val="0"/>
                <w:i w:val="0"/>
                <w:iCs w:val="0"/>
                <w:noProof/>
              </w:rPr>
              <w:t>2. Company Description and Business Development Opportunity</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_Toc241358918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3</w:t>
            </w:r>
            <w:r w:rsidR="00091FD8" w:rsidRPr="00091FD8">
              <w:rPr>
                <w:rFonts w:ascii="Times New Roman" w:hAnsi="Times New Roman"/>
                <w:b w:val="0"/>
                <w:bCs w:val="0"/>
                <w:i w:val="0"/>
                <w:iCs w:val="0"/>
                <w:noProof/>
                <w:webHidden/>
              </w:rPr>
              <w:fldChar w:fldCharType="end"/>
            </w:r>
          </w:hyperlink>
        </w:p>
        <w:p w14:paraId="3F036649" w14:textId="02DD44AC"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19" w:history="1">
            <w:r w:rsidR="00091FD8" w:rsidRPr="00091FD8">
              <w:rPr>
                <w:rStyle w:val="Hyperlink"/>
                <w:rFonts w:ascii="Times New Roman" w:hAnsi="Times New Roman"/>
                <w:b w:val="0"/>
                <w:bCs w:val="0"/>
                <w:i w:val="0"/>
                <w:iCs w:val="0"/>
                <w:noProof/>
              </w:rPr>
              <w:t>3. Market Research and Validation</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_Toc241358919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4</w:t>
            </w:r>
            <w:r w:rsidR="00091FD8" w:rsidRPr="00091FD8">
              <w:rPr>
                <w:rFonts w:ascii="Times New Roman" w:hAnsi="Times New Roman"/>
                <w:b w:val="0"/>
                <w:bCs w:val="0"/>
                <w:i w:val="0"/>
                <w:iCs w:val="0"/>
                <w:noProof/>
                <w:webHidden/>
              </w:rPr>
              <w:fldChar w:fldCharType="end"/>
            </w:r>
          </w:hyperlink>
        </w:p>
        <w:p w14:paraId="0077E194" w14:textId="6C4889DC"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0" w:history="1">
            <w:r w:rsidR="00091FD8" w:rsidRPr="00091FD8">
              <w:rPr>
                <w:rStyle w:val="Hyperlink"/>
                <w:rFonts w:ascii="Times New Roman" w:hAnsi="Times New Roman"/>
                <w:b w:val="0"/>
                <w:bCs w:val="0"/>
                <w:i w:val="0"/>
                <w:iCs w:val="0"/>
                <w:noProof/>
              </w:rPr>
              <w:t>4. Proposed Business Model and Value Creation</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_Toc241358920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6</w:t>
            </w:r>
            <w:r w:rsidR="00091FD8" w:rsidRPr="00091FD8">
              <w:rPr>
                <w:rFonts w:ascii="Times New Roman" w:hAnsi="Times New Roman"/>
                <w:b w:val="0"/>
                <w:bCs w:val="0"/>
                <w:i w:val="0"/>
                <w:iCs w:val="0"/>
                <w:noProof/>
                <w:webHidden/>
              </w:rPr>
              <w:fldChar w:fldCharType="end"/>
            </w:r>
          </w:hyperlink>
        </w:p>
        <w:p w14:paraId="632239A9" w14:textId="001B2E01" w:rsidR="00091FD8" w:rsidRPr="00091FD8" w:rsidRDefault="004B3A61" w:rsidP="007D606C">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1" w:history="1">
            <w:r w:rsidR="00091FD8" w:rsidRPr="00091FD8">
              <w:rPr>
                <w:rStyle w:val="Hyperlink"/>
                <w:rFonts w:ascii="Times New Roman" w:hAnsi="Times New Roman"/>
                <w:b w:val="0"/>
                <w:bCs w:val="0"/>
                <w:i w:val="0"/>
                <w:iCs w:val="0"/>
                <w:noProof/>
              </w:rPr>
              <w:t>5. Marketing and Sales Strategy</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_Toc241358921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6</w:t>
            </w:r>
            <w:r w:rsidR="00091FD8" w:rsidRPr="00091FD8">
              <w:rPr>
                <w:rFonts w:ascii="Times New Roman" w:hAnsi="Times New Roman"/>
                <w:b w:val="0"/>
                <w:bCs w:val="0"/>
                <w:i w:val="0"/>
                <w:iCs w:val="0"/>
                <w:noProof/>
                <w:webHidden/>
              </w:rPr>
              <w:fldChar w:fldCharType="end"/>
            </w:r>
          </w:hyperlink>
        </w:p>
        <w:p w14:paraId="330AE9D7" w14:textId="4DD40E5E"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3" w:history="1">
            <w:r w:rsidR="007D606C">
              <w:rPr>
                <w:rStyle w:val="Hyperlink"/>
                <w:rFonts w:ascii="Times New Roman" w:hAnsi="Times New Roman"/>
                <w:b w:val="0"/>
                <w:bCs w:val="0"/>
                <w:i w:val="0"/>
                <w:iCs w:val="0"/>
                <w:noProof/>
              </w:rPr>
              <w:t>6</w:t>
            </w:r>
            <w:r w:rsidR="00091FD8" w:rsidRPr="00091FD8">
              <w:rPr>
                <w:rStyle w:val="Hyperlink"/>
                <w:rFonts w:ascii="Times New Roman" w:hAnsi="Times New Roman"/>
                <w:b w:val="0"/>
                <w:bCs w:val="0"/>
                <w:i w:val="0"/>
                <w:iCs w:val="0"/>
                <w:noProof/>
              </w:rPr>
              <w:t>. Business Analysis Framework</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_Toc241358923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7</w:t>
            </w:r>
            <w:r w:rsidR="00091FD8" w:rsidRPr="00091FD8">
              <w:rPr>
                <w:rFonts w:ascii="Times New Roman" w:hAnsi="Times New Roman"/>
                <w:b w:val="0"/>
                <w:bCs w:val="0"/>
                <w:i w:val="0"/>
                <w:iCs w:val="0"/>
                <w:noProof/>
                <w:webHidden/>
              </w:rPr>
              <w:fldChar w:fldCharType="end"/>
            </w:r>
          </w:hyperlink>
        </w:p>
        <w:p w14:paraId="44B9AC61" w14:textId="0F224E65"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4" w:history="1">
            <w:r w:rsidR="007D606C">
              <w:rPr>
                <w:rStyle w:val="Hyperlink"/>
                <w:rFonts w:ascii="Times New Roman" w:hAnsi="Times New Roman"/>
                <w:b w:val="0"/>
                <w:bCs w:val="0"/>
                <w:i w:val="0"/>
                <w:iCs w:val="0"/>
                <w:noProof/>
              </w:rPr>
              <w:t>7</w:t>
            </w:r>
            <w:r w:rsidR="00091FD8" w:rsidRPr="00091FD8">
              <w:rPr>
                <w:rStyle w:val="Hyperlink"/>
                <w:rFonts w:ascii="Times New Roman" w:hAnsi="Times New Roman"/>
                <w:b w:val="0"/>
                <w:bCs w:val="0"/>
                <w:i w:val="0"/>
                <w:iCs w:val="0"/>
                <w:noProof/>
              </w:rPr>
              <w:t>. Research Methodology and Evidence Approach</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_Toc241358924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8</w:t>
            </w:r>
            <w:r w:rsidR="00091FD8" w:rsidRPr="00091FD8">
              <w:rPr>
                <w:rFonts w:ascii="Times New Roman" w:hAnsi="Times New Roman"/>
                <w:b w:val="0"/>
                <w:bCs w:val="0"/>
                <w:i w:val="0"/>
                <w:iCs w:val="0"/>
                <w:noProof/>
                <w:webHidden/>
              </w:rPr>
              <w:fldChar w:fldCharType="end"/>
            </w:r>
          </w:hyperlink>
        </w:p>
        <w:p w14:paraId="2216E5D3" w14:textId="004D9EB5"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5" w:history="1">
            <w:r w:rsidR="007D606C">
              <w:rPr>
                <w:rStyle w:val="Hyperlink"/>
                <w:rFonts w:ascii="Times New Roman" w:hAnsi="Times New Roman"/>
                <w:b w:val="0"/>
                <w:bCs w:val="0"/>
                <w:i w:val="0"/>
                <w:iCs w:val="0"/>
                <w:noProof/>
              </w:rPr>
              <w:t>8</w:t>
            </w:r>
            <w:r w:rsidR="00091FD8" w:rsidRPr="00091FD8">
              <w:rPr>
                <w:rStyle w:val="Hyperlink"/>
                <w:rFonts w:ascii="Times New Roman" w:hAnsi="Times New Roman"/>
                <w:b w:val="0"/>
                <w:bCs w:val="0"/>
                <w:i w:val="0"/>
                <w:iCs w:val="0"/>
                <w:noProof/>
              </w:rPr>
              <w:t>. Key Risks and Mitigation</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_Toc241358925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8</w:t>
            </w:r>
            <w:r w:rsidR="00091FD8" w:rsidRPr="00091FD8">
              <w:rPr>
                <w:rFonts w:ascii="Times New Roman" w:hAnsi="Times New Roman"/>
                <w:b w:val="0"/>
                <w:bCs w:val="0"/>
                <w:i w:val="0"/>
                <w:iCs w:val="0"/>
                <w:noProof/>
                <w:webHidden/>
              </w:rPr>
              <w:fldChar w:fldCharType="end"/>
            </w:r>
          </w:hyperlink>
        </w:p>
        <w:p w14:paraId="637B884C" w14:textId="1677BA2E"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6" w:history="1">
            <w:r w:rsidR="007D606C">
              <w:rPr>
                <w:rStyle w:val="Hyperlink"/>
                <w:rFonts w:ascii="Times New Roman" w:hAnsi="Times New Roman"/>
                <w:b w:val="0"/>
                <w:bCs w:val="0"/>
                <w:i w:val="0"/>
                <w:iCs w:val="0"/>
                <w:noProof/>
              </w:rPr>
              <w:t>9</w:t>
            </w:r>
            <w:r w:rsidR="00091FD8" w:rsidRPr="00091FD8">
              <w:rPr>
                <w:rStyle w:val="Hyperlink"/>
                <w:rFonts w:ascii="Times New Roman" w:hAnsi="Times New Roman"/>
                <w:b w:val="0"/>
                <w:bCs w:val="0"/>
                <w:i w:val="0"/>
                <w:iCs w:val="0"/>
                <w:noProof/>
              </w:rPr>
              <w:t>. Proposed Timeline and Expected Outcomes</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_Toc241358926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9</w:t>
            </w:r>
            <w:r w:rsidR="00091FD8" w:rsidRPr="00091FD8">
              <w:rPr>
                <w:rFonts w:ascii="Times New Roman" w:hAnsi="Times New Roman"/>
                <w:b w:val="0"/>
                <w:bCs w:val="0"/>
                <w:i w:val="0"/>
                <w:iCs w:val="0"/>
                <w:noProof/>
                <w:webHidden/>
              </w:rPr>
              <w:fldChar w:fldCharType="end"/>
            </w:r>
          </w:hyperlink>
        </w:p>
        <w:p w14:paraId="1528B1BD" w14:textId="2903DA61"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7" w:history="1">
            <w:r w:rsidR="00091FD8" w:rsidRPr="00091FD8">
              <w:rPr>
                <w:rStyle w:val="Hyperlink"/>
                <w:rFonts w:ascii="Times New Roman" w:hAnsi="Times New Roman"/>
                <w:b w:val="0"/>
                <w:bCs w:val="0"/>
                <w:i w:val="0"/>
                <w:iCs w:val="0"/>
                <w:noProof/>
              </w:rPr>
              <w:t>1</w:t>
            </w:r>
            <w:r w:rsidR="007D606C">
              <w:rPr>
                <w:rStyle w:val="Hyperlink"/>
                <w:rFonts w:ascii="Times New Roman" w:hAnsi="Times New Roman"/>
                <w:b w:val="0"/>
                <w:bCs w:val="0"/>
                <w:i w:val="0"/>
                <w:iCs w:val="0"/>
                <w:noProof/>
              </w:rPr>
              <w:t>0</w:t>
            </w:r>
            <w:r w:rsidR="00091FD8" w:rsidRPr="00091FD8">
              <w:rPr>
                <w:rStyle w:val="Hyperlink"/>
                <w:rFonts w:ascii="Times New Roman" w:hAnsi="Times New Roman"/>
                <w:b w:val="0"/>
                <w:bCs w:val="0"/>
                <w:i w:val="0"/>
                <w:iCs w:val="0"/>
                <w:noProof/>
              </w:rPr>
              <w:t>. Conclusion</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_Toc241358927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11</w:t>
            </w:r>
            <w:r w:rsidR="00091FD8" w:rsidRPr="00091FD8">
              <w:rPr>
                <w:rFonts w:ascii="Times New Roman" w:hAnsi="Times New Roman"/>
                <w:b w:val="0"/>
                <w:bCs w:val="0"/>
                <w:i w:val="0"/>
                <w:iCs w:val="0"/>
                <w:noProof/>
                <w:webHidden/>
              </w:rPr>
              <w:fldChar w:fldCharType="end"/>
            </w:r>
          </w:hyperlink>
        </w:p>
        <w:p w14:paraId="5537693D" w14:textId="040150E0" w:rsidR="00091FD8" w:rsidRPr="00091FD8" w:rsidRDefault="004B3A61" w:rsidP="00091FD8">
          <w:pPr>
            <w:pStyle w:val="TOC1"/>
            <w:tabs>
              <w:tab w:val="right" w:leader="dot" w:pos="9016"/>
            </w:tabs>
            <w:jc w:val="both"/>
            <w:rPr>
              <w:rFonts w:ascii="Times New Roman" w:eastAsiaTheme="minorEastAsia" w:hAnsi="Times New Roman"/>
              <w:b w:val="0"/>
              <w:bCs w:val="0"/>
              <w:i w:val="0"/>
              <w:iCs w:val="0"/>
              <w:noProof/>
              <w:sz w:val="22"/>
              <w:szCs w:val="22"/>
              <w:lang w:val="en-IN"/>
            </w:rPr>
          </w:pPr>
          <w:hyperlink w:anchor="_Toc241358928" w:history="1">
            <w:r w:rsidR="00091FD8" w:rsidRPr="00091FD8">
              <w:rPr>
                <w:rStyle w:val="Hyperlink"/>
                <w:rFonts w:ascii="Times New Roman" w:hAnsi="Times New Roman"/>
                <w:b w:val="0"/>
                <w:bCs w:val="0"/>
                <w:i w:val="0"/>
                <w:iCs w:val="0"/>
                <w:noProof/>
              </w:rPr>
              <w:t>References</w:t>
            </w:r>
            <w:r w:rsidR="00091FD8" w:rsidRPr="00091FD8">
              <w:rPr>
                <w:rFonts w:ascii="Times New Roman" w:hAnsi="Times New Roman"/>
                <w:b w:val="0"/>
                <w:bCs w:val="0"/>
                <w:i w:val="0"/>
                <w:iCs w:val="0"/>
                <w:noProof/>
                <w:webHidden/>
              </w:rPr>
              <w:tab/>
            </w:r>
            <w:r w:rsidR="00091FD8" w:rsidRPr="00091FD8">
              <w:rPr>
                <w:rFonts w:ascii="Times New Roman" w:hAnsi="Times New Roman"/>
                <w:b w:val="0"/>
                <w:bCs w:val="0"/>
                <w:i w:val="0"/>
                <w:iCs w:val="0"/>
                <w:noProof/>
                <w:webHidden/>
              </w:rPr>
              <w:fldChar w:fldCharType="begin"/>
            </w:r>
            <w:r w:rsidR="00091FD8" w:rsidRPr="00091FD8">
              <w:rPr>
                <w:rFonts w:ascii="Times New Roman" w:hAnsi="Times New Roman"/>
                <w:b w:val="0"/>
                <w:bCs w:val="0"/>
                <w:i w:val="0"/>
                <w:iCs w:val="0"/>
                <w:noProof/>
                <w:webHidden/>
              </w:rPr>
              <w:instrText xml:space="preserve"> PAGEREF _Toc241358928 \h </w:instrText>
            </w:r>
            <w:r w:rsidR="00091FD8" w:rsidRPr="00091FD8">
              <w:rPr>
                <w:rFonts w:ascii="Times New Roman" w:hAnsi="Times New Roman"/>
                <w:b w:val="0"/>
                <w:bCs w:val="0"/>
                <w:i w:val="0"/>
                <w:iCs w:val="0"/>
                <w:noProof/>
                <w:webHidden/>
              </w:rPr>
            </w:r>
            <w:r w:rsidR="00091FD8" w:rsidRPr="00091FD8">
              <w:rPr>
                <w:rFonts w:ascii="Times New Roman" w:hAnsi="Times New Roman"/>
                <w:b w:val="0"/>
                <w:bCs w:val="0"/>
                <w:i w:val="0"/>
                <w:iCs w:val="0"/>
                <w:noProof/>
                <w:webHidden/>
              </w:rPr>
              <w:fldChar w:fldCharType="separate"/>
            </w:r>
            <w:r w:rsidR="00091FD8" w:rsidRPr="00091FD8">
              <w:rPr>
                <w:rFonts w:ascii="Times New Roman" w:hAnsi="Times New Roman"/>
                <w:b w:val="0"/>
                <w:bCs w:val="0"/>
                <w:i w:val="0"/>
                <w:iCs w:val="0"/>
                <w:noProof/>
                <w:webHidden/>
              </w:rPr>
              <w:t>12</w:t>
            </w:r>
            <w:r w:rsidR="00091FD8" w:rsidRPr="00091FD8">
              <w:rPr>
                <w:rFonts w:ascii="Times New Roman" w:hAnsi="Times New Roman"/>
                <w:b w:val="0"/>
                <w:bCs w:val="0"/>
                <w:i w:val="0"/>
                <w:iCs w:val="0"/>
                <w:noProof/>
                <w:webHidden/>
              </w:rPr>
              <w:fldChar w:fldCharType="end"/>
            </w:r>
          </w:hyperlink>
        </w:p>
        <w:p w14:paraId="4F98914C" w14:textId="49CD313C" w:rsidR="00A94F4D" w:rsidRPr="004B1555" w:rsidRDefault="00845BB4" w:rsidP="00091FD8">
          <w:r w:rsidRPr="00091FD8">
            <w:fldChar w:fldCharType="end"/>
          </w:r>
        </w:p>
      </w:sdtContent>
    </w:sdt>
    <w:p w14:paraId="2B0AF3BE" w14:textId="77777777" w:rsidR="00A94F4D" w:rsidRDefault="00845BB4">
      <w:pPr>
        <w:rPr>
          <w:b/>
          <w:bCs/>
        </w:rPr>
      </w:pPr>
      <w:r>
        <w:br w:type="page"/>
      </w:r>
    </w:p>
    <w:p w14:paraId="5E357F69" w14:textId="77777777" w:rsidR="00A94F4D" w:rsidRDefault="00845BB4">
      <w:pPr>
        <w:pStyle w:val="Heading1"/>
      </w:pPr>
      <w:bookmarkStart w:id="9" w:name="_Toc241358917"/>
      <w:r>
        <w:lastRenderedPageBreak/>
        <w:t>1. Introduction</w:t>
      </w:r>
      <w:bookmarkEnd w:id="9"/>
    </w:p>
    <w:p w14:paraId="4565D29C" w14:textId="77777777" w:rsidR="00A94F4D" w:rsidRPr="007D606C" w:rsidRDefault="00845BB4">
      <w:pPr>
        <w:rPr>
          <w:rFonts w:ascii="Arial" w:hAnsi="Arial" w:cs="Arial"/>
        </w:rPr>
      </w:pPr>
      <w:r w:rsidRPr="007D606C">
        <w:rPr>
          <w:rFonts w:ascii="Arial" w:hAnsi="Arial" w:cs="Arial"/>
        </w:rPr>
        <w:t xml:space="preserve">Congestion, long commuting distances and the environment are emerging as significant challenges for urban workers commuting in India. At the same time, the expansion of electric vehicles (EVs) is creating opportunities for mobility companies to develop services beyond conventional individual ride-hailing. Ola Cabs offers great context, as digital mobility will also potentially be expanded for transportation of corporate employees. This Business Development Proposal (BDP) assesses Ola GreenRoute an idea of an Employee commuting service through Shared EVs for Ola Cabs. Ola GreenRoute is a proposed Shared EV service for employee commutes that is developed here. The idea is to create a cluster of people and offer them an organised trip with an EV pick-up service at strategic points. Routes, travel schedules and the movement of employees were to be coordinated using a digital platform for businesses. The proposal uses market research, business model development, marketing, operations, human resources and business analysis frameworks to evaluate the opportunity. </w:t>
      </w:r>
    </w:p>
    <w:p w14:paraId="6E4D80FD" w14:textId="77777777" w:rsidR="00A94F4D" w:rsidRDefault="00A94F4D"/>
    <w:p w14:paraId="2E5A4D57" w14:textId="77777777" w:rsidR="00A94F4D" w:rsidRDefault="00845BB4">
      <w:pPr>
        <w:pStyle w:val="Heading1"/>
      </w:pPr>
      <w:bookmarkStart w:id="10" w:name="_Toc241358918"/>
      <w:r>
        <w:t>2. Company Description and Business Development Opportunity</w:t>
      </w:r>
      <w:bookmarkEnd w:id="10"/>
    </w:p>
    <w:p w14:paraId="5955DDF1" w14:textId="77777777" w:rsidR="00A94F4D" w:rsidRPr="007D606C" w:rsidRDefault="00845BB4">
      <w:pPr>
        <w:rPr>
          <w:rFonts w:ascii="Arial" w:hAnsi="Arial" w:cs="Arial"/>
        </w:rPr>
      </w:pPr>
      <w:r w:rsidRPr="007D606C">
        <w:rPr>
          <w:rFonts w:ascii="Arial" w:hAnsi="Arial" w:cs="Arial"/>
        </w:rPr>
        <w:t xml:space="preserve">Ola Cabs is an Indian ride-hail enterprise that matches customers and drivers via digital technology that has been serving in more than 250 cities all across India, UK, Australia, and New Zealand (Ola Cabs, 2026). Its current platform, customer base and experience with app-based transportation could aid in the creation of other mobility services that could utilise its capabilities. The proposed GreenRoute initiative will refine these tools for extension towards corporate employee transportation, especially for organisations that have regular commuting needs. The concept of Ola GreenRoute will be to share EV journeys, arrange pickup points and organise corporate travel. This proposal will be opportunistic, as this will ensure flexibility in terms of individual ride-sharing and worker transportation does not lead to the same mix of digital visibility and worker sharing (He et al., 2022). Similar levels of transport may be shared between employees travelling from similar residential areas towards common workplaces. A single centralised dashboard could also provide employers with increased transportation visibility. </w:t>
      </w:r>
    </w:p>
    <w:p w14:paraId="4E305080" w14:textId="77777777" w:rsidR="00A94F4D" w:rsidRPr="007D606C" w:rsidRDefault="00845BB4">
      <w:pPr>
        <w:rPr>
          <w:rFonts w:ascii="Arial" w:hAnsi="Arial" w:cs="Arial"/>
        </w:rPr>
      </w:pPr>
      <w:r w:rsidRPr="007D606C">
        <w:rPr>
          <w:rFonts w:ascii="Arial" w:hAnsi="Arial" w:cs="Arial"/>
        </w:rPr>
        <w:t xml:space="preserve">Desai (2025) further asserted that technological advances, changing consumer demand, and the growing penetration of EVs are shaping India's mobility shift. This gives an apt context for Ola to explore its mobility and how it can be used in the </w:t>
      </w:r>
      <w:r w:rsidRPr="007D606C">
        <w:rPr>
          <w:rFonts w:ascii="Arial" w:hAnsi="Arial" w:cs="Arial"/>
        </w:rPr>
        <w:lastRenderedPageBreak/>
        <w:t>corporate commuting market. The primary audiences would be medium and large companies with large workforce commute needs. Sectors may be information technology, business services, financial services, healthcare, education and other organisations with frequent commuters between residents and places of work. The value proposition proposed is of three components, such as employee convenience, employer's visibility and sustainable mobility. Workers would be given routes and trip plans, and companies would be responsible for overseeing trips to and from various destinations. This would specifically help Ola build another revenue channel for the company and promote greater involvement in the growing EV ecosystem in India. With this, the primary aim is to gauge the demand for co-worker EV transportation, share employee and employer needs, explore the market and competitive viability, and demonstrate the operational needs of a pilot deployment.</w:t>
      </w:r>
    </w:p>
    <w:p w14:paraId="2E8D1232" w14:textId="77777777" w:rsidR="00A94F4D" w:rsidRDefault="00A94F4D"/>
    <w:p w14:paraId="74FFDDE1" w14:textId="77777777" w:rsidR="00A94F4D" w:rsidRDefault="00845BB4">
      <w:pPr>
        <w:pStyle w:val="Heading1"/>
      </w:pPr>
      <w:bookmarkStart w:id="11" w:name="_Toc241358919"/>
      <w:r>
        <w:t>3. Market Research and Validation</w:t>
      </w:r>
      <w:bookmarkEnd w:id="11"/>
    </w:p>
    <w:p w14:paraId="16EFF927" w14:textId="77777777" w:rsidR="00A94F4D" w:rsidRDefault="00845BB4">
      <w:pPr>
        <w:jc w:val="center"/>
      </w:pPr>
      <w:r>
        <w:rPr>
          <w:noProof/>
          <w:lang w:val="en-US" w:eastAsia="en-US" w:bidi="gu-IN"/>
        </w:rPr>
        <w:drawing>
          <wp:inline distT="114300" distB="114300" distL="114300" distR="114300" wp14:anchorId="2EC23FA7" wp14:editId="6D10BFFC">
            <wp:extent cx="5731200" cy="2730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730500"/>
                    </a:xfrm>
                    <a:prstGeom prst="rect">
                      <a:avLst/>
                    </a:prstGeom>
                    <a:ln w="12700">
                      <a:solidFill>
                        <a:srgbClr val="000000"/>
                      </a:solidFill>
                      <a:prstDash val="solid"/>
                    </a:ln>
                  </pic:spPr>
                </pic:pic>
              </a:graphicData>
            </a:graphic>
          </wp:inline>
        </w:drawing>
      </w:r>
    </w:p>
    <w:p w14:paraId="0F35FCC0" w14:textId="77777777" w:rsidR="00A94F4D" w:rsidRDefault="00845BB4">
      <w:pPr>
        <w:jc w:val="center"/>
        <w:rPr>
          <w:b/>
          <w:bCs/>
        </w:rPr>
      </w:pPr>
      <w:r>
        <w:rPr>
          <w:b/>
          <w:bCs/>
        </w:rPr>
        <w:t>Figure 1: EV Market Overview</w:t>
      </w:r>
    </w:p>
    <w:p w14:paraId="252E1257" w14:textId="77777777" w:rsidR="00A94F4D" w:rsidRDefault="00845BB4">
      <w:pPr>
        <w:jc w:val="center"/>
      </w:pPr>
      <w:r>
        <w:t>(Source: FBI, 2026)</w:t>
      </w:r>
    </w:p>
    <w:p w14:paraId="73825D1B" w14:textId="77777777" w:rsidR="00A94F4D" w:rsidRPr="007D606C" w:rsidRDefault="00845BB4">
      <w:pPr>
        <w:rPr>
          <w:rFonts w:ascii="Arial" w:hAnsi="Arial" w:cs="Arial"/>
        </w:rPr>
      </w:pPr>
      <w:r w:rsidRPr="007D606C">
        <w:rPr>
          <w:rFonts w:ascii="Arial" w:hAnsi="Arial" w:cs="Arial"/>
        </w:rPr>
        <w:t xml:space="preserve">In India, the EV market is the primary market opportunity for GreenRoute. India's electric vehicle market is projected to grow at a CAGR of 18.3% during 2025–2030, with an incremental market opportunity of approximately USD 19.58 billion (Technavio, 2026). The numbers point to the continued growth of India's EV industry. The extent of electrification is also evident in the context of the world. As shown in figure 1, the global EV market was valued at USD 927.69 billion in 2025 and is projected to reach USD 2,190.37 billion by 2034, representing a 9.97% CAGR (FBI, 2026). India-specific </w:t>
      </w:r>
      <w:r w:rsidRPr="007D606C">
        <w:rPr>
          <w:rFonts w:ascii="Arial" w:hAnsi="Arial" w:cs="Arial"/>
        </w:rPr>
        <w:lastRenderedPageBreak/>
        <w:t xml:space="preserve">market estimates are variable as per different market definitions by different research organisations. </w:t>
      </w:r>
    </w:p>
    <w:p w14:paraId="6B3ADC47" w14:textId="77777777" w:rsidR="00A94F4D" w:rsidRPr="007D606C" w:rsidRDefault="00845BB4">
      <w:pPr>
        <w:rPr>
          <w:rFonts w:ascii="Arial" w:hAnsi="Arial" w:cs="Arial"/>
        </w:rPr>
      </w:pPr>
      <w:r w:rsidRPr="007D606C">
        <w:rPr>
          <w:rFonts w:ascii="Arial" w:hAnsi="Arial" w:cs="Arial"/>
        </w:rPr>
        <w:t>India's EV market is further projected to grow from USD 3.71 billion in 2025 to about USD 191.04 billion by 2034 with a CAGR of 54.94% (Imarc, 2026). One of the recent reports of the Mordor Intelligence projected this market to reach USD 54.41 billion by 2025 at a 19.44% CAGR until 2029 (MI, 2026). The electric-car book is another small book with a lot of growth potential. Not only this, but the value of the electric-car market in India is also expected to reach USD 111.24 billion in 2035, growing at a CAGR of 41.0% (MRF, 2026). As per the report from Precedence Research, the EV market in India is projected to reach USD 31.09 billion by 2026 and will reach USD 1,283.08 billion by 2035 (PR, 2026). The variation between estimates highlights the need for the final BDP to interpret market forecasts cautiously.</w:t>
      </w:r>
    </w:p>
    <w:tbl>
      <w:tblPr>
        <w:tblStyle w:val="a2"/>
        <w:tblW w:w="9045" w:type="dxa"/>
        <w:tblBorders>
          <w:top w:val="nil"/>
          <w:left w:val="nil"/>
          <w:bottom w:val="nil"/>
          <w:right w:val="nil"/>
          <w:insideH w:val="nil"/>
          <w:insideV w:val="nil"/>
        </w:tblBorders>
        <w:tblLayout w:type="fixed"/>
        <w:tblLook w:val="0600" w:firstRow="0" w:lastRow="0" w:firstColumn="0" w:lastColumn="0" w:noHBand="1" w:noVBand="1"/>
      </w:tblPr>
      <w:tblGrid>
        <w:gridCol w:w="2175"/>
        <w:gridCol w:w="1365"/>
        <w:gridCol w:w="1695"/>
        <w:gridCol w:w="2055"/>
        <w:gridCol w:w="1755"/>
      </w:tblGrid>
      <w:tr w:rsidR="00A94F4D" w14:paraId="29B0EBE4" w14:textId="77777777">
        <w:trPr>
          <w:trHeight w:val="51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17937" w14:textId="77777777" w:rsidR="00A94F4D" w:rsidRDefault="00845BB4">
            <w:pPr>
              <w:jc w:val="center"/>
            </w:pPr>
            <w:r>
              <w:rPr>
                <w:b/>
                <w:bCs/>
              </w:rPr>
              <w:t>Market indicator</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422B3" w14:textId="77777777" w:rsidR="00A94F4D" w:rsidRDefault="00845BB4">
            <w:pPr>
              <w:jc w:val="center"/>
            </w:pPr>
            <w:r>
              <w:rPr>
                <w:b/>
                <w:bCs/>
              </w:rPr>
              <w:t>Year</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40032" w14:textId="77777777" w:rsidR="00A94F4D" w:rsidRDefault="00845BB4">
            <w:pPr>
              <w:jc w:val="center"/>
            </w:pPr>
            <w:r>
              <w:rPr>
                <w:b/>
                <w:bCs/>
              </w:rPr>
              <w:t>Value/forecast</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86FD5" w14:textId="77777777" w:rsidR="00A94F4D" w:rsidRDefault="00845BB4">
            <w:pPr>
              <w:jc w:val="center"/>
            </w:pPr>
            <w:r>
              <w:rPr>
                <w:b/>
                <w:bCs/>
              </w:rPr>
              <w:t>Growth indicator</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706E9" w14:textId="77777777" w:rsidR="00A94F4D" w:rsidRDefault="00845BB4">
            <w:pPr>
              <w:jc w:val="center"/>
            </w:pPr>
            <w:r>
              <w:rPr>
                <w:b/>
                <w:bCs/>
              </w:rPr>
              <w:t>Source</w:t>
            </w:r>
          </w:p>
        </w:tc>
      </w:tr>
      <w:tr w:rsidR="00A94F4D" w14:paraId="7E6C48A1"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65C1A" w14:textId="77777777" w:rsidR="00A94F4D" w:rsidRDefault="00845BB4">
            <w:r>
              <w:t>Global EV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815DB" w14:textId="77777777" w:rsidR="00A94F4D" w:rsidRDefault="00845BB4">
            <w:r>
              <w:t>2025</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B462D" w14:textId="77777777" w:rsidR="00A94F4D" w:rsidRDefault="00845BB4">
            <w:r>
              <w:t>USD 927.69bn</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02176" w14:textId="77777777" w:rsidR="00A94F4D" w:rsidRDefault="00845BB4">
            <w:r>
              <w:t>9.97% CAGR to 2034</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0821C" w14:textId="77777777" w:rsidR="00A94F4D" w:rsidRDefault="00845BB4">
            <w:r>
              <w:t>FBI (2026)</w:t>
            </w:r>
          </w:p>
        </w:tc>
      </w:tr>
      <w:tr w:rsidR="00A94F4D" w14:paraId="1B4E6B51"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B4E3D" w14:textId="77777777" w:rsidR="00A94F4D" w:rsidRDefault="00845BB4">
            <w:r>
              <w:t>Indian EV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5367A" w14:textId="77777777" w:rsidR="00A94F4D" w:rsidRDefault="00845BB4">
            <w:r>
              <w:t>2025</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7C8A1" w14:textId="77777777" w:rsidR="00A94F4D" w:rsidRDefault="00845BB4">
            <w:r>
              <w:t>USD 3.71bn</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887F4" w14:textId="77777777" w:rsidR="00A94F4D" w:rsidRDefault="00845BB4">
            <w:r>
              <w:t>54.94% CAGR to 2034</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46FB6" w14:textId="77777777" w:rsidR="00A94F4D" w:rsidRDefault="00845BB4">
            <w:r>
              <w:t>Imarc (2026)</w:t>
            </w:r>
          </w:p>
        </w:tc>
      </w:tr>
      <w:tr w:rsidR="00A94F4D" w14:paraId="7EE7C26A"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7BFDE" w14:textId="77777777" w:rsidR="00A94F4D" w:rsidRDefault="00845BB4">
            <w:r>
              <w:t>Indian EV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87F64" w14:textId="77777777" w:rsidR="00A94F4D" w:rsidRDefault="00845BB4">
            <w:r>
              <w:t>2025</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0BEDB5" w14:textId="77777777" w:rsidR="00A94F4D" w:rsidRDefault="00845BB4">
            <w:r>
              <w:t>USD 54.41bn</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AEC15" w14:textId="77777777" w:rsidR="00A94F4D" w:rsidRDefault="00845BB4">
            <w:r>
              <w:t>19.44% CAGR to 2029</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FA55D" w14:textId="77777777" w:rsidR="00A94F4D" w:rsidRDefault="00845BB4">
            <w:r>
              <w:t>MI (2026)</w:t>
            </w:r>
          </w:p>
        </w:tc>
      </w:tr>
      <w:tr w:rsidR="00A94F4D" w14:paraId="5AE600AC"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A5059" w14:textId="77777777" w:rsidR="00A94F4D" w:rsidRDefault="00845BB4">
            <w:r>
              <w:t>Indian electric-car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93947" w14:textId="77777777" w:rsidR="00A94F4D" w:rsidRDefault="00845BB4">
            <w:r>
              <w:t>2025</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7358F" w14:textId="77777777" w:rsidR="00A94F4D" w:rsidRDefault="00845BB4">
            <w:r>
              <w:t>USD 3.58bn</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E5D7B" w14:textId="77777777" w:rsidR="00A94F4D" w:rsidRDefault="00845BB4">
            <w:r>
              <w:t>41.0% CAGR to 2035</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509CD" w14:textId="77777777" w:rsidR="00A94F4D" w:rsidRDefault="00845BB4">
            <w:r>
              <w:t>MRF (2026)</w:t>
            </w:r>
          </w:p>
        </w:tc>
      </w:tr>
      <w:tr w:rsidR="00A94F4D" w14:paraId="14EAA73A"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4A26C" w14:textId="77777777" w:rsidR="00A94F4D" w:rsidRDefault="00845BB4">
            <w:r>
              <w:t>Indian EV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7DE34" w14:textId="77777777" w:rsidR="00A94F4D" w:rsidRDefault="00845BB4">
            <w:r>
              <w:t>2025</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449FA" w14:textId="77777777" w:rsidR="00A94F4D" w:rsidRDefault="00845BB4">
            <w:r>
              <w:t>USD 18.79bn</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6FAE6" w14:textId="77777777" w:rsidR="00A94F4D" w:rsidRDefault="00845BB4">
            <w:r>
              <w:t>52.56% CAGR to 2035</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425CB" w14:textId="77777777" w:rsidR="00A94F4D" w:rsidRDefault="00845BB4">
            <w:r>
              <w:t>PR (2026)</w:t>
            </w:r>
          </w:p>
        </w:tc>
      </w:tr>
      <w:tr w:rsidR="00A94F4D" w14:paraId="3F6E9CF9" w14:textId="77777777">
        <w:trPr>
          <w:trHeight w:val="7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E24AE" w14:textId="77777777" w:rsidR="00A94F4D" w:rsidRDefault="00845BB4">
            <w:r>
              <w:t>Indian EV market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1DB0F" w14:textId="77777777" w:rsidR="00A94F4D" w:rsidRDefault="00845BB4">
            <w:r>
              <w:t>2025–2030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DC2F6" w14:textId="77777777" w:rsidR="00A94F4D" w:rsidRDefault="00845BB4">
            <w:r>
              <w:t>—</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5D4285" w14:textId="77777777" w:rsidR="00A94F4D" w:rsidRDefault="00845BB4">
            <w:r>
              <w:t>18.3% CAGR</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D9233" w14:textId="77777777" w:rsidR="00A94F4D" w:rsidRDefault="00845BB4">
            <w:r>
              <w:t>Technavio (2026)</w:t>
            </w:r>
          </w:p>
        </w:tc>
      </w:tr>
    </w:tbl>
    <w:p w14:paraId="1188E343" w14:textId="77777777" w:rsidR="00A94F4D" w:rsidRDefault="00845BB4">
      <w:pPr>
        <w:jc w:val="center"/>
        <w:rPr>
          <w:b/>
          <w:bCs/>
        </w:rPr>
      </w:pPr>
      <w:r>
        <w:rPr>
          <w:b/>
          <w:bCs/>
        </w:rPr>
        <w:t>Table 1: Selected Indian and Global Electric Vehicle Market Indicators</w:t>
      </w:r>
    </w:p>
    <w:p w14:paraId="4B833CE8" w14:textId="77777777" w:rsidR="00A94F4D" w:rsidRPr="007D606C" w:rsidRDefault="00845BB4">
      <w:pPr>
        <w:rPr>
          <w:rFonts w:ascii="Arial" w:hAnsi="Arial" w:cs="Arial"/>
        </w:rPr>
      </w:pPr>
      <w:r w:rsidRPr="007D606C">
        <w:rPr>
          <w:rFonts w:ascii="Arial" w:hAnsi="Arial" w:cs="Arial"/>
        </w:rPr>
        <w:t xml:space="preserve">Another key validation factor is customer behaviour. According to Digalwar and Rastogi (2023), social factors are important for EV adoption in India. Convenience, reliability, social acceptance and shared travel could therefore also be decisive for GreenRoute, especially from an employee's perspective. It is possible to identify EV </w:t>
      </w:r>
      <w:r w:rsidRPr="007D606C">
        <w:rPr>
          <w:rFonts w:ascii="Arial" w:hAnsi="Arial" w:cs="Arial"/>
        </w:rPr>
        <w:lastRenderedPageBreak/>
        <w:t>buyers by the use of data-driven methods in India (Dixit and Singh, 2022). These similar analytical powers may be applied to forecasting employee needs and clustering routes for GreenRoute in the future. Another important factor to consider is infrastructure. Madhavedi et al. (2026) further revealed the significance of the availability of charging stations for enabling EV mobility in a Tier-II city of India. This is why planning of routes is essential to GreenRoute, taking into account both demand and charging infrastructure.</w:t>
      </w:r>
    </w:p>
    <w:p w14:paraId="04C479A2" w14:textId="77777777" w:rsidR="00A94F4D" w:rsidRPr="007D606C" w:rsidRDefault="00A94F4D">
      <w:pPr>
        <w:rPr>
          <w:rFonts w:ascii="Arial" w:hAnsi="Arial" w:cs="Arial"/>
        </w:rPr>
      </w:pPr>
    </w:p>
    <w:p w14:paraId="007AFE2B" w14:textId="77777777" w:rsidR="00A94F4D" w:rsidRPr="007D606C" w:rsidRDefault="00845BB4">
      <w:pPr>
        <w:pStyle w:val="Heading1"/>
        <w:rPr>
          <w:rFonts w:ascii="Arial" w:hAnsi="Arial" w:cs="Arial"/>
        </w:rPr>
      </w:pPr>
      <w:bookmarkStart w:id="12" w:name="_Toc241358920"/>
      <w:r w:rsidRPr="007D606C">
        <w:rPr>
          <w:rFonts w:ascii="Arial" w:hAnsi="Arial" w:cs="Arial"/>
        </w:rPr>
        <w:t>4. Proposed Business Model and Value Creation</w:t>
      </w:r>
      <w:bookmarkEnd w:id="12"/>
    </w:p>
    <w:p w14:paraId="09756196" w14:textId="77777777" w:rsidR="00A94F4D" w:rsidRPr="007D606C" w:rsidRDefault="00845BB4">
      <w:pPr>
        <w:rPr>
          <w:rFonts w:ascii="Arial" w:hAnsi="Arial" w:cs="Arial"/>
        </w:rPr>
      </w:pPr>
      <w:r w:rsidRPr="007D606C">
        <w:rPr>
          <w:rFonts w:ascii="Arial" w:hAnsi="Arial" w:cs="Arial"/>
        </w:rPr>
        <w:t>Ola GreenRoute would be mostly a business-to-business mobility service. A transportation package would be bought by corporate organisations, and shared EV journeys would operate according to a set route and time. The Business Model Canvas will be a key element of the final BDP. The customer segment would be companies that require frequent employee travel. As inspired by the ideas of Yang et al. (2024), the value proposition would merge EV shared transport, planned travel and employee ease, and corporate travel visibility. The primary channels would be direct corporate sales, business-development teams and Ola's existing digital ecosystem, including their digital marketing efforts. Customer relationships would be managed by customer representatives, customer reporting and support, and digital dashboards. This would involve employee registration, route planning, matching demand and EV allocation, driver management, charging co-ordination and performance monitoring. Key resources would be EVs, drivers, digital infrastructure, MM route-management technology and corporate relationships. Technology providers, charging providers, fleet owners and EV manufacturers are potential partners. Potential revenue sources include monthly corporate contracts, usage-based transportation charging and employee-based packages. Rajagopal (2023) pointed out that the EV transition also has implications for jobs, energy imports and government revenues in India. This means GreenRoute must be considered in larger mobility frameworks that include energy, vehicles, infrastructure and labour.</w:t>
      </w:r>
    </w:p>
    <w:p w14:paraId="772D602D" w14:textId="77777777" w:rsidR="00A94F4D" w:rsidRPr="007D606C" w:rsidRDefault="00A94F4D">
      <w:pPr>
        <w:rPr>
          <w:rFonts w:ascii="Arial" w:hAnsi="Arial" w:cs="Arial"/>
        </w:rPr>
      </w:pPr>
    </w:p>
    <w:p w14:paraId="22CF9BE4" w14:textId="77777777" w:rsidR="00A94F4D" w:rsidRPr="007D606C" w:rsidRDefault="00845BB4">
      <w:pPr>
        <w:pStyle w:val="Heading1"/>
        <w:rPr>
          <w:rFonts w:ascii="Arial" w:hAnsi="Arial" w:cs="Arial"/>
        </w:rPr>
      </w:pPr>
      <w:bookmarkStart w:id="13" w:name="_Toc241358921"/>
      <w:r w:rsidRPr="007D606C">
        <w:rPr>
          <w:rFonts w:ascii="Arial" w:hAnsi="Arial" w:cs="Arial"/>
        </w:rPr>
        <w:t>5. Marketing and Sales Strategy</w:t>
      </w:r>
      <w:bookmarkEnd w:id="13"/>
    </w:p>
    <w:p w14:paraId="119C4D87" w14:textId="77777777" w:rsidR="00A94F4D" w:rsidRPr="007D606C" w:rsidRDefault="00845BB4">
      <w:pPr>
        <w:rPr>
          <w:rFonts w:ascii="Arial" w:hAnsi="Arial" w:cs="Arial"/>
        </w:rPr>
      </w:pPr>
      <w:r w:rsidRPr="007D606C">
        <w:rPr>
          <w:rFonts w:ascii="Arial" w:hAnsi="Arial" w:cs="Arial"/>
        </w:rPr>
        <w:t xml:space="preserve">Ola Cab’s GreenRoute would target corporate decision-makers, such as HR managers, operations managers, facilities managers, procurement teams and sustainability managers. The service must be centred on organised staff mobility and </w:t>
      </w:r>
      <w:r w:rsidRPr="007D606C">
        <w:rPr>
          <w:rFonts w:ascii="Arial" w:hAnsi="Arial" w:cs="Arial"/>
        </w:rPr>
        <w:lastRenderedPageBreak/>
        <w:t>sharing of EV transport. Marketing messages might focus on organised trips, ease for staff, visibility of vehicles and sustainable mobility. The important sales-to-business channel would be direct B2B sales. For instance, it is possible for the management of Ola Cabs to visit some organisations and propose a test run for certain routes and employees. Sales process assistance may be obtained through LinkedIn, targeted email marketing, corporate presentations or industry networking (</w:t>
      </w:r>
      <w:r w:rsidRPr="007D606C">
        <w:rPr>
          <w:rFonts w:ascii="Arial" w:hAnsi="Arial" w:cs="Arial"/>
          <w:color w:val="222222"/>
          <w:sz w:val="20"/>
          <w:szCs w:val="20"/>
        </w:rPr>
        <w:t>Alsoud</w:t>
      </w:r>
      <w:r w:rsidRPr="007D606C">
        <w:rPr>
          <w:rFonts w:ascii="Arial" w:hAnsi="Arial" w:cs="Arial"/>
        </w:rPr>
        <w:t xml:space="preserve"> et al., 2026). The initial commitment from corporate customers would be diminished through a pilot strategy. Measures of pilot performance undertaken might include employee registration, route utilisation, customer satisfaction, journey reliability and conversion to long-term contracts. A full cost analysis should be used to consider prices. Possible models include route-based pricing, route packages, or packages for many companies on a monthly basis per employee. These options should be considered where cost of the vehicle, the driver, charging costs, the technologies, and administrative costs are significant over the final BDP.</w:t>
      </w:r>
    </w:p>
    <w:p w14:paraId="3B17C550" w14:textId="350B222E" w:rsidR="00A94F4D" w:rsidRDefault="00A94F4D"/>
    <w:p w14:paraId="19F96E0C" w14:textId="77777777" w:rsidR="00A94F4D" w:rsidRDefault="00A94F4D"/>
    <w:p w14:paraId="10FF8FFD" w14:textId="75BC06CB" w:rsidR="00A94F4D" w:rsidRDefault="007D606C">
      <w:pPr>
        <w:pStyle w:val="Heading1"/>
      </w:pPr>
      <w:bookmarkStart w:id="14" w:name="_Toc241358923"/>
      <w:r>
        <w:t>6.</w:t>
      </w:r>
      <w:r w:rsidR="00845BB4">
        <w:t xml:space="preserve"> Business Analysis Framework</w:t>
      </w:r>
      <w:bookmarkEnd w:id="14"/>
    </w:p>
    <w:p w14:paraId="37439748" w14:textId="3E3D7A8F" w:rsidR="00A94F4D" w:rsidRPr="007D606C" w:rsidRDefault="00845BB4">
      <w:pPr>
        <w:rPr>
          <w:rFonts w:ascii="Arial" w:hAnsi="Arial" w:cs="Arial"/>
        </w:rPr>
      </w:pPr>
      <w:r w:rsidRPr="007D606C">
        <w:rPr>
          <w:rFonts w:ascii="Arial" w:hAnsi="Arial" w:cs="Arial"/>
        </w:rPr>
        <w:t>The BDP will be structured by considering PESTLE, SWOT, Competitor Analysis, Porters 5 Force Analysis and Ansoff Matrix for Business Development Process. PESTLE will examine political EV policies, economic factors, social attitudes, technological development, legal requirements and environmental pressures. The initial SWOT points out the strengths, which are Ola's digital platform, customers, and its app-based transportation experience. Potential weaknesses include EV supply, charging needs, driver training and service charges. Connecting corporate travel and the growth of EVs is an opportunity, while competition, pressure from prices and chargers are threats.</w:t>
      </w:r>
      <w:r w:rsidRPr="007D606C">
        <w:rPr>
          <w:rFonts w:ascii="Arial" w:hAnsi="Arial" w:cs="Arial"/>
          <w:color w:val="FF0000"/>
        </w:rPr>
        <w:t xml:space="preserve"> </w:t>
      </w:r>
      <w:r w:rsidR="00B96B24" w:rsidRPr="007D606C">
        <w:rPr>
          <w:rFonts w:ascii="Arial" w:hAnsi="Arial" w:cs="Arial"/>
          <w:color w:val="FF0000"/>
        </w:rPr>
        <w:t xml:space="preserve">Most importantly, </w:t>
      </w:r>
      <w:r w:rsidR="00054526" w:rsidRPr="007D606C">
        <w:rPr>
          <w:rFonts w:ascii="Arial" w:hAnsi="Arial" w:cs="Arial"/>
          <w:color w:val="FF0000"/>
        </w:rPr>
        <w:t>it is true that China is 10 years ahead than any country when it comes to the use of EVs. In India, supply of EVs is significantly dependent on Chinese imports wherein 87% were found to be ineligible (</w:t>
      </w:r>
      <w:r w:rsidR="006E3875" w:rsidRPr="007D606C">
        <w:rPr>
          <w:rFonts w:ascii="Arial" w:hAnsi="Arial" w:cs="Arial"/>
          <w:color w:val="FF0000"/>
        </w:rPr>
        <w:t>Phadke, 2026</w:t>
      </w:r>
      <w:r w:rsidR="00054526" w:rsidRPr="007D606C">
        <w:rPr>
          <w:rFonts w:ascii="Arial" w:hAnsi="Arial" w:cs="Arial"/>
          <w:color w:val="FF0000"/>
        </w:rPr>
        <w:t>). This is due to high imported content largely sourced from China</w:t>
      </w:r>
      <w:r w:rsidR="00B96B24" w:rsidRPr="007D606C">
        <w:rPr>
          <w:rFonts w:ascii="Arial" w:hAnsi="Arial" w:cs="Arial"/>
          <w:color w:val="FF0000"/>
        </w:rPr>
        <w:t xml:space="preserve">. </w:t>
      </w:r>
      <w:r w:rsidRPr="007D606C">
        <w:rPr>
          <w:rFonts w:ascii="Arial" w:hAnsi="Arial" w:cs="Arial"/>
        </w:rPr>
        <w:t xml:space="preserve">Traditional transport-as-a-service options as well as ride-hailing services and EV mobility firms will be analysed. The study will be centred on differentiating GreenRoute's corporate offering. Porter's Five Forces will be used to analyse the competition, power of suppliers, power of customers, power of substitutes, and barriers to entry. Large-scale contracts, with employee populations, could give power to the corporate customer, </w:t>
      </w:r>
      <w:r w:rsidRPr="007D606C">
        <w:rPr>
          <w:rFonts w:ascii="Arial" w:hAnsi="Arial" w:cs="Arial"/>
        </w:rPr>
        <w:lastRenderedPageBreak/>
        <w:t>and EV and charging companies could have an impact on operating costs. Given that Ola will be able to transfer existing mobility tools into a defined corporate employee-transportation segment, the positioning of GreenRoute is likely to be market development. The study by Shaikh et al. (2026) focuses on macro-energy demand shocks and corporate dynamics in the EV industry in India between 2022-2026. This reinforces the need to consider wider energy and economic conditions when assessing the opportunity.</w:t>
      </w:r>
    </w:p>
    <w:p w14:paraId="370F6BBD" w14:textId="77777777" w:rsidR="00A94F4D" w:rsidRPr="007D606C" w:rsidRDefault="00A94F4D">
      <w:pPr>
        <w:rPr>
          <w:rFonts w:ascii="Arial" w:hAnsi="Arial" w:cs="Arial"/>
        </w:rPr>
      </w:pPr>
    </w:p>
    <w:p w14:paraId="65A50F8B" w14:textId="4F143635" w:rsidR="00A94F4D" w:rsidRPr="007D606C" w:rsidRDefault="007D606C">
      <w:pPr>
        <w:pStyle w:val="Heading1"/>
        <w:rPr>
          <w:rFonts w:ascii="Arial" w:hAnsi="Arial" w:cs="Arial"/>
        </w:rPr>
      </w:pPr>
      <w:bookmarkStart w:id="15" w:name="_Toc241358924"/>
      <w:r>
        <w:rPr>
          <w:rFonts w:ascii="Arial" w:hAnsi="Arial" w:cs="Arial"/>
        </w:rPr>
        <w:t>7</w:t>
      </w:r>
      <w:r w:rsidR="00845BB4" w:rsidRPr="007D606C">
        <w:rPr>
          <w:rFonts w:ascii="Arial" w:hAnsi="Arial" w:cs="Arial"/>
        </w:rPr>
        <w:t>. Research Methodology and Evidence Approach</w:t>
      </w:r>
      <w:bookmarkEnd w:id="15"/>
    </w:p>
    <w:p w14:paraId="08523831" w14:textId="77777777" w:rsidR="00A94F4D" w:rsidRPr="007D606C" w:rsidRDefault="00845BB4">
      <w:pPr>
        <w:rPr>
          <w:rFonts w:ascii="Arial" w:hAnsi="Arial" w:cs="Arial"/>
        </w:rPr>
      </w:pPr>
      <w:r w:rsidRPr="007D606C">
        <w:rPr>
          <w:rFonts w:ascii="Arial" w:hAnsi="Arial" w:cs="Arial"/>
        </w:rPr>
        <w:t>This proposal will involve mainly secondary research such as academic journals, market reports, as well as industry publications and company information. Academic research will be used to analyse EV adoption, customer behaviour, workforce development, sustainability and infrastructure, and industry reports will deliver quantitative market data. Devarasan et al. (2025) show how market trends and machine learning techniques are pertinent to sustainable mobility in India. This can contribute to the implementation of GreenRoute data-driven route and demand analysis. EVs are being attributed to lower pollution and carbon footprints, which reinforces the environmental element of the provided service (Ram, 2026). This business development research proposal will rely on secondary evidence that will be related directly to business decisions regarding market demand, customer requirements, business modelling, operations, competition and feasibility. Ensuring good practice will also be discussed.</w:t>
      </w:r>
    </w:p>
    <w:p w14:paraId="55426A78" w14:textId="77777777" w:rsidR="00A94F4D" w:rsidRPr="007D606C" w:rsidRDefault="00A94F4D">
      <w:pPr>
        <w:rPr>
          <w:rFonts w:ascii="Arial" w:hAnsi="Arial" w:cs="Arial"/>
        </w:rPr>
      </w:pPr>
    </w:p>
    <w:p w14:paraId="6FFB600C" w14:textId="57177163" w:rsidR="00A94F4D" w:rsidRDefault="007D606C">
      <w:pPr>
        <w:pStyle w:val="Heading1"/>
      </w:pPr>
      <w:bookmarkStart w:id="16" w:name="_Toc241358925"/>
      <w:r>
        <w:t>8</w:t>
      </w:r>
      <w:r w:rsidR="00845BB4">
        <w:t>. Key Risks and Mitigation</w:t>
      </w:r>
      <w:bookmarkEnd w:id="16"/>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2276"/>
        <w:gridCol w:w="2738"/>
        <w:gridCol w:w="4011"/>
      </w:tblGrid>
      <w:tr w:rsidR="00A94F4D" w14:paraId="229B82A5"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0A020" w14:textId="77777777" w:rsidR="00A94F4D" w:rsidRDefault="00845BB4">
            <w:pPr>
              <w:jc w:val="center"/>
            </w:pPr>
            <w:r>
              <w:rPr>
                <w:b/>
                <w:bCs/>
              </w:rPr>
              <w:t>Risk</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BB787" w14:textId="77777777" w:rsidR="00A94F4D" w:rsidRDefault="00845BB4">
            <w:pPr>
              <w:jc w:val="center"/>
            </w:pPr>
            <w:r>
              <w:rPr>
                <w:b/>
                <w:bCs/>
              </w:rPr>
              <w:t>Potential impact</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C8FF6" w14:textId="77777777" w:rsidR="00A94F4D" w:rsidRDefault="00845BB4">
            <w:pPr>
              <w:jc w:val="center"/>
            </w:pPr>
            <w:r>
              <w:rPr>
                <w:b/>
                <w:bCs/>
              </w:rPr>
              <w:t>Mitigation</w:t>
            </w:r>
          </w:p>
        </w:tc>
      </w:tr>
      <w:tr w:rsidR="00A94F4D" w14:paraId="30496424"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FC936" w14:textId="77777777" w:rsidR="00A94F4D" w:rsidRDefault="00845BB4">
            <w:r>
              <w:t>EV availability</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6EB39" w14:textId="77777777" w:rsidR="00A94F4D" w:rsidRDefault="00845BB4">
            <w:r>
              <w:t>Insufficient vehicles</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A8B94" w14:textId="77777777" w:rsidR="00A94F4D" w:rsidRDefault="00845BB4">
            <w:r>
              <w:t>Start with a controlled pilot</w:t>
            </w:r>
          </w:p>
        </w:tc>
      </w:tr>
      <w:tr w:rsidR="00A94F4D" w14:paraId="61609280" w14:textId="77777777">
        <w:trPr>
          <w:trHeight w:val="78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37579" w14:textId="77777777" w:rsidR="00A94F4D" w:rsidRDefault="00845BB4">
            <w:r>
              <w:t>Charging constraints</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E65DE" w14:textId="77777777" w:rsidR="00A94F4D" w:rsidRDefault="00845BB4">
            <w:r>
              <w:t>Journey disruption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6D75C" w14:textId="77777777" w:rsidR="00A94F4D" w:rsidRDefault="00845BB4">
            <w:r>
              <w:t>Select routes near suitable charging facilities</w:t>
            </w:r>
          </w:p>
        </w:tc>
      </w:tr>
      <w:tr w:rsidR="00A94F4D" w14:paraId="07E6922E" w14:textId="77777777">
        <w:trPr>
          <w:trHeight w:val="78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12D8A" w14:textId="77777777" w:rsidR="00A94F4D" w:rsidRDefault="00845BB4">
            <w:r>
              <w:t>Low employee adoption</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CE1CB" w14:textId="77777777" w:rsidR="00A94F4D" w:rsidRDefault="00845BB4">
            <w:r>
              <w:t>Low vehicle utilisation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F20B5" w14:textId="77777777" w:rsidR="00A94F4D" w:rsidRDefault="00845BB4">
            <w:r>
              <w:t>Gather employee feedback and optimise routes</w:t>
            </w:r>
          </w:p>
        </w:tc>
      </w:tr>
      <w:tr w:rsidR="00A94F4D" w14:paraId="0A309244"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29AB2" w14:textId="77777777" w:rsidR="00A94F4D" w:rsidRDefault="00845BB4">
            <w:r>
              <w:lastRenderedPageBreak/>
              <w:t>Route complexity</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56A0B" w14:textId="77777777" w:rsidR="00A94F4D" w:rsidRDefault="00845BB4">
            <w:r>
              <w:t>Longer journeys</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1F77F" w14:textId="77777777" w:rsidR="00A94F4D" w:rsidRDefault="00845BB4">
            <w:r>
              <w:t>Apply digital route optimisation</w:t>
            </w:r>
          </w:p>
        </w:tc>
      </w:tr>
      <w:tr w:rsidR="00A94F4D" w14:paraId="5994BF08"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7E6FD" w14:textId="77777777" w:rsidR="00A94F4D" w:rsidRDefault="00845BB4">
            <w:r>
              <w:t>High operating costs</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538CD" w14:textId="77777777" w:rsidR="00A94F4D" w:rsidRDefault="00845BB4">
            <w:r>
              <w:t>Reduced profitability</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0CF7D" w14:textId="77777777" w:rsidR="00A94F4D" w:rsidRDefault="00845BB4">
            <w:r>
              <w:t>Monitor cost per passenger and route</w:t>
            </w:r>
          </w:p>
        </w:tc>
      </w:tr>
      <w:tr w:rsidR="00A94F4D" w14:paraId="18161090" w14:textId="77777777">
        <w:trPr>
          <w:trHeight w:val="78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180D4" w14:textId="77777777" w:rsidR="00A94F4D" w:rsidRDefault="00845BB4">
            <w:r>
              <w:t>Competition</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82693" w14:textId="77777777" w:rsidR="00A94F4D" w:rsidRDefault="00845BB4">
            <w:r>
              <w:t>Difficulty acquiring customers</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C9BE9" w14:textId="77777777" w:rsidR="00A94F4D" w:rsidRDefault="00845BB4">
            <w:r>
              <w:t>Differentiate the corporate proposition</w:t>
            </w:r>
          </w:p>
        </w:tc>
      </w:tr>
      <w:tr w:rsidR="00A94F4D" w14:paraId="77304B8A"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632C4" w14:textId="77777777" w:rsidR="00A94F4D" w:rsidRDefault="00845BB4">
            <w:r>
              <w:t>Regulatory changes</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64380" w14:textId="77777777" w:rsidR="00A94F4D" w:rsidRDefault="00845BB4">
            <w:r>
              <w:t>Operating uncertainty</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8451D" w14:textId="77777777" w:rsidR="00A94F4D" w:rsidRDefault="00845BB4">
            <w:r>
              <w:t>Maintain regulatory monitoring</w:t>
            </w:r>
          </w:p>
        </w:tc>
      </w:tr>
      <w:tr w:rsidR="00A94F4D" w14:paraId="36990D2F" w14:textId="77777777">
        <w:trPr>
          <w:trHeight w:val="515"/>
        </w:trPr>
        <w:tc>
          <w:tcPr>
            <w:tcW w:w="2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EDD74" w14:textId="77777777" w:rsidR="00A94F4D" w:rsidRDefault="00845BB4">
            <w:r>
              <w:t>Skills shortages</w:t>
            </w:r>
          </w:p>
        </w:tc>
        <w:tc>
          <w:tcPr>
            <w:tcW w:w="27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26968" w14:textId="77777777" w:rsidR="00A94F4D" w:rsidRDefault="00845BB4">
            <w:r>
              <w:t>Service-quality problems</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29272" w14:textId="77777777" w:rsidR="00A94F4D" w:rsidRDefault="00845BB4">
            <w:r>
              <w:t>Provide EV and technology training</w:t>
            </w:r>
          </w:p>
        </w:tc>
      </w:tr>
    </w:tbl>
    <w:p w14:paraId="289BA1E3" w14:textId="77777777" w:rsidR="00A94F4D" w:rsidRDefault="00845BB4">
      <w:pPr>
        <w:jc w:val="center"/>
        <w:rPr>
          <w:b/>
          <w:bCs/>
        </w:rPr>
      </w:pPr>
      <w:r>
        <w:rPr>
          <w:b/>
          <w:bCs/>
        </w:rPr>
        <w:t>Table 2: Key Ola GreenRoute Risks and Proposed Mitigation</w:t>
      </w:r>
    </w:p>
    <w:p w14:paraId="759E44D3" w14:textId="77777777" w:rsidR="00A94F4D" w:rsidRPr="007D606C" w:rsidRDefault="00845BB4">
      <w:pPr>
        <w:rPr>
          <w:rFonts w:ascii="Arial" w:hAnsi="Arial" w:cs="Arial"/>
        </w:rPr>
      </w:pPr>
      <w:r w:rsidRPr="007D606C">
        <w:rPr>
          <w:rFonts w:ascii="Arial" w:hAnsi="Arial" w:cs="Arial"/>
        </w:rPr>
        <w:t>Rani et al. (2025) has proven the significance of skill development in the Indian automobile sector. Therefore, the capability of the workforce is not just an administrative staffing matter, but an important feature that needs to be considered as an implementation requirement.</w:t>
      </w:r>
    </w:p>
    <w:p w14:paraId="53C337CE" w14:textId="77777777" w:rsidR="00A94F4D" w:rsidRDefault="00A94F4D"/>
    <w:p w14:paraId="0340BC12" w14:textId="0C25F0E7" w:rsidR="00A94F4D" w:rsidRDefault="007D606C">
      <w:pPr>
        <w:pStyle w:val="Heading1"/>
      </w:pPr>
      <w:bookmarkStart w:id="17" w:name="_Toc241358926"/>
      <w:r>
        <w:t>9</w:t>
      </w:r>
      <w:r w:rsidR="00845BB4">
        <w:t>. Proposed Timeline and Expected Outcomes</w:t>
      </w:r>
      <w:bookmarkEnd w:id="17"/>
    </w:p>
    <w:tbl>
      <w:tblPr>
        <w:tblStyle w:val="a4"/>
        <w:tblW w:w="0" w:type="auto"/>
        <w:jc w:val="center"/>
        <w:tblBorders>
          <w:top w:val="nil"/>
          <w:left w:val="nil"/>
          <w:bottom w:val="nil"/>
          <w:right w:val="nil"/>
          <w:insideH w:val="nil"/>
          <w:insideV w:val="nil"/>
        </w:tblBorders>
        <w:tblLook w:val="0600" w:firstRow="0" w:lastRow="0" w:firstColumn="0" w:lastColumn="0" w:noHBand="1" w:noVBand="1"/>
      </w:tblPr>
      <w:tblGrid>
        <w:gridCol w:w="780"/>
        <w:gridCol w:w="515"/>
        <w:gridCol w:w="515"/>
        <w:gridCol w:w="514"/>
        <w:gridCol w:w="514"/>
        <w:gridCol w:w="514"/>
        <w:gridCol w:w="514"/>
        <w:gridCol w:w="514"/>
        <w:gridCol w:w="514"/>
        <w:gridCol w:w="514"/>
        <w:gridCol w:w="514"/>
        <w:gridCol w:w="514"/>
        <w:gridCol w:w="514"/>
        <w:gridCol w:w="514"/>
        <w:gridCol w:w="514"/>
        <w:gridCol w:w="514"/>
        <w:gridCol w:w="514"/>
      </w:tblGrid>
      <w:tr w:rsidR="00E32090" w14:paraId="3E624B90" w14:textId="706B76F0"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9AC76" w14:textId="77777777" w:rsidR="00E32090" w:rsidRDefault="00E32090">
            <w:pPr>
              <w:jc w:val="center"/>
            </w:pPr>
            <w:r>
              <w:rPr>
                <w:b/>
                <w:bCs/>
              </w:rPr>
              <w:t>Activity</w:t>
            </w:r>
          </w:p>
        </w:tc>
        <w:tc>
          <w:tcPr>
            <w:tcW w:w="0" w:type="auto"/>
            <w:tcBorders>
              <w:top w:val="single" w:sz="8" w:space="0" w:color="000000"/>
              <w:left w:val="single" w:sz="8" w:space="0" w:color="000000"/>
              <w:bottom w:val="single" w:sz="8" w:space="0" w:color="000000"/>
              <w:right w:val="single" w:sz="8" w:space="0" w:color="000000"/>
            </w:tcBorders>
          </w:tcPr>
          <w:p w14:paraId="18F21C42" w14:textId="731489B2" w:rsidR="00E32090" w:rsidRDefault="00E32090">
            <w:pPr>
              <w:jc w:val="center"/>
              <w:rPr>
                <w:b/>
                <w:bCs/>
              </w:rPr>
            </w:pPr>
            <w:r>
              <w:rPr>
                <w:b/>
                <w:bCs/>
              </w:rPr>
              <w:t>Week 1</w:t>
            </w:r>
          </w:p>
        </w:tc>
        <w:tc>
          <w:tcPr>
            <w:tcW w:w="0" w:type="auto"/>
            <w:tcBorders>
              <w:top w:val="single" w:sz="8" w:space="0" w:color="000000"/>
              <w:left w:val="single" w:sz="8" w:space="0" w:color="000000"/>
              <w:bottom w:val="single" w:sz="8" w:space="0" w:color="000000"/>
              <w:right w:val="single" w:sz="8" w:space="0" w:color="000000"/>
            </w:tcBorders>
          </w:tcPr>
          <w:p w14:paraId="1B32BF09" w14:textId="624E361D" w:rsidR="00E32090" w:rsidRDefault="00E32090">
            <w:pPr>
              <w:jc w:val="center"/>
              <w:rPr>
                <w:b/>
                <w:bCs/>
              </w:rPr>
            </w:pPr>
            <w:r>
              <w:rPr>
                <w:b/>
                <w:bCs/>
              </w:rPr>
              <w:t>Week 2</w:t>
            </w:r>
          </w:p>
        </w:tc>
        <w:tc>
          <w:tcPr>
            <w:tcW w:w="0" w:type="auto"/>
            <w:tcBorders>
              <w:top w:val="single" w:sz="8" w:space="0" w:color="000000"/>
              <w:left w:val="single" w:sz="8" w:space="0" w:color="000000"/>
              <w:bottom w:val="single" w:sz="8" w:space="0" w:color="000000"/>
              <w:right w:val="single" w:sz="8" w:space="0" w:color="000000"/>
            </w:tcBorders>
          </w:tcPr>
          <w:p w14:paraId="04D78973" w14:textId="25C06E25" w:rsidR="00E32090" w:rsidRDefault="00E32090">
            <w:pPr>
              <w:jc w:val="center"/>
              <w:rPr>
                <w:b/>
                <w:bCs/>
              </w:rPr>
            </w:pPr>
            <w:r>
              <w:rPr>
                <w:b/>
                <w:bCs/>
              </w:rPr>
              <w:t>Week 3</w:t>
            </w:r>
          </w:p>
        </w:tc>
        <w:tc>
          <w:tcPr>
            <w:tcW w:w="0" w:type="auto"/>
            <w:tcBorders>
              <w:top w:val="single" w:sz="8" w:space="0" w:color="000000"/>
              <w:left w:val="single" w:sz="8" w:space="0" w:color="000000"/>
              <w:bottom w:val="single" w:sz="8" w:space="0" w:color="000000"/>
              <w:right w:val="single" w:sz="8" w:space="0" w:color="000000"/>
            </w:tcBorders>
          </w:tcPr>
          <w:p w14:paraId="52F58B78" w14:textId="3181DF83" w:rsidR="00E32090" w:rsidRDefault="00E32090">
            <w:pPr>
              <w:jc w:val="center"/>
              <w:rPr>
                <w:b/>
                <w:bCs/>
              </w:rPr>
            </w:pPr>
            <w:r>
              <w:rPr>
                <w:b/>
                <w:bCs/>
              </w:rPr>
              <w:t>Week 4</w:t>
            </w:r>
          </w:p>
        </w:tc>
        <w:tc>
          <w:tcPr>
            <w:tcW w:w="0" w:type="auto"/>
            <w:tcBorders>
              <w:top w:val="single" w:sz="8" w:space="0" w:color="000000"/>
              <w:left w:val="single" w:sz="8" w:space="0" w:color="000000"/>
              <w:bottom w:val="single" w:sz="8" w:space="0" w:color="000000"/>
              <w:right w:val="single" w:sz="8" w:space="0" w:color="000000"/>
            </w:tcBorders>
          </w:tcPr>
          <w:p w14:paraId="1FE43B2F" w14:textId="67185148" w:rsidR="00E32090" w:rsidRDefault="00E32090">
            <w:pPr>
              <w:jc w:val="center"/>
              <w:rPr>
                <w:b/>
                <w:bCs/>
              </w:rPr>
            </w:pPr>
            <w:r>
              <w:rPr>
                <w:b/>
                <w:bCs/>
              </w:rPr>
              <w:t>Week 5</w:t>
            </w:r>
          </w:p>
        </w:tc>
        <w:tc>
          <w:tcPr>
            <w:tcW w:w="0" w:type="auto"/>
            <w:tcBorders>
              <w:top w:val="single" w:sz="8" w:space="0" w:color="000000"/>
              <w:left w:val="single" w:sz="8" w:space="0" w:color="000000"/>
              <w:bottom w:val="single" w:sz="8" w:space="0" w:color="000000"/>
              <w:right w:val="single" w:sz="8" w:space="0" w:color="000000"/>
            </w:tcBorders>
          </w:tcPr>
          <w:p w14:paraId="11BF4D3F" w14:textId="0197A10B" w:rsidR="00E32090" w:rsidRDefault="00E32090">
            <w:pPr>
              <w:jc w:val="center"/>
              <w:rPr>
                <w:b/>
                <w:bCs/>
              </w:rPr>
            </w:pPr>
            <w:r>
              <w:rPr>
                <w:b/>
                <w:bCs/>
              </w:rPr>
              <w:t>Week 6</w:t>
            </w:r>
          </w:p>
        </w:tc>
        <w:tc>
          <w:tcPr>
            <w:tcW w:w="0" w:type="auto"/>
            <w:tcBorders>
              <w:top w:val="single" w:sz="8" w:space="0" w:color="000000"/>
              <w:left w:val="single" w:sz="8" w:space="0" w:color="000000"/>
              <w:bottom w:val="single" w:sz="8" w:space="0" w:color="000000"/>
              <w:right w:val="single" w:sz="8" w:space="0" w:color="000000"/>
            </w:tcBorders>
          </w:tcPr>
          <w:p w14:paraId="73033530" w14:textId="3EA23A03" w:rsidR="00E32090" w:rsidRDefault="00E32090">
            <w:pPr>
              <w:jc w:val="center"/>
              <w:rPr>
                <w:b/>
                <w:bCs/>
              </w:rPr>
            </w:pPr>
            <w:r>
              <w:rPr>
                <w:b/>
                <w:bCs/>
              </w:rPr>
              <w:t>Week 7</w:t>
            </w:r>
          </w:p>
        </w:tc>
        <w:tc>
          <w:tcPr>
            <w:tcW w:w="0" w:type="auto"/>
            <w:tcBorders>
              <w:top w:val="single" w:sz="8" w:space="0" w:color="000000"/>
              <w:left w:val="single" w:sz="8" w:space="0" w:color="000000"/>
              <w:bottom w:val="single" w:sz="8" w:space="0" w:color="000000"/>
              <w:right w:val="single" w:sz="8" w:space="0" w:color="000000"/>
            </w:tcBorders>
          </w:tcPr>
          <w:p w14:paraId="5D1C6154" w14:textId="5B146DA2" w:rsidR="00E32090" w:rsidRDefault="00E32090">
            <w:pPr>
              <w:jc w:val="center"/>
              <w:rPr>
                <w:b/>
                <w:bCs/>
              </w:rPr>
            </w:pPr>
            <w:r>
              <w:rPr>
                <w:b/>
                <w:bCs/>
              </w:rPr>
              <w:t>Week 8</w:t>
            </w:r>
          </w:p>
        </w:tc>
        <w:tc>
          <w:tcPr>
            <w:tcW w:w="0" w:type="auto"/>
            <w:tcBorders>
              <w:top w:val="single" w:sz="8" w:space="0" w:color="000000"/>
              <w:left w:val="single" w:sz="8" w:space="0" w:color="000000"/>
              <w:bottom w:val="single" w:sz="8" w:space="0" w:color="000000"/>
              <w:right w:val="single" w:sz="8" w:space="0" w:color="000000"/>
            </w:tcBorders>
          </w:tcPr>
          <w:p w14:paraId="24C91308" w14:textId="328CCBD4" w:rsidR="00E32090" w:rsidRDefault="00E32090">
            <w:pPr>
              <w:jc w:val="center"/>
              <w:rPr>
                <w:b/>
                <w:bCs/>
              </w:rPr>
            </w:pPr>
            <w:r>
              <w:rPr>
                <w:b/>
                <w:bCs/>
              </w:rPr>
              <w:t>Week 9</w:t>
            </w:r>
          </w:p>
        </w:tc>
        <w:tc>
          <w:tcPr>
            <w:tcW w:w="0" w:type="auto"/>
            <w:tcBorders>
              <w:top w:val="single" w:sz="8" w:space="0" w:color="000000"/>
              <w:left w:val="single" w:sz="8" w:space="0" w:color="000000"/>
              <w:bottom w:val="single" w:sz="8" w:space="0" w:color="000000"/>
              <w:right w:val="single" w:sz="8" w:space="0" w:color="000000"/>
            </w:tcBorders>
          </w:tcPr>
          <w:p w14:paraId="50EBD014" w14:textId="0945FEB5" w:rsidR="00E32090" w:rsidRDefault="00E32090">
            <w:pPr>
              <w:jc w:val="center"/>
              <w:rPr>
                <w:b/>
                <w:bCs/>
              </w:rPr>
            </w:pPr>
            <w:r>
              <w:rPr>
                <w:b/>
                <w:bCs/>
              </w:rPr>
              <w:t>Week 10</w:t>
            </w:r>
          </w:p>
        </w:tc>
        <w:tc>
          <w:tcPr>
            <w:tcW w:w="0" w:type="auto"/>
            <w:tcBorders>
              <w:top w:val="single" w:sz="8" w:space="0" w:color="000000"/>
              <w:left w:val="single" w:sz="8" w:space="0" w:color="000000"/>
              <w:bottom w:val="single" w:sz="8" w:space="0" w:color="000000"/>
              <w:right w:val="single" w:sz="8" w:space="0" w:color="000000"/>
            </w:tcBorders>
          </w:tcPr>
          <w:p w14:paraId="019A759F" w14:textId="562A3EEF" w:rsidR="00E32090" w:rsidRDefault="00E32090">
            <w:pPr>
              <w:jc w:val="center"/>
              <w:rPr>
                <w:b/>
                <w:bCs/>
              </w:rPr>
            </w:pPr>
            <w:r>
              <w:rPr>
                <w:b/>
                <w:bCs/>
              </w:rPr>
              <w:t>Week 11</w:t>
            </w:r>
          </w:p>
        </w:tc>
        <w:tc>
          <w:tcPr>
            <w:tcW w:w="0" w:type="auto"/>
            <w:tcBorders>
              <w:top w:val="single" w:sz="8" w:space="0" w:color="000000"/>
              <w:left w:val="single" w:sz="8" w:space="0" w:color="000000"/>
              <w:bottom w:val="single" w:sz="8" w:space="0" w:color="000000"/>
              <w:right w:val="single" w:sz="8" w:space="0" w:color="000000"/>
            </w:tcBorders>
          </w:tcPr>
          <w:p w14:paraId="0FD2C21B" w14:textId="64B708FC" w:rsidR="00E32090" w:rsidRDefault="00E32090">
            <w:pPr>
              <w:jc w:val="center"/>
              <w:rPr>
                <w:b/>
                <w:bCs/>
              </w:rPr>
            </w:pPr>
            <w:r>
              <w:rPr>
                <w:b/>
                <w:bCs/>
              </w:rPr>
              <w:t>Week 12</w:t>
            </w:r>
          </w:p>
        </w:tc>
        <w:tc>
          <w:tcPr>
            <w:tcW w:w="0" w:type="auto"/>
            <w:tcBorders>
              <w:top w:val="single" w:sz="8" w:space="0" w:color="000000"/>
              <w:left w:val="single" w:sz="8" w:space="0" w:color="000000"/>
              <w:bottom w:val="single" w:sz="8" w:space="0" w:color="000000"/>
              <w:right w:val="single" w:sz="8" w:space="0" w:color="000000"/>
            </w:tcBorders>
          </w:tcPr>
          <w:p w14:paraId="236D462D" w14:textId="3D6A3ED4" w:rsidR="00E32090" w:rsidRDefault="00E32090">
            <w:pPr>
              <w:jc w:val="center"/>
              <w:rPr>
                <w:b/>
                <w:bCs/>
              </w:rPr>
            </w:pPr>
            <w:r>
              <w:rPr>
                <w:b/>
                <w:bCs/>
              </w:rPr>
              <w:t>Week 13</w:t>
            </w:r>
          </w:p>
        </w:tc>
        <w:tc>
          <w:tcPr>
            <w:tcW w:w="0" w:type="auto"/>
            <w:tcBorders>
              <w:top w:val="single" w:sz="8" w:space="0" w:color="000000"/>
              <w:left w:val="single" w:sz="8" w:space="0" w:color="000000"/>
              <w:bottom w:val="single" w:sz="8" w:space="0" w:color="000000"/>
              <w:right w:val="single" w:sz="8" w:space="0" w:color="000000"/>
            </w:tcBorders>
          </w:tcPr>
          <w:p w14:paraId="3229E0F3" w14:textId="1F738A48" w:rsidR="00E32090" w:rsidRDefault="00E32090">
            <w:pPr>
              <w:jc w:val="center"/>
              <w:rPr>
                <w:b/>
                <w:bCs/>
              </w:rPr>
            </w:pPr>
            <w:r>
              <w:rPr>
                <w:b/>
                <w:bCs/>
              </w:rPr>
              <w:t>Week 14</w:t>
            </w:r>
          </w:p>
        </w:tc>
        <w:tc>
          <w:tcPr>
            <w:tcW w:w="0" w:type="auto"/>
            <w:tcBorders>
              <w:top w:val="single" w:sz="8" w:space="0" w:color="000000"/>
              <w:left w:val="single" w:sz="8" w:space="0" w:color="000000"/>
              <w:bottom w:val="single" w:sz="8" w:space="0" w:color="000000"/>
              <w:right w:val="single" w:sz="8" w:space="0" w:color="000000"/>
            </w:tcBorders>
          </w:tcPr>
          <w:p w14:paraId="0BA79163" w14:textId="30F36012" w:rsidR="00E32090" w:rsidRDefault="00E32090">
            <w:pPr>
              <w:jc w:val="center"/>
              <w:rPr>
                <w:b/>
                <w:bCs/>
              </w:rPr>
            </w:pPr>
            <w:r>
              <w:rPr>
                <w:b/>
                <w:bCs/>
              </w:rPr>
              <w:t>Week 15</w:t>
            </w:r>
          </w:p>
        </w:tc>
        <w:tc>
          <w:tcPr>
            <w:tcW w:w="0" w:type="auto"/>
            <w:tcBorders>
              <w:top w:val="single" w:sz="8" w:space="0" w:color="000000"/>
              <w:left w:val="single" w:sz="8" w:space="0" w:color="000000"/>
              <w:bottom w:val="single" w:sz="8" w:space="0" w:color="000000"/>
              <w:right w:val="single" w:sz="8" w:space="0" w:color="000000"/>
            </w:tcBorders>
          </w:tcPr>
          <w:p w14:paraId="65BEBCF6" w14:textId="636CAC56" w:rsidR="00E32090" w:rsidRDefault="00E32090">
            <w:pPr>
              <w:jc w:val="center"/>
              <w:rPr>
                <w:b/>
                <w:bCs/>
              </w:rPr>
            </w:pPr>
            <w:r>
              <w:rPr>
                <w:b/>
                <w:bCs/>
              </w:rPr>
              <w:t>Week 16</w:t>
            </w:r>
          </w:p>
        </w:tc>
      </w:tr>
      <w:tr w:rsidR="00E32090" w14:paraId="76C181DB" w14:textId="6164193C"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A63B1" w14:textId="77777777" w:rsidR="00E32090" w:rsidRDefault="00E32090">
            <w:r>
              <w:t>Topic refinement</w:t>
            </w:r>
          </w:p>
        </w:tc>
        <w:tc>
          <w:tcPr>
            <w:tcW w:w="0" w:type="auto"/>
            <w:tcBorders>
              <w:top w:val="single" w:sz="8" w:space="0" w:color="000000"/>
              <w:left w:val="single" w:sz="8" w:space="0" w:color="000000"/>
              <w:bottom w:val="single" w:sz="8" w:space="0" w:color="000000"/>
              <w:right w:val="single" w:sz="8" w:space="0" w:color="000000"/>
            </w:tcBorders>
            <w:shd w:val="clear" w:color="auto" w:fill="C2D69B" w:themeFill="accent3" w:themeFillTint="99"/>
          </w:tcPr>
          <w:p w14:paraId="0B542D5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2D69B" w:themeFill="accent3" w:themeFillTint="99"/>
          </w:tcPr>
          <w:p w14:paraId="375C17E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30CF23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860979C" w14:textId="5BC0B7B3"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CA016E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49B39F8"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20B8C5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014277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9BE15D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C57BE7F"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D33B5A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83D25C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CDE8D7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0E70AF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A9B963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5828F3E7" w14:textId="77777777" w:rsidR="00E32090" w:rsidRDefault="00E32090"/>
        </w:tc>
      </w:tr>
      <w:tr w:rsidR="00E32090" w14:paraId="3FAEC24E" w14:textId="3621CE58"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BB43B1" w14:textId="77777777" w:rsidR="00E32090" w:rsidRDefault="00E32090">
            <w:r>
              <w:t>Literature and market research</w:t>
            </w:r>
          </w:p>
        </w:tc>
        <w:tc>
          <w:tcPr>
            <w:tcW w:w="0" w:type="auto"/>
            <w:tcBorders>
              <w:top w:val="single" w:sz="8" w:space="0" w:color="000000"/>
              <w:left w:val="single" w:sz="8" w:space="0" w:color="000000"/>
              <w:bottom w:val="single" w:sz="8" w:space="0" w:color="000000"/>
              <w:right w:val="single" w:sz="8" w:space="0" w:color="000000"/>
            </w:tcBorders>
          </w:tcPr>
          <w:p w14:paraId="5AB096E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548DD4" w:themeFill="text2" w:themeFillTint="99"/>
          </w:tcPr>
          <w:p w14:paraId="4398F9B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548DD4" w:themeFill="text2" w:themeFillTint="99"/>
          </w:tcPr>
          <w:p w14:paraId="5EB02F3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548DD4" w:themeFill="text2" w:themeFillTint="99"/>
          </w:tcPr>
          <w:p w14:paraId="024B8A61" w14:textId="02B451BE"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548DD4" w:themeFill="text2" w:themeFillTint="99"/>
          </w:tcPr>
          <w:p w14:paraId="1F8127A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8D9E24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9CA2CF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C2AABA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2894BA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8278B3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014EFD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84D7C7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FABFE4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445B91D"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1DB5B8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9F5CF40" w14:textId="77777777" w:rsidR="00E32090" w:rsidRDefault="00E32090"/>
        </w:tc>
      </w:tr>
      <w:tr w:rsidR="00E32090" w14:paraId="5C7A7D4F" w14:textId="761C9673"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8D559" w14:textId="77777777" w:rsidR="00E32090" w:rsidRDefault="00E32090">
            <w:r>
              <w:lastRenderedPageBreak/>
              <w:t>Market and competitor analysis</w:t>
            </w:r>
          </w:p>
        </w:tc>
        <w:tc>
          <w:tcPr>
            <w:tcW w:w="0" w:type="auto"/>
            <w:tcBorders>
              <w:top w:val="single" w:sz="8" w:space="0" w:color="000000"/>
              <w:left w:val="single" w:sz="8" w:space="0" w:color="000000"/>
              <w:bottom w:val="single" w:sz="8" w:space="0" w:color="000000"/>
              <w:right w:val="single" w:sz="8" w:space="0" w:color="000000"/>
            </w:tcBorders>
          </w:tcPr>
          <w:p w14:paraId="7EB7AAB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71D190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25606C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14:paraId="09346C7E" w14:textId="280FBC4D"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14:paraId="57A0A11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14:paraId="48512A6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14:paraId="6CD38D1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AD8EB5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58C967DD"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1A26E9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F79608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57953C8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33FC08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FC947A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7CE478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1C4AF91" w14:textId="77777777" w:rsidR="00E32090" w:rsidRDefault="00E32090"/>
        </w:tc>
      </w:tr>
      <w:tr w:rsidR="00E32090" w14:paraId="197AE467" w14:textId="319015D5"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CD933" w14:textId="77777777" w:rsidR="00E32090" w:rsidRDefault="00E32090">
            <w:r>
              <w:t>Business Model Canvas</w:t>
            </w:r>
          </w:p>
        </w:tc>
        <w:tc>
          <w:tcPr>
            <w:tcW w:w="0" w:type="auto"/>
            <w:tcBorders>
              <w:top w:val="single" w:sz="8" w:space="0" w:color="000000"/>
              <w:left w:val="single" w:sz="8" w:space="0" w:color="000000"/>
              <w:bottom w:val="single" w:sz="8" w:space="0" w:color="000000"/>
              <w:right w:val="single" w:sz="8" w:space="0" w:color="000000"/>
            </w:tcBorders>
          </w:tcPr>
          <w:p w14:paraId="77DB263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D55535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D6AD7C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72ADA94" w14:textId="194E9C9E"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F6493D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4088BDB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58E376DD"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2953E48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27C61A4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5E9D34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65B365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8CA65CD"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7B036B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E303B7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B65F90F"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FA26324" w14:textId="77777777" w:rsidR="00E32090" w:rsidRDefault="00E32090"/>
        </w:tc>
      </w:tr>
      <w:tr w:rsidR="00E32090" w14:paraId="0FDCE46B" w14:textId="13C26952"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A0EF1" w14:textId="77777777" w:rsidR="00E32090" w:rsidRDefault="00E32090">
            <w:r>
              <w:t>Five business models</w:t>
            </w:r>
          </w:p>
        </w:tc>
        <w:tc>
          <w:tcPr>
            <w:tcW w:w="0" w:type="auto"/>
            <w:tcBorders>
              <w:top w:val="single" w:sz="8" w:space="0" w:color="000000"/>
              <w:left w:val="single" w:sz="8" w:space="0" w:color="000000"/>
              <w:bottom w:val="single" w:sz="8" w:space="0" w:color="000000"/>
              <w:right w:val="single" w:sz="8" w:space="0" w:color="000000"/>
            </w:tcBorders>
          </w:tcPr>
          <w:p w14:paraId="68B44C4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7DFB6C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C72FE5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2AA0A8D" w14:textId="46E56083"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46CB70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9B5912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58E85A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14:paraId="27AADEA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14:paraId="653A682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14:paraId="0CB9DC8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14:paraId="514D403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Pr>
          <w:p w14:paraId="2AC31D0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Pr>
          <w:p w14:paraId="1A3D1DC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Pr>
          <w:p w14:paraId="35AC811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Pr>
          <w:p w14:paraId="35E1E7E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Pr>
          <w:p w14:paraId="244F3167" w14:textId="77777777" w:rsidR="00E32090" w:rsidRDefault="00E32090"/>
        </w:tc>
      </w:tr>
      <w:tr w:rsidR="00E32090" w14:paraId="1070ACE2" w14:textId="0D270241"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5FEC9" w14:textId="77777777" w:rsidR="00E32090" w:rsidRDefault="00E32090">
            <w:r>
              <w:t>Marketing and operations</w:t>
            </w:r>
          </w:p>
        </w:tc>
        <w:tc>
          <w:tcPr>
            <w:tcW w:w="0" w:type="auto"/>
            <w:tcBorders>
              <w:top w:val="single" w:sz="8" w:space="0" w:color="000000"/>
              <w:left w:val="single" w:sz="8" w:space="0" w:color="000000"/>
              <w:bottom w:val="single" w:sz="8" w:space="0" w:color="000000"/>
              <w:right w:val="single" w:sz="8" w:space="0" w:color="000000"/>
            </w:tcBorders>
          </w:tcPr>
          <w:p w14:paraId="663244F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18C96B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97FB6C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831449F" w14:textId="3293ABCA"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8A64F4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F3BC7B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36A3D9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DC93F2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582EA36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D6E3BC" w:themeFill="accent3" w:themeFillTint="66"/>
          </w:tcPr>
          <w:p w14:paraId="104056B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D6E3BC" w:themeFill="accent3" w:themeFillTint="66"/>
          </w:tcPr>
          <w:p w14:paraId="0F4B038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D6E3BC" w:themeFill="accent3" w:themeFillTint="66"/>
          </w:tcPr>
          <w:p w14:paraId="5F5882D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1A16D9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8F7209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BAAF53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C8E362E" w14:textId="77777777" w:rsidR="00E32090" w:rsidRDefault="00E32090"/>
        </w:tc>
      </w:tr>
      <w:tr w:rsidR="00E32090" w14:paraId="2A2733B7" w14:textId="66C14FE3"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CEA28" w14:textId="77777777" w:rsidR="00E32090" w:rsidRDefault="00E32090">
            <w:r>
              <w:t>Financial assessment</w:t>
            </w:r>
          </w:p>
        </w:tc>
        <w:tc>
          <w:tcPr>
            <w:tcW w:w="0" w:type="auto"/>
            <w:tcBorders>
              <w:top w:val="single" w:sz="8" w:space="0" w:color="000000"/>
              <w:left w:val="single" w:sz="8" w:space="0" w:color="000000"/>
              <w:bottom w:val="single" w:sz="8" w:space="0" w:color="000000"/>
              <w:right w:val="single" w:sz="8" w:space="0" w:color="000000"/>
            </w:tcBorders>
          </w:tcPr>
          <w:p w14:paraId="568DC197"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748B119"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5ABECD7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579C66D" w14:textId="33942CF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DB2443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AF077D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632E008"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8C953B8"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12CF13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42E54A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072286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Pr>
          <w:p w14:paraId="12F515CF"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Pr>
          <w:p w14:paraId="5F526058"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Pr>
          <w:p w14:paraId="7646E80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93F7EFA"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12294C1" w14:textId="77777777" w:rsidR="00E32090" w:rsidRDefault="00E32090"/>
        </w:tc>
      </w:tr>
      <w:tr w:rsidR="00E32090" w14:paraId="7A476C14" w14:textId="46B1690F"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0068D8" w14:textId="77777777" w:rsidR="00E32090" w:rsidRDefault="00E32090">
            <w:r>
              <w:t xml:space="preserve">Integration and </w:t>
            </w:r>
            <w:r>
              <w:lastRenderedPageBreak/>
              <w:t>reflection</w:t>
            </w:r>
          </w:p>
        </w:tc>
        <w:tc>
          <w:tcPr>
            <w:tcW w:w="0" w:type="auto"/>
            <w:tcBorders>
              <w:top w:val="single" w:sz="8" w:space="0" w:color="000000"/>
              <w:left w:val="single" w:sz="8" w:space="0" w:color="000000"/>
              <w:bottom w:val="single" w:sz="8" w:space="0" w:color="000000"/>
              <w:right w:val="single" w:sz="8" w:space="0" w:color="000000"/>
            </w:tcBorders>
          </w:tcPr>
          <w:p w14:paraId="3EDF76D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DDDF71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75DB61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503BFCF" w14:textId="64DE4A91"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EE6CA5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6EDEF9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10DF26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F189B14"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23FB4A3"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31017F8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185F4E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6B4BF8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F241C9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E5DFEC" w:themeFill="accent4" w:themeFillTint="33"/>
          </w:tcPr>
          <w:p w14:paraId="276AC84B"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E5DFEC" w:themeFill="accent4" w:themeFillTint="33"/>
          </w:tcPr>
          <w:p w14:paraId="4692B87E"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F184017" w14:textId="77777777" w:rsidR="00E32090" w:rsidRDefault="00E32090"/>
        </w:tc>
      </w:tr>
      <w:tr w:rsidR="00E32090" w14:paraId="4F667B5E" w14:textId="005F6B74" w:rsidTr="00E32090">
        <w:trPr>
          <w:trHeight w:val="515"/>
          <w:jc w:val="center"/>
        </w:trPr>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448C2" w14:textId="77777777" w:rsidR="00E32090" w:rsidRDefault="00E32090">
            <w:r>
              <w:t>Editing and submission</w:t>
            </w:r>
          </w:p>
        </w:tc>
        <w:tc>
          <w:tcPr>
            <w:tcW w:w="0" w:type="auto"/>
            <w:tcBorders>
              <w:top w:val="single" w:sz="8" w:space="0" w:color="000000"/>
              <w:left w:val="single" w:sz="8" w:space="0" w:color="000000"/>
              <w:bottom w:val="single" w:sz="8" w:space="0" w:color="000000"/>
              <w:right w:val="single" w:sz="8" w:space="0" w:color="000000"/>
            </w:tcBorders>
          </w:tcPr>
          <w:p w14:paraId="6A7689F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096A8D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ED7DBC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159E622F" w14:textId="111EECFE"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3116DC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EAC801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6ABA0F26"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EE4121F"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1307D11"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C3ACDBD"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6F3C052"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2D556CC5"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413A9530"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7F7A212F"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tcPr>
          <w:p w14:paraId="0B58049C" w14:textId="77777777" w:rsidR="00E32090" w:rsidRDefault="00E32090"/>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Pr>
          <w:p w14:paraId="67AA0459" w14:textId="77777777" w:rsidR="00E32090" w:rsidRDefault="00E32090"/>
        </w:tc>
      </w:tr>
    </w:tbl>
    <w:p w14:paraId="2997B073" w14:textId="77777777" w:rsidR="00A94F4D" w:rsidRDefault="00845BB4">
      <w:pPr>
        <w:jc w:val="center"/>
        <w:rPr>
          <w:b/>
          <w:bCs/>
        </w:rPr>
      </w:pPr>
      <w:r>
        <w:rPr>
          <w:b/>
          <w:bCs/>
        </w:rPr>
        <w:t>Table 3: Proposed Ola GreenRoute BDP Timeline</w:t>
      </w:r>
    </w:p>
    <w:p w14:paraId="3B58E373" w14:textId="77777777" w:rsidR="00A94F4D" w:rsidRPr="007D606C" w:rsidRDefault="00845BB4" w:rsidP="007D606C">
      <w:pPr>
        <w:rPr>
          <w:rFonts w:ascii="Arial" w:hAnsi="Arial" w:cs="Arial"/>
        </w:rPr>
      </w:pPr>
      <w:r w:rsidRPr="007D606C">
        <w:rPr>
          <w:rFonts w:ascii="Arial" w:hAnsi="Arial" w:cs="Arial"/>
        </w:rPr>
        <w:t>The BDP will take roughly 16 weeks to develop, with a structured project plan designed to facilitate progressive research, analysis and development of the GreenRoute proposal. Eight formal meetings for supervision during the module (Weeks 2, 4, 6, 8, 10, 12, 14, 16), to monitor progress, feedback and fine tuning of the proposal. The final BDP aims to assess the commercial and operational feasibility of GreenRoute, as well as the resources, organisational skills, technological needs and operating procedures necessary for implementation. It will also define the criteria to follow for a controlled pilot in the event that wider scale deployment is considered.</w:t>
      </w:r>
    </w:p>
    <w:p w14:paraId="5C1A8B0B" w14:textId="77777777" w:rsidR="00A94F4D" w:rsidRPr="007D606C" w:rsidRDefault="00A94F4D" w:rsidP="007D606C">
      <w:pPr>
        <w:rPr>
          <w:rFonts w:ascii="Arial" w:hAnsi="Arial" w:cs="Arial"/>
        </w:rPr>
      </w:pPr>
    </w:p>
    <w:p w14:paraId="0154FDCA" w14:textId="1D76EF6D" w:rsidR="00A94F4D" w:rsidRPr="007D606C" w:rsidRDefault="00845BB4" w:rsidP="007D606C">
      <w:pPr>
        <w:pStyle w:val="Heading1"/>
        <w:rPr>
          <w:rFonts w:ascii="Arial" w:hAnsi="Arial" w:cs="Arial"/>
        </w:rPr>
      </w:pPr>
      <w:bookmarkStart w:id="18" w:name="_Toc241358927"/>
      <w:r w:rsidRPr="007D606C">
        <w:rPr>
          <w:rFonts w:ascii="Arial" w:hAnsi="Arial" w:cs="Arial"/>
        </w:rPr>
        <w:t>1</w:t>
      </w:r>
      <w:r w:rsidR="007D606C" w:rsidRPr="007D606C">
        <w:rPr>
          <w:rFonts w:ascii="Arial" w:hAnsi="Arial" w:cs="Arial"/>
        </w:rPr>
        <w:t>0</w:t>
      </w:r>
      <w:r w:rsidRPr="007D606C">
        <w:rPr>
          <w:rFonts w:ascii="Arial" w:hAnsi="Arial" w:cs="Arial"/>
        </w:rPr>
        <w:t>. Conclusion</w:t>
      </w:r>
      <w:bookmarkEnd w:id="18"/>
    </w:p>
    <w:p w14:paraId="63EDEA5A" w14:textId="305D06ED" w:rsidR="00A94F4D" w:rsidRPr="007D606C" w:rsidRDefault="00845BB4" w:rsidP="007D606C">
      <w:pPr>
        <w:rPr>
          <w:rFonts w:ascii="Arial" w:hAnsi="Arial" w:cs="Arial"/>
        </w:rPr>
      </w:pPr>
      <w:r w:rsidRPr="007D606C">
        <w:rPr>
          <w:rFonts w:ascii="Arial" w:hAnsi="Arial" w:cs="Arial"/>
        </w:rPr>
        <w:t xml:space="preserve">Ola GreenRoute offers business potential by bringing </w:t>
      </w:r>
      <w:r w:rsidR="00FC1430" w:rsidRPr="007D606C">
        <w:rPr>
          <w:rFonts w:ascii="Arial" w:hAnsi="Arial" w:cs="Arial"/>
        </w:rPr>
        <w:t>digital</w:t>
      </w:r>
      <w:r w:rsidRPr="007D606C">
        <w:rPr>
          <w:rFonts w:ascii="Arial" w:hAnsi="Arial" w:cs="Arial"/>
        </w:rPr>
        <w:t xml:space="preserve"> mobility services together with India's growing EV ecosystem. The concept provides the same service by coordinating shared EV travel for staff who commute to and from work to provide a better view and management of staff vehicles at the organisations. </w:t>
      </w:r>
      <w:r w:rsidR="00FC1430" w:rsidRPr="007D606C">
        <w:rPr>
          <w:rFonts w:ascii="Arial" w:hAnsi="Arial" w:cs="Arial"/>
        </w:rPr>
        <w:t xml:space="preserve">The purpose of this proposal is to reduce the cost of staff commuting, congestion, poor transport/environmental issues as a potential by coordinating employees writing a similar route in shared EV sessions. </w:t>
      </w:r>
      <w:r w:rsidRPr="007D606C">
        <w:rPr>
          <w:rFonts w:ascii="Arial" w:hAnsi="Arial" w:cs="Arial"/>
        </w:rPr>
        <w:t xml:space="preserve">The concept has laid out the main market, the customer, the business model, the operation, the staff and the strategic aspects. Data suggests that there has been significant growth in the EV market in India, while findings from the studies show how customer behaviour, infrastructure, skills of the workforce and the broader economy affect the market. These findings will be built up to the Business Development Proposal describing the Business Model Canvas marketing and sales strategy, operations, human resources, business analysis and </w:t>
      </w:r>
      <w:r w:rsidRPr="007D606C">
        <w:rPr>
          <w:rFonts w:ascii="Arial" w:hAnsi="Arial" w:cs="Arial"/>
        </w:rPr>
        <w:lastRenderedPageBreak/>
        <w:t>financial feasibility and critical reflection. A controlled pilot approach will give a platform for a service evaluation before it is implemented on a wider basis.</w:t>
      </w:r>
      <w:r w:rsidRPr="007D606C">
        <w:rPr>
          <w:rFonts w:ascii="Arial" w:hAnsi="Arial" w:cs="Arial"/>
        </w:rPr>
        <w:br w:type="page"/>
      </w:r>
    </w:p>
    <w:p w14:paraId="39446EB7" w14:textId="77777777" w:rsidR="00A94F4D" w:rsidRDefault="00845BB4">
      <w:pPr>
        <w:pStyle w:val="Heading1"/>
      </w:pPr>
      <w:bookmarkStart w:id="19" w:name="_Toc241358928"/>
      <w:r>
        <w:lastRenderedPageBreak/>
        <w:t>References</w:t>
      </w:r>
      <w:bookmarkEnd w:id="19"/>
    </w:p>
    <w:p w14:paraId="478053C0" w14:textId="77777777" w:rsidR="008577BF" w:rsidRPr="008577BF" w:rsidRDefault="008577BF">
      <w:pPr>
        <w:spacing w:after="240"/>
      </w:pPr>
      <w:r w:rsidRPr="008577BF">
        <w:rPr>
          <w:color w:val="222222"/>
        </w:rPr>
        <w:t xml:space="preserve">Alsoud, M.A., Mohammad, S., Vasudevan, A., Ibrahim, K., Prasad, R.D.P., Mohammad, A.I., Wenchang, C., Balakrishnan, R. and Al-Ababneh, H.A., (2026). Marketing on LinkedIn How to Develop Business Through Professional Digital Platforms. In </w:t>
      </w:r>
      <w:r w:rsidRPr="008577BF">
        <w:rPr>
          <w:i/>
          <w:iCs/>
          <w:color w:val="222222"/>
        </w:rPr>
        <w:t>Artificial Intelligence for Agile Business Solutions: Modernization of Outdated Systems</w:t>
      </w:r>
      <w:r w:rsidRPr="008577BF">
        <w:rPr>
          <w:color w:val="222222"/>
        </w:rPr>
        <w:t xml:space="preserve"> (pp. 667-678). Cham: Springer Nature Switzerland.</w:t>
      </w:r>
      <w:r w:rsidRPr="008577BF">
        <w:t xml:space="preserve">  </w:t>
      </w:r>
      <w:hyperlink r:id="rId9">
        <w:r w:rsidRPr="008577BF">
          <w:rPr>
            <w:color w:val="1155CC"/>
            <w:u w:val="single"/>
          </w:rPr>
          <w:t>https://link.springer.com/chapter/10.1007/978-3-032-04738-0_55</w:t>
        </w:r>
      </w:hyperlink>
      <w:r w:rsidRPr="008577BF">
        <w:t xml:space="preserve"> </w:t>
      </w:r>
    </w:p>
    <w:p w14:paraId="2119C1DF" w14:textId="77777777" w:rsidR="008577BF" w:rsidRPr="008577BF" w:rsidRDefault="008577BF">
      <w:pPr>
        <w:spacing w:after="240"/>
      </w:pPr>
      <w:r w:rsidRPr="008577BF">
        <w:rPr>
          <w:color w:val="222222"/>
          <w:highlight w:val="white"/>
        </w:rPr>
        <w:t xml:space="preserve">Desai, A., (2025). Revolutionizing mobility: An in-depth analysis of india's electric vehicle market and its future trajectory. </w:t>
      </w:r>
      <w:hyperlink r:id="rId10">
        <w:r w:rsidRPr="008577BF">
          <w:rPr>
            <w:color w:val="0000FF"/>
            <w:highlight w:val="white"/>
            <w:u w:val="single"/>
          </w:rPr>
          <w:t>https://www.techrxiv.org/doi/pdf/10.36227/techrxiv.174235838.84920773/v1</w:t>
        </w:r>
      </w:hyperlink>
    </w:p>
    <w:p w14:paraId="742F48AC" w14:textId="77777777" w:rsidR="008577BF" w:rsidRPr="008577BF" w:rsidRDefault="008577BF">
      <w:pPr>
        <w:spacing w:after="240"/>
        <w:rPr>
          <w:color w:val="222222"/>
          <w:highlight w:val="white"/>
        </w:rPr>
      </w:pPr>
      <w:r w:rsidRPr="008577BF">
        <w:rPr>
          <w:color w:val="222222"/>
          <w:highlight w:val="white"/>
        </w:rPr>
        <w:t xml:space="preserve">Devarasan, E., Nagarajan, D. and Rachel, J., (2025). Advancing sustainable mobility in India with electric vehicles: market trends and machine learning insights. </w:t>
      </w:r>
      <w:r w:rsidRPr="008577BF">
        <w:rPr>
          <w:i/>
          <w:iCs/>
          <w:color w:val="222222"/>
          <w:highlight w:val="white"/>
        </w:rPr>
        <w:t>Frontiers in Energy Research</w:t>
      </w:r>
      <w:r w:rsidRPr="008577BF">
        <w:rPr>
          <w:color w:val="222222"/>
          <w:highlight w:val="white"/>
        </w:rPr>
        <w:t xml:space="preserve">, </w:t>
      </w:r>
      <w:r w:rsidRPr="008577BF">
        <w:rPr>
          <w:i/>
          <w:iCs/>
          <w:color w:val="222222"/>
          <w:highlight w:val="white"/>
        </w:rPr>
        <w:t>13</w:t>
      </w:r>
      <w:r w:rsidRPr="008577BF">
        <w:rPr>
          <w:color w:val="222222"/>
          <w:highlight w:val="white"/>
        </w:rPr>
        <w:t xml:space="preserve">, p.1500515. </w:t>
      </w:r>
      <w:hyperlink r:id="rId11">
        <w:r w:rsidRPr="008577BF">
          <w:rPr>
            <w:color w:val="0000FF"/>
            <w:highlight w:val="white"/>
            <w:u w:val="single"/>
          </w:rPr>
          <w:t>https://www.frontiersin.org/journals/energy-research/articles/10.3389/fenrg.2025.1500515/full</w:t>
        </w:r>
      </w:hyperlink>
    </w:p>
    <w:p w14:paraId="5503E552" w14:textId="77777777" w:rsidR="008577BF" w:rsidRPr="008577BF" w:rsidRDefault="008577BF">
      <w:pPr>
        <w:spacing w:after="240"/>
      </w:pPr>
      <w:r w:rsidRPr="008577BF">
        <w:rPr>
          <w:color w:val="222222"/>
          <w:highlight w:val="white"/>
        </w:rPr>
        <w:t xml:space="preserve">Digalwar, A.K. and Rastogi, A., (2023). Assessments of social factors responsible for adoption of electric vehicles in India: a case study. </w:t>
      </w:r>
      <w:r w:rsidRPr="008577BF">
        <w:rPr>
          <w:i/>
          <w:iCs/>
          <w:color w:val="222222"/>
          <w:highlight w:val="white"/>
        </w:rPr>
        <w:t>International Journal of Energy Sector Management</w:t>
      </w:r>
      <w:r w:rsidRPr="008577BF">
        <w:rPr>
          <w:color w:val="222222"/>
          <w:highlight w:val="white"/>
        </w:rPr>
        <w:t xml:space="preserve">, </w:t>
      </w:r>
      <w:r w:rsidRPr="008577BF">
        <w:rPr>
          <w:i/>
          <w:iCs/>
          <w:color w:val="222222"/>
          <w:highlight w:val="white"/>
        </w:rPr>
        <w:t>17</w:t>
      </w:r>
      <w:r w:rsidRPr="008577BF">
        <w:rPr>
          <w:color w:val="222222"/>
          <w:highlight w:val="white"/>
        </w:rPr>
        <w:t xml:space="preserve">(2), pp.251-264. </w:t>
      </w:r>
      <w:hyperlink r:id="rId12">
        <w:r w:rsidRPr="008577BF">
          <w:rPr>
            <w:color w:val="0000FF"/>
            <w:highlight w:val="white"/>
            <w:u w:val="single"/>
          </w:rPr>
          <w:t>https://www.emerald.com/ijesm/article/17/2/251/123031</w:t>
        </w:r>
      </w:hyperlink>
    </w:p>
    <w:p w14:paraId="118157EE" w14:textId="77777777" w:rsidR="008577BF" w:rsidRPr="008577BF" w:rsidRDefault="008577BF">
      <w:pPr>
        <w:spacing w:after="240"/>
      </w:pPr>
      <w:r w:rsidRPr="008577BF">
        <w:rPr>
          <w:color w:val="222222"/>
          <w:highlight w:val="white"/>
        </w:rPr>
        <w:t xml:space="preserve">Dixit, S.K. and Singh, A.K., (2022). Predicting electric vehicle (EV) buyers in India: a machine learning approach. </w:t>
      </w:r>
      <w:r w:rsidRPr="008577BF">
        <w:rPr>
          <w:i/>
          <w:iCs/>
          <w:color w:val="222222"/>
          <w:highlight w:val="white"/>
        </w:rPr>
        <w:t>The Review of Socionetwork Strategies</w:t>
      </w:r>
      <w:r w:rsidRPr="008577BF">
        <w:rPr>
          <w:color w:val="222222"/>
          <w:highlight w:val="white"/>
        </w:rPr>
        <w:t xml:space="preserve">, </w:t>
      </w:r>
      <w:r w:rsidRPr="008577BF">
        <w:rPr>
          <w:i/>
          <w:iCs/>
          <w:color w:val="222222"/>
          <w:highlight w:val="white"/>
        </w:rPr>
        <w:t>16</w:t>
      </w:r>
      <w:r w:rsidRPr="008577BF">
        <w:rPr>
          <w:color w:val="222222"/>
          <w:highlight w:val="white"/>
        </w:rPr>
        <w:t xml:space="preserve">(2), pp.221-238. </w:t>
      </w:r>
      <w:hyperlink r:id="rId13">
        <w:r w:rsidRPr="008577BF">
          <w:rPr>
            <w:color w:val="0000FF"/>
            <w:highlight w:val="white"/>
            <w:u w:val="single"/>
          </w:rPr>
          <w:t>https://link.springer.com/article/10.1007/s12626-022-00109-9</w:t>
        </w:r>
      </w:hyperlink>
    </w:p>
    <w:p w14:paraId="2A16F079" w14:textId="77777777" w:rsidR="008577BF" w:rsidRPr="008577BF" w:rsidRDefault="008577BF">
      <w:pPr>
        <w:spacing w:after="240"/>
      </w:pPr>
      <w:r w:rsidRPr="008577BF">
        <w:t>FBI, (2026).</w:t>
      </w:r>
      <w:r w:rsidRPr="008577BF">
        <w:rPr>
          <w:i/>
          <w:iCs/>
        </w:rPr>
        <w:t xml:space="preserve"> Electric Vehicle Market Size, Share &amp; Global Analysis, 2034. </w:t>
      </w:r>
      <w:r w:rsidRPr="008577BF">
        <w:t xml:space="preserve">Available at: </w:t>
      </w:r>
      <w:hyperlink r:id="rId14">
        <w:r w:rsidRPr="008577BF">
          <w:rPr>
            <w:color w:val="0000FF"/>
            <w:u w:val="single"/>
          </w:rPr>
          <w:t>https://www.fortunebusinessinsights.com/industry-reports/electric-vehicle-market-101678</w:t>
        </w:r>
      </w:hyperlink>
    </w:p>
    <w:p w14:paraId="4D140F79" w14:textId="77777777" w:rsidR="008577BF" w:rsidRPr="007D606C" w:rsidRDefault="008577BF">
      <w:pPr>
        <w:spacing w:after="240"/>
        <w:rPr>
          <w:lang w:val="fr-FR"/>
        </w:rPr>
      </w:pPr>
      <w:r w:rsidRPr="008577BF">
        <w:rPr>
          <w:color w:val="222222"/>
        </w:rPr>
        <w:t xml:space="preserve">He, S., Qiu, L. and Cheng, X., (2022). Surge pricing and short-term wage elasticity of labor supply in real-time ridesharing markets. </w:t>
      </w:r>
      <w:r w:rsidRPr="007D606C">
        <w:rPr>
          <w:i/>
          <w:iCs/>
          <w:color w:val="222222"/>
          <w:lang w:val="fr-FR"/>
        </w:rPr>
        <w:t>MIS Quarterly</w:t>
      </w:r>
      <w:r w:rsidRPr="007D606C">
        <w:rPr>
          <w:color w:val="222222"/>
          <w:lang w:val="fr-FR"/>
        </w:rPr>
        <w:t xml:space="preserve">, </w:t>
      </w:r>
      <w:r w:rsidRPr="007D606C">
        <w:rPr>
          <w:i/>
          <w:iCs/>
          <w:color w:val="222222"/>
          <w:lang w:val="fr-FR"/>
        </w:rPr>
        <w:t>46</w:t>
      </w:r>
      <w:r w:rsidRPr="007D606C">
        <w:rPr>
          <w:color w:val="222222"/>
          <w:lang w:val="fr-FR"/>
        </w:rPr>
        <w:t>(1), pp.193-228.</w:t>
      </w:r>
      <w:r w:rsidRPr="007D606C">
        <w:rPr>
          <w:lang w:val="fr-FR"/>
        </w:rPr>
        <w:t xml:space="preserve"> </w:t>
      </w:r>
      <w:hyperlink r:id="rId15">
        <w:r w:rsidRPr="007D606C">
          <w:rPr>
            <w:color w:val="1155CC"/>
            <w:u w:val="single"/>
            <w:lang w:val="fr-FR"/>
          </w:rPr>
          <w:t>https://papers.ssrn.com/sol3/Delivery.cfm?abstractid=3186162</w:t>
        </w:r>
      </w:hyperlink>
      <w:r w:rsidRPr="007D606C">
        <w:rPr>
          <w:lang w:val="fr-FR"/>
        </w:rPr>
        <w:t xml:space="preserve"> </w:t>
      </w:r>
    </w:p>
    <w:p w14:paraId="15A273AB" w14:textId="77777777" w:rsidR="008577BF" w:rsidRPr="008577BF" w:rsidRDefault="008577BF">
      <w:pPr>
        <w:spacing w:after="240"/>
      </w:pPr>
      <w:r w:rsidRPr="008577BF">
        <w:t xml:space="preserve">Imarc, (2026). </w:t>
      </w:r>
      <w:r w:rsidRPr="008577BF">
        <w:rPr>
          <w:i/>
          <w:iCs/>
        </w:rPr>
        <w:t xml:space="preserve">India Electric Vehicle Market Size, Share &amp; Report 2034. </w:t>
      </w:r>
      <w:r w:rsidRPr="008577BF">
        <w:t xml:space="preserve">Available at: </w:t>
      </w:r>
      <w:hyperlink r:id="rId16">
        <w:r w:rsidRPr="008577BF">
          <w:rPr>
            <w:color w:val="0000FF"/>
            <w:u w:val="single"/>
          </w:rPr>
          <w:t>https://www.imarcgroup.com/india-electric-vehicle-market</w:t>
        </w:r>
      </w:hyperlink>
    </w:p>
    <w:p w14:paraId="143C3161" w14:textId="77777777" w:rsidR="008577BF" w:rsidRPr="007D606C" w:rsidRDefault="008577BF">
      <w:pPr>
        <w:spacing w:after="240"/>
        <w:rPr>
          <w:color w:val="222222"/>
          <w:highlight w:val="white"/>
          <w:lang w:val="sv-SE"/>
        </w:rPr>
      </w:pPr>
      <w:r w:rsidRPr="008577BF">
        <w:rPr>
          <w:color w:val="222222"/>
          <w:highlight w:val="white"/>
        </w:rPr>
        <w:t xml:space="preserve">Madhavedi, S., Kumar, B.S., Regalla, R. and Hoo, W.C., (2026). Electric vehicle charging infrastructure and urban mobility performance: Evidence from a Tier-II City in India. </w:t>
      </w:r>
      <w:r w:rsidRPr="007D606C">
        <w:rPr>
          <w:i/>
          <w:iCs/>
          <w:color w:val="222222"/>
          <w:highlight w:val="white"/>
          <w:lang w:val="sv-SE"/>
        </w:rPr>
        <w:t>Int. J. Transp. Dev. Integr</w:t>
      </w:r>
      <w:r w:rsidRPr="007D606C">
        <w:rPr>
          <w:color w:val="222222"/>
          <w:highlight w:val="white"/>
          <w:lang w:val="sv-SE"/>
        </w:rPr>
        <w:t xml:space="preserve">, </w:t>
      </w:r>
      <w:r w:rsidRPr="007D606C">
        <w:rPr>
          <w:i/>
          <w:iCs/>
          <w:color w:val="222222"/>
          <w:highlight w:val="white"/>
          <w:lang w:val="sv-SE"/>
        </w:rPr>
        <w:t>10</w:t>
      </w:r>
      <w:r w:rsidRPr="007D606C">
        <w:rPr>
          <w:color w:val="222222"/>
          <w:highlight w:val="white"/>
          <w:lang w:val="sv-SE"/>
        </w:rPr>
        <w:t xml:space="preserve">(1), pp.288-308. </w:t>
      </w:r>
      <w:hyperlink r:id="rId17">
        <w:r w:rsidRPr="007D606C">
          <w:rPr>
            <w:color w:val="0000FF"/>
            <w:highlight w:val="white"/>
            <w:u w:val="single"/>
            <w:lang w:val="sv-SE"/>
          </w:rPr>
          <w:t>https://www.researchgate.net/profile/Sudhakar-</w:t>
        </w:r>
        <w:r w:rsidRPr="007D606C">
          <w:rPr>
            <w:color w:val="0000FF"/>
            <w:highlight w:val="white"/>
            <w:u w:val="single"/>
            <w:lang w:val="sv-SE"/>
          </w:rPr>
          <w:lastRenderedPageBreak/>
          <w:t>Madhavedi/publication/403693768_Electric_Vehicle_Charging_Infrastructure_and_Urban_Mobility_Performance_Evidence_from_a_Tier-II_City_in_India/links/69dcd6235518257d60ea3147/Electric-Vehicle-Charging-Infrastructure-and-Urban-Mobility-Performance-Evidence-from-a-Tier-II-City-in-India.pdf</w:t>
        </w:r>
      </w:hyperlink>
    </w:p>
    <w:p w14:paraId="643F09F0" w14:textId="77777777" w:rsidR="008577BF" w:rsidRPr="008577BF" w:rsidRDefault="008577BF">
      <w:pPr>
        <w:spacing w:after="240"/>
      </w:pPr>
      <w:r w:rsidRPr="008577BF">
        <w:t>MI, (2026).</w:t>
      </w:r>
      <w:r w:rsidRPr="008577BF">
        <w:rPr>
          <w:i/>
          <w:iCs/>
        </w:rPr>
        <w:t xml:space="preserve"> India Electric Vehicle Market Size &amp; Share Analysis. </w:t>
      </w:r>
      <w:r w:rsidRPr="008577BF">
        <w:t xml:space="preserve">Available at: </w:t>
      </w:r>
      <w:hyperlink r:id="rId18">
        <w:r w:rsidRPr="008577BF">
          <w:rPr>
            <w:color w:val="0000FF"/>
            <w:u w:val="single"/>
          </w:rPr>
          <w:t>https://www.mordorintelligence.com/industry-reports/india-electric-vehicle-market</w:t>
        </w:r>
      </w:hyperlink>
    </w:p>
    <w:p w14:paraId="616D22C3" w14:textId="77777777" w:rsidR="008577BF" w:rsidRPr="008577BF" w:rsidRDefault="008577BF">
      <w:pPr>
        <w:spacing w:after="240"/>
      </w:pPr>
      <w:r w:rsidRPr="008577BF">
        <w:t xml:space="preserve">MRF, (2026). </w:t>
      </w:r>
      <w:r w:rsidRPr="008577BF">
        <w:rPr>
          <w:i/>
          <w:iCs/>
        </w:rPr>
        <w:t xml:space="preserve">India Electric Car Market Size, Trends, Growth Outlook 2035. </w:t>
      </w:r>
      <w:r w:rsidRPr="008577BF">
        <w:t xml:space="preserve">Available at: </w:t>
      </w:r>
      <w:hyperlink r:id="rId19">
        <w:r w:rsidRPr="008577BF">
          <w:rPr>
            <w:color w:val="0000FF"/>
            <w:u w:val="single"/>
          </w:rPr>
          <w:t>https://www.marketresearchfuture.com/reports/india-electric-car-market-12684</w:t>
        </w:r>
      </w:hyperlink>
    </w:p>
    <w:p w14:paraId="32DB863B" w14:textId="77777777" w:rsidR="008577BF" w:rsidRPr="008577BF" w:rsidRDefault="008577BF">
      <w:r w:rsidRPr="008577BF">
        <w:t xml:space="preserve">Ola Cabs, (2026). </w:t>
      </w:r>
      <w:r w:rsidRPr="008577BF">
        <w:rPr>
          <w:i/>
          <w:iCs/>
        </w:rPr>
        <w:t xml:space="preserve">Who we are / The Ola Story. </w:t>
      </w:r>
      <w:r w:rsidRPr="008577BF">
        <w:t xml:space="preserve">Available at: </w:t>
      </w:r>
      <w:hyperlink r:id="rId20">
        <w:r w:rsidRPr="008577BF">
          <w:rPr>
            <w:color w:val="1155CC"/>
            <w:u w:val="single"/>
          </w:rPr>
          <w:t>https://www.olacabs.com/about</w:t>
        </w:r>
      </w:hyperlink>
      <w:r w:rsidRPr="008577BF">
        <w:t xml:space="preserve"> </w:t>
      </w:r>
    </w:p>
    <w:p w14:paraId="2AB954C9" w14:textId="2F5DF579" w:rsidR="008577BF" w:rsidRDefault="008577BF">
      <w:pPr>
        <w:spacing w:after="240"/>
        <w:rPr>
          <w:color w:val="0000FF"/>
          <w:u w:val="single"/>
        </w:rPr>
      </w:pPr>
      <w:r w:rsidRPr="008577BF">
        <w:t xml:space="preserve">PR, (2026). </w:t>
      </w:r>
      <w:r w:rsidRPr="008577BF">
        <w:rPr>
          <w:i/>
          <w:iCs/>
        </w:rPr>
        <w:t xml:space="preserve">India Electric Vehicle Market Companies, Size &amp; Trends. </w:t>
      </w:r>
      <w:r w:rsidRPr="008577BF">
        <w:t xml:space="preserve">Available at: </w:t>
      </w:r>
      <w:hyperlink r:id="rId21">
        <w:r w:rsidRPr="008577BF">
          <w:rPr>
            <w:color w:val="0000FF"/>
            <w:u w:val="single"/>
          </w:rPr>
          <w:t>https://www.precedenceresearch.com/india-electric-vehicle-market</w:t>
        </w:r>
      </w:hyperlink>
    </w:p>
    <w:p w14:paraId="429EFF92" w14:textId="7BE68E0E" w:rsidR="006E3875" w:rsidRPr="008577BF" w:rsidRDefault="006E3875">
      <w:pPr>
        <w:spacing w:after="240"/>
      </w:pPr>
      <w:r w:rsidRPr="006E3875">
        <w:rPr>
          <w:color w:val="FF0000"/>
        </w:rPr>
        <w:t>Phadke</w:t>
      </w:r>
      <w:r>
        <w:rPr>
          <w:color w:val="FF0000"/>
        </w:rPr>
        <w:t>,</w:t>
      </w:r>
      <w:r w:rsidR="00720657">
        <w:rPr>
          <w:color w:val="FF0000"/>
        </w:rPr>
        <w:t xml:space="preserve"> S.</w:t>
      </w:r>
      <w:r>
        <w:rPr>
          <w:color w:val="FF0000"/>
        </w:rPr>
        <w:t xml:space="preserve"> </w:t>
      </w:r>
      <w:r w:rsidR="00720657">
        <w:rPr>
          <w:color w:val="FF0000"/>
        </w:rPr>
        <w:t>(</w:t>
      </w:r>
      <w:r>
        <w:rPr>
          <w:color w:val="FF0000"/>
        </w:rPr>
        <w:t>2026)</w:t>
      </w:r>
      <w:r w:rsidR="00720657">
        <w:rPr>
          <w:color w:val="FF0000"/>
        </w:rPr>
        <w:t xml:space="preserve">. </w:t>
      </w:r>
      <w:r w:rsidR="00720657" w:rsidRPr="00720657">
        <w:rPr>
          <w:i/>
          <w:iCs/>
          <w:color w:val="FF0000"/>
        </w:rPr>
        <w:t>Safeguarding India’s EV Transition: Addressing Cybersecurity Risks from Chinese Electric Vehicles.</w:t>
      </w:r>
      <w:r w:rsidRPr="006E3875">
        <w:t xml:space="preserve"> </w:t>
      </w:r>
      <w:r w:rsidRPr="006E3875">
        <w:rPr>
          <w:color w:val="FF0000"/>
        </w:rPr>
        <w:t>Available at:</w:t>
      </w:r>
      <w:r w:rsidR="00720657" w:rsidRPr="00720657">
        <w:t xml:space="preserve"> </w:t>
      </w:r>
      <w:hyperlink r:id="rId22" w:history="1">
        <w:r w:rsidR="00720657" w:rsidRPr="00854486">
          <w:rPr>
            <w:rStyle w:val="Hyperlink"/>
          </w:rPr>
          <w:t>https://www.indianarrative.com/opinion/safeguarding-indias-ev-transition-addressing-cybersecurity-risks-from-chinese-electric-vehicles/</w:t>
        </w:r>
      </w:hyperlink>
      <w:r w:rsidR="00720657">
        <w:rPr>
          <w:color w:val="FF0000"/>
        </w:rPr>
        <w:t xml:space="preserve"> </w:t>
      </w:r>
    </w:p>
    <w:p w14:paraId="22F66436" w14:textId="77777777" w:rsidR="008577BF" w:rsidRPr="007D606C" w:rsidRDefault="008577BF">
      <w:pPr>
        <w:spacing w:after="240"/>
        <w:rPr>
          <w:lang w:val="pl-PL"/>
        </w:rPr>
      </w:pPr>
      <w:r w:rsidRPr="008577BF">
        <w:rPr>
          <w:color w:val="222222"/>
          <w:highlight w:val="white"/>
        </w:rPr>
        <w:t xml:space="preserve">Rajagopal, D., (2023). Implications of the energy transition for government revenues, energy imports and employment: The case of electric vehicles in India. </w:t>
      </w:r>
      <w:r w:rsidRPr="007D606C">
        <w:rPr>
          <w:i/>
          <w:iCs/>
          <w:color w:val="222222"/>
          <w:highlight w:val="white"/>
          <w:lang w:val="pl-PL"/>
        </w:rPr>
        <w:t>Energy Policy</w:t>
      </w:r>
      <w:r w:rsidRPr="007D606C">
        <w:rPr>
          <w:color w:val="222222"/>
          <w:highlight w:val="white"/>
          <w:lang w:val="pl-PL"/>
        </w:rPr>
        <w:t xml:space="preserve">, </w:t>
      </w:r>
      <w:r w:rsidRPr="007D606C">
        <w:rPr>
          <w:i/>
          <w:iCs/>
          <w:color w:val="222222"/>
          <w:highlight w:val="white"/>
          <w:lang w:val="pl-PL"/>
        </w:rPr>
        <w:t>175</w:t>
      </w:r>
      <w:r w:rsidRPr="007D606C">
        <w:rPr>
          <w:color w:val="222222"/>
          <w:highlight w:val="white"/>
          <w:lang w:val="pl-PL"/>
        </w:rPr>
        <w:t xml:space="preserve">, p.113466. </w:t>
      </w:r>
      <w:hyperlink r:id="rId23">
        <w:r w:rsidRPr="007D606C">
          <w:rPr>
            <w:color w:val="0000FF"/>
            <w:highlight w:val="white"/>
            <w:u w:val="single"/>
            <w:lang w:val="pl-PL"/>
          </w:rPr>
          <w:t>https://www.sciencedirect.com/science/article/pii/S0301421523000514</w:t>
        </w:r>
      </w:hyperlink>
    </w:p>
    <w:p w14:paraId="616F2024" w14:textId="77777777" w:rsidR="008577BF" w:rsidRPr="008577BF" w:rsidRDefault="008577BF">
      <w:pPr>
        <w:spacing w:after="240"/>
      </w:pPr>
      <w:r w:rsidRPr="007D606C">
        <w:rPr>
          <w:color w:val="222222"/>
          <w:highlight w:val="white"/>
          <w:lang w:val="pl-PL"/>
        </w:rPr>
        <w:t xml:space="preserve">Rajendran, S., Prakash, C., Shakir, M., Alwetaishi, M., Dhairiyasamy, R., Rajendran, P. and Lee, I.E., (2025). </w:t>
      </w:r>
      <w:r w:rsidRPr="008577BF">
        <w:rPr>
          <w:color w:val="222222"/>
          <w:highlight w:val="white"/>
        </w:rPr>
        <w:t xml:space="preserve">Enhancing competitiveness in India’s electric vehicle industry: impact of advanced manufacturing technologies and workforce development. </w:t>
      </w:r>
      <w:r w:rsidRPr="008577BF">
        <w:rPr>
          <w:i/>
          <w:iCs/>
          <w:color w:val="222222"/>
          <w:highlight w:val="white"/>
        </w:rPr>
        <w:t>Scientific Reports</w:t>
      </w:r>
      <w:r w:rsidRPr="008577BF">
        <w:rPr>
          <w:color w:val="222222"/>
          <w:highlight w:val="white"/>
        </w:rPr>
        <w:t xml:space="preserve">, </w:t>
      </w:r>
      <w:r w:rsidRPr="008577BF">
        <w:rPr>
          <w:i/>
          <w:iCs/>
          <w:color w:val="222222"/>
          <w:highlight w:val="white"/>
        </w:rPr>
        <w:t>15</w:t>
      </w:r>
      <w:r w:rsidRPr="008577BF">
        <w:rPr>
          <w:color w:val="222222"/>
          <w:highlight w:val="white"/>
        </w:rPr>
        <w:t xml:space="preserve">(1), p.15647. </w:t>
      </w:r>
      <w:hyperlink r:id="rId24">
        <w:r w:rsidRPr="008577BF">
          <w:rPr>
            <w:color w:val="0000FF"/>
            <w:highlight w:val="white"/>
            <w:u w:val="single"/>
          </w:rPr>
          <w:t>https://www.nature.com/articles/s41598-025-97679-9</w:t>
        </w:r>
      </w:hyperlink>
    </w:p>
    <w:p w14:paraId="7F30EB94" w14:textId="77777777" w:rsidR="008577BF" w:rsidRPr="008577BF" w:rsidRDefault="008577BF">
      <w:pPr>
        <w:spacing w:after="240"/>
        <w:rPr>
          <w:color w:val="222222"/>
          <w:highlight w:val="white"/>
        </w:rPr>
      </w:pPr>
      <w:r w:rsidRPr="008577BF">
        <w:rPr>
          <w:color w:val="222222"/>
          <w:highlight w:val="white"/>
        </w:rPr>
        <w:t xml:space="preserve">Ram, D., (2026). The role of electric vehicles in sustainable development: Reducing pollution and carbon footprints. </w:t>
      </w:r>
      <w:r w:rsidRPr="008577BF">
        <w:rPr>
          <w:i/>
          <w:iCs/>
          <w:color w:val="222222"/>
          <w:highlight w:val="white"/>
        </w:rPr>
        <w:t>Journal of Social Review and Development</w:t>
      </w:r>
      <w:r w:rsidRPr="008577BF">
        <w:rPr>
          <w:color w:val="222222"/>
          <w:highlight w:val="white"/>
        </w:rPr>
        <w:t xml:space="preserve">, </w:t>
      </w:r>
      <w:r w:rsidRPr="008577BF">
        <w:rPr>
          <w:i/>
          <w:iCs/>
          <w:color w:val="222222"/>
          <w:highlight w:val="white"/>
        </w:rPr>
        <w:t>5</w:t>
      </w:r>
      <w:r w:rsidRPr="008577BF">
        <w:rPr>
          <w:color w:val="222222"/>
          <w:highlight w:val="white"/>
        </w:rPr>
        <w:t xml:space="preserve">(Special Issue 1), pp.68-72. </w:t>
      </w:r>
      <w:hyperlink r:id="rId25">
        <w:r w:rsidRPr="008577BF">
          <w:rPr>
            <w:color w:val="0000FF"/>
            <w:highlight w:val="white"/>
            <w:u w:val="single"/>
          </w:rPr>
          <w:t>https://dzarc.com/social/article/view/974</w:t>
        </w:r>
      </w:hyperlink>
    </w:p>
    <w:p w14:paraId="12CA7931" w14:textId="77777777" w:rsidR="008577BF" w:rsidRPr="008577BF" w:rsidRDefault="008577BF">
      <w:pPr>
        <w:spacing w:after="240"/>
        <w:rPr>
          <w:color w:val="222222"/>
          <w:highlight w:val="white"/>
        </w:rPr>
      </w:pPr>
      <w:r w:rsidRPr="008577BF">
        <w:rPr>
          <w:color w:val="222222"/>
          <w:highlight w:val="white"/>
        </w:rPr>
        <w:t xml:space="preserve">Rani, M.P., Vinothkumar, R., Dharman, M.V. and Sandhiya, M.K., (2025). A Study on Skill Development under the Skill India Programme in the Automobile Industry. </w:t>
      </w:r>
      <w:hyperlink r:id="rId26">
        <w:r w:rsidRPr="008577BF">
          <w:rPr>
            <w:color w:val="0000FF"/>
            <w:highlight w:val="white"/>
            <w:u w:val="single"/>
          </w:rPr>
          <w:t>https://jsldbd.com/wp-content/uploads/2026/05/7.pdf</w:t>
        </w:r>
      </w:hyperlink>
    </w:p>
    <w:p w14:paraId="7C97F9FB" w14:textId="77777777" w:rsidR="008577BF" w:rsidRPr="008577BF" w:rsidRDefault="008577BF">
      <w:pPr>
        <w:spacing w:after="240"/>
      </w:pPr>
      <w:r w:rsidRPr="008577BF">
        <w:rPr>
          <w:color w:val="222222"/>
          <w:highlight w:val="white"/>
        </w:rPr>
        <w:lastRenderedPageBreak/>
        <w:t xml:space="preserve">Rathod, P.M. and Balu, L., (2023). Sustainable workforce for electric vehicle (EV) industry. In </w:t>
      </w:r>
      <w:r w:rsidRPr="008577BF">
        <w:rPr>
          <w:i/>
          <w:iCs/>
          <w:color w:val="222222"/>
          <w:highlight w:val="white"/>
        </w:rPr>
        <w:t>Proceedings of the 11th International Conference on Human Resource Management for Organizational Sustainability</w:t>
      </w:r>
      <w:r w:rsidRPr="008577BF">
        <w:rPr>
          <w:color w:val="222222"/>
          <w:highlight w:val="white"/>
        </w:rPr>
        <w:t xml:space="preserve"> (pp. 1-6). Mysuru, India: Shri Dharmasthala Manjunatheshwara Institute for Management Development (SDMIMD). </w:t>
      </w:r>
      <w:hyperlink r:id="rId27">
        <w:r w:rsidRPr="008577BF">
          <w:rPr>
            <w:color w:val="0000FF"/>
            <w:highlight w:val="white"/>
            <w:u w:val="single"/>
          </w:rPr>
          <w:t>https://sdmimd.ac.in/hrconference2023/papers/IHR2319.pdf</w:t>
        </w:r>
      </w:hyperlink>
    </w:p>
    <w:p w14:paraId="6D5E0053" w14:textId="77777777" w:rsidR="008577BF" w:rsidRPr="008577BF" w:rsidRDefault="008577BF">
      <w:pPr>
        <w:spacing w:after="240"/>
      </w:pPr>
      <w:r w:rsidRPr="008577BF">
        <w:rPr>
          <w:color w:val="222222"/>
          <w:highlight w:val="white"/>
        </w:rPr>
        <w:t xml:space="preserve">Shaikh, Z.H., Gupta, R. and Sahoo, B.P., (2026). The Oligopoly Reversal: Evaluating Macro-Energy Demand Shocks and the Corporate J-Curve in India’s Electric Vehicle Sector (2022–2026). </w:t>
      </w:r>
      <w:r w:rsidRPr="008577BF">
        <w:rPr>
          <w:i/>
          <w:iCs/>
          <w:color w:val="222222"/>
          <w:highlight w:val="white"/>
        </w:rPr>
        <w:t>World Electric Vehicle Journal</w:t>
      </w:r>
      <w:r w:rsidRPr="008577BF">
        <w:rPr>
          <w:color w:val="222222"/>
          <w:highlight w:val="white"/>
        </w:rPr>
        <w:t xml:space="preserve">, </w:t>
      </w:r>
      <w:r w:rsidRPr="008577BF">
        <w:rPr>
          <w:i/>
          <w:iCs/>
          <w:color w:val="222222"/>
          <w:highlight w:val="white"/>
        </w:rPr>
        <w:t>17</w:t>
      </w:r>
      <w:r w:rsidRPr="008577BF">
        <w:rPr>
          <w:color w:val="222222"/>
          <w:highlight w:val="white"/>
        </w:rPr>
        <w:t xml:space="preserve">(8), p.428. </w:t>
      </w:r>
      <w:hyperlink r:id="rId28">
        <w:r w:rsidRPr="008577BF">
          <w:rPr>
            <w:color w:val="0000FF"/>
            <w:highlight w:val="white"/>
            <w:u w:val="single"/>
          </w:rPr>
          <w:t>https://www.mdpi.com/2032-6653/17/8/428</w:t>
        </w:r>
      </w:hyperlink>
    </w:p>
    <w:p w14:paraId="4A3F70F4" w14:textId="77777777" w:rsidR="008577BF" w:rsidRPr="008577BF" w:rsidRDefault="008577BF">
      <w:pPr>
        <w:spacing w:after="240"/>
      </w:pPr>
      <w:r w:rsidRPr="008577BF">
        <w:t xml:space="preserve">Technavio, (2026). </w:t>
      </w:r>
      <w:r w:rsidRPr="008577BF">
        <w:rPr>
          <w:i/>
          <w:iCs/>
        </w:rPr>
        <w:t>India Electric Vehicle Market Size 2026-2030.</w:t>
      </w:r>
      <w:r w:rsidRPr="008577BF">
        <w:t xml:space="preserve"> Available at: </w:t>
      </w:r>
      <w:hyperlink r:id="rId29">
        <w:r w:rsidRPr="008577BF">
          <w:rPr>
            <w:color w:val="0000FF"/>
            <w:u w:val="single"/>
          </w:rPr>
          <w:t>https://www.technavio.com/report/india-electric-vehicle-market-industry-analysis</w:t>
        </w:r>
      </w:hyperlink>
    </w:p>
    <w:p w14:paraId="7EDD23C4" w14:textId="77777777" w:rsidR="008577BF" w:rsidRPr="008577BF" w:rsidRDefault="008577BF">
      <w:pPr>
        <w:spacing w:after="240"/>
      </w:pPr>
      <w:r w:rsidRPr="008577BF">
        <w:rPr>
          <w:color w:val="222222"/>
        </w:rPr>
        <w:t xml:space="preserve">Yang, T., Peattie, K., Skeete, J.P. and Koenig-Lewis, N., (2024). Navigating transitions: how electric vehicle sharing is shaping sustainable mobility in Chinese cities. </w:t>
      </w:r>
      <w:r w:rsidRPr="008577BF">
        <w:rPr>
          <w:i/>
          <w:iCs/>
          <w:color w:val="222222"/>
        </w:rPr>
        <w:t>Sustainability</w:t>
      </w:r>
      <w:r w:rsidRPr="008577BF">
        <w:rPr>
          <w:color w:val="222222"/>
        </w:rPr>
        <w:t xml:space="preserve">, </w:t>
      </w:r>
      <w:r w:rsidRPr="008577BF">
        <w:rPr>
          <w:i/>
          <w:iCs/>
          <w:color w:val="222222"/>
        </w:rPr>
        <w:t>16</w:t>
      </w:r>
      <w:r w:rsidRPr="008577BF">
        <w:rPr>
          <w:color w:val="222222"/>
        </w:rPr>
        <w:t>(19), p.8364.</w:t>
      </w:r>
      <w:r w:rsidRPr="008577BF">
        <w:t xml:space="preserve"> </w:t>
      </w:r>
      <w:hyperlink r:id="rId30">
        <w:r w:rsidRPr="008577BF">
          <w:rPr>
            <w:color w:val="1155CC"/>
            <w:u w:val="single"/>
          </w:rPr>
          <w:t>https://www.mdpi.com/2071-1050/16/19/8364</w:t>
        </w:r>
      </w:hyperlink>
      <w:r w:rsidRPr="008577BF">
        <w:t xml:space="preserve"> </w:t>
      </w:r>
    </w:p>
    <w:sectPr w:rsidR="008577BF" w:rsidRPr="008577BF">
      <w:headerReference w:type="even" r:id="rId31"/>
      <w:headerReference w:type="default" r:id="rId32"/>
      <w:footerReference w:type="even" r:id="rId33"/>
      <w:footerReference w:type="default" r:id="rId34"/>
      <w:headerReference w:type="first" r:id="rId3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70078" w14:textId="77777777" w:rsidR="004B3A61" w:rsidRDefault="004B3A61">
      <w:pPr>
        <w:spacing w:line="240" w:lineRule="auto"/>
      </w:pPr>
      <w:r>
        <w:separator/>
      </w:r>
    </w:p>
  </w:endnote>
  <w:endnote w:type="continuationSeparator" w:id="0">
    <w:p w14:paraId="25EADA2C" w14:textId="77777777" w:rsidR="004B3A61" w:rsidRDefault="004B3A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7A50D2C-AB68-4652-958E-8F3F6BD075D1}"/>
    <w:embedBold r:id="rId2" w:fontKey="{CEE078F6-00BD-481C-9B84-D2E744E94BA7}"/>
  </w:font>
  <w:font w:name="Shruti">
    <w:panose1 w:val="020B0502040204020203"/>
    <w:charset w:val="00"/>
    <w:family w:val="swiss"/>
    <w:pitch w:val="variable"/>
    <w:sig w:usb0="00040003" w:usb1="00000000" w:usb2="00000000" w:usb3="00000000" w:csb0="00000001" w:csb1="00000000"/>
    <w:embedRegular r:id="rId3" w:fontKey="{711EAF35-F23D-40BA-B66B-8F98090D80C4}"/>
    <w:embedBold r:id="rId4" w:fontKey="{773F19EE-F08B-428E-BC15-F2795ADDC88D}"/>
  </w:font>
  <w:font w:name="Cambria">
    <w:panose1 w:val="02040503050406030204"/>
    <w:charset w:val="00"/>
    <w:family w:val="roman"/>
    <w:pitch w:val="variable"/>
    <w:sig w:usb0="E00006FF" w:usb1="420024FF" w:usb2="02000000" w:usb3="00000000" w:csb0="0000019F" w:csb1="00000000"/>
    <w:embedRegular r:id="rId5" w:fontKey="{73DB9E45-739D-4E9D-8E3A-1C613A5E24A5}"/>
    <w:embedBold r:id="rId6" w:fontKey="{961C53DB-69EC-4194-9DBD-8A78705009F1}"/>
    <w:embedBoldItalic r:id="rId7" w:fontKey="{F4D6DF30-3C5A-4E27-930C-6F4C5F23A5A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7A36F" w14:textId="77777777" w:rsidR="00A94F4D" w:rsidRDefault="00845BB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3FD58C33" w14:textId="77777777" w:rsidR="00A94F4D" w:rsidRDefault="00A94F4D">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33AB6" w14:textId="77777777" w:rsidR="00A94F4D" w:rsidRDefault="00845BB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46ABA">
      <w:rPr>
        <w:noProof/>
        <w:color w:val="000000"/>
      </w:rPr>
      <w:t>13</w:t>
    </w:r>
    <w:r>
      <w:rPr>
        <w:color w:val="000000"/>
      </w:rPr>
      <w:fldChar w:fldCharType="end"/>
    </w:r>
  </w:p>
  <w:p w14:paraId="7D601A47" w14:textId="77777777" w:rsidR="00A94F4D" w:rsidRDefault="00A94F4D">
    <w:pPr>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BCC33" w14:textId="77777777" w:rsidR="004B3A61" w:rsidRDefault="004B3A61">
      <w:pPr>
        <w:spacing w:line="240" w:lineRule="auto"/>
      </w:pPr>
      <w:r>
        <w:separator/>
      </w:r>
    </w:p>
  </w:footnote>
  <w:footnote w:type="continuationSeparator" w:id="0">
    <w:p w14:paraId="18814EF6" w14:textId="77777777" w:rsidR="004B3A61" w:rsidRDefault="004B3A6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D085D" w14:textId="77777777" w:rsidR="00A94F4D" w:rsidRDefault="00A94F4D">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6CC04" w14:textId="77777777" w:rsidR="00A94F4D" w:rsidRDefault="00A94F4D">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DF1F0" w14:textId="77777777" w:rsidR="00A94F4D" w:rsidRDefault="00A94F4D">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F4D"/>
    <w:rsid w:val="000446FF"/>
    <w:rsid w:val="00054526"/>
    <w:rsid w:val="00064DAA"/>
    <w:rsid w:val="00091FD8"/>
    <w:rsid w:val="000E3EB0"/>
    <w:rsid w:val="000F415B"/>
    <w:rsid w:val="001F2F51"/>
    <w:rsid w:val="002140D9"/>
    <w:rsid w:val="004B1555"/>
    <w:rsid w:val="004B3A61"/>
    <w:rsid w:val="00546ABA"/>
    <w:rsid w:val="006E3875"/>
    <w:rsid w:val="00720657"/>
    <w:rsid w:val="00737752"/>
    <w:rsid w:val="007D606C"/>
    <w:rsid w:val="00845BB4"/>
    <w:rsid w:val="00852341"/>
    <w:rsid w:val="008577BF"/>
    <w:rsid w:val="008D4DEC"/>
    <w:rsid w:val="00974836"/>
    <w:rsid w:val="00A94F4D"/>
    <w:rsid w:val="00B96B24"/>
    <w:rsid w:val="00D96EA9"/>
    <w:rsid w:val="00DC5C93"/>
    <w:rsid w:val="00E1019C"/>
    <w:rsid w:val="00E14ACD"/>
    <w:rsid w:val="00E32090"/>
    <w:rsid w:val="00E65DCC"/>
    <w:rsid w:val="00EB24F9"/>
    <w:rsid w:val="00FC143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C74D"/>
  <w15:docId w15:val="{3207C8CB-AD08-43F1-B60C-7A7514577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paragraph" w:styleId="Header">
    <w:name w:val="header"/>
    <w:basedOn w:val="Normal"/>
    <w:link w:val="HeaderChar"/>
    <w:uiPriority w:val="99"/>
    <w:unhideWhenUsed/>
    <w:rsid w:val="005F71AB"/>
    <w:pPr>
      <w:tabs>
        <w:tab w:val="center" w:pos="4680"/>
        <w:tab w:val="right" w:pos="9360"/>
      </w:tabs>
      <w:spacing w:line="240" w:lineRule="auto"/>
    </w:pPr>
  </w:style>
  <w:style w:type="character" w:customStyle="1" w:styleId="HeaderChar">
    <w:name w:val="Header Char"/>
    <w:basedOn w:val="DefaultParagraphFont"/>
    <w:link w:val="Header"/>
    <w:uiPriority w:val="99"/>
    <w:rsid w:val="005F71AB"/>
  </w:style>
  <w:style w:type="paragraph" w:styleId="Footer">
    <w:name w:val="footer"/>
    <w:basedOn w:val="Normal"/>
    <w:link w:val="FooterChar"/>
    <w:uiPriority w:val="99"/>
    <w:unhideWhenUsed/>
    <w:rsid w:val="005F71AB"/>
    <w:pPr>
      <w:tabs>
        <w:tab w:val="center" w:pos="4680"/>
        <w:tab w:val="right" w:pos="9360"/>
      </w:tabs>
      <w:spacing w:line="240" w:lineRule="auto"/>
    </w:pPr>
  </w:style>
  <w:style w:type="character" w:customStyle="1" w:styleId="FooterChar">
    <w:name w:val="Footer Char"/>
    <w:basedOn w:val="DefaultParagraphFont"/>
    <w:link w:val="Footer"/>
    <w:uiPriority w:val="99"/>
    <w:rsid w:val="005F71AB"/>
  </w:style>
  <w:style w:type="character" w:styleId="Hyperlink">
    <w:name w:val="Hyperlink"/>
    <w:basedOn w:val="DefaultParagraphFont"/>
    <w:uiPriority w:val="99"/>
    <w:unhideWhenUsed/>
    <w:rsid w:val="006A3C84"/>
    <w:rPr>
      <w:color w:val="0000FF" w:themeColor="hyperlink"/>
      <w:u w:val="single"/>
    </w:rPr>
  </w:style>
  <w:style w:type="character" w:styleId="PageNumber">
    <w:name w:val="page number"/>
    <w:basedOn w:val="DefaultParagraphFont"/>
    <w:uiPriority w:val="99"/>
    <w:semiHidden/>
    <w:unhideWhenUsed/>
    <w:rsid w:val="006F711F"/>
  </w:style>
  <w:style w:type="paragraph" w:styleId="TOCHeading">
    <w:name w:val="TOC Heading"/>
    <w:basedOn w:val="Heading1"/>
    <w:next w:val="Normal"/>
    <w:uiPriority w:val="39"/>
    <w:unhideWhenUsed/>
    <w:qFormat/>
    <w:rsid w:val="006F711F"/>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6F711F"/>
    <w:pPr>
      <w:spacing w:before="120"/>
      <w:jc w:val="left"/>
    </w:pPr>
    <w:rPr>
      <w:rFonts w:asciiTheme="minorHAnsi" w:hAnsiTheme="minorHAnsi"/>
      <w:b/>
      <w:bCs/>
      <w:i/>
      <w:iCs/>
    </w:rPr>
  </w:style>
  <w:style w:type="paragraph" w:styleId="TOC2">
    <w:name w:val="toc 2"/>
    <w:basedOn w:val="Normal"/>
    <w:next w:val="Normal"/>
    <w:autoRedefine/>
    <w:uiPriority w:val="39"/>
    <w:semiHidden/>
    <w:unhideWhenUsed/>
    <w:rsid w:val="006F711F"/>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6F711F"/>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6F711F"/>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F711F"/>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F711F"/>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F711F"/>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F711F"/>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F711F"/>
    <w:pPr>
      <w:ind w:left="1920"/>
      <w:jc w:val="left"/>
    </w:pPr>
    <w:rPr>
      <w:rFonts w:asciiTheme="minorHAnsi" w:hAnsiTheme="minorHAnsi"/>
      <w:sz w:val="20"/>
      <w:szCs w:val="2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UnresolvedMention1">
    <w:name w:val="Unresolved Mention1"/>
    <w:basedOn w:val="DefaultParagraphFont"/>
    <w:uiPriority w:val="99"/>
    <w:semiHidden/>
    <w:unhideWhenUsed/>
    <w:rsid w:val="00720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494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2626-022-00109-9" TargetMode="External"/><Relationship Id="rId18" Type="http://schemas.openxmlformats.org/officeDocument/2006/relationships/hyperlink" Target="https://www.mordorintelligence.com/industry-reports/india-electric-vehicle-market" TargetMode="External"/><Relationship Id="rId26" Type="http://schemas.openxmlformats.org/officeDocument/2006/relationships/hyperlink" Target="https://jsldbd.com/wp-content/uploads/2026/05/7.pdf" TargetMode="External"/><Relationship Id="rId21" Type="http://schemas.openxmlformats.org/officeDocument/2006/relationships/hyperlink" Target="https://www.precedenceresearch.com/india-electric-vehicle-market"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emerald.com/ijesm/article/17/2/251/123031" TargetMode="External"/><Relationship Id="rId17" Type="http://schemas.openxmlformats.org/officeDocument/2006/relationships/hyperlink" Target="https://www.researchgate.net/profile/Sudhakar-Madhavedi/publication/403693768_Electric_Vehicle_Charging_Infrastructure_and_Urban_Mobility_Performance_Evidence_from_a_Tier-II_City_in_India/links/69dcd6235518257d60ea3147/Electric-Vehicle-Charging-Infrastructure-and-Urban-Mobility-Performance-Evidence-from-a-Tier-II-City-in-India.pdf" TargetMode="External"/><Relationship Id="rId25" Type="http://schemas.openxmlformats.org/officeDocument/2006/relationships/hyperlink" Target="https://dzarc.com/social/article/view/974"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marcgroup.com/india-electric-vehicle-market" TargetMode="External"/><Relationship Id="rId20" Type="http://schemas.openxmlformats.org/officeDocument/2006/relationships/hyperlink" Target="https://www.olacabs.com/about" TargetMode="External"/><Relationship Id="rId29" Type="http://schemas.openxmlformats.org/officeDocument/2006/relationships/hyperlink" Target="https://www.technavio.com/report/india-electric-vehicle-market-industry-analysi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ntiersin.org/journals/energy-research/articles/10.3389/fenrg.2025.1500515/full" TargetMode="External"/><Relationship Id="rId24" Type="http://schemas.openxmlformats.org/officeDocument/2006/relationships/hyperlink" Target="https://www.nature.com/articles/s41598-025-97679-9"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pers.ssrn.com/sol3/Delivery.cfm?abstractid=3186162" TargetMode="External"/><Relationship Id="rId23" Type="http://schemas.openxmlformats.org/officeDocument/2006/relationships/hyperlink" Target="https://www.sciencedirect.com/science/article/pii/S0301421523000514" TargetMode="External"/><Relationship Id="rId28" Type="http://schemas.openxmlformats.org/officeDocument/2006/relationships/hyperlink" Target="https://www.mdpi.com/2032-6653/17/8/428" TargetMode="External"/><Relationship Id="rId36" Type="http://schemas.openxmlformats.org/officeDocument/2006/relationships/fontTable" Target="fontTable.xml"/><Relationship Id="rId10" Type="http://schemas.openxmlformats.org/officeDocument/2006/relationships/hyperlink" Target="https://www.techrxiv.org/doi/pdf/10.36227/techrxiv.174235838.84920773/v1" TargetMode="External"/><Relationship Id="rId19" Type="http://schemas.openxmlformats.org/officeDocument/2006/relationships/hyperlink" Target="https://www.marketresearchfuture.com/reports/india-electric-car-market-12684"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nk.springer.com/chapter/10.1007/978-3-032-04738-0_55" TargetMode="External"/><Relationship Id="rId14" Type="http://schemas.openxmlformats.org/officeDocument/2006/relationships/hyperlink" Target="https://www.fortunebusinessinsights.com/industry-reports/electric-vehicle-market-101678" TargetMode="External"/><Relationship Id="rId22" Type="http://schemas.openxmlformats.org/officeDocument/2006/relationships/hyperlink" Target="https://www.indianarrative.com/opinion/safeguarding-indias-ev-transition-addressing-cybersecurity-risks-from-chinese-electric-vehicles/" TargetMode="External"/><Relationship Id="rId27" Type="http://schemas.openxmlformats.org/officeDocument/2006/relationships/hyperlink" Target="https://sdmimd.ac.in/hrconference2023/papers/IHR2319.pdf" TargetMode="External"/><Relationship Id="rId30" Type="http://schemas.openxmlformats.org/officeDocument/2006/relationships/hyperlink" Target="https://www.mdpi.com/2071-1050/16/19/8364"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kRrui+xvgNJcoCsUb+mPiWTI/w==">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3743</Words>
  <Characters>21340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PARMAR</dc:creator>
  <cp:lastModifiedBy>ARJUN PARMAR</cp:lastModifiedBy>
  <cp:revision>2</cp:revision>
  <dcterms:created xsi:type="dcterms:W3CDTF">2026-10-08T22:10:00Z</dcterms:created>
  <dcterms:modified xsi:type="dcterms:W3CDTF">2026-10-08T22:10:00Z</dcterms:modified>
</cp:coreProperties>
</file>