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E630EA" w14:textId="77777777" w:rsidR="00A96C9B" w:rsidRDefault="00A96C9B" w:rsidP="00A96C9B">
      <w:pPr>
        <w:ind w:left="720" w:hanging="720"/>
        <w:jc w:val="both"/>
        <w:rPr>
          <w:rFonts w:ascii="Arial" w:hAnsi="Arial" w:cs="Arial"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 xml:space="preserve">The trial balance for </w:t>
      </w:r>
      <w:r>
        <w:rPr>
          <w:rFonts w:ascii="Arial" w:hAnsi="Arial" w:cs="Arial"/>
          <w:sz w:val="28"/>
          <w:szCs w:val="28"/>
        </w:rPr>
        <w:t xml:space="preserve">Federer </w:t>
      </w:r>
      <w:r w:rsidRPr="00BC7F38">
        <w:rPr>
          <w:rFonts w:ascii="Arial" w:hAnsi="Arial" w:cs="Arial"/>
          <w:sz w:val="28"/>
          <w:szCs w:val="28"/>
        </w:rPr>
        <w:t>plc for the year ending 30 June 20</w:t>
      </w:r>
      <w:r>
        <w:rPr>
          <w:rFonts w:ascii="Arial" w:hAnsi="Arial" w:cs="Arial"/>
          <w:sz w:val="28"/>
          <w:szCs w:val="28"/>
        </w:rPr>
        <w:t>21 is:</w:t>
      </w:r>
    </w:p>
    <w:p w14:paraId="65EF590C" w14:textId="77777777" w:rsidR="00A96C9B" w:rsidRDefault="00A96C9B" w:rsidP="00A96C9B">
      <w:pPr>
        <w:ind w:left="720" w:hanging="720"/>
        <w:jc w:val="both"/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5491"/>
        <w:gridCol w:w="1838"/>
        <w:gridCol w:w="1692"/>
      </w:tblGrid>
      <w:tr w:rsidR="00A96C9B" w14:paraId="26D69801" w14:textId="77777777" w:rsidTr="00F5170F">
        <w:tc>
          <w:tcPr>
            <w:tcW w:w="5529" w:type="dxa"/>
          </w:tcPr>
          <w:p w14:paraId="2A380B9C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842" w:type="dxa"/>
          </w:tcPr>
          <w:p w14:paraId="432228E0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£</w:t>
            </w:r>
          </w:p>
        </w:tc>
        <w:tc>
          <w:tcPr>
            <w:tcW w:w="1694" w:type="dxa"/>
          </w:tcPr>
          <w:p w14:paraId="108704FA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£</w:t>
            </w:r>
          </w:p>
        </w:tc>
      </w:tr>
      <w:tr w:rsidR="00A96C9B" w14:paraId="11F573C1" w14:textId="77777777" w:rsidTr="00F5170F">
        <w:tc>
          <w:tcPr>
            <w:tcW w:w="5529" w:type="dxa"/>
          </w:tcPr>
          <w:p w14:paraId="11922626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Sales Revenue</w:t>
            </w:r>
          </w:p>
        </w:tc>
        <w:tc>
          <w:tcPr>
            <w:tcW w:w="1842" w:type="dxa"/>
          </w:tcPr>
          <w:p w14:paraId="2ECE33BB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37A3620E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720,000</w:t>
            </w:r>
          </w:p>
        </w:tc>
      </w:tr>
      <w:tr w:rsidR="00A96C9B" w14:paraId="2E850B34" w14:textId="77777777" w:rsidTr="00F5170F">
        <w:tc>
          <w:tcPr>
            <w:tcW w:w="5529" w:type="dxa"/>
          </w:tcPr>
          <w:p w14:paraId="10665D3A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Ordinary Share Capital (£1 shares)</w:t>
            </w:r>
          </w:p>
        </w:tc>
        <w:tc>
          <w:tcPr>
            <w:tcW w:w="1842" w:type="dxa"/>
          </w:tcPr>
          <w:p w14:paraId="421330B1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753FE019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50,000</w:t>
            </w:r>
          </w:p>
        </w:tc>
      </w:tr>
      <w:tr w:rsidR="00A96C9B" w14:paraId="232411AF" w14:textId="77777777" w:rsidTr="00F5170F">
        <w:tc>
          <w:tcPr>
            <w:tcW w:w="5529" w:type="dxa"/>
          </w:tcPr>
          <w:p w14:paraId="410BA7ED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Share Premium</w:t>
            </w:r>
          </w:p>
        </w:tc>
        <w:tc>
          <w:tcPr>
            <w:tcW w:w="1842" w:type="dxa"/>
          </w:tcPr>
          <w:p w14:paraId="7736075C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6EC55393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27,000</w:t>
            </w:r>
          </w:p>
        </w:tc>
      </w:tr>
      <w:tr w:rsidR="00A96C9B" w14:paraId="0D464C04" w14:textId="77777777" w:rsidTr="00F5170F">
        <w:tc>
          <w:tcPr>
            <w:tcW w:w="5529" w:type="dxa"/>
          </w:tcPr>
          <w:p w14:paraId="39C733FA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Retained Earnings </w:t>
            </w:r>
            <w:proofErr w:type="gramStart"/>
            <w:r>
              <w:rPr>
                <w:rFonts w:ascii="Arial" w:hAnsi="Arial" w:cs="Arial"/>
                <w:sz w:val="28"/>
                <w:szCs w:val="28"/>
              </w:rPr>
              <w:t>at</w:t>
            </w:r>
            <w:proofErr w:type="gramEnd"/>
            <w:r>
              <w:rPr>
                <w:rFonts w:ascii="Arial" w:hAnsi="Arial" w:cs="Arial"/>
                <w:sz w:val="28"/>
                <w:szCs w:val="28"/>
              </w:rPr>
              <w:t xml:space="preserve"> 1 July 2020</w:t>
            </w:r>
          </w:p>
        </w:tc>
        <w:tc>
          <w:tcPr>
            <w:tcW w:w="1842" w:type="dxa"/>
          </w:tcPr>
          <w:p w14:paraId="2A21C9A6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6D41B83F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99,500</w:t>
            </w:r>
          </w:p>
        </w:tc>
      </w:tr>
      <w:tr w:rsidR="00A96C9B" w14:paraId="1D97AB59" w14:textId="77777777" w:rsidTr="00F5170F">
        <w:tc>
          <w:tcPr>
            <w:tcW w:w="5529" w:type="dxa"/>
          </w:tcPr>
          <w:p w14:paraId="5CDEE422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Purchases</w:t>
            </w:r>
          </w:p>
        </w:tc>
        <w:tc>
          <w:tcPr>
            <w:tcW w:w="1842" w:type="dxa"/>
          </w:tcPr>
          <w:p w14:paraId="6DE2CC68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437,800</w:t>
            </w:r>
          </w:p>
        </w:tc>
        <w:tc>
          <w:tcPr>
            <w:tcW w:w="1694" w:type="dxa"/>
          </w:tcPr>
          <w:p w14:paraId="30C8ACBD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19D05739" w14:textId="77777777" w:rsidTr="00F5170F">
        <w:tc>
          <w:tcPr>
            <w:tcW w:w="5529" w:type="dxa"/>
          </w:tcPr>
          <w:p w14:paraId="5E954342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Purchase Returns</w:t>
            </w:r>
          </w:p>
        </w:tc>
        <w:tc>
          <w:tcPr>
            <w:tcW w:w="1842" w:type="dxa"/>
          </w:tcPr>
          <w:p w14:paraId="1F421139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449B6DCE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1,800</w:t>
            </w:r>
          </w:p>
        </w:tc>
      </w:tr>
      <w:tr w:rsidR="00A96C9B" w14:paraId="32E1D93E" w14:textId="77777777" w:rsidTr="00F5170F">
        <w:tc>
          <w:tcPr>
            <w:tcW w:w="5529" w:type="dxa"/>
          </w:tcPr>
          <w:p w14:paraId="68AEE1F2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Sales Returns</w:t>
            </w:r>
          </w:p>
        </w:tc>
        <w:tc>
          <w:tcPr>
            <w:tcW w:w="1842" w:type="dxa"/>
          </w:tcPr>
          <w:p w14:paraId="181F029E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4,200</w:t>
            </w:r>
          </w:p>
        </w:tc>
        <w:tc>
          <w:tcPr>
            <w:tcW w:w="1694" w:type="dxa"/>
          </w:tcPr>
          <w:p w14:paraId="78B42AFB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5543D777" w14:textId="77777777" w:rsidTr="00F5170F">
        <w:tc>
          <w:tcPr>
            <w:tcW w:w="5529" w:type="dxa"/>
          </w:tcPr>
          <w:p w14:paraId="1D57F552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Carriage In</w:t>
            </w:r>
          </w:p>
        </w:tc>
        <w:tc>
          <w:tcPr>
            <w:tcW w:w="1842" w:type="dxa"/>
          </w:tcPr>
          <w:p w14:paraId="526AFD71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1,250</w:t>
            </w:r>
          </w:p>
        </w:tc>
        <w:tc>
          <w:tcPr>
            <w:tcW w:w="1694" w:type="dxa"/>
          </w:tcPr>
          <w:p w14:paraId="6D89A9CC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2CE57BAB" w14:textId="77777777" w:rsidTr="00F5170F">
        <w:tc>
          <w:tcPr>
            <w:tcW w:w="5529" w:type="dxa"/>
          </w:tcPr>
          <w:p w14:paraId="26ADE0D9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Carriage Out</w:t>
            </w:r>
          </w:p>
        </w:tc>
        <w:tc>
          <w:tcPr>
            <w:tcW w:w="1842" w:type="dxa"/>
          </w:tcPr>
          <w:p w14:paraId="7797BEE5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4,870</w:t>
            </w:r>
          </w:p>
        </w:tc>
        <w:tc>
          <w:tcPr>
            <w:tcW w:w="1694" w:type="dxa"/>
          </w:tcPr>
          <w:p w14:paraId="13833DC5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3BCE5EBF" w14:textId="77777777" w:rsidTr="00F5170F">
        <w:tc>
          <w:tcPr>
            <w:tcW w:w="5529" w:type="dxa"/>
          </w:tcPr>
          <w:p w14:paraId="7AC6256F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Property at cost</w:t>
            </w:r>
          </w:p>
        </w:tc>
        <w:tc>
          <w:tcPr>
            <w:tcW w:w="1842" w:type="dxa"/>
          </w:tcPr>
          <w:p w14:paraId="1E971D1F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250,000</w:t>
            </w:r>
          </w:p>
        </w:tc>
        <w:tc>
          <w:tcPr>
            <w:tcW w:w="1694" w:type="dxa"/>
          </w:tcPr>
          <w:p w14:paraId="2644E33D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745AF71A" w14:textId="77777777" w:rsidTr="00F5170F">
        <w:tc>
          <w:tcPr>
            <w:tcW w:w="5529" w:type="dxa"/>
          </w:tcPr>
          <w:p w14:paraId="77159914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Motor Vehicles at cost</w:t>
            </w:r>
          </w:p>
        </w:tc>
        <w:tc>
          <w:tcPr>
            <w:tcW w:w="1842" w:type="dxa"/>
          </w:tcPr>
          <w:p w14:paraId="129E905A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74,000</w:t>
            </w:r>
          </w:p>
        </w:tc>
        <w:tc>
          <w:tcPr>
            <w:tcW w:w="1694" w:type="dxa"/>
          </w:tcPr>
          <w:p w14:paraId="68147860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151A295D" w14:textId="77777777" w:rsidTr="00F5170F">
        <w:tc>
          <w:tcPr>
            <w:tcW w:w="5529" w:type="dxa"/>
          </w:tcPr>
          <w:p w14:paraId="60C6A6CA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Accumulated property depreciation </w:t>
            </w:r>
          </w:p>
        </w:tc>
        <w:tc>
          <w:tcPr>
            <w:tcW w:w="1842" w:type="dxa"/>
          </w:tcPr>
          <w:p w14:paraId="3FF98772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62CE081D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54,000</w:t>
            </w:r>
          </w:p>
        </w:tc>
      </w:tr>
      <w:tr w:rsidR="00A96C9B" w14:paraId="04E8B8E0" w14:textId="77777777" w:rsidTr="00F5170F">
        <w:tc>
          <w:tcPr>
            <w:tcW w:w="5529" w:type="dxa"/>
          </w:tcPr>
          <w:p w14:paraId="27B18CAF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Accumulated motor vehicle depreciation</w:t>
            </w:r>
          </w:p>
        </w:tc>
        <w:tc>
          <w:tcPr>
            <w:tcW w:w="1842" w:type="dxa"/>
          </w:tcPr>
          <w:p w14:paraId="616EDC61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75096807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34,000</w:t>
            </w:r>
          </w:p>
        </w:tc>
      </w:tr>
      <w:tr w:rsidR="00A96C9B" w14:paraId="10FBF250" w14:textId="77777777" w:rsidTr="00F5170F">
        <w:tc>
          <w:tcPr>
            <w:tcW w:w="5529" w:type="dxa"/>
          </w:tcPr>
          <w:p w14:paraId="6F09253D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Opening Inventory</w:t>
            </w:r>
          </w:p>
        </w:tc>
        <w:tc>
          <w:tcPr>
            <w:tcW w:w="1842" w:type="dxa"/>
          </w:tcPr>
          <w:p w14:paraId="4CE69A62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37,630</w:t>
            </w:r>
          </w:p>
        </w:tc>
        <w:tc>
          <w:tcPr>
            <w:tcW w:w="1694" w:type="dxa"/>
          </w:tcPr>
          <w:p w14:paraId="45BD79F1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043EFE7E" w14:textId="77777777" w:rsidTr="00F5170F">
        <w:tc>
          <w:tcPr>
            <w:tcW w:w="5529" w:type="dxa"/>
          </w:tcPr>
          <w:p w14:paraId="2C8B9FC9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 Receivables</w:t>
            </w:r>
          </w:p>
        </w:tc>
        <w:tc>
          <w:tcPr>
            <w:tcW w:w="1842" w:type="dxa"/>
          </w:tcPr>
          <w:p w14:paraId="037DA8C2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68,250</w:t>
            </w:r>
          </w:p>
        </w:tc>
        <w:tc>
          <w:tcPr>
            <w:tcW w:w="1694" w:type="dxa"/>
          </w:tcPr>
          <w:p w14:paraId="06BFB993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7B5DB96A" w14:textId="77777777" w:rsidTr="00F5170F">
        <w:tc>
          <w:tcPr>
            <w:tcW w:w="5529" w:type="dxa"/>
          </w:tcPr>
          <w:p w14:paraId="7FB5E330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 Payables</w:t>
            </w:r>
          </w:p>
        </w:tc>
        <w:tc>
          <w:tcPr>
            <w:tcW w:w="1842" w:type="dxa"/>
          </w:tcPr>
          <w:p w14:paraId="7FD9AA36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5C63CA88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18,540</w:t>
            </w:r>
          </w:p>
        </w:tc>
      </w:tr>
      <w:tr w:rsidR="00A96C9B" w14:paraId="4A2F2EA8" w14:textId="77777777" w:rsidTr="00F5170F">
        <w:tc>
          <w:tcPr>
            <w:tcW w:w="5529" w:type="dxa"/>
          </w:tcPr>
          <w:p w14:paraId="559F1AEE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Administration Expenses</w:t>
            </w:r>
          </w:p>
        </w:tc>
        <w:tc>
          <w:tcPr>
            <w:tcW w:w="1842" w:type="dxa"/>
          </w:tcPr>
          <w:p w14:paraId="53D90D61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67,300</w:t>
            </w:r>
          </w:p>
        </w:tc>
        <w:tc>
          <w:tcPr>
            <w:tcW w:w="1694" w:type="dxa"/>
          </w:tcPr>
          <w:p w14:paraId="48E311D0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0B19D558" w14:textId="77777777" w:rsidTr="00F5170F">
        <w:tc>
          <w:tcPr>
            <w:tcW w:w="5529" w:type="dxa"/>
          </w:tcPr>
          <w:p w14:paraId="0F1DB18F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Distribution Costs</w:t>
            </w:r>
          </w:p>
        </w:tc>
        <w:tc>
          <w:tcPr>
            <w:tcW w:w="1842" w:type="dxa"/>
          </w:tcPr>
          <w:p w14:paraId="01317C37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28,770</w:t>
            </w:r>
          </w:p>
        </w:tc>
        <w:tc>
          <w:tcPr>
            <w:tcW w:w="1694" w:type="dxa"/>
          </w:tcPr>
          <w:p w14:paraId="62770579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1D866C69" w14:textId="77777777" w:rsidTr="00F5170F">
        <w:tc>
          <w:tcPr>
            <w:tcW w:w="5529" w:type="dxa"/>
          </w:tcPr>
          <w:p w14:paraId="791A3C80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Allowance for Receivables</w:t>
            </w:r>
          </w:p>
        </w:tc>
        <w:tc>
          <w:tcPr>
            <w:tcW w:w="1842" w:type="dxa"/>
          </w:tcPr>
          <w:p w14:paraId="7E8FE8CA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71E29BF8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3,500</w:t>
            </w:r>
          </w:p>
        </w:tc>
      </w:tr>
      <w:tr w:rsidR="00A96C9B" w14:paraId="54A6867B" w14:textId="77777777" w:rsidTr="00F5170F">
        <w:tc>
          <w:tcPr>
            <w:tcW w:w="5529" w:type="dxa"/>
          </w:tcPr>
          <w:p w14:paraId="48F9C09A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Bank</w:t>
            </w:r>
          </w:p>
        </w:tc>
        <w:tc>
          <w:tcPr>
            <w:tcW w:w="1842" w:type="dxa"/>
          </w:tcPr>
          <w:p w14:paraId="305EA039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154,270</w:t>
            </w:r>
          </w:p>
        </w:tc>
        <w:tc>
          <w:tcPr>
            <w:tcW w:w="1694" w:type="dxa"/>
          </w:tcPr>
          <w:p w14:paraId="3935811A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420674FE" w14:textId="77777777" w:rsidTr="00F5170F">
        <w:tc>
          <w:tcPr>
            <w:tcW w:w="5529" w:type="dxa"/>
          </w:tcPr>
          <w:p w14:paraId="1381F3D4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5% Long term loan</w:t>
            </w:r>
          </w:p>
        </w:tc>
        <w:tc>
          <w:tcPr>
            <w:tcW w:w="1842" w:type="dxa"/>
          </w:tcPr>
          <w:p w14:paraId="7B73C901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23F32606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120,000</w:t>
            </w:r>
          </w:p>
        </w:tc>
      </w:tr>
      <w:tr w:rsidR="00A96C9B" w14:paraId="40194689" w14:textId="77777777" w:rsidTr="00F5170F">
        <w:tc>
          <w:tcPr>
            <w:tcW w:w="5529" w:type="dxa"/>
          </w:tcPr>
          <w:p w14:paraId="0CC312B0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842" w:type="dxa"/>
          </w:tcPr>
          <w:p w14:paraId="32B09852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94" w:type="dxa"/>
          </w:tcPr>
          <w:p w14:paraId="3BD045F9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96C9B" w14:paraId="2D877D18" w14:textId="77777777" w:rsidTr="00F5170F">
        <w:tc>
          <w:tcPr>
            <w:tcW w:w="5529" w:type="dxa"/>
          </w:tcPr>
          <w:p w14:paraId="24B3D0E2" w14:textId="77777777" w:rsidR="00A96C9B" w:rsidRDefault="00A96C9B" w:rsidP="00F5170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842" w:type="dxa"/>
          </w:tcPr>
          <w:p w14:paraId="21614326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1,128,340</w:t>
            </w:r>
          </w:p>
        </w:tc>
        <w:tc>
          <w:tcPr>
            <w:tcW w:w="1694" w:type="dxa"/>
          </w:tcPr>
          <w:p w14:paraId="2B59C280" w14:textId="77777777" w:rsidR="00A96C9B" w:rsidRDefault="00A96C9B" w:rsidP="00F5170F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1,128,340</w:t>
            </w:r>
          </w:p>
        </w:tc>
      </w:tr>
    </w:tbl>
    <w:p w14:paraId="41D6DE55" w14:textId="77777777" w:rsidR="00A96C9B" w:rsidRDefault="00A96C9B" w:rsidP="00A96C9B">
      <w:pPr>
        <w:ind w:left="720" w:hanging="720"/>
        <w:jc w:val="both"/>
        <w:rPr>
          <w:rFonts w:ascii="Arial" w:hAnsi="Arial" w:cs="Arial"/>
          <w:sz w:val="28"/>
          <w:szCs w:val="28"/>
        </w:rPr>
      </w:pPr>
    </w:p>
    <w:p w14:paraId="6B1C29D5" w14:textId="77777777" w:rsidR="00A96C9B" w:rsidRPr="00BC7F38" w:rsidRDefault="00A96C9B" w:rsidP="00A96C9B">
      <w:pPr>
        <w:ind w:left="720" w:hanging="720"/>
        <w:jc w:val="both"/>
        <w:rPr>
          <w:rFonts w:ascii="Arial" w:hAnsi="Arial" w:cs="Arial"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>The following information has been made available in respect of</w:t>
      </w:r>
      <w:r>
        <w:rPr>
          <w:rFonts w:ascii="Arial" w:hAnsi="Arial" w:cs="Arial"/>
          <w:sz w:val="28"/>
          <w:szCs w:val="28"/>
        </w:rPr>
        <w:t xml:space="preserve"> Federer</w:t>
      </w:r>
      <w:r w:rsidRPr="00BC7F38">
        <w:rPr>
          <w:rFonts w:ascii="Arial" w:hAnsi="Arial" w:cs="Arial"/>
          <w:sz w:val="28"/>
          <w:szCs w:val="28"/>
        </w:rPr>
        <w:t xml:space="preserve"> plc for the year ending 30 June 20</w:t>
      </w:r>
      <w:r>
        <w:rPr>
          <w:rFonts w:ascii="Arial" w:hAnsi="Arial" w:cs="Arial"/>
          <w:sz w:val="28"/>
          <w:szCs w:val="28"/>
        </w:rPr>
        <w:t>21</w:t>
      </w:r>
      <w:r w:rsidRPr="00BC7F38">
        <w:rPr>
          <w:rFonts w:ascii="Arial" w:hAnsi="Arial" w:cs="Arial"/>
          <w:sz w:val="28"/>
          <w:szCs w:val="28"/>
        </w:rPr>
        <w:t>:</w:t>
      </w:r>
    </w:p>
    <w:p w14:paraId="327DD11B" w14:textId="77777777" w:rsidR="00A96C9B" w:rsidRPr="00BC7F38" w:rsidRDefault="00A96C9B" w:rsidP="00A96C9B">
      <w:pPr>
        <w:rPr>
          <w:rFonts w:ascii="Arial" w:hAnsi="Arial" w:cs="Arial"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ab/>
      </w:r>
      <w:r w:rsidRPr="00BC7F38">
        <w:rPr>
          <w:rFonts w:ascii="Arial" w:hAnsi="Arial" w:cs="Arial"/>
          <w:sz w:val="28"/>
          <w:szCs w:val="28"/>
        </w:rPr>
        <w:tab/>
      </w:r>
      <w:r w:rsidRPr="00BC7F38">
        <w:rPr>
          <w:rFonts w:ascii="Arial" w:hAnsi="Arial" w:cs="Arial"/>
          <w:sz w:val="28"/>
          <w:szCs w:val="28"/>
        </w:rPr>
        <w:tab/>
      </w:r>
      <w:r w:rsidRPr="00BC7F38">
        <w:rPr>
          <w:rFonts w:ascii="Arial" w:hAnsi="Arial" w:cs="Arial"/>
          <w:sz w:val="28"/>
          <w:szCs w:val="28"/>
        </w:rPr>
        <w:tab/>
      </w:r>
      <w:r w:rsidRPr="00BC7F38">
        <w:rPr>
          <w:rFonts w:ascii="Arial" w:hAnsi="Arial" w:cs="Arial"/>
          <w:sz w:val="28"/>
          <w:szCs w:val="28"/>
        </w:rPr>
        <w:tab/>
      </w:r>
    </w:p>
    <w:p w14:paraId="1FCBD50C" w14:textId="77777777" w:rsidR="00A96C9B" w:rsidRDefault="00A96C9B" w:rsidP="00A96C9B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Closing inventory was valued at £48,700.</w:t>
      </w:r>
    </w:p>
    <w:p w14:paraId="69B8F7D6" w14:textId="77777777" w:rsidR="00A96C9B" w:rsidRDefault="00A96C9B" w:rsidP="00A96C9B">
      <w:pPr>
        <w:ind w:left="1080"/>
        <w:rPr>
          <w:rFonts w:ascii="Arial" w:hAnsi="Arial" w:cs="Arial"/>
          <w:sz w:val="28"/>
          <w:szCs w:val="28"/>
        </w:rPr>
      </w:pPr>
    </w:p>
    <w:p w14:paraId="7808BBB5" w14:textId="77777777" w:rsidR="00A96C9B" w:rsidRPr="00C12D31" w:rsidRDefault="00A96C9B" w:rsidP="00A96C9B">
      <w:pPr>
        <w:ind w:left="1080"/>
        <w:jc w:val="right"/>
        <w:rPr>
          <w:rFonts w:ascii="Arial" w:hAnsi="Arial" w:cs="Arial"/>
          <w:b/>
          <w:bCs/>
          <w:sz w:val="28"/>
          <w:szCs w:val="28"/>
        </w:rPr>
      </w:pPr>
      <w:r w:rsidRPr="00C12D31">
        <w:rPr>
          <w:rFonts w:ascii="Arial" w:hAnsi="Arial" w:cs="Arial"/>
          <w:b/>
          <w:bCs/>
          <w:sz w:val="28"/>
          <w:szCs w:val="28"/>
        </w:rPr>
        <w:t>TURN OVER</w:t>
      </w:r>
    </w:p>
    <w:p w14:paraId="02160F56" w14:textId="77777777" w:rsidR="00A96C9B" w:rsidRDefault="00A96C9B" w:rsidP="00A96C9B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Depreciation for the year has not yet been charged. Federer’s depreciation policy is:</w:t>
      </w:r>
    </w:p>
    <w:p w14:paraId="2356FE08" w14:textId="77777777" w:rsidR="00A96C9B" w:rsidRDefault="00A96C9B" w:rsidP="00A96C9B">
      <w:pPr>
        <w:pStyle w:val="ListParagraph"/>
        <w:rPr>
          <w:rFonts w:ascii="Arial" w:hAnsi="Arial" w:cs="Arial"/>
          <w:sz w:val="28"/>
          <w:szCs w:val="28"/>
        </w:rPr>
      </w:pPr>
    </w:p>
    <w:p w14:paraId="5B5C3DB1" w14:textId="77777777" w:rsidR="00A96C9B" w:rsidRPr="00DD228A" w:rsidRDefault="00A96C9B" w:rsidP="00A96C9B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DD228A">
        <w:rPr>
          <w:rFonts w:ascii="Arial" w:hAnsi="Arial" w:cs="Arial"/>
          <w:sz w:val="28"/>
          <w:szCs w:val="28"/>
        </w:rPr>
        <w:t xml:space="preserve">Property is depreciated over </w:t>
      </w:r>
      <w:r>
        <w:rPr>
          <w:rFonts w:ascii="Arial" w:hAnsi="Arial" w:cs="Arial"/>
          <w:sz w:val="28"/>
          <w:szCs w:val="28"/>
        </w:rPr>
        <w:t xml:space="preserve">a </w:t>
      </w:r>
      <w:r w:rsidRPr="00DD228A">
        <w:rPr>
          <w:rFonts w:ascii="Arial" w:hAnsi="Arial" w:cs="Arial"/>
          <w:sz w:val="28"/>
          <w:szCs w:val="28"/>
        </w:rPr>
        <w:t>50-year useful life on a straight-line basis. It is charged 50% to Cost of sales and 50% to Administration expenses.</w:t>
      </w:r>
    </w:p>
    <w:p w14:paraId="7CB79666" w14:textId="77777777" w:rsidR="00A96C9B" w:rsidRPr="00DD228A" w:rsidRDefault="00A96C9B" w:rsidP="00A96C9B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DD228A">
        <w:rPr>
          <w:rFonts w:ascii="Arial" w:hAnsi="Arial" w:cs="Arial"/>
          <w:sz w:val="28"/>
          <w:szCs w:val="28"/>
        </w:rPr>
        <w:t>Motor vehicles are depreciated at 20% reducing balance. It is all charged to Distribution costs.</w:t>
      </w:r>
    </w:p>
    <w:p w14:paraId="2A11C4DC" w14:textId="77777777" w:rsidR="00A96C9B" w:rsidRPr="00BC7F38" w:rsidRDefault="00A96C9B" w:rsidP="00A96C9B">
      <w:pPr>
        <w:ind w:left="1080"/>
        <w:rPr>
          <w:rFonts w:ascii="Arial" w:hAnsi="Arial" w:cs="Arial"/>
          <w:sz w:val="28"/>
          <w:szCs w:val="28"/>
        </w:rPr>
      </w:pPr>
    </w:p>
    <w:p w14:paraId="06BA04DE" w14:textId="77777777" w:rsidR="00A96C9B" w:rsidRDefault="00A96C9B" w:rsidP="00A96C9B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One of Federer’s customers was declared bankrupt during the year owing Federer £2,250. No adjustment has yet been made in respect of this.  </w:t>
      </w:r>
    </w:p>
    <w:p w14:paraId="29595D11" w14:textId="77777777" w:rsidR="00A96C9B" w:rsidRDefault="00A96C9B" w:rsidP="00A96C9B">
      <w:pPr>
        <w:rPr>
          <w:rFonts w:ascii="Arial" w:hAnsi="Arial" w:cs="Arial"/>
          <w:sz w:val="28"/>
          <w:szCs w:val="28"/>
        </w:rPr>
      </w:pPr>
    </w:p>
    <w:p w14:paraId="6454134A" w14:textId="77777777" w:rsidR="00A96C9B" w:rsidRDefault="00A96C9B" w:rsidP="00A96C9B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Allowance for doubtful debts should be maintained at 6% of closing receivables. </w:t>
      </w:r>
    </w:p>
    <w:p w14:paraId="0874EDFB" w14:textId="77777777" w:rsidR="00A96C9B" w:rsidRDefault="00A96C9B" w:rsidP="00A96C9B">
      <w:pPr>
        <w:pStyle w:val="ListParagraph"/>
        <w:rPr>
          <w:rFonts w:ascii="Arial" w:hAnsi="Arial" w:cs="Arial"/>
          <w:sz w:val="28"/>
          <w:szCs w:val="28"/>
        </w:rPr>
      </w:pPr>
    </w:p>
    <w:p w14:paraId="08DA5F79" w14:textId="77777777" w:rsidR="00A96C9B" w:rsidRPr="00BC7F38" w:rsidRDefault="00A96C9B" w:rsidP="00A96C9B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>The following items require adjustment in the financial statements:</w:t>
      </w:r>
    </w:p>
    <w:p w14:paraId="3C8D5BA8" w14:textId="77777777" w:rsidR="00A96C9B" w:rsidRPr="00BC7F38" w:rsidRDefault="00A96C9B" w:rsidP="00A96C9B">
      <w:pPr>
        <w:ind w:left="720"/>
        <w:rPr>
          <w:rFonts w:ascii="Arial" w:hAnsi="Arial" w:cs="Arial"/>
          <w:sz w:val="28"/>
          <w:szCs w:val="28"/>
        </w:rPr>
      </w:pPr>
    </w:p>
    <w:p w14:paraId="16020670" w14:textId="77777777" w:rsidR="00A96C9B" w:rsidRPr="009C5AFC" w:rsidRDefault="00A96C9B" w:rsidP="00A96C9B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9C5AFC">
        <w:rPr>
          <w:rFonts w:ascii="Arial" w:hAnsi="Arial" w:cs="Arial"/>
          <w:sz w:val="28"/>
          <w:szCs w:val="28"/>
        </w:rPr>
        <w:t>Corporation tax charge for the year is £10,750.</w:t>
      </w:r>
    </w:p>
    <w:p w14:paraId="66BDB853" w14:textId="77777777" w:rsidR="00A96C9B" w:rsidRPr="009C5AFC" w:rsidRDefault="00A96C9B" w:rsidP="00A96C9B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9C5AFC">
        <w:rPr>
          <w:rFonts w:ascii="Arial" w:hAnsi="Arial" w:cs="Arial"/>
          <w:sz w:val="28"/>
          <w:szCs w:val="28"/>
        </w:rPr>
        <w:t>Loan interest has not yet been charged for the year.</w:t>
      </w:r>
    </w:p>
    <w:p w14:paraId="1755267D" w14:textId="77777777" w:rsidR="00A96C9B" w:rsidRPr="009C5AFC" w:rsidRDefault="00A96C9B" w:rsidP="00A96C9B">
      <w:pPr>
        <w:pStyle w:val="ListParagraph"/>
        <w:numPr>
          <w:ilvl w:val="0"/>
          <w:numId w:val="4"/>
        </w:numPr>
        <w:spacing w:line="276" w:lineRule="auto"/>
        <w:contextualSpacing/>
        <w:rPr>
          <w:rFonts w:ascii="Arial" w:hAnsi="Arial" w:cs="Arial"/>
          <w:sz w:val="28"/>
          <w:szCs w:val="28"/>
        </w:rPr>
      </w:pPr>
      <w:r w:rsidRPr="009C5AFC">
        <w:rPr>
          <w:rFonts w:ascii="Arial" w:hAnsi="Arial" w:cs="Arial"/>
          <w:sz w:val="28"/>
          <w:szCs w:val="28"/>
        </w:rPr>
        <w:t>There was an electricity bill outstanding of £2,500 which had not been processed in the accounts at year end.</w:t>
      </w:r>
    </w:p>
    <w:p w14:paraId="38B25730" w14:textId="77777777" w:rsidR="00A96C9B" w:rsidRPr="00BC7F38" w:rsidRDefault="00A96C9B" w:rsidP="00A96C9B">
      <w:pPr>
        <w:ind w:left="1440"/>
        <w:rPr>
          <w:rFonts w:ascii="Arial" w:hAnsi="Arial" w:cs="Arial"/>
          <w:sz w:val="28"/>
          <w:szCs w:val="28"/>
        </w:rPr>
      </w:pPr>
    </w:p>
    <w:p w14:paraId="2CC794BF" w14:textId="77777777" w:rsidR="00A96C9B" w:rsidRPr="00BC7F38" w:rsidRDefault="00A96C9B" w:rsidP="00A96C9B">
      <w:pPr>
        <w:ind w:left="1080"/>
        <w:rPr>
          <w:rFonts w:ascii="Arial" w:hAnsi="Arial" w:cs="Arial"/>
          <w:sz w:val="28"/>
          <w:szCs w:val="28"/>
        </w:rPr>
      </w:pPr>
    </w:p>
    <w:p w14:paraId="7FA221B9" w14:textId="77777777" w:rsidR="00A96C9B" w:rsidRPr="00BC7F38" w:rsidRDefault="00A96C9B" w:rsidP="00A96C9B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BC7F38">
        <w:rPr>
          <w:rFonts w:ascii="Arial" w:hAnsi="Arial" w:cs="Arial"/>
          <w:b/>
          <w:sz w:val="28"/>
          <w:szCs w:val="28"/>
        </w:rPr>
        <w:t>REQUIRED:</w:t>
      </w:r>
    </w:p>
    <w:p w14:paraId="09F4BB35" w14:textId="77777777" w:rsidR="00A96C9B" w:rsidRPr="00BC7F38" w:rsidRDefault="00A96C9B" w:rsidP="00A96C9B">
      <w:pPr>
        <w:spacing w:line="360" w:lineRule="auto"/>
        <w:rPr>
          <w:rFonts w:ascii="Arial" w:hAnsi="Arial" w:cs="Arial"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 xml:space="preserve">In accordance with IAS1, prepare the following statements for </w:t>
      </w:r>
      <w:r>
        <w:rPr>
          <w:rFonts w:ascii="Arial" w:hAnsi="Arial" w:cs="Arial"/>
          <w:sz w:val="28"/>
          <w:szCs w:val="28"/>
        </w:rPr>
        <w:t xml:space="preserve">Federer </w:t>
      </w:r>
      <w:r w:rsidRPr="00BC7F38">
        <w:rPr>
          <w:rFonts w:ascii="Arial" w:hAnsi="Arial" w:cs="Arial"/>
          <w:sz w:val="28"/>
          <w:szCs w:val="28"/>
        </w:rPr>
        <w:t>plc for the year ended 30 June 20</w:t>
      </w:r>
      <w:r>
        <w:rPr>
          <w:rFonts w:ascii="Arial" w:hAnsi="Arial" w:cs="Arial"/>
          <w:sz w:val="28"/>
          <w:szCs w:val="28"/>
        </w:rPr>
        <w:t>21</w:t>
      </w:r>
      <w:r w:rsidRPr="00BC7F38">
        <w:rPr>
          <w:rFonts w:ascii="Arial" w:hAnsi="Arial" w:cs="Arial"/>
          <w:sz w:val="28"/>
          <w:szCs w:val="28"/>
        </w:rPr>
        <w:t>:</w:t>
      </w:r>
    </w:p>
    <w:p w14:paraId="0CBEA39E" w14:textId="77777777" w:rsidR="00A96C9B" w:rsidRPr="00BC7F38" w:rsidRDefault="00A96C9B" w:rsidP="00A96C9B">
      <w:pPr>
        <w:numPr>
          <w:ilvl w:val="0"/>
          <w:numId w:val="2"/>
        </w:numPr>
        <w:spacing w:line="360" w:lineRule="auto"/>
        <w:rPr>
          <w:rFonts w:ascii="Arial" w:hAnsi="Arial" w:cs="Arial"/>
          <w:b/>
          <w:i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>Statement of Comprehensive Income</w:t>
      </w:r>
      <w:r w:rsidRPr="00BC7F38">
        <w:rPr>
          <w:rFonts w:ascii="Arial" w:hAnsi="Arial" w:cs="Arial"/>
          <w:sz w:val="28"/>
          <w:szCs w:val="28"/>
        </w:rPr>
        <w:tab/>
      </w:r>
      <w:r w:rsidRPr="00BC7F38">
        <w:rPr>
          <w:rFonts w:ascii="Arial" w:hAnsi="Arial" w:cs="Arial"/>
          <w:sz w:val="28"/>
          <w:szCs w:val="28"/>
        </w:rPr>
        <w:tab/>
      </w:r>
      <w:r w:rsidRPr="00BC7F38">
        <w:rPr>
          <w:rFonts w:ascii="Arial" w:hAnsi="Arial" w:cs="Arial"/>
          <w:sz w:val="28"/>
          <w:szCs w:val="28"/>
        </w:rPr>
        <w:tab/>
      </w:r>
    </w:p>
    <w:p w14:paraId="0897A331" w14:textId="77777777" w:rsidR="00A96C9B" w:rsidRPr="00BC7F38" w:rsidRDefault="00A96C9B" w:rsidP="00A96C9B">
      <w:pPr>
        <w:numPr>
          <w:ilvl w:val="0"/>
          <w:numId w:val="2"/>
        </w:numPr>
        <w:spacing w:line="360" w:lineRule="auto"/>
        <w:rPr>
          <w:rFonts w:ascii="Arial" w:hAnsi="Arial" w:cs="Arial"/>
          <w:b/>
          <w:i/>
          <w:sz w:val="28"/>
          <w:szCs w:val="28"/>
        </w:rPr>
      </w:pPr>
      <w:r w:rsidRPr="00BC7F38">
        <w:rPr>
          <w:rFonts w:ascii="Arial" w:hAnsi="Arial" w:cs="Arial"/>
          <w:sz w:val="28"/>
          <w:szCs w:val="28"/>
        </w:rPr>
        <w:t>Statement of Financial Position.</w:t>
      </w:r>
      <w:r w:rsidRPr="00BC7F38">
        <w:rPr>
          <w:rFonts w:ascii="Arial" w:hAnsi="Arial" w:cs="Arial"/>
          <w:b/>
          <w:sz w:val="28"/>
          <w:szCs w:val="28"/>
        </w:rPr>
        <w:t xml:space="preserve"> </w:t>
      </w:r>
      <w:r w:rsidRPr="00BC7F38">
        <w:rPr>
          <w:rFonts w:ascii="Arial" w:hAnsi="Arial" w:cs="Arial"/>
          <w:b/>
          <w:sz w:val="28"/>
          <w:szCs w:val="28"/>
        </w:rPr>
        <w:tab/>
      </w:r>
      <w:r w:rsidRPr="00BC7F38">
        <w:rPr>
          <w:rFonts w:ascii="Arial" w:hAnsi="Arial" w:cs="Arial"/>
          <w:b/>
          <w:sz w:val="28"/>
          <w:szCs w:val="28"/>
        </w:rPr>
        <w:tab/>
      </w:r>
      <w:r w:rsidRPr="00BC7F38">
        <w:rPr>
          <w:rFonts w:ascii="Arial" w:hAnsi="Arial" w:cs="Arial"/>
          <w:b/>
          <w:sz w:val="28"/>
          <w:szCs w:val="28"/>
        </w:rPr>
        <w:tab/>
      </w:r>
      <w:r w:rsidRPr="00BC7F38">
        <w:rPr>
          <w:rFonts w:ascii="Arial" w:hAnsi="Arial" w:cs="Arial"/>
          <w:b/>
          <w:sz w:val="28"/>
          <w:szCs w:val="28"/>
        </w:rPr>
        <w:tab/>
      </w:r>
    </w:p>
    <w:p w14:paraId="4166DF56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D64"/>
    <w:multiLevelType w:val="hybridMultilevel"/>
    <w:tmpl w:val="027EE53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21DF125D"/>
    <w:multiLevelType w:val="hybridMultilevel"/>
    <w:tmpl w:val="F84654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1D62B1"/>
    <w:multiLevelType w:val="hybridMultilevel"/>
    <w:tmpl w:val="AAAE60E4"/>
    <w:lvl w:ilvl="0" w:tplc="7400A002">
      <w:start w:val="1"/>
      <w:numFmt w:val="decimal"/>
      <w:lvlText w:val="%1."/>
      <w:lvlJc w:val="left"/>
      <w:pPr>
        <w:ind w:left="1080" w:hanging="720"/>
      </w:pPr>
      <w:rPr>
        <w:rFonts w:ascii="Arial" w:eastAsia="Times New Roman" w:hAnsi="Arial" w:cs="Arial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CD07D5"/>
    <w:multiLevelType w:val="hybridMultilevel"/>
    <w:tmpl w:val="575CE0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2185418"/>
    <w:multiLevelType w:val="hybridMultilevel"/>
    <w:tmpl w:val="E2241E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C9B"/>
    <w:rsid w:val="009A6A88"/>
    <w:rsid w:val="00A96C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0D12A"/>
  <w15:chartTrackingRefBased/>
  <w15:docId w15:val="{1C01F168-DF99-4B36-9B85-5CFD7C05F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6C9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6C9B"/>
    <w:pPr>
      <w:ind w:left="720"/>
    </w:pPr>
  </w:style>
  <w:style w:type="table" w:styleId="TableGrid">
    <w:name w:val="Table Grid"/>
    <w:basedOn w:val="TableNormal"/>
    <w:rsid w:val="00A96C9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285</Words>
  <Characters>1628</Characters>
  <Application>Microsoft Office Word</Application>
  <DocSecurity>0</DocSecurity>
  <Lines>13</Lines>
  <Paragraphs>3</Paragraphs>
  <ScaleCrop>false</ScaleCrop>
  <Company/>
  <LinksUpToDate>false</LinksUpToDate>
  <CharactersWithSpaces>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2022-04-04T09:12:00Z</dcterms:created>
  <dcterms:modified xsi:type="dcterms:W3CDTF">2022-04-04T09:13:00Z</dcterms:modified>
</cp:coreProperties>
</file>