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D106DA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9753B">
              <w:rPr>
                <w:rFonts w:ascii="Times New Roman" w:hAnsi="Times New Roman" w:cs="Times New Roman"/>
                <w:b/>
                <w:color w:val="auto"/>
                <w:sz w:val="48"/>
              </w:rPr>
              <w:t>Louisa Lloyd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594E10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9753B">
              <w:rPr>
                <w:rFonts w:ascii="Times New Roman" w:hAnsi="Times New Roman" w:cs="Times New Roman"/>
                <w:b/>
                <w:color w:val="auto"/>
                <w:sz w:val="48"/>
              </w:rPr>
              <w:t xml:space="preserve"> </w:t>
            </w:r>
            <w:hyperlink r:id="rId11" w:history="1">
              <w:r w:rsidR="0049753B">
                <w:rPr>
                  <w:rStyle w:val="Hyperlink"/>
                </w:rPr>
                <w:t>2420680@student.uwtsd.ac.uk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F7AEF28" w14:textId="77777777" w:rsidR="000413AB"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9753B">
              <w:rPr>
                <w:rFonts w:ascii="Times New Roman" w:hAnsi="Times New Roman" w:cs="Times New Roman"/>
                <w:b/>
                <w:color w:val="auto"/>
                <w:sz w:val="48"/>
              </w:rPr>
              <w:t xml:space="preserve"> </w:t>
            </w:r>
          </w:p>
          <w:p w14:paraId="0DE696B2" w14:textId="40BC413A" w:rsidR="00F927A1" w:rsidRPr="005D3F07" w:rsidRDefault="0049753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24206</w:t>
            </w:r>
            <w:r w:rsidR="000413AB">
              <w:rPr>
                <w:rFonts w:ascii="Times New Roman" w:hAnsi="Times New Roman" w:cs="Times New Roman"/>
                <w:b/>
                <w:sz w:val="48"/>
              </w:rPr>
              <w:t>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9BF05A1"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r w:rsidR="000413AB">
              <w:rPr>
                <w:rFonts w:ascii="Times New Roman" w:hAnsi="Times New Roman" w:cs="Times New Roman"/>
                <w:b/>
                <w:color w:val="auto"/>
                <w:sz w:val="48"/>
              </w:rPr>
              <w:t xml:space="preserve"> (24)</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C613A93" w14:textId="77777777" w:rsidR="000413AB"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6E020474" w14:textId="77777777" w:rsidR="000413AB" w:rsidRDefault="000413AB" w:rsidP="000413AB">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32F8C318"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157128F5" w:rsidR="00FC0334" w:rsidRDefault="00AC570C" w:rsidP="00FF7EBB">
            <w:pPr>
              <w:jc w:val="both"/>
              <w:rPr>
                <w:sz w:val="24"/>
                <w:szCs w:val="24"/>
              </w:rPr>
            </w:pPr>
            <w:r>
              <w:rPr>
                <w:sz w:val="24"/>
                <w:szCs w:val="24"/>
              </w:rPr>
              <w:t>As a</w:t>
            </w:r>
            <w:r w:rsidR="00B224B6">
              <w:rPr>
                <w:sz w:val="24"/>
                <w:szCs w:val="24"/>
              </w:rPr>
              <w:t xml:space="preserve"> </w:t>
            </w:r>
            <w:r>
              <w:rPr>
                <w:sz w:val="24"/>
                <w:szCs w:val="24"/>
              </w:rPr>
              <w:t>social worker</w:t>
            </w:r>
            <w:r w:rsidR="00B224B6">
              <w:rPr>
                <w:sz w:val="24"/>
                <w:szCs w:val="24"/>
              </w:rPr>
              <w:t xml:space="preserve"> for adults</w:t>
            </w:r>
            <w:r>
              <w:rPr>
                <w:sz w:val="24"/>
                <w:szCs w:val="24"/>
              </w:rPr>
              <w:t>, I will be exploring the relevant legislation, the national, local and organisation policies and procedures for safeguarding with regards to children. The Social Services and Wellbeing (Wales) Act (2014)</w:t>
            </w:r>
            <w:r w:rsidR="000413AB">
              <w:rPr>
                <w:sz w:val="24"/>
                <w:szCs w:val="24"/>
              </w:rPr>
              <w:t xml:space="preserve"> (SSWBA)</w:t>
            </w:r>
            <w:r>
              <w:rPr>
                <w:sz w:val="24"/>
                <w:szCs w:val="24"/>
              </w:rPr>
              <w:t xml:space="preserve"> is the overarching legislation in Wales for adults and children. This differs from England </w:t>
            </w:r>
            <w:r w:rsidR="000413AB">
              <w:rPr>
                <w:sz w:val="24"/>
                <w:szCs w:val="24"/>
              </w:rPr>
              <w:t>with</w:t>
            </w:r>
            <w:r>
              <w:rPr>
                <w:sz w:val="24"/>
                <w:szCs w:val="24"/>
              </w:rPr>
              <w:t xml:space="preserve"> the Care Act (2014) for adult safeguarding and the Children Act (2004) for safeguarding children. </w:t>
            </w:r>
          </w:p>
          <w:p w14:paraId="148E80AD" w14:textId="145EBA30" w:rsidR="00FF0419" w:rsidRDefault="000413AB" w:rsidP="00FF7EBB">
            <w:pPr>
              <w:jc w:val="both"/>
              <w:rPr>
                <w:sz w:val="24"/>
                <w:szCs w:val="24"/>
              </w:rPr>
            </w:pPr>
            <w:r>
              <w:rPr>
                <w:sz w:val="24"/>
                <w:szCs w:val="24"/>
              </w:rPr>
              <w:t>Prior to</w:t>
            </w:r>
            <w:r w:rsidR="00271627">
              <w:rPr>
                <w:sz w:val="24"/>
                <w:szCs w:val="24"/>
              </w:rPr>
              <w:t xml:space="preserve"> the</w:t>
            </w:r>
            <w:r>
              <w:rPr>
                <w:sz w:val="24"/>
                <w:szCs w:val="24"/>
              </w:rPr>
              <w:t xml:space="preserve"> SSWBA (2014)</w:t>
            </w:r>
            <w:r w:rsidR="00FF0419">
              <w:rPr>
                <w:sz w:val="24"/>
                <w:szCs w:val="24"/>
              </w:rPr>
              <w:t>, children’s safeguarding legislation was under the Children’s Act (1989). The introduction of S</w:t>
            </w:r>
            <w:r w:rsidR="00271627">
              <w:rPr>
                <w:sz w:val="24"/>
                <w:szCs w:val="24"/>
              </w:rPr>
              <w:t>S</w:t>
            </w:r>
            <w:r w:rsidR="00FF0419">
              <w:rPr>
                <w:sz w:val="24"/>
                <w:szCs w:val="24"/>
              </w:rPr>
              <w:t>WBA</w:t>
            </w:r>
            <w:r w:rsidR="00271627">
              <w:rPr>
                <w:sz w:val="24"/>
                <w:szCs w:val="24"/>
              </w:rPr>
              <w:t xml:space="preserve"> (2014)</w:t>
            </w:r>
            <w:r w:rsidR="00FF0419">
              <w:rPr>
                <w:sz w:val="24"/>
                <w:szCs w:val="24"/>
              </w:rPr>
              <w:t xml:space="preserve"> replaced a number of sections of the Children’s Act</w:t>
            </w:r>
            <w:r w:rsidR="001665DC">
              <w:rPr>
                <w:sz w:val="24"/>
                <w:szCs w:val="24"/>
              </w:rPr>
              <w:t xml:space="preserve"> including Part 3 with Part 6 of</w:t>
            </w:r>
            <w:r>
              <w:rPr>
                <w:sz w:val="24"/>
                <w:szCs w:val="24"/>
              </w:rPr>
              <w:t xml:space="preserve"> SSWBA</w:t>
            </w:r>
            <w:r w:rsidR="00271627">
              <w:rPr>
                <w:sz w:val="24"/>
                <w:szCs w:val="24"/>
              </w:rPr>
              <w:t xml:space="preserve"> (2014)</w:t>
            </w:r>
            <w:r w:rsidR="001665DC">
              <w:rPr>
                <w:sz w:val="24"/>
                <w:szCs w:val="24"/>
              </w:rPr>
              <w:t>. With regards to safeguarding, part 7 of the Act, SSWBA empowers by giving individual’s a voice and control along with having a focus on prevention and early intervention</w:t>
            </w:r>
            <w:r w:rsidR="00A06D07">
              <w:rPr>
                <w:sz w:val="24"/>
                <w:szCs w:val="24"/>
              </w:rPr>
              <w:t xml:space="preserve"> (NSPCC)</w:t>
            </w:r>
            <w:r w:rsidR="001665DC">
              <w:rPr>
                <w:sz w:val="24"/>
                <w:szCs w:val="24"/>
              </w:rPr>
              <w:t xml:space="preserve">. This legislation has adopted the United Nations Convention on the Rights of the Child (UNCRC) by introducing the Rights of Children and Young Persons (Wales) Measure 2011, puts a duty on local authorities to have due regard to the UNCRC and to ensure people in Wales have knowledge of the rights of children and young people. The UNCRC is an international treaty that provides </w:t>
            </w:r>
            <w:r w:rsidR="00446E9F">
              <w:rPr>
                <w:sz w:val="24"/>
                <w:szCs w:val="24"/>
              </w:rPr>
              <w:t xml:space="preserve">human rights for anyone under the age of 18. There are 54 articles that cover all aspects of a child’s </w:t>
            </w:r>
            <w:bookmarkStart w:id="0" w:name="_GoBack"/>
            <w:bookmarkEnd w:id="0"/>
            <w:r w:rsidR="003B05B5">
              <w:rPr>
                <w:sz w:val="24"/>
                <w:szCs w:val="24"/>
              </w:rPr>
              <w:t>life social</w:t>
            </w:r>
            <w:r w:rsidR="00446E9F">
              <w:rPr>
                <w:sz w:val="24"/>
                <w:szCs w:val="24"/>
              </w:rPr>
              <w:t>, economic, political, civil and cultural (</w:t>
            </w:r>
            <w:proofErr w:type="spellStart"/>
            <w:r w:rsidR="00446E9F">
              <w:rPr>
                <w:sz w:val="24"/>
                <w:szCs w:val="24"/>
              </w:rPr>
              <w:t>Unicef</w:t>
            </w:r>
            <w:proofErr w:type="spellEnd"/>
            <w:r w:rsidR="00446E9F">
              <w:rPr>
                <w:sz w:val="24"/>
                <w:szCs w:val="24"/>
              </w:rPr>
              <w:t xml:space="preserve">). The Wales Safeguarding Procedures </w:t>
            </w:r>
            <w:r w:rsidR="00B224B6">
              <w:rPr>
                <w:sz w:val="24"/>
                <w:szCs w:val="24"/>
              </w:rPr>
              <w:t xml:space="preserve">echoes this, </w:t>
            </w:r>
            <w:r w:rsidR="00446E9F">
              <w:rPr>
                <w:sz w:val="24"/>
                <w:szCs w:val="24"/>
              </w:rPr>
              <w:t>one of their key principles that underpin</w:t>
            </w:r>
            <w:r w:rsidR="00C14E67">
              <w:rPr>
                <w:sz w:val="24"/>
                <w:szCs w:val="24"/>
              </w:rPr>
              <w:t>s</w:t>
            </w:r>
            <w:r w:rsidR="00446E9F">
              <w:rPr>
                <w:sz w:val="24"/>
                <w:szCs w:val="24"/>
              </w:rPr>
              <w:t xml:space="preserve"> safeguarding practice being taking a child-centred approach, with the rights of the child being paramount.</w:t>
            </w:r>
            <w:r w:rsidR="006C698E">
              <w:rPr>
                <w:sz w:val="24"/>
                <w:szCs w:val="24"/>
              </w:rPr>
              <w:t xml:space="preserve"> SSWBA</w:t>
            </w:r>
            <w:r w:rsidR="00271627">
              <w:rPr>
                <w:sz w:val="24"/>
                <w:szCs w:val="24"/>
              </w:rPr>
              <w:t xml:space="preserve"> (2014)</w:t>
            </w:r>
            <w:r w:rsidR="006C698E">
              <w:rPr>
                <w:sz w:val="24"/>
                <w:szCs w:val="24"/>
              </w:rPr>
              <w:t xml:space="preserve"> defines a child as being a person who is aged under 18.</w:t>
            </w:r>
          </w:p>
          <w:p w14:paraId="18910DE8" w14:textId="1008BB3C" w:rsidR="006C698E" w:rsidRDefault="006C698E" w:rsidP="00FF7EBB">
            <w:pPr>
              <w:jc w:val="both"/>
              <w:rPr>
                <w:sz w:val="24"/>
                <w:szCs w:val="24"/>
              </w:rPr>
            </w:pPr>
            <w:r>
              <w:rPr>
                <w:sz w:val="24"/>
                <w:szCs w:val="24"/>
              </w:rPr>
              <w:t>As with adults, SSWBA</w:t>
            </w:r>
            <w:r w:rsidR="00271627">
              <w:rPr>
                <w:sz w:val="24"/>
                <w:szCs w:val="24"/>
              </w:rPr>
              <w:t xml:space="preserve"> (2014)</w:t>
            </w:r>
            <w:r>
              <w:rPr>
                <w:sz w:val="24"/>
                <w:szCs w:val="24"/>
              </w:rPr>
              <w:t xml:space="preserve"> under s.130 (4) has a definition of a child at risk as someone who is experiencing or at risk of abuse, neglect, or other kinds of harm and has needs for care and support, regardless of whether the local authority is meeting those needs. </w:t>
            </w:r>
            <w:r w:rsidR="000413AB">
              <w:rPr>
                <w:sz w:val="24"/>
                <w:szCs w:val="24"/>
              </w:rPr>
              <w:t>SSWBA</w:t>
            </w:r>
            <w:r w:rsidR="00271627">
              <w:rPr>
                <w:sz w:val="24"/>
                <w:szCs w:val="24"/>
              </w:rPr>
              <w:t xml:space="preserve"> (2014)</w:t>
            </w:r>
            <w:r>
              <w:rPr>
                <w:sz w:val="24"/>
                <w:szCs w:val="24"/>
              </w:rPr>
              <w:t xml:space="preserve"> defines harm as “ill treatment” that includes sexual, emotional or physical abuse or neglect. The Working </w:t>
            </w:r>
            <w:r w:rsidR="00271627">
              <w:rPr>
                <w:sz w:val="24"/>
                <w:szCs w:val="24"/>
              </w:rPr>
              <w:t>T</w:t>
            </w:r>
            <w:r>
              <w:rPr>
                <w:sz w:val="24"/>
                <w:szCs w:val="24"/>
              </w:rPr>
              <w:t xml:space="preserve">ogether to Safeguard </w:t>
            </w:r>
            <w:r w:rsidR="00271627">
              <w:rPr>
                <w:sz w:val="24"/>
                <w:szCs w:val="24"/>
              </w:rPr>
              <w:t>P</w:t>
            </w:r>
            <w:r>
              <w:rPr>
                <w:sz w:val="24"/>
                <w:szCs w:val="24"/>
              </w:rPr>
              <w:t>eople: volume 5 – handling individual cases to protect children</w:t>
            </w:r>
            <w:r w:rsidR="000413AB">
              <w:rPr>
                <w:sz w:val="24"/>
                <w:szCs w:val="24"/>
              </w:rPr>
              <w:t xml:space="preserve"> at risk guidance identifies</w:t>
            </w:r>
            <w:r>
              <w:rPr>
                <w:sz w:val="24"/>
                <w:szCs w:val="24"/>
              </w:rPr>
              <w:t xml:space="preserve"> </w:t>
            </w:r>
            <w:r w:rsidR="00271627">
              <w:rPr>
                <w:sz w:val="24"/>
                <w:szCs w:val="24"/>
              </w:rPr>
              <w:t xml:space="preserve">these forms of abuse </w:t>
            </w:r>
            <w:r w:rsidR="008B3BE6">
              <w:rPr>
                <w:sz w:val="24"/>
                <w:szCs w:val="24"/>
              </w:rPr>
              <w:t>along with</w:t>
            </w:r>
            <w:r w:rsidR="00271627">
              <w:rPr>
                <w:sz w:val="24"/>
                <w:szCs w:val="24"/>
              </w:rPr>
              <w:t xml:space="preserve"> </w:t>
            </w:r>
            <w:r w:rsidR="008B3BE6">
              <w:rPr>
                <w:sz w:val="24"/>
                <w:szCs w:val="24"/>
              </w:rPr>
              <w:t xml:space="preserve">child sexual exploitation, criminal exploitation, modern slavery and radicalisation (Wales Safeguarding </w:t>
            </w:r>
            <w:r w:rsidR="00271627">
              <w:rPr>
                <w:sz w:val="24"/>
                <w:szCs w:val="24"/>
              </w:rPr>
              <w:t>P</w:t>
            </w:r>
            <w:r w:rsidR="008B3BE6">
              <w:rPr>
                <w:sz w:val="24"/>
                <w:szCs w:val="24"/>
              </w:rPr>
              <w:t xml:space="preserve">rocedures). </w:t>
            </w:r>
            <w:r w:rsidR="008B3BE6">
              <w:rPr>
                <w:sz w:val="24"/>
                <w:szCs w:val="24"/>
              </w:rPr>
              <w:lastRenderedPageBreak/>
              <w:t>Where there is reason to believe a child is at risk of harm, there is duty to report under s.162 SSWBA</w:t>
            </w:r>
            <w:r w:rsidR="00271627">
              <w:rPr>
                <w:sz w:val="24"/>
                <w:szCs w:val="24"/>
              </w:rPr>
              <w:t xml:space="preserve"> (2014)</w:t>
            </w:r>
            <w:r w:rsidR="008B3BE6">
              <w:rPr>
                <w:sz w:val="24"/>
                <w:szCs w:val="24"/>
              </w:rPr>
              <w:t xml:space="preserve">. </w:t>
            </w:r>
            <w:r w:rsidR="00271627">
              <w:rPr>
                <w:sz w:val="24"/>
                <w:szCs w:val="24"/>
              </w:rPr>
              <w:t>I</w:t>
            </w:r>
            <w:r w:rsidR="008B3BE6">
              <w:rPr>
                <w:sz w:val="24"/>
                <w:szCs w:val="24"/>
              </w:rPr>
              <w:t xml:space="preserve">f the concerns are </w:t>
            </w:r>
            <w:r w:rsidR="00B224B6">
              <w:rPr>
                <w:sz w:val="24"/>
                <w:szCs w:val="24"/>
              </w:rPr>
              <w:t>regarding</w:t>
            </w:r>
            <w:r w:rsidR="008B3BE6">
              <w:rPr>
                <w:sz w:val="24"/>
                <w:szCs w:val="24"/>
              </w:rPr>
              <w:t xml:space="preserve"> an unborn child, The Children Act 1989 is the relevant legislation as SSWBA</w:t>
            </w:r>
            <w:r w:rsidR="00271627">
              <w:rPr>
                <w:sz w:val="24"/>
                <w:szCs w:val="24"/>
              </w:rPr>
              <w:t xml:space="preserve"> (2014)</w:t>
            </w:r>
            <w:r w:rsidR="008B3BE6">
              <w:rPr>
                <w:sz w:val="24"/>
                <w:szCs w:val="24"/>
              </w:rPr>
              <w:t xml:space="preserve"> provides limited recognition to unborn children. </w:t>
            </w:r>
          </w:p>
          <w:p w14:paraId="14883BA0" w14:textId="7AEB65DF" w:rsidR="00FC0334" w:rsidRDefault="008B3BE6" w:rsidP="00FF7EBB">
            <w:pPr>
              <w:jc w:val="both"/>
              <w:rPr>
                <w:sz w:val="24"/>
                <w:szCs w:val="24"/>
              </w:rPr>
            </w:pPr>
            <w:r>
              <w:rPr>
                <w:sz w:val="24"/>
                <w:szCs w:val="24"/>
              </w:rPr>
              <w:t xml:space="preserve">The local authority has statutory powers to investigate. </w:t>
            </w:r>
            <w:r w:rsidR="0030761D">
              <w:rPr>
                <w:sz w:val="24"/>
                <w:szCs w:val="24"/>
              </w:rPr>
              <w:t xml:space="preserve">If the child is suffering or likely to suffer “Significant harm” then practitioners are required to revert to the Children’s Act 1989 in order to undertake S47 enquiries. Local Authorities must decide and record actions within one working day. As with adults, decision needs to be made further </w:t>
            </w:r>
            <w:r w:rsidR="00B224B6">
              <w:rPr>
                <w:sz w:val="24"/>
                <w:szCs w:val="24"/>
              </w:rPr>
              <w:t xml:space="preserve">to gaining more </w:t>
            </w:r>
            <w:r w:rsidR="0030761D">
              <w:rPr>
                <w:sz w:val="24"/>
                <w:szCs w:val="24"/>
              </w:rPr>
              <w:t>information.</w:t>
            </w:r>
            <w:r w:rsidR="00B224B6">
              <w:rPr>
                <w:sz w:val="24"/>
                <w:szCs w:val="24"/>
              </w:rPr>
              <w:t xml:space="preserve"> O</w:t>
            </w:r>
            <w:r w:rsidR="0030761D">
              <w:rPr>
                <w:sz w:val="24"/>
                <w:szCs w:val="24"/>
              </w:rPr>
              <w:t>utcome</w:t>
            </w:r>
            <w:r w:rsidR="00B224B6">
              <w:rPr>
                <w:sz w:val="24"/>
                <w:szCs w:val="24"/>
              </w:rPr>
              <w:t>s</w:t>
            </w:r>
            <w:r w:rsidR="0030761D">
              <w:rPr>
                <w:sz w:val="24"/>
                <w:szCs w:val="24"/>
              </w:rPr>
              <w:t xml:space="preserve"> </w:t>
            </w:r>
            <w:r w:rsidR="000413AB">
              <w:rPr>
                <w:sz w:val="24"/>
                <w:szCs w:val="24"/>
              </w:rPr>
              <w:t xml:space="preserve">could be no further action, </w:t>
            </w:r>
            <w:r w:rsidR="0030761D">
              <w:rPr>
                <w:sz w:val="24"/>
                <w:szCs w:val="24"/>
              </w:rPr>
              <w:t>the child may require support under Part 3 SSWBA</w:t>
            </w:r>
            <w:r w:rsidR="00271627">
              <w:rPr>
                <w:sz w:val="24"/>
                <w:szCs w:val="24"/>
              </w:rPr>
              <w:t xml:space="preserve"> (2014)</w:t>
            </w:r>
            <w:r w:rsidR="0030761D">
              <w:rPr>
                <w:sz w:val="24"/>
                <w:szCs w:val="24"/>
              </w:rPr>
              <w:t>, duty to assess a child’s ne</w:t>
            </w:r>
            <w:r w:rsidR="000413AB">
              <w:rPr>
                <w:sz w:val="24"/>
                <w:szCs w:val="24"/>
              </w:rPr>
              <w:t xml:space="preserve">eds for care and support, or </w:t>
            </w:r>
            <w:r w:rsidR="0030761D">
              <w:rPr>
                <w:sz w:val="24"/>
                <w:szCs w:val="24"/>
              </w:rPr>
              <w:t>require a strategy me</w:t>
            </w:r>
            <w:r w:rsidR="00455B51">
              <w:rPr>
                <w:sz w:val="24"/>
                <w:szCs w:val="24"/>
              </w:rPr>
              <w:t xml:space="preserve">eting to initiate S47 enquiries. Following this, a child protection conference may be required within 15 working days if deemed necessary from the strategy meeting. The child protection conference records the risks and the child is then registered and subject to a care and support protection plan.  </w:t>
            </w:r>
          </w:p>
          <w:p w14:paraId="49641ACD" w14:textId="77777777" w:rsidR="00FC0334" w:rsidRDefault="00FC0334" w:rsidP="00FF7EBB">
            <w:pPr>
              <w:jc w:val="both"/>
              <w:rPr>
                <w:sz w:val="24"/>
                <w:szCs w:val="24"/>
              </w:rPr>
            </w:pPr>
          </w:p>
          <w:p w14:paraId="206514B9" w14:textId="03E7165F" w:rsidR="00FC0334" w:rsidRDefault="000413AB" w:rsidP="00FF7EBB">
            <w:pPr>
              <w:jc w:val="both"/>
              <w:rPr>
                <w:sz w:val="24"/>
                <w:szCs w:val="24"/>
              </w:rPr>
            </w:pPr>
            <w:r>
              <w:rPr>
                <w:sz w:val="24"/>
                <w:szCs w:val="24"/>
              </w:rPr>
              <w:t>5</w:t>
            </w:r>
            <w:r w:rsidR="00B224B6">
              <w:rPr>
                <w:sz w:val="24"/>
                <w:szCs w:val="24"/>
              </w:rPr>
              <w:t>50</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0413A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77AF3AE1"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C5D17F9" w14:textId="77777777" w:rsidR="000413AB" w:rsidRDefault="000413AB" w:rsidP="000413A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83955E0" w14:textId="0A5F5A6A" w:rsidR="000413AB" w:rsidRDefault="000413AB" w:rsidP="00FC0334">
            <w:pPr>
              <w:jc w:val="both"/>
              <w:rPr>
                <w:sz w:val="24"/>
                <w:szCs w:val="24"/>
              </w:rPr>
            </w:pPr>
          </w:p>
          <w:p w14:paraId="4CABE426" w14:textId="77777777" w:rsidR="00FC0334" w:rsidRDefault="00FC0334" w:rsidP="00FC0334">
            <w:pPr>
              <w:jc w:val="both"/>
              <w:rPr>
                <w:sz w:val="24"/>
                <w:szCs w:val="24"/>
              </w:rPr>
            </w:pPr>
          </w:p>
          <w:p w14:paraId="1D5BCFE7" w14:textId="0B6DE4B9" w:rsidR="0075099D" w:rsidRDefault="00455B51" w:rsidP="00FC0334">
            <w:pPr>
              <w:jc w:val="both"/>
              <w:rPr>
                <w:sz w:val="24"/>
                <w:szCs w:val="24"/>
              </w:rPr>
            </w:pPr>
            <w:r>
              <w:rPr>
                <w:sz w:val="24"/>
                <w:szCs w:val="24"/>
              </w:rPr>
              <w:t>Although SSWBA aim to have 1 law in Wales to safeguard both adults and children, there are numerous differences when working with adults and children. To being, when working with adults, the overarching legislation is the Social Services Wellbeing (Wales) Act (2014) but when working with children, the Children’s Act 1989 is also utilised. When working with adults, consent must be obtained prior to any referrals being completed unless there is cause to suspect a person lacks capacity by utilising the Mental Capacity Act (2005). When working with children, consent does not need to be obtained</w:t>
            </w:r>
            <w:r w:rsidR="0075099D">
              <w:rPr>
                <w:sz w:val="24"/>
                <w:szCs w:val="24"/>
              </w:rPr>
              <w:t xml:space="preserve"> although Wales Safeguarding Procedures promote sharing of information with the child if appropriate. It can be argued however that people under the age of 16 can have capacity to make informed decisions. Following a landmark case, </w:t>
            </w:r>
            <w:proofErr w:type="spellStart"/>
            <w:r w:rsidR="0075099D">
              <w:rPr>
                <w:sz w:val="24"/>
                <w:szCs w:val="24"/>
              </w:rPr>
              <w:t>Gillick</w:t>
            </w:r>
            <w:proofErr w:type="spellEnd"/>
            <w:r w:rsidR="0075099D">
              <w:rPr>
                <w:sz w:val="24"/>
                <w:szCs w:val="24"/>
              </w:rPr>
              <w:t xml:space="preserve"> competence has been introduced as a legal concept in the United Kingdom. This is where if a child is able to demonstrate enough maturity and intelligence to understand treatment, they do not require parental involvement. </w:t>
            </w:r>
            <w:r w:rsidR="00507E09">
              <w:rPr>
                <w:sz w:val="24"/>
                <w:szCs w:val="24"/>
              </w:rPr>
              <w:t xml:space="preserve">Children also have to identify who has parental responsibility and to they have a right to usually be involved unless a child is </w:t>
            </w:r>
            <w:proofErr w:type="spellStart"/>
            <w:r w:rsidR="00507E09">
              <w:rPr>
                <w:sz w:val="24"/>
                <w:szCs w:val="24"/>
              </w:rPr>
              <w:t>Gillick</w:t>
            </w:r>
            <w:proofErr w:type="spellEnd"/>
            <w:r w:rsidR="00507E09">
              <w:rPr>
                <w:sz w:val="24"/>
                <w:szCs w:val="24"/>
              </w:rPr>
              <w:t xml:space="preserve"> competent. Adults have legal autonomy unless there is evidence they lack capacity with regards to making their own decisions and are able to nominate someone of their choice to make decisions if needed via a lasting power of attorney. </w:t>
            </w:r>
          </w:p>
          <w:p w14:paraId="65C1A97D" w14:textId="77777777" w:rsidR="00DF31F8" w:rsidRDefault="00DF31F8" w:rsidP="00FC0334">
            <w:pPr>
              <w:jc w:val="both"/>
              <w:rPr>
                <w:sz w:val="24"/>
                <w:szCs w:val="24"/>
              </w:rPr>
            </w:pPr>
            <w:r>
              <w:rPr>
                <w:sz w:val="24"/>
                <w:szCs w:val="24"/>
              </w:rPr>
              <w:t xml:space="preserve">Another difference between adults and children is the powers available to professionals when trying to safeguard. When working with adults, there are very little powers available to protect such as being able to remove an adult from an unsafe situation. One of the only legislation available would be the Mental Health Act that could be utilised to provide powers to remove </w:t>
            </w:r>
            <w:r>
              <w:rPr>
                <w:sz w:val="24"/>
                <w:szCs w:val="24"/>
              </w:rPr>
              <w:lastRenderedPageBreak/>
              <w:t xml:space="preserve">but there is a strict criteria and would only be available in very limited situations. In contrast, when working with children, there are court orders that are available to remove children if required. Although still difficult to obtain, they are more easily available to ensure the safety of children compared to adults. </w:t>
            </w:r>
          </w:p>
          <w:p w14:paraId="795C6051" w14:textId="0C83575F" w:rsidR="00FC0334" w:rsidRDefault="00DF31F8" w:rsidP="00FC0334">
            <w:pPr>
              <w:jc w:val="both"/>
              <w:rPr>
                <w:sz w:val="24"/>
                <w:szCs w:val="24"/>
              </w:rPr>
            </w:pPr>
            <w:r>
              <w:rPr>
                <w:sz w:val="24"/>
                <w:szCs w:val="24"/>
              </w:rPr>
              <w:t xml:space="preserve">The final difference I am going to discuss is the different language used between adult and children’s safeguarding. Although SSWBA defines “at risk” </w:t>
            </w:r>
            <w:r w:rsidR="00507E09">
              <w:rPr>
                <w:sz w:val="24"/>
                <w:szCs w:val="24"/>
              </w:rPr>
              <w:t>for both adults and children, it is argued that in order for an adult to be “at risk” there are specific risk factors that exist</w:t>
            </w:r>
            <w:r w:rsidR="00430A82">
              <w:rPr>
                <w:sz w:val="24"/>
                <w:szCs w:val="24"/>
              </w:rPr>
              <w:t xml:space="preserve"> which are assessed</w:t>
            </w:r>
            <w:r w:rsidR="00507E09">
              <w:rPr>
                <w:sz w:val="24"/>
                <w:szCs w:val="24"/>
              </w:rPr>
              <w:t xml:space="preserve"> whereas children are automatically considered vulnerable. There are also differences in the types of abuse identified between adults and ch</w:t>
            </w:r>
            <w:r w:rsidR="00430A82">
              <w:rPr>
                <w:sz w:val="24"/>
                <w:szCs w:val="24"/>
              </w:rPr>
              <w:t xml:space="preserve">ildren. For example, financial </w:t>
            </w:r>
            <w:r w:rsidR="00507E09">
              <w:rPr>
                <w:sz w:val="24"/>
                <w:szCs w:val="24"/>
              </w:rPr>
              <w:t>abuse would ordinarily only be considered in adults</w:t>
            </w:r>
            <w:r w:rsidR="00430A82">
              <w:rPr>
                <w:sz w:val="24"/>
                <w:szCs w:val="24"/>
              </w:rPr>
              <w:t xml:space="preserve"> and not children. Adults also include self-neglect as a type of harm where this is not identified with children. </w:t>
            </w:r>
          </w:p>
          <w:p w14:paraId="67E7ED72" w14:textId="77777777" w:rsidR="00FC0334" w:rsidRDefault="00FC0334" w:rsidP="00FC0334">
            <w:pPr>
              <w:jc w:val="both"/>
              <w:rPr>
                <w:sz w:val="24"/>
                <w:szCs w:val="24"/>
              </w:rPr>
            </w:pPr>
          </w:p>
          <w:p w14:paraId="0E64B386" w14:textId="2C91D0BD" w:rsidR="00FC0334" w:rsidRDefault="000413AB" w:rsidP="00FC0334">
            <w:pPr>
              <w:jc w:val="both"/>
              <w:rPr>
                <w:sz w:val="24"/>
                <w:szCs w:val="24"/>
              </w:rPr>
            </w:pPr>
            <w:r>
              <w:rPr>
                <w:sz w:val="24"/>
                <w:szCs w:val="24"/>
              </w:rPr>
              <w:t>445</w:t>
            </w:r>
          </w:p>
          <w:p w14:paraId="4847C39E"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0413AB">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416C21" w14:textId="77777777" w:rsidR="00CB7EF5" w:rsidRDefault="00CB7EF5">
      <w:r>
        <w:separator/>
      </w:r>
    </w:p>
  </w:endnote>
  <w:endnote w:type="continuationSeparator" w:id="0">
    <w:p w14:paraId="0A1AD0EF" w14:textId="77777777" w:rsidR="00CB7EF5" w:rsidRDefault="00CB7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2DF3F09" w:rsidR="00507E09" w:rsidRDefault="00507E09">
    <w:pPr>
      <w:pStyle w:val="Footer"/>
      <w:jc w:val="right"/>
    </w:pPr>
    <w:r>
      <w:fldChar w:fldCharType="begin"/>
    </w:r>
    <w:r>
      <w:instrText xml:space="preserve"> PAGE   \* MERGEFORMAT </w:instrText>
    </w:r>
    <w:r>
      <w:fldChar w:fldCharType="separate"/>
    </w:r>
    <w:r w:rsidR="003B05B5">
      <w:rPr>
        <w:noProof/>
      </w:rPr>
      <w:t>4</w:t>
    </w:r>
    <w:r>
      <w:rPr>
        <w:noProof/>
      </w:rPr>
      <w:fldChar w:fldCharType="end"/>
    </w:r>
  </w:p>
  <w:p w14:paraId="5CA2AEEC" w14:textId="77777777" w:rsidR="00507E09" w:rsidRPr="00E60F42" w:rsidRDefault="00507E09"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2AF34A" w14:textId="77777777" w:rsidR="00CB7EF5" w:rsidRDefault="00CB7EF5">
      <w:r>
        <w:separator/>
      </w:r>
    </w:p>
  </w:footnote>
  <w:footnote w:type="continuationSeparator" w:id="0">
    <w:p w14:paraId="77977A7F" w14:textId="77777777" w:rsidR="00CB7EF5" w:rsidRDefault="00CB7E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507E09" w:rsidRDefault="00507E09">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13AB"/>
    <w:rsid w:val="00043543"/>
    <w:rsid w:val="00045B87"/>
    <w:rsid w:val="00045C07"/>
    <w:rsid w:val="00045C40"/>
    <w:rsid w:val="00046861"/>
    <w:rsid w:val="00051AEE"/>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4E64"/>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65DC"/>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1627"/>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61D"/>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5B5"/>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A82"/>
    <w:rsid w:val="00430DE3"/>
    <w:rsid w:val="004341A4"/>
    <w:rsid w:val="004348AE"/>
    <w:rsid w:val="004376C0"/>
    <w:rsid w:val="0044223A"/>
    <w:rsid w:val="00446E9F"/>
    <w:rsid w:val="00450B67"/>
    <w:rsid w:val="00451851"/>
    <w:rsid w:val="0045189A"/>
    <w:rsid w:val="00453343"/>
    <w:rsid w:val="004538C3"/>
    <w:rsid w:val="00455B51"/>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9753B"/>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E09"/>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23F"/>
    <w:rsid w:val="006B4496"/>
    <w:rsid w:val="006B5E67"/>
    <w:rsid w:val="006B6612"/>
    <w:rsid w:val="006C2EB5"/>
    <w:rsid w:val="006C698E"/>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099D"/>
    <w:rsid w:val="00751263"/>
    <w:rsid w:val="007544FC"/>
    <w:rsid w:val="00755427"/>
    <w:rsid w:val="00756548"/>
    <w:rsid w:val="0075673A"/>
    <w:rsid w:val="0075704F"/>
    <w:rsid w:val="00763B2D"/>
    <w:rsid w:val="00764C84"/>
    <w:rsid w:val="007710AD"/>
    <w:rsid w:val="00772924"/>
    <w:rsid w:val="0078112D"/>
    <w:rsid w:val="00781746"/>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BE6"/>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456"/>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D07"/>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C570C"/>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4B6"/>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4E6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481"/>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7EF5"/>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31F8"/>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F0F"/>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3E47"/>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419"/>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0680@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CB7CB1-EA53-4EB5-8051-8F4C35A2D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1132</Words>
  <Characters>6457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Louisa Lloyd</cp:lastModifiedBy>
  <cp:revision>3</cp:revision>
  <cp:lastPrinted>2020-02-11T19:20:00Z</cp:lastPrinted>
  <dcterms:created xsi:type="dcterms:W3CDTF">2025-09-30T10:07:00Z</dcterms:created>
  <dcterms:modified xsi:type="dcterms:W3CDTF">2025-10-06T13:35:00Z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