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B8B70" w14:textId="77777777" w:rsidR="00CA43BA" w:rsidRPr="00BA30E0" w:rsidRDefault="00CA43BA" w:rsidP="00BA30E0">
      <w:pPr>
        <w:spacing w:after="0" w:line="360" w:lineRule="auto"/>
        <w:contextualSpacing/>
        <w:rPr>
          <w:rFonts w:ascii="Times New Roman" w:hAnsi="Times New Roman" w:cs="Times New Roman"/>
          <w:color w:val="000000" w:themeColor="text1"/>
          <w:sz w:val="24"/>
          <w:szCs w:val="24"/>
        </w:rPr>
      </w:pPr>
    </w:p>
    <w:p w14:paraId="5820FF95" w14:textId="77777777" w:rsidR="00CA43BA" w:rsidRPr="00BA30E0" w:rsidRDefault="00CA43BA" w:rsidP="00BA30E0">
      <w:pPr>
        <w:spacing w:after="0" w:line="360" w:lineRule="auto"/>
        <w:contextualSpacing/>
        <w:rPr>
          <w:rFonts w:ascii="Times New Roman" w:hAnsi="Times New Roman" w:cs="Times New Roman"/>
          <w:color w:val="000000" w:themeColor="text1"/>
          <w:sz w:val="24"/>
          <w:szCs w:val="24"/>
        </w:rPr>
      </w:pPr>
    </w:p>
    <w:p w14:paraId="04F9E44E" w14:textId="77777777" w:rsidR="00CA43BA" w:rsidRPr="00BA30E0" w:rsidRDefault="00CA43BA" w:rsidP="00BA30E0">
      <w:pPr>
        <w:spacing w:after="0" w:line="360" w:lineRule="auto"/>
        <w:contextualSpacing/>
        <w:rPr>
          <w:rFonts w:ascii="Times New Roman" w:hAnsi="Times New Roman" w:cs="Times New Roman"/>
          <w:color w:val="000000" w:themeColor="text1"/>
          <w:sz w:val="24"/>
          <w:szCs w:val="24"/>
        </w:rPr>
      </w:pPr>
    </w:p>
    <w:p w14:paraId="01B82A67" w14:textId="77777777" w:rsidR="00CA43BA" w:rsidRPr="00BA30E0" w:rsidRDefault="00CA43BA" w:rsidP="00BA30E0">
      <w:pPr>
        <w:spacing w:after="0" w:line="360" w:lineRule="auto"/>
        <w:contextualSpacing/>
        <w:rPr>
          <w:rFonts w:ascii="Times New Roman" w:hAnsi="Times New Roman" w:cs="Times New Roman"/>
          <w:color w:val="000000" w:themeColor="text1"/>
          <w:sz w:val="24"/>
          <w:szCs w:val="24"/>
        </w:rPr>
      </w:pPr>
    </w:p>
    <w:p w14:paraId="113F6F63" w14:textId="77777777" w:rsidR="00CA43BA" w:rsidRPr="00BA30E0" w:rsidRDefault="00CA43BA" w:rsidP="00BA30E0">
      <w:pPr>
        <w:spacing w:after="0" w:line="360" w:lineRule="auto"/>
        <w:contextualSpacing/>
        <w:rPr>
          <w:rFonts w:ascii="Times New Roman" w:hAnsi="Times New Roman" w:cs="Times New Roman"/>
          <w:color w:val="000000" w:themeColor="text1"/>
          <w:sz w:val="24"/>
          <w:szCs w:val="24"/>
        </w:rPr>
      </w:pPr>
    </w:p>
    <w:p w14:paraId="49A0E4C2" w14:textId="77777777" w:rsidR="00CA43BA" w:rsidRPr="00BA30E0" w:rsidRDefault="00CA43BA" w:rsidP="00BA30E0">
      <w:pPr>
        <w:spacing w:after="0" w:line="360" w:lineRule="auto"/>
        <w:contextualSpacing/>
        <w:jc w:val="center"/>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Name:</w:t>
      </w:r>
    </w:p>
    <w:p w14:paraId="3C74D55F" w14:textId="77777777" w:rsidR="00CA43BA" w:rsidRPr="00BA30E0" w:rsidRDefault="00CA43BA" w:rsidP="00BA30E0">
      <w:pPr>
        <w:spacing w:after="0" w:line="360" w:lineRule="auto"/>
        <w:contextualSpacing/>
        <w:jc w:val="center"/>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Student ID:</w:t>
      </w:r>
    </w:p>
    <w:p w14:paraId="692A70C1" w14:textId="77777777" w:rsidR="00CA43BA" w:rsidRPr="00BA30E0" w:rsidRDefault="00CA43BA" w:rsidP="00BA30E0">
      <w:pPr>
        <w:spacing w:after="0" w:line="360" w:lineRule="auto"/>
        <w:contextualSpacing/>
        <w:jc w:val="center"/>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Module:</w:t>
      </w:r>
    </w:p>
    <w:p w14:paraId="1C3494C0" w14:textId="77777777" w:rsidR="00CA43BA" w:rsidRPr="00BA30E0" w:rsidRDefault="00CA43BA" w:rsidP="00BA30E0">
      <w:pPr>
        <w:spacing w:after="0" w:line="360" w:lineRule="auto"/>
        <w:contextualSpacing/>
        <w:jc w:val="center"/>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Date:</w:t>
      </w:r>
    </w:p>
    <w:p w14:paraId="283B4E29" w14:textId="77777777" w:rsidR="00CA43BA" w:rsidRPr="00BA30E0" w:rsidRDefault="00CA43BA" w:rsidP="00BA30E0">
      <w:pPr>
        <w:spacing w:after="0" w:line="360" w:lineRule="auto"/>
        <w:contextualSpacing/>
        <w:jc w:val="center"/>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Wordcount:</w:t>
      </w:r>
    </w:p>
    <w:p w14:paraId="06324E85"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br w:type="page"/>
      </w:r>
    </w:p>
    <w:sdt>
      <w:sdtPr>
        <w:rPr>
          <w:rFonts w:asciiTheme="minorHAnsi" w:eastAsiaTheme="minorHAnsi" w:hAnsiTheme="minorHAnsi" w:cstheme="minorBidi"/>
          <w:b w:val="0"/>
          <w:bCs w:val="0"/>
          <w:i w:val="0"/>
          <w:color w:val="auto"/>
          <w:kern w:val="2"/>
          <w:sz w:val="22"/>
          <w:szCs w:val="22"/>
          <w:lang w:val="en-GB"/>
          <w14:ligatures w14:val="standardContextual"/>
        </w:rPr>
        <w:id w:val="630366531"/>
        <w:docPartObj>
          <w:docPartGallery w:val="Table of Contents"/>
          <w:docPartUnique/>
        </w:docPartObj>
      </w:sdtPr>
      <w:sdtContent>
        <w:p w14:paraId="52FAECB4" w14:textId="77777777" w:rsidR="000F7FC5" w:rsidRPr="00354B86" w:rsidRDefault="00354B86" w:rsidP="00354B86">
          <w:pPr>
            <w:pStyle w:val="TOCHeading"/>
            <w:spacing w:before="0" w:beforeAutospacing="0" w:after="0" w:afterAutospacing="0" w:line="360" w:lineRule="auto"/>
            <w:contextualSpacing/>
            <w:jc w:val="center"/>
            <w:rPr>
              <w:i w:val="0"/>
              <w:lang w:val="en-GB"/>
            </w:rPr>
          </w:pPr>
          <w:r w:rsidRPr="00354B86">
            <w:rPr>
              <w:i w:val="0"/>
              <w:lang w:val="en-GB"/>
            </w:rPr>
            <w:t>TABLE OF CONTENTS</w:t>
          </w:r>
        </w:p>
        <w:p w14:paraId="7F578B8E" w14:textId="77777777" w:rsidR="00354B86" w:rsidRPr="00354B86" w:rsidRDefault="000F7FC5">
          <w:pPr>
            <w:pStyle w:val="TOC1"/>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r w:rsidRPr="00354B86">
            <w:rPr>
              <w:rFonts w:ascii="Times New Roman" w:hAnsi="Times New Roman" w:cs="Times New Roman"/>
              <w:color w:val="000000" w:themeColor="text1"/>
              <w:sz w:val="24"/>
              <w:szCs w:val="24"/>
            </w:rPr>
            <w:fldChar w:fldCharType="begin"/>
          </w:r>
          <w:r w:rsidRPr="00354B86">
            <w:rPr>
              <w:rFonts w:ascii="Times New Roman" w:hAnsi="Times New Roman" w:cs="Times New Roman"/>
              <w:color w:val="000000" w:themeColor="text1"/>
              <w:sz w:val="24"/>
              <w:szCs w:val="24"/>
            </w:rPr>
            <w:instrText xml:space="preserve"> TOC \o "1-3" \h \z \u </w:instrText>
          </w:r>
          <w:r w:rsidRPr="00354B86">
            <w:rPr>
              <w:rFonts w:ascii="Times New Roman" w:hAnsi="Times New Roman" w:cs="Times New Roman"/>
              <w:color w:val="000000" w:themeColor="text1"/>
              <w:sz w:val="24"/>
              <w:szCs w:val="24"/>
            </w:rPr>
            <w:fldChar w:fldCharType="separate"/>
          </w:r>
          <w:hyperlink w:anchor="_Toc226053774" w:history="1">
            <w:r w:rsidR="00354B86" w:rsidRPr="00354B86">
              <w:rPr>
                <w:rStyle w:val="Hyperlink"/>
                <w:rFonts w:ascii="Times New Roman" w:hAnsi="Times New Roman" w:cs="Times New Roman"/>
                <w:noProof/>
                <w:color w:val="000000" w:themeColor="text1"/>
                <w:sz w:val="24"/>
                <w:szCs w:val="24"/>
              </w:rPr>
              <w:t>Element 1: Introduction</w:t>
            </w:r>
            <w:r w:rsidR="00354B86" w:rsidRPr="00354B86">
              <w:rPr>
                <w:rFonts w:ascii="Times New Roman" w:hAnsi="Times New Roman" w:cs="Times New Roman"/>
                <w:noProof/>
                <w:webHidden/>
                <w:color w:val="000000" w:themeColor="text1"/>
                <w:sz w:val="24"/>
                <w:szCs w:val="24"/>
              </w:rPr>
              <w:tab/>
            </w:r>
            <w:r w:rsidR="00354B86" w:rsidRPr="00354B86">
              <w:rPr>
                <w:rFonts w:ascii="Times New Roman" w:hAnsi="Times New Roman" w:cs="Times New Roman"/>
                <w:noProof/>
                <w:webHidden/>
                <w:color w:val="000000" w:themeColor="text1"/>
                <w:sz w:val="24"/>
                <w:szCs w:val="24"/>
              </w:rPr>
              <w:fldChar w:fldCharType="begin"/>
            </w:r>
            <w:r w:rsidR="00354B86" w:rsidRPr="00354B86">
              <w:rPr>
                <w:rFonts w:ascii="Times New Roman" w:hAnsi="Times New Roman" w:cs="Times New Roman"/>
                <w:noProof/>
                <w:webHidden/>
                <w:color w:val="000000" w:themeColor="text1"/>
                <w:sz w:val="24"/>
                <w:szCs w:val="24"/>
              </w:rPr>
              <w:instrText xml:space="preserve"> PAGEREF _Toc226053774 \h </w:instrText>
            </w:r>
            <w:r w:rsidR="00354B86" w:rsidRPr="00354B86">
              <w:rPr>
                <w:rFonts w:ascii="Times New Roman" w:hAnsi="Times New Roman" w:cs="Times New Roman"/>
                <w:noProof/>
                <w:webHidden/>
                <w:color w:val="000000" w:themeColor="text1"/>
                <w:sz w:val="24"/>
                <w:szCs w:val="24"/>
              </w:rPr>
            </w:r>
            <w:r w:rsidR="00354B86" w:rsidRPr="00354B86">
              <w:rPr>
                <w:rFonts w:ascii="Times New Roman" w:hAnsi="Times New Roman" w:cs="Times New Roman"/>
                <w:noProof/>
                <w:webHidden/>
                <w:color w:val="000000" w:themeColor="text1"/>
                <w:sz w:val="24"/>
                <w:szCs w:val="24"/>
              </w:rPr>
              <w:fldChar w:fldCharType="separate"/>
            </w:r>
            <w:r w:rsidR="00354B86" w:rsidRPr="00354B86">
              <w:rPr>
                <w:rFonts w:ascii="Times New Roman" w:hAnsi="Times New Roman" w:cs="Times New Roman"/>
                <w:noProof/>
                <w:webHidden/>
                <w:color w:val="000000" w:themeColor="text1"/>
                <w:sz w:val="24"/>
                <w:szCs w:val="24"/>
              </w:rPr>
              <w:t>4</w:t>
            </w:r>
            <w:r w:rsidR="00354B86" w:rsidRPr="00354B86">
              <w:rPr>
                <w:rFonts w:ascii="Times New Roman" w:hAnsi="Times New Roman" w:cs="Times New Roman"/>
                <w:noProof/>
                <w:webHidden/>
                <w:color w:val="000000" w:themeColor="text1"/>
                <w:sz w:val="24"/>
                <w:szCs w:val="24"/>
              </w:rPr>
              <w:fldChar w:fldCharType="end"/>
            </w:r>
          </w:hyperlink>
        </w:p>
        <w:p w14:paraId="5C91C271"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75" w:history="1">
            <w:r w:rsidRPr="00354B86">
              <w:rPr>
                <w:rStyle w:val="Hyperlink"/>
                <w:rFonts w:ascii="Times New Roman" w:eastAsia="Times New Roman" w:hAnsi="Times New Roman" w:cs="Times New Roman"/>
                <w:bCs/>
                <w:noProof/>
                <w:color w:val="000000" w:themeColor="text1"/>
                <w:sz w:val="24"/>
                <w:szCs w:val="24"/>
              </w:rPr>
              <w:t>Table 1: Stakeholder Identification</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_Toc226053775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4</w:t>
            </w:r>
            <w:r w:rsidRPr="00354B86">
              <w:rPr>
                <w:rFonts w:ascii="Times New Roman" w:hAnsi="Times New Roman" w:cs="Times New Roman"/>
                <w:noProof/>
                <w:webHidden/>
                <w:color w:val="000000" w:themeColor="text1"/>
                <w:sz w:val="24"/>
                <w:szCs w:val="24"/>
              </w:rPr>
              <w:fldChar w:fldCharType="end"/>
            </w:r>
          </w:hyperlink>
        </w:p>
        <w:p w14:paraId="5EDD4CA1"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76" w:history="1">
            <w:r w:rsidRPr="00354B86">
              <w:rPr>
                <w:rStyle w:val="Hyperlink"/>
                <w:rFonts w:ascii="Times New Roman" w:eastAsia="Times New Roman" w:hAnsi="Times New Roman" w:cs="Times New Roman"/>
                <w:bCs/>
                <w:noProof/>
                <w:color w:val="000000" w:themeColor="text1"/>
                <w:sz w:val="24"/>
                <w:szCs w:val="24"/>
              </w:rPr>
              <w:t>Table 2: SMART Objectives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_Toc226053776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4</w:t>
            </w:r>
            <w:r w:rsidRPr="00354B86">
              <w:rPr>
                <w:rFonts w:ascii="Times New Roman" w:hAnsi="Times New Roman" w:cs="Times New Roman"/>
                <w:noProof/>
                <w:webHidden/>
                <w:color w:val="000000" w:themeColor="text1"/>
                <w:sz w:val="24"/>
                <w:szCs w:val="24"/>
              </w:rPr>
              <w:fldChar w:fldCharType="end"/>
            </w:r>
          </w:hyperlink>
        </w:p>
        <w:p w14:paraId="6AD1A5AF" w14:textId="77777777" w:rsidR="00354B86" w:rsidRPr="00354B86" w:rsidRDefault="00354B86">
          <w:pPr>
            <w:pStyle w:val="TOC1"/>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77" w:history="1">
            <w:r w:rsidRPr="00354B86">
              <w:rPr>
                <w:rStyle w:val="Hyperlink"/>
                <w:rFonts w:ascii="Times New Roman" w:hAnsi="Times New Roman" w:cs="Times New Roman"/>
                <w:noProof/>
                <w:color w:val="000000" w:themeColor="text1"/>
                <w:sz w:val="24"/>
                <w:szCs w:val="24"/>
              </w:rPr>
              <w:t>Element 2: Stakeholder Engagement Strategies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_Toc226053777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5</w:t>
            </w:r>
            <w:r w:rsidRPr="00354B86">
              <w:rPr>
                <w:rFonts w:ascii="Times New Roman" w:hAnsi="Times New Roman" w:cs="Times New Roman"/>
                <w:noProof/>
                <w:webHidden/>
                <w:color w:val="000000" w:themeColor="text1"/>
                <w:sz w:val="24"/>
                <w:szCs w:val="24"/>
              </w:rPr>
              <w:fldChar w:fldCharType="end"/>
            </w:r>
          </w:hyperlink>
        </w:p>
        <w:p w14:paraId="07CE2BAE"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78" w:history="1">
            <w:r w:rsidRPr="00354B86">
              <w:rPr>
                <w:rStyle w:val="Hyperlink"/>
                <w:rFonts w:ascii="Times New Roman" w:hAnsi="Times New Roman" w:cs="Times New Roman"/>
                <w:noProof/>
                <w:color w:val="000000" w:themeColor="text1"/>
                <w:sz w:val="24"/>
                <w:szCs w:val="24"/>
              </w:rPr>
              <w:t>2.1 Strategic Analysis of the Project Context</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_Toc226053778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5</w:t>
            </w:r>
            <w:r w:rsidRPr="00354B86">
              <w:rPr>
                <w:rFonts w:ascii="Times New Roman" w:hAnsi="Times New Roman" w:cs="Times New Roman"/>
                <w:noProof/>
                <w:webHidden/>
                <w:color w:val="000000" w:themeColor="text1"/>
                <w:sz w:val="24"/>
                <w:szCs w:val="24"/>
              </w:rPr>
              <w:fldChar w:fldCharType="end"/>
            </w:r>
          </w:hyperlink>
        </w:p>
        <w:p w14:paraId="0B6E647E"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79" w:history="1">
            <w:r w:rsidRPr="00354B86">
              <w:rPr>
                <w:rStyle w:val="Hyperlink"/>
                <w:rFonts w:ascii="Times New Roman" w:hAnsi="Times New Roman" w:cs="Times New Roman"/>
                <w:noProof/>
                <w:color w:val="000000" w:themeColor="text1"/>
                <w:sz w:val="24"/>
                <w:szCs w:val="24"/>
              </w:rPr>
              <w:t>Table 3: PESTLE Analysis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_Toc226053779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5</w:t>
            </w:r>
            <w:r w:rsidRPr="00354B86">
              <w:rPr>
                <w:rFonts w:ascii="Times New Roman" w:hAnsi="Times New Roman" w:cs="Times New Roman"/>
                <w:noProof/>
                <w:webHidden/>
                <w:color w:val="000000" w:themeColor="text1"/>
                <w:sz w:val="24"/>
                <w:szCs w:val="24"/>
              </w:rPr>
              <w:fldChar w:fldCharType="end"/>
            </w:r>
          </w:hyperlink>
        </w:p>
        <w:p w14:paraId="2511E4AE"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80" w:history="1">
            <w:r w:rsidRPr="00354B86">
              <w:rPr>
                <w:rStyle w:val="Hyperlink"/>
                <w:rFonts w:ascii="Times New Roman" w:hAnsi="Times New Roman" w:cs="Times New Roman"/>
                <w:noProof/>
                <w:color w:val="000000" w:themeColor="text1"/>
                <w:sz w:val="24"/>
                <w:szCs w:val="24"/>
              </w:rPr>
              <w:t>Table 4: SWOT Analysis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_Toc226053780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6</w:t>
            </w:r>
            <w:r w:rsidRPr="00354B86">
              <w:rPr>
                <w:rFonts w:ascii="Times New Roman" w:hAnsi="Times New Roman" w:cs="Times New Roman"/>
                <w:noProof/>
                <w:webHidden/>
                <w:color w:val="000000" w:themeColor="text1"/>
                <w:sz w:val="24"/>
                <w:szCs w:val="24"/>
              </w:rPr>
              <w:fldChar w:fldCharType="end"/>
            </w:r>
          </w:hyperlink>
        </w:p>
        <w:p w14:paraId="3A7EB5D0"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81" w:history="1">
            <w:r w:rsidRPr="00354B86">
              <w:rPr>
                <w:rStyle w:val="Hyperlink"/>
                <w:rFonts w:ascii="Times New Roman" w:hAnsi="Times New Roman" w:cs="Times New Roman"/>
                <w:noProof/>
                <w:color w:val="000000" w:themeColor="text1"/>
                <w:sz w:val="24"/>
                <w:szCs w:val="24"/>
              </w:rPr>
              <w:t>Table 5: VRIO Analysis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_Toc226053781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7</w:t>
            </w:r>
            <w:r w:rsidRPr="00354B86">
              <w:rPr>
                <w:rFonts w:ascii="Times New Roman" w:hAnsi="Times New Roman" w:cs="Times New Roman"/>
                <w:noProof/>
                <w:webHidden/>
                <w:color w:val="000000" w:themeColor="text1"/>
                <w:sz w:val="24"/>
                <w:szCs w:val="24"/>
              </w:rPr>
              <w:fldChar w:fldCharType="end"/>
            </w:r>
          </w:hyperlink>
        </w:p>
        <w:p w14:paraId="2A11B4CC"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82" w:history="1">
            <w:r w:rsidRPr="00354B86">
              <w:rPr>
                <w:rStyle w:val="Hyperlink"/>
                <w:rFonts w:ascii="Times New Roman" w:hAnsi="Times New Roman" w:cs="Times New Roman"/>
                <w:noProof/>
                <w:color w:val="000000" w:themeColor="text1"/>
                <w:sz w:val="24"/>
                <w:szCs w:val="24"/>
              </w:rPr>
              <w:t>2.2 Power–Influence–Interest Analysis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_Toc226053782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7</w:t>
            </w:r>
            <w:r w:rsidRPr="00354B86">
              <w:rPr>
                <w:rFonts w:ascii="Times New Roman" w:hAnsi="Times New Roman" w:cs="Times New Roman"/>
                <w:noProof/>
                <w:webHidden/>
                <w:color w:val="000000" w:themeColor="text1"/>
                <w:sz w:val="24"/>
                <w:szCs w:val="24"/>
              </w:rPr>
              <w:fldChar w:fldCharType="end"/>
            </w:r>
          </w:hyperlink>
        </w:p>
        <w:p w14:paraId="0451AD7C"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83" w:history="1">
            <w:r w:rsidRPr="00354B86">
              <w:rPr>
                <w:rStyle w:val="Hyperlink"/>
                <w:rFonts w:ascii="Times New Roman" w:hAnsi="Times New Roman" w:cs="Times New Roman"/>
                <w:noProof/>
                <w:color w:val="000000" w:themeColor="text1"/>
                <w:sz w:val="24"/>
                <w:szCs w:val="24"/>
              </w:rPr>
              <w:t>Table 6: Power–Influence–Interest Matrix</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_Toc226053783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7</w:t>
            </w:r>
            <w:r w:rsidRPr="00354B86">
              <w:rPr>
                <w:rFonts w:ascii="Times New Roman" w:hAnsi="Times New Roman" w:cs="Times New Roman"/>
                <w:noProof/>
                <w:webHidden/>
                <w:color w:val="000000" w:themeColor="text1"/>
                <w:sz w:val="24"/>
                <w:szCs w:val="24"/>
              </w:rPr>
              <w:fldChar w:fldCharType="end"/>
            </w:r>
          </w:hyperlink>
        </w:p>
        <w:p w14:paraId="4C792A70"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84" w:history="1">
            <w:r w:rsidRPr="00354B86">
              <w:rPr>
                <w:rStyle w:val="Hyperlink"/>
                <w:rFonts w:ascii="Times New Roman" w:hAnsi="Times New Roman" w:cs="Times New Roman"/>
                <w:noProof/>
                <w:color w:val="000000" w:themeColor="text1"/>
                <w:sz w:val="24"/>
                <w:szCs w:val="24"/>
              </w:rPr>
              <w:t>2.3 Stakeholder Mapping</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_Toc226053784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8</w:t>
            </w:r>
            <w:r w:rsidRPr="00354B86">
              <w:rPr>
                <w:rFonts w:ascii="Times New Roman" w:hAnsi="Times New Roman" w:cs="Times New Roman"/>
                <w:noProof/>
                <w:webHidden/>
                <w:color w:val="000000" w:themeColor="text1"/>
                <w:sz w:val="24"/>
                <w:szCs w:val="24"/>
              </w:rPr>
              <w:fldChar w:fldCharType="end"/>
            </w:r>
          </w:hyperlink>
        </w:p>
        <w:p w14:paraId="5F5DF3F6"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85" w:history="1">
            <w:r w:rsidRPr="00354B86">
              <w:rPr>
                <w:rStyle w:val="Hyperlink"/>
                <w:rFonts w:ascii="Times New Roman" w:hAnsi="Times New Roman" w:cs="Times New Roman"/>
                <w:noProof/>
                <w:color w:val="000000" w:themeColor="text1"/>
                <w:sz w:val="24"/>
                <w:szCs w:val="24"/>
              </w:rPr>
              <w:t>Table 7: Stakeholder Map</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_Toc226053785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8</w:t>
            </w:r>
            <w:r w:rsidRPr="00354B86">
              <w:rPr>
                <w:rFonts w:ascii="Times New Roman" w:hAnsi="Times New Roman" w:cs="Times New Roman"/>
                <w:noProof/>
                <w:webHidden/>
                <w:color w:val="000000" w:themeColor="text1"/>
                <w:sz w:val="24"/>
                <w:szCs w:val="24"/>
              </w:rPr>
              <w:fldChar w:fldCharType="end"/>
            </w:r>
          </w:hyperlink>
        </w:p>
        <w:p w14:paraId="32650613"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86" w:history="1">
            <w:r w:rsidRPr="00354B86">
              <w:rPr>
                <w:rStyle w:val="Hyperlink"/>
                <w:rFonts w:ascii="Times New Roman" w:hAnsi="Times New Roman" w:cs="Times New Roman"/>
                <w:noProof/>
                <w:color w:val="000000" w:themeColor="text1"/>
                <w:sz w:val="24"/>
                <w:szCs w:val="24"/>
              </w:rPr>
              <w:t>2.4 Communication Plan</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_Toc226053786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9</w:t>
            </w:r>
            <w:r w:rsidRPr="00354B86">
              <w:rPr>
                <w:rFonts w:ascii="Times New Roman" w:hAnsi="Times New Roman" w:cs="Times New Roman"/>
                <w:noProof/>
                <w:webHidden/>
                <w:color w:val="000000" w:themeColor="text1"/>
                <w:sz w:val="24"/>
                <w:szCs w:val="24"/>
              </w:rPr>
              <w:fldChar w:fldCharType="end"/>
            </w:r>
          </w:hyperlink>
        </w:p>
        <w:p w14:paraId="68A6DB58"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87" w:history="1">
            <w:r w:rsidRPr="00354B86">
              <w:rPr>
                <w:rStyle w:val="Hyperlink"/>
                <w:rFonts w:ascii="Times New Roman" w:hAnsi="Times New Roman" w:cs="Times New Roman"/>
                <w:noProof/>
                <w:color w:val="000000" w:themeColor="text1"/>
                <w:sz w:val="24"/>
                <w:szCs w:val="24"/>
              </w:rPr>
              <w:t>Table 8: Communication Plan</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_Toc226053787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9</w:t>
            </w:r>
            <w:r w:rsidRPr="00354B86">
              <w:rPr>
                <w:rFonts w:ascii="Times New Roman" w:hAnsi="Times New Roman" w:cs="Times New Roman"/>
                <w:noProof/>
                <w:webHidden/>
                <w:color w:val="000000" w:themeColor="text1"/>
                <w:sz w:val="24"/>
                <w:szCs w:val="24"/>
              </w:rPr>
              <w:fldChar w:fldCharType="end"/>
            </w:r>
          </w:hyperlink>
        </w:p>
        <w:p w14:paraId="6439B401"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88" w:history="1">
            <w:r w:rsidRPr="00354B86">
              <w:rPr>
                <w:rStyle w:val="Hyperlink"/>
                <w:rFonts w:ascii="Times New Roman" w:hAnsi="Times New Roman" w:cs="Times New Roman"/>
                <w:noProof/>
                <w:color w:val="000000" w:themeColor="text1"/>
                <w:sz w:val="24"/>
                <w:szCs w:val="24"/>
              </w:rPr>
              <w:t>2.5 Consultation Strategy</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_Toc226053788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10</w:t>
            </w:r>
            <w:r w:rsidRPr="00354B86">
              <w:rPr>
                <w:rFonts w:ascii="Times New Roman" w:hAnsi="Times New Roman" w:cs="Times New Roman"/>
                <w:noProof/>
                <w:webHidden/>
                <w:color w:val="000000" w:themeColor="text1"/>
                <w:sz w:val="24"/>
                <w:szCs w:val="24"/>
              </w:rPr>
              <w:fldChar w:fldCharType="end"/>
            </w:r>
          </w:hyperlink>
        </w:p>
        <w:p w14:paraId="14BB7FEE"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89" w:history="1">
            <w:r w:rsidRPr="00354B86">
              <w:rPr>
                <w:rStyle w:val="Hyperlink"/>
                <w:rFonts w:ascii="Times New Roman" w:hAnsi="Times New Roman" w:cs="Times New Roman"/>
                <w:noProof/>
                <w:color w:val="000000" w:themeColor="text1"/>
                <w:sz w:val="24"/>
                <w:szCs w:val="24"/>
              </w:rPr>
              <w:t>Table 9: Consultation Methods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_Toc226053789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10</w:t>
            </w:r>
            <w:r w:rsidRPr="00354B86">
              <w:rPr>
                <w:rFonts w:ascii="Times New Roman" w:hAnsi="Times New Roman" w:cs="Times New Roman"/>
                <w:noProof/>
                <w:webHidden/>
                <w:color w:val="000000" w:themeColor="text1"/>
                <w:sz w:val="24"/>
                <w:szCs w:val="24"/>
              </w:rPr>
              <w:fldChar w:fldCharType="end"/>
            </w:r>
          </w:hyperlink>
        </w:p>
        <w:p w14:paraId="782780B5"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90" w:history="1">
            <w:r w:rsidRPr="00354B86">
              <w:rPr>
                <w:rStyle w:val="Hyperlink"/>
                <w:rFonts w:ascii="Times New Roman" w:hAnsi="Times New Roman" w:cs="Times New Roman"/>
                <w:noProof/>
                <w:color w:val="000000" w:themeColor="text1"/>
                <w:sz w:val="24"/>
                <w:szCs w:val="24"/>
              </w:rPr>
              <w:t>2.6 Critical Evaluation of Stakeholder Engagement</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_Toc226053790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10</w:t>
            </w:r>
            <w:r w:rsidRPr="00354B86">
              <w:rPr>
                <w:rFonts w:ascii="Times New Roman" w:hAnsi="Times New Roman" w:cs="Times New Roman"/>
                <w:noProof/>
                <w:webHidden/>
                <w:color w:val="000000" w:themeColor="text1"/>
                <w:sz w:val="24"/>
                <w:szCs w:val="24"/>
              </w:rPr>
              <w:fldChar w:fldCharType="end"/>
            </w:r>
          </w:hyperlink>
        </w:p>
        <w:p w14:paraId="1E81A940" w14:textId="77777777" w:rsidR="00354B86" w:rsidRPr="00354B86" w:rsidRDefault="00354B86">
          <w:pPr>
            <w:pStyle w:val="TOC1"/>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91" w:history="1">
            <w:r w:rsidRPr="00354B86">
              <w:rPr>
                <w:rStyle w:val="Hyperlink"/>
                <w:rFonts w:ascii="Times New Roman" w:hAnsi="Times New Roman" w:cs="Times New Roman"/>
                <w:noProof/>
                <w:color w:val="000000" w:themeColor="text1"/>
                <w:sz w:val="24"/>
                <w:szCs w:val="24"/>
              </w:rPr>
              <w:t>Element 3: Ethical Considerations in Stakeholder Consultation, Participation and Feedback</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_Toc226053791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11</w:t>
            </w:r>
            <w:r w:rsidRPr="00354B86">
              <w:rPr>
                <w:rFonts w:ascii="Times New Roman" w:hAnsi="Times New Roman" w:cs="Times New Roman"/>
                <w:noProof/>
                <w:webHidden/>
                <w:color w:val="000000" w:themeColor="text1"/>
                <w:sz w:val="24"/>
                <w:szCs w:val="24"/>
              </w:rPr>
              <w:fldChar w:fldCharType="end"/>
            </w:r>
          </w:hyperlink>
        </w:p>
        <w:p w14:paraId="6F46BBB6"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92" w:history="1">
            <w:r w:rsidRPr="00354B86">
              <w:rPr>
                <w:rStyle w:val="Hyperlink"/>
                <w:rFonts w:ascii="Times New Roman" w:hAnsi="Times New Roman" w:cs="Times New Roman"/>
                <w:noProof/>
                <w:color w:val="000000" w:themeColor="text1"/>
                <w:sz w:val="24"/>
                <w:szCs w:val="24"/>
              </w:rPr>
              <w:t>3.1 Methods of Consultation</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_Toc226053792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11</w:t>
            </w:r>
            <w:r w:rsidRPr="00354B86">
              <w:rPr>
                <w:rFonts w:ascii="Times New Roman" w:hAnsi="Times New Roman" w:cs="Times New Roman"/>
                <w:noProof/>
                <w:webHidden/>
                <w:color w:val="000000" w:themeColor="text1"/>
                <w:sz w:val="24"/>
                <w:szCs w:val="24"/>
              </w:rPr>
              <w:fldChar w:fldCharType="end"/>
            </w:r>
          </w:hyperlink>
        </w:p>
        <w:p w14:paraId="079C2F8E"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93" w:history="1">
            <w:r w:rsidRPr="00354B86">
              <w:rPr>
                <w:rStyle w:val="Hyperlink"/>
                <w:rFonts w:ascii="Times New Roman" w:hAnsi="Times New Roman" w:cs="Times New Roman"/>
                <w:noProof/>
                <w:color w:val="000000" w:themeColor="text1"/>
                <w:sz w:val="24"/>
                <w:szCs w:val="24"/>
              </w:rPr>
              <w:t>3.2 Ethical Considerations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_Toc226053793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12</w:t>
            </w:r>
            <w:r w:rsidRPr="00354B86">
              <w:rPr>
                <w:rFonts w:ascii="Times New Roman" w:hAnsi="Times New Roman" w:cs="Times New Roman"/>
                <w:noProof/>
                <w:webHidden/>
                <w:color w:val="000000" w:themeColor="text1"/>
                <w:sz w:val="24"/>
                <w:szCs w:val="24"/>
              </w:rPr>
              <w:fldChar w:fldCharType="end"/>
            </w:r>
          </w:hyperlink>
        </w:p>
        <w:p w14:paraId="0DD90692"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94" w:history="1">
            <w:r w:rsidRPr="00354B86">
              <w:rPr>
                <w:rStyle w:val="Hyperlink"/>
                <w:rFonts w:ascii="Times New Roman" w:hAnsi="Times New Roman" w:cs="Times New Roman"/>
                <w:noProof/>
                <w:color w:val="000000" w:themeColor="text1"/>
                <w:sz w:val="24"/>
                <w:szCs w:val="24"/>
              </w:rPr>
              <w:t>3.3 Bias Control</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_Toc226053794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12</w:t>
            </w:r>
            <w:r w:rsidRPr="00354B86">
              <w:rPr>
                <w:rFonts w:ascii="Times New Roman" w:hAnsi="Times New Roman" w:cs="Times New Roman"/>
                <w:noProof/>
                <w:webHidden/>
                <w:color w:val="000000" w:themeColor="text1"/>
                <w:sz w:val="24"/>
                <w:szCs w:val="24"/>
              </w:rPr>
              <w:fldChar w:fldCharType="end"/>
            </w:r>
          </w:hyperlink>
        </w:p>
        <w:p w14:paraId="59DDDA6A"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95" w:history="1">
            <w:r w:rsidRPr="00354B86">
              <w:rPr>
                <w:rStyle w:val="Hyperlink"/>
                <w:rFonts w:ascii="Times New Roman" w:hAnsi="Times New Roman" w:cs="Times New Roman"/>
                <w:noProof/>
                <w:color w:val="000000" w:themeColor="text1"/>
                <w:sz w:val="24"/>
                <w:szCs w:val="24"/>
              </w:rPr>
              <w:t>Table 10: Bias Control Measures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_Toc226053795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13</w:t>
            </w:r>
            <w:r w:rsidRPr="00354B86">
              <w:rPr>
                <w:rFonts w:ascii="Times New Roman" w:hAnsi="Times New Roman" w:cs="Times New Roman"/>
                <w:noProof/>
                <w:webHidden/>
                <w:color w:val="000000" w:themeColor="text1"/>
                <w:sz w:val="24"/>
                <w:szCs w:val="24"/>
              </w:rPr>
              <w:fldChar w:fldCharType="end"/>
            </w:r>
          </w:hyperlink>
        </w:p>
        <w:p w14:paraId="2F110A5F"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96" w:history="1">
            <w:r w:rsidRPr="00354B86">
              <w:rPr>
                <w:rStyle w:val="Hyperlink"/>
                <w:rFonts w:ascii="Times New Roman" w:hAnsi="Times New Roman" w:cs="Times New Roman"/>
                <w:noProof/>
                <w:color w:val="000000" w:themeColor="text1"/>
                <w:sz w:val="24"/>
                <w:szCs w:val="24"/>
              </w:rPr>
              <w:t>3.4 Diversity, Equity and Inclusion (DEI)</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_Toc226053796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13</w:t>
            </w:r>
            <w:r w:rsidRPr="00354B86">
              <w:rPr>
                <w:rFonts w:ascii="Times New Roman" w:hAnsi="Times New Roman" w:cs="Times New Roman"/>
                <w:noProof/>
                <w:webHidden/>
                <w:color w:val="000000" w:themeColor="text1"/>
                <w:sz w:val="24"/>
                <w:szCs w:val="24"/>
              </w:rPr>
              <w:fldChar w:fldCharType="end"/>
            </w:r>
          </w:hyperlink>
        </w:p>
        <w:p w14:paraId="3BC7ADA3"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97" w:history="1">
            <w:r w:rsidRPr="00354B86">
              <w:rPr>
                <w:rStyle w:val="Hyperlink"/>
                <w:rFonts w:ascii="Times New Roman" w:hAnsi="Times New Roman" w:cs="Times New Roman"/>
                <w:noProof/>
                <w:color w:val="000000" w:themeColor="text1"/>
                <w:sz w:val="24"/>
                <w:szCs w:val="24"/>
              </w:rPr>
              <w:t>3.5 Feedback Collection and Review</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_Toc226053797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13</w:t>
            </w:r>
            <w:r w:rsidRPr="00354B86">
              <w:rPr>
                <w:rFonts w:ascii="Times New Roman" w:hAnsi="Times New Roman" w:cs="Times New Roman"/>
                <w:noProof/>
                <w:webHidden/>
                <w:color w:val="000000" w:themeColor="text1"/>
                <w:sz w:val="24"/>
                <w:szCs w:val="24"/>
              </w:rPr>
              <w:fldChar w:fldCharType="end"/>
            </w:r>
          </w:hyperlink>
        </w:p>
        <w:p w14:paraId="765D18DC"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98" w:history="1">
            <w:r w:rsidRPr="00354B86">
              <w:rPr>
                <w:rStyle w:val="Hyperlink"/>
                <w:rFonts w:ascii="Times New Roman" w:hAnsi="Times New Roman" w:cs="Times New Roman"/>
                <w:noProof/>
                <w:color w:val="000000" w:themeColor="text1"/>
                <w:sz w:val="24"/>
                <w:szCs w:val="24"/>
              </w:rPr>
              <w:t>Table 11: Feedback Review Process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_Toc226053798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14</w:t>
            </w:r>
            <w:r w:rsidRPr="00354B86">
              <w:rPr>
                <w:rFonts w:ascii="Times New Roman" w:hAnsi="Times New Roman" w:cs="Times New Roman"/>
                <w:noProof/>
                <w:webHidden/>
                <w:color w:val="000000" w:themeColor="text1"/>
                <w:sz w:val="24"/>
                <w:szCs w:val="24"/>
              </w:rPr>
              <w:fldChar w:fldCharType="end"/>
            </w:r>
          </w:hyperlink>
        </w:p>
        <w:p w14:paraId="6C8F972C"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799" w:history="1">
            <w:r w:rsidRPr="00354B86">
              <w:rPr>
                <w:rStyle w:val="Hyperlink"/>
                <w:rFonts w:ascii="Times New Roman" w:hAnsi="Times New Roman" w:cs="Times New Roman"/>
                <w:noProof/>
                <w:color w:val="000000" w:themeColor="text1"/>
                <w:sz w:val="24"/>
                <w:szCs w:val="24"/>
              </w:rPr>
              <w:t>3.6 Critical Evaluation</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_Toc226053799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14</w:t>
            </w:r>
            <w:r w:rsidRPr="00354B86">
              <w:rPr>
                <w:rFonts w:ascii="Times New Roman" w:hAnsi="Times New Roman" w:cs="Times New Roman"/>
                <w:noProof/>
                <w:webHidden/>
                <w:color w:val="000000" w:themeColor="text1"/>
                <w:sz w:val="24"/>
                <w:szCs w:val="24"/>
              </w:rPr>
              <w:fldChar w:fldCharType="end"/>
            </w:r>
          </w:hyperlink>
        </w:p>
        <w:p w14:paraId="5BA75883" w14:textId="77777777" w:rsidR="00354B86" w:rsidRPr="00354B86" w:rsidRDefault="00354B86">
          <w:pPr>
            <w:pStyle w:val="TOC1"/>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800" w:history="1">
            <w:r w:rsidRPr="00354B86">
              <w:rPr>
                <w:rStyle w:val="Hyperlink"/>
                <w:rFonts w:ascii="Times New Roman" w:hAnsi="Times New Roman" w:cs="Times New Roman"/>
                <w:noProof/>
                <w:color w:val="000000" w:themeColor="text1"/>
                <w:sz w:val="24"/>
                <w:szCs w:val="24"/>
              </w:rPr>
              <w:t>Element 4: Conclusion and Reflection</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_Toc226053800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15</w:t>
            </w:r>
            <w:r w:rsidRPr="00354B86">
              <w:rPr>
                <w:rFonts w:ascii="Times New Roman" w:hAnsi="Times New Roman" w:cs="Times New Roman"/>
                <w:noProof/>
                <w:webHidden/>
                <w:color w:val="000000" w:themeColor="text1"/>
                <w:sz w:val="24"/>
                <w:szCs w:val="24"/>
              </w:rPr>
              <w:fldChar w:fldCharType="end"/>
            </w:r>
          </w:hyperlink>
        </w:p>
        <w:p w14:paraId="3DFB783A"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801" w:history="1">
            <w:r w:rsidRPr="00354B86">
              <w:rPr>
                <w:rStyle w:val="Hyperlink"/>
                <w:rFonts w:ascii="Times New Roman" w:hAnsi="Times New Roman" w:cs="Times New Roman"/>
                <w:noProof/>
                <w:color w:val="000000" w:themeColor="text1"/>
                <w:sz w:val="24"/>
                <w:szCs w:val="24"/>
              </w:rPr>
              <w:t>4.1 Conclusion</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_Toc226053801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15</w:t>
            </w:r>
            <w:r w:rsidRPr="00354B86">
              <w:rPr>
                <w:rFonts w:ascii="Times New Roman" w:hAnsi="Times New Roman" w:cs="Times New Roman"/>
                <w:noProof/>
                <w:webHidden/>
                <w:color w:val="000000" w:themeColor="text1"/>
                <w:sz w:val="24"/>
                <w:szCs w:val="24"/>
              </w:rPr>
              <w:fldChar w:fldCharType="end"/>
            </w:r>
          </w:hyperlink>
        </w:p>
        <w:p w14:paraId="73400C5A"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802" w:history="1">
            <w:r w:rsidRPr="00354B86">
              <w:rPr>
                <w:rStyle w:val="Hyperlink"/>
                <w:rFonts w:ascii="Times New Roman" w:hAnsi="Times New Roman" w:cs="Times New Roman"/>
                <w:noProof/>
                <w:color w:val="000000" w:themeColor="text1"/>
                <w:sz w:val="24"/>
                <w:szCs w:val="24"/>
              </w:rPr>
              <w:t>4.2 Reflection on Stakeholder Engagement (Gibbs Reflective Approach)</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_Toc226053802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15</w:t>
            </w:r>
            <w:r w:rsidRPr="00354B86">
              <w:rPr>
                <w:rFonts w:ascii="Times New Roman" w:hAnsi="Times New Roman" w:cs="Times New Roman"/>
                <w:noProof/>
                <w:webHidden/>
                <w:color w:val="000000" w:themeColor="text1"/>
                <w:sz w:val="24"/>
                <w:szCs w:val="24"/>
              </w:rPr>
              <w:fldChar w:fldCharType="end"/>
            </w:r>
          </w:hyperlink>
        </w:p>
        <w:p w14:paraId="7B26DD3D"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803" w:history="1">
            <w:r w:rsidRPr="00354B86">
              <w:rPr>
                <w:rStyle w:val="Hyperlink"/>
                <w:rFonts w:ascii="Times New Roman" w:hAnsi="Times New Roman" w:cs="Times New Roman"/>
                <w:noProof/>
                <w:color w:val="000000" w:themeColor="text1"/>
                <w:sz w:val="24"/>
                <w:szCs w:val="24"/>
              </w:rPr>
              <w:t>Development of Project Management Skills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_Toc226053803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15</w:t>
            </w:r>
            <w:r w:rsidRPr="00354B86">
              <w:rPr>
                <w:rFonts w:ascii="Times New Roman" w:hAnsi="Times New Roman" w:cs="Times New Roman"/>
                <w:noProof/>
                <w:webHidden/>
                <w:color w:val="000000" w:themeColor="text1"/>
                <w:sz w:val="24"/>
                <w:szCs w:val="24"/>
              </w:rPr>
              <w:fldChar w:fldCharType="end"/>
            </w:r>
          </w:hyperlink>
        </w:p>
        <w:p w14:paraId="1D0279CE"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804" w:history="1">
            <w:r w:rsidRPr="00354B86">
              <w:rPr>
                <w:rStyle w:val="Hyperlink"/>
                <w:rFonts w:ascii="Times New Roman" w:hAnsi="Times New Roman" w:cs="Times New Roman"/>
                <w:noProof/>
                <w:color w:val="000000" w:themeColor="text1"/>
                <w:sz w:val="24"/>
                <w:szCs w:val="24"/>
              </w:rPr>
              <w:t>Development of Communication Skills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_Toc226053804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16</w:t>
            </w:r>
            <w:r w:rsidRPr="00354B86">
              <w:rPr>
                <w:rFonts w:ascii="Times New Roman" w:hAnsi="Times New Roman" w:cs="Times New Roman"/>
                <w:noProof/>
                <w:webHidden/>
                <w:color w:val="000000" w:themeColor="text1"/>
                <w:sz w:val="24"/>
                <w:szCs w:val="24"/>
              </w:rPr>
              <w:fldChar w:fldCharType="end"/>
            </w:r>
          </w:hyperlink>
        </w:p>
        <w:p w14:paraId="03078511" w14:textId="77777777" w:rsidR="00354B86" w:rsidRPr="00354B86" w:rsidRDefault="00354B86">
          <w:pPr>
            <w:pStyle w:val="TOC3"/>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805" w:history="1">
            <w:r w:rsidRPr="00354B86">
              <w:rPr>
                <w:rStyle w:val="Hyperlink"/>
                <w:rFonts w:ascii="Times New Roman" w:hAnsi="Times New Roman" w:cs="Times New Roman"/>
                <w:noProof/>
                <w:color w:val="000000" w:themeColor="text1"/>
                <w:sz w:val="24"/>
                <w:szCs w:val="24"/>
              </w:rPr>
              <w:t>Leadership and Conflict Management Skills Development</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_Toc226053805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16</w:t>
            </w:r>
            <w:r w:rsidRPr="00354B86">
              <w:rPr>
                <w:rFonts w:ascii="Times New Roman" w:hAnsi="Times New Roman" w:cs="Times New Roman"/>
                <w:noProof/>
                <w:webHidden/>
                <w:color w:val="000000" w:themeColor="text1"/>
                <w:sz w:val="24"/>
                <w:szCs w:val="24"/>
              </w:rPr>
              <w:fldChar w:fldCharType="end"/>
            </w:r>
          </w:hyperlink>
        </w:p>
        <w:p w14:paraId="52889D9D" w14:textId="77777777" w:rsidR="00354B86" w:rsidRPr="00354B86" w:rsidRDefault="00354B86">
          <w:pPr>
            <w:pStyle w:val="TOC2"/>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806" w:history="1">
            <w:r w:rsidRPr="00354B86">
              <w:rPr>
                <w:rStyle w:val="Hyperlink"/>
                <w:rFonts w:ascii="Times New Roman" w:hAnsi="Times New Roman" w:cs="Times New Roman"/>
                <w:noProof/>
                <w:color w:val="000000" w:themeColor="text1"/>
                <w:sz w:val="24"/>
                <w:szCs w:val="24"/>
              </w:rPr>
              <w:t>4.3 Future Application of Skills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_Toc226053806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17</w:t>
            </w:r>
            <w:r w:rsidRPr="00354B86">
              <w:rPr>
                <w:rFonts w:ascii="Times New Roman" w:hAnsi="Times New Roman" w:cs="Times New Roman"/>
                <w:noProof/>
                <w:webHidden/>
                <w:color w:val="000000" w:themeColor="text1"/>
                <w:sz w:val="24"/>
                <w:szCs w:val="24"/>
              </w:rPr>
              <w:fldChar w:fldCharType="end"/>
            </w:r>
          </w:hyperlink>
        </w:p>
        <w:p w14:paraId="5E1371F8" w14:textId="77777777" w:rsidR="00354B86" w:rsidRPr="00354B86" w:rsidRDefault="00354B86">
          <w:pPr>
            <w:pStyle w:val="TOC1"/>
            <w:tabs>
              <w:tab w:val="right" w:leader="dot" w:pos="9350"/>
            </w:tabs>
            <w:rPr>
              <w:rFonts w:ascii="Times New Roman" w:eastAsiaTheme="minorEastAsia" w:hAnsi="Times New Roman" w:cs="Times New Roman"/>
              <w:noProof/>
              <w:color w:val="000000" w:themeColor="text1"/>
              <w:kern w:val="0"/>
              <w:sz w:val="24"/>
              <w:szCs w:val="24"/>
              <w:lang w:val="en-US"/>
              <w14:ligatures w14:val="none"/>
            </w:rPr>
          </w:pPr>
          <w:hyperlink w:anchor="_Toc226053807" w:history="1">
            <w:r w:rsidRPr="00354B86">
              <w:rPr>
                <w:rStyle w:val="Hyperlink"/>
                <w:rFonts w:ascii="Times New Roman" w:hAnsi="Times New Roman" w:cs="Times New Roman"/>
                <w:noProof/>
                <w:color w:val="000000" w:themeColor="text1"/>
                <w:sz w:val="24"/>
                <w:szCs w:val="24"/>
              </w:rPr>
              <w:t>References</w:t>
            </w:r>
            <w:r w:rsidRPr="00354B86">
              <w:rPr>
                <w:rFonts w:ascii="Times New Roman" w:hAnsi="Times New Roman" w:cs="Times New Roman"/>
                <w:noProof/>
                <w:webHidden/>
                <w:color w:val="000000" w:themeColor="text1"/>
                <w:sz w:val="24"/>
                <w:szCs w:val="24"/>
              </w:rPr>
              <w:tab/>
            </w:r>
            <w:r w:rsidRPr="00354B86">
              <w:rPr>
                <w:rFonts w:ascii="Times New Roman" w:hAnsi="Times New Roman" w:cs="Times New Roman"/>
                <w:noProof/>
                <w:webHidden/>
                <w:color w:val="000000" w:themeColor="text1"/>
                <w:sz w:val="24"/>
                <w:szCs w:val="24"/>
              </w:rPr>
              <w:fldChar w:fldCharType="begin"/>
            </w:r>
            <w:r w:rsidRPr="00354B86">
              <w:rPr>
                <w:rFonts w:ascii="Times New Roman" w:hAnsi="Times New Roman" w:cs="Times New Roman"/>
                <w:noProof/>
                <w:webHidden/>
                <w:color w:val="000000" w:themeColor="text1"/>
                <w:sz w:val="24"/>
                <w:szCs w:val="24"/>
              </w:rPr>
              <w:instrText xml:space="preserve"> PAGEREF _Toc226053807 \h </w:instrText>
            </w:r>
            <w:r w:rsidRPr="00354B86">
              <w:rPr>
                <w:rFonts w:ascii="Times New Roman" w:hAnsi="Times New Roman" w:cs="Times New Roman"/>
                <w:noProof/>
                <w:webHidden/>
                <w:color w:val="000000" w:themeColor="text1"/>
                <w:sz w:val="24"/>
                <w:szCs w:val="24"/>
              </w:rPr>
            </w:r>
            <w:r w:rsidRPr="00354B86">
              <w:rPr>
                <w:rFonts w:ascii="Times New Roman" w:hAnsi="Times New Roman" w:cs="Times New Roman"/>
                <w:noProof/>
                <w:webHidden/>
                <w:color w:val="000000" w:themeColor="text1"/>
                <w:sz w:val="24"/>
                <w:szCs w:val="24"/>
              </w:rPr>
              <w:fldChar w:fldCharType="separate"/>
            </w:r>
            <w:r w:rsidRPr="00354B86">
              <w:rPr>
                <w:rFonts w:ascii="Times New Roman" w:hAnsi="Times New Roman" w:cs="Times New Roman"/>
                <w:noProof/>
                <w:webHidden/>
                <w:color w:val="000000" w:themeColor="text1"/>
                <w:sz w:val="24"/>
                <w:szCs w:val="24"/>
              </w:rPr>
              <w:t>18</w:t>
            </w:r>
            <w:r w:rsidRPr="00354B86">
              <w:rPr>
                <w:rFonts w:ascii="Times New Roman" w:hAnsi="Times New Roman" w:cs="Times New Roman"/>
                <w:noProof/>
                <w:webHidden/>
                <w:color w:val="000000" w:themeColor="text1"/>
                <w:sz w:val="24"/>
                <w:szCs w:val="24"/>
              </w:rPr>
              <w:fldChar w:fldCharType="end"/>
            </w:r>
          </w:hyperlink>
        </w:p>
        <w:p w14:paraId="2B081116"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354B86">
            <w:rPr>
              <w:rFonts w:ascii="Times New Roman" w:hAnsi="Times New Roman" w:cs="Times New Roman"/>
              <w:b/>
              <w:bCs/>
              <w:color w:val="000000" w:themeColor="text1"/>
              <w:sz w:val="24"/>
              <w:szCs w:val="24"/>
            </w:rPr>
            <w:fldChar w:fldCharType="end"/>
          </w:r>
        </w:p>
      </w:sdtContent>
    </w:sdt>
    <w:p w14:paraId="6F84323C"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br w:type="page"/>
      </w:r>
    </w:p>
    <w:p w14:paraId="3D881F4F" w14:textId="77777777" w:rsidR="000F7FC5" w:rsidRPr="00BA30E0" w:rsidRDefault="000F7FC5" w:rsidP="00BA30E0">
      <w:pPr>
        <w:pStyle w:val="Heading1"/>
        <w:spacing w:before="0" w:beforeAutospacing="0" w:after="0" w:afterAutospacing="0" w:line="360" w:lineRule="auto"/>
        <w:contextualSpacing/>
        <w:rPr>
          <w:lang w:val="en-GB"/>
        </w:rPr>
      </w:pPr>
      <w:bookmarkStart w:id="0" w:name="_Toc226053774"/>
      <w:r w:rsidRPr="00BA30E0">
        <w:rPr>
          <w:lang w:val="en-GB"/>
        </w:rPr>
        <w:lastRenderedPageBreak/>
        <w:t>Element 1: Introduction</w:t>
      </w:r>
      <w:bookmarkEnd w:id="0"/>
    </w:p>
    <w:p w14:paraId="2A25E8C0" w14:textId="77777777" w:rsidR="005B6973" w:rsidRPr="00BA30E0" w:rsidRDefault="005B6973" w:rsidP="00BA30E0">
      <w:pPr>
        <w:spacing w:after="0" w:line="360" w:lineRule="auto"/>
        <w:ind w:firstLine="720"/>
        <w:contextualSpacing/>
        <w:jc w:val="both"/>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The study is based on the Crossrail (Elizabeth Line), a significant infrastructure project in the UK that aims at enhancing the eastwest rail connectivity in London. It is a greater than 100km railway undertaking, comprising 42km of new tunnels, linking key economic centers, including Heathrow, Canary Wharf and Abbey Wood (Department for Transport, 2022). It is projected that the project will serve over 200 million people annually and add 10 percent to the rail capacity of central London (Transport for London, 2022). Nevertheless, the project has received criticism due to its cost increase to over 18 billion pounds and schedule slippage since its 2018 launch, and this has shown shortcomings in governance and stakeholder management (National Audit Office, 2019).</w:t>
      </w:r>
    </w:p>
    <w:p w14:paraId="0B5ED96E" w14:textId="77777777" w:rsidR="005B6973" w:rsidRPr="00BA30E0" w:rsidRDefault="005B6973" w:rsidP="00BA30E0">
      <w:pPr>
        <w:spacing w:after="0" w:line="360" w:lineRule="auto"/>
        <w:ind w:firstLine="720"/>
        <w:contextualSpacing/>
        <w:jc w:val="both"/>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The portfolio employs an orderly system of managing stakeholders. Element 1 describes the project overview, stakeholders and SMART goals. Element 2 is using analytical methods such as power-interest matrix and communication strategies. Element 3 covers such ethical issues as bias, inclusion and data privacy. Element 4 involves the stakeholder engagement in the success and sustainability of a project.</w:t>
      </w:r>
    </w:p>
    <w:p w14:paraId="50C815F8" w14:textId="77777777" w:rsidR="005B6973" w:rsidRPr="00BA30E0" w:rsidRDefault="005B6973" w:rsidP="00BA30E0">
      <w:pPr>
        <w:spacing w:after="0" w:line="360" w:lineRule="auto"/>
        <w:ind w:firstLine="720"/>
        <w:contextualSpacing/>
        <w:jc w:val="both"/>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Crossrail involves the provision of infrastructure, stations and network integration. Its goal is to ease traffic jams, reduce travel time by up to 40 percent and increase productivity (Transport for London, 2022). Nonetheless, the delays imply issues with the assumptions and participation of stakeholders.</w:t>
      </w:r>
    </w:p>
    <w:p w14:paraId="26FFB019" w14:textId="77777777" w:rsidR="000F7FC5" w:rsidRPr="00BA30E0" w:rsidRDefault="000F7FC5" w:rsidP="00BA30E0">
      <w:pPr>
        <w:spacing w:after="0" w:line="360" w:lineRule="auto"/>
        <w:contextualSpacing/>
        <w:outlineLvl w:val="2"/>
        <w:rPr>
          <w:rFonts w:ascii="Times New Roman" w:eastAsia="Times New Roman" w:hAnsi="Times New Roman" w:cs="Times New Roman"/>
          <w:b/>
          <w:bCs/>
          <w:color w:val="000000" w:themeColor="text1"/>
          <w:kern w:val="0"/>
          <w:sz w:val="24"/>
          <w:szCs w:val="24"/>
          <w14:ligatures w14:val="none"/>
        </w:rPr>
      </w:pPr>
      <w:bookmarkStart w:id="1" w:name="_Toc226053775"/>
      <w:r w:rsidRPr="00BA30E0">
        <w:rPr>
          <w:rFonts w:ascii="Times New Roman" w:eastAsia="Times New Roman" w:hAnsi="Times New Roman" w:cs="Times New Roman"/>
          <w:b/>
          <w:bCs/>
          <w:color w:val="000000" w:themeColor="text1"/>
          <w:kern w:val="0"/>
          <w:sz w:val="24"/>
          <w:szCs w:val="24"/>
          <w14:ligatures w14:val="none"/>
        </w:rPr>
        <w:t>Table 1: Stakeholder Identification</w:t>
      </w:r>
      <w:bookmarkEnd w:id="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15"/>
        <w:gridCol w:w="893"/>
        <w:gridCol w:w="4934"/>
      </w:tblGrid>
      <w:tr w:rsidR="00BA30E0" w:rsidRPr="00BA30E0" w14:paraId="2B6378CD" w14:textId="77777777" w:rsidTr="000F7FC5">
        <w:trPr>
          <w:tblHeader/>
          <w:tblCellSpacing w:w="15" w:type="dxa"/>
        </w:trPr>
        <w:tc>
          <w:tcPr>
            <w:tcW w:w="0" w:type="auto"/>
            <w:vAlign w:val="center"/>
            <w:hideMark/>
          </w:tcPr>
          <w:p w14:paraId="3A13833A" w14:textId="77777777" w:rsidR="000F7FC5" w:rsidRPr="00BA30E0" w:rsidRDefault="000F7FC5" w:rsidP="00BA30E0">
            <w:pPr>
              <w:spacing w:after="0" w:line="360" w:lineRule="auto"/>
              <w:contextualSpacing/>
              <w:jc w:val="center"/>
              <w:rPr>
                <w:rFonts w:ascii="Times New Roman" w:eastAsia="Times New Roman" w:hAnsi="Times New Roman" w:cs="Times New Roman"/>
                <w:b/>
                <w:bCs/>
                <w:color w:val="000000" w:themeColor="text1"/>
                <w:kern w:val="0"/>
                <w:sz w:val="24"/>
                <w:szCs w:val="24"/>
                <w14:ligatures w14:val="none"/>
              </w:rPr>
            </w:pPr>
            <w:r w:rsidRPr="00BA30E0">
              <w:rPr>
                <w:rFonts w:ascii="Times New Roman" w:eastAsia="Times New Roman" w:hAnsi="Times New Roman" w:cs="Times New Roman"/>
                <w:b/>
                <w:bCs/>
                <w:color w:val="000000" w:themeColor="text1"/>
                <w:kern w:val="0"/>
                <w:sz w:val="24"/>
                <w:szCs w:val="24"/>
                <w14:ligatures w14:val="none"/>
              </w:rPr>
              <w:t>Stakeholder</w:t>
            </w:r>
          </w:p>
        </w:tc>
        <w:tc>
          <w:tcPr>
            <w:tcW w:w="0" w:type="auto"/>
            <w:vAlign w:val="center"/>
            <w:hideMark/>
          </w:tcPr>
          <w:p w14:paraId="199E213D" w14:textId="77777777" w:rsidR="000F7FC5" w:rsidRPr="00BA30E0" w:rsidRDefault="000F7FC5" w:rsidP="00BA30E0">
            <w:pPr>
              <w:spacing w:after="0" w:line="360" w:lineRule="auto"/>
              <w:contextualSpacing/>
              <w:jc w:val="center"/>
              <w:rPr>
                <w:rFonts w:ascii="Times New Roman" w:eastAsia="Times New Roman" w:hAnsi="Times New Roman" w:cs="Times New Roman"/>
                <w:b/>
                <w:bCs/>
                <w:color w:val="000000" w:themeColor="text1"/>
                <w:kern w:val="0"/>
                <w:sz w:val="24"/>
                <w:szCs w:val="24"/>
                <w14:ligatures w14:val="none"/>
              </w:rPr>
            </w:pPr>
            <w:r w:rsidRPr="00BA30E0">
              <w:rPr>
                <w:rFonts w:ascii="Times New Roman" w:eastAsia="Times New Roman" w:hAnsi="Times New Roman" w:cs="Times New Roman"/>
                <w:b/>
                <w:bCs/>
                <w:color w:val="000000" w:themeColor="text1"/>
                <w:kern w:val="0"/>
                <w:sz w:val="24"/>
                <w:szCs w:val="24"/>
                <w14:ligatures w14:val="none"/>
              </w:rPr>
              <w:t>Type</w:t>
            </w:r>
          </w:p>
        </w:tc>
        <w:tc>
          <w:tcPr>
            <w:tcW w:w="0" w:type="auto"/>
            <w:vAlign w:val="center"/>
            <w:hideMark/>
          </w:tcPr>
          <w:p w14:paraId="626DDA7B" w14:textId="77777777" w:rsidR="000F7FC5" w:rsidRPr="00BA30E0" w:rsidRDefault="000F7FC5" w:rsidP="00BA30E0">
            <w:pPr>
              <w:spacing w:after="0" w:line="360" w:lineRule="auto"/>
              <w:contextualSpacing/>
              <w:jc w:val="center"/>
              <w:rPr>
                <w:rFonts w:ascii="Times New Roman" w:eastAsia="Times New Roman" w:hAnsi="Times New Roman" w:cs="Times New Roman"/>
                <w:b/>
                <w:bCs/>
                <w:color w:val="000000" w:themeColor="text1"/>
                <w:kern w:val="0"/>
                <w:sz w:val="24"/>
                <w:szCs w:val="24"/>
                <w14:ligatures w14:val="none"/>
              </w:rPr>
            </w:pPr>
            <w:r w:rsidRPr="00BA30E0">
              <w:rPr>
                <w:rFonts w:ascii="Times New Roman" w:eastAsia="Times New Roman" w:hAnsi="Times New Roman" w:cs="Times New Roman"/>
                <w:b/>
                <w:bCs/>
                <w:color w:val="000000" w:themeColor="text1"/>
                <w:kern w:val="0"/>
                <w:sz w:val="24"/>
                <w:szCs w:val="24"/>
                <w14:ligatures w14:val="none"/>
              </w:rPr>
              <w:t>Role and Responsibility</w:t>
            </w:r>
          </w:p>
        </w:tc>
      </w:tr>
      <w:tr w:rsidR="00BA30E0" w:rsidRPr="00BA30E0" w14:paraId="1E23E6B0" w14:textId="77777777" w:rsidTr="000F7FC5">
        <w:trPr>
          <w:tblCellSpacing w:w="15" w:type="dxa"/>
        </w:trPr>
        <w:tc>
          <w:tcPr>
            <w:tcW w:w="0" w:type="auto"/>
            <w:vAlign w:val="center"/>
            <w:hideMark/>
          </w:tcPr>
          <w:p w14:paraId="221E1B54"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Department for Transport</w:t>
            </w:r>
          </w:p>
        </w:tc>
        <w:tc>
          <w:tcPr>
            <w:tcW w:w="0" w:type="auto"/>
            <w:vAlign w:val="center"/>
            <w:hideMark/>
          </w:tcPr>
          <w:p w14:paraId="780B2A99"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Internal</w:t>
            </w:r>
          </w:p>
        </w:tc>
        <w:tc>
          <w:tcPr>
            <w:tcW w:w="0" w:type="auto"/>
            <w:vAlign w:val="center"/>
            <w:hideMark/>
          </w:tcPr>
          <w:p w14:paraId="5F6E1B8D"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Provides funding and strategic oversight</w:t>
            </w:r>
          </w:p>
        </w:tc>
      </w:tr>
      <w:tr w:rsidR="00BA30E0" w:rsidRPr="00BA30E0" w14:paraId="4FDA14B7" w14:textId="77777777" w:rsidTr="000F7FC5">
        <w:trPr>
          <w:tblCellSpacing w:w="15" w:type="dxa"/>
        </w:trPr>
        <w:tc>
          <w:tcPr>
            <w:tcW w:w="0" w:type="auto"/>
            <w:vAlign w:val="center"/>
            <w:hideMark/>
          </w:tcPr>
          <w:p w14:paraId="6255A815"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Transport for London</w:t>
            </w:r>
          </w:p>
        </w:tc>
        <w:tc>
          <w:tcPr>
            <w:tcW w:w="0" w:type="auto"/>
            <w:vAlign w:val="center"/>
            <w:hideMark/>
          </w:tcPr>
          <w:p w14:paraId="0B1E05AC"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Internal</w:t>
            </w:r>
          </w:p>
        </w:tc>
        <w:tc>
          <w:tcPr>
            <w:tcW w:w="0" w:type="auto"/>
            <w:vAlign w:val="center"/>
            <w:hideMark/>
          </w:tcPr>
          <w:p w14:paraId="19CC5B5F"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Oversees operations and service delivery</w:t>
            </w:r>
          </w:p>
        </w:tc>
      </w:tr>
      <w:tr w:rsidR="00BA30E0" w:rsidRPr="00BA30E0" w14:paraId="1F3C1F21" w14:textId="77777777" w:rsidTr="000F7FC5">
        <w:trPr>
          <w:tblCellSpacing w:w="15" w:type="dxa"/>
        </w:trPr>
        <w:tc>
          <w:tcPr>
            <w:tcW w:w="0" w:type="auto"/>
            <w:vAlign w:val="center"/>
            <w:hideMark/>
          </w:tcPr>
          <w:p w14:paraId="7C599C13"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Crossrail Ltd</w:t>
            </w:r>
          </w:p>
        </w:tc>
        <w:tc>
          <w:tcPr>
            <w:tcW w:w="0" w:type="auto"/>
            <w:vAlign w:val="center"/>
            <w:hideMark/>
          </w:tcPr>
          <w:p w14:paraId="14C57ED0"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Internal</w:t>
            </w:r>
          </w:p>
        </w:tc>
        <w:tc>
          <w:tcPr>
            <w:tcW w:w="0" w:type="auto"/>
            <w:vAlign w:val="center"/>
            <w:hideMark/>
          </w:tcPr>
          <w:p w14:paraId="779EB96A"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Manages project execution and coordination</w:t>
            </w:r>
          </w:p>
        </w:tc>
      </w:tr>
      <w:tr w:rsidR="00BA30E0" w:rsidRPr="00BA30E0" w14:paraId="4679CE38" w14:textId="77777777" w:rsidTr="000F7FC5">
        <w:trPr>
          <w:tblCellSpacing w:w="15" w:type="dxa"/>
        </w:trPr>
        <w:tc>
          <w:tcPr>
            <w:tcW w:w="0" w:type="auto"/>
            <w:vAlign w:val="center"/>
            <w:hideMark/>
          </w:tcPr>
          <w:p w14:paraId="60830622"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Local Residents</w:t>
            </w:r>
          </w:p>
        </w:tc>
        <w:tc>
          <w:tcPr>
            <w:tcW w:w="0" w:type="auto"/>
            <w:vAlign w:val="center"/>
            <w:hideMark/>
          </w:tcPr>
          <w:p w14:paraId="1D8F3BB1"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External</w:t>
            </w:r>
          </w:p>
        </w:tc>
        <w:tc>
          <w:tcPr>
            <w:tcW w:w="0" w:type="auto"/>
            <w:vAlign w:val="center"/>
            <w:hideMark/>
          </w:tcPr>
          <w:p w14:paraId="1AF1BA03"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Affected by construction and long-term usage</w:t>
            </w:r>
          </w:p>
        </w:tc>
      </w:tr>
      <w:tr w:rsidR="00BA30E0" w:rsidRPr="00BA30E0" w14:paraId="112975B8" w14:textId="77777777" w:rsidTr="000F7FC5">
        <w:trPr>
          <w:tblCellSpacing w:w="15" w:type="dxa"/>
        </w:trPr>
        <w:tc>
          <w:tcPr>
            <w:tcW w:w="0" w:type="auto"/>
            <w:vAlign w:val="center"/>
            <w:hideMark/>
          </w:tcPr>
          <w:p w14:paraId="49E91EF9"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Local Businesses</w:t>
            </w:r>
          </w:p>
        </w:tc>
        <w:tc>
          <w:tcPr>
            <w:tcW w:w="0" w:type="auto"/>
            <w:vAlign w:val="center"/>
            <w:hideMark/>
          </w:tcPr>
          <w:p w14:paraId="0F560E20"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External</w:t>
            </w:r>
          </w:p>
        </w:tc>
        <w:tc>
          <w:tcPr>
            <w:tcW w:w="0" w:type="auto"/>
            <w:vAlign w:val="center"/>
            <w:hideMark/>
          </w:tcPr>
          <w:p w14:paraId="7368A907"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Experience disruption and economic opportunities</w:t>
            </w:r>
          </w:p>
        </w:tc>
      </w:tr>
      <w:tr w:rsidR="00BA30E0" w:rsidRPr="00BA30E0" w14:paraId="2EA05AEE" w14:textId="77777777" w:rsidTr="000F7FC5">
        <w:trPr>
          <w:tblCellSpacing w:w="15" w:type="dxa"/>
        </w:trPr>
        <w:tc>
          <w:tcPr>
            <w:tcW w:w="0" w:type="auto"/>
            <w:vAlign w:val="center"/>
            <w:hideMark/>
          </w:tcPr>
          <w:p w14:paraId="7E95D733"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Environmental Organisations</w:t>
            </w:r>
          </w:p>
        </w:tc>
        <w:tc>
          <w:tcPr>
            <w:tcW w:w="0" w:type="auto"/>
            <w:vAlign w:val="center"/>
            <w:hideMark/>
          </w:tcPr>
          <w:p w14:paraId="556DCB0B"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External</w:t>
            </w:r>
          </w:p>
        </w:tc>
        <w:tc>
          <w:tcPr>
            <w:tcW w:w="0" w:type="auto"/>
            <w:vAlign w:val="center"/>
            <w:hideMark/>
          </w:tcPr>
          <w:p w14:paraId="70134739"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Monitor sustainability and environmental impact</w:t>
            </w:r>
          </w:p>
        </w:tc>
      </w:tr>
    </w:tbl>
    <w:p w14:paraId="58CD34CD" w14:textId="77777777" w:rsidR="000F7FC5" w:rsidRPr="00BA30E0" w:rsidRDefault="000F7FC5" w:rsidP="00BA30E0">
      <w:pPr>
        <w:spacing w:after="0" w:line="360" w:lineRule="auto"/>
        <w:contextualSpacing/>
        <w:outlineLvl w:val="2"/>
        <w:rPr>
          <w:rFonts w:ascii="Times New Roman" w:eastAsia="Times New Roman" w:hAnsi="Times New Roman" w:cs="Times New Roman"/>
          <w:b/>
          <w:bCs/>
          <w:color w:val="000000" w:themeColor="text1"/>
          <w:kern w:val="0"/>
          <w:sz w:val="24"/>
          <w:szCs w:val="24"/>
          <w14:ligatures w14:val="none"/>
        </w:rPr>
      </w:pPr>
      <w:bookmarkStart w:id="2" w:name="_Toc226053776"/>
      <w:r w:rsidRPr="00BA30E0">
        <w:rPr>
          <w:rFonts w:ascii="Times New Roman" w:eastAsia="Times New Roman" w:hAnsi="Times New Roman" w:cs="Times New Roman"/>
          <w:b/>
          <w:bCs/>
          <w:color w:val="000000" w:themeColor="text1"/>
          <w:kern w:val="0"/>
          <w:sz w:val="24"/>
          <w:szCs w:val="24"/>
          <w14:ligatures w14:val="none"/>
        </w:rPr>
        <w:t>Table 2: SMART Objectives</w:t>
      </w:r>
      <w:bookmarkEnd w:id="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82"/>
        <w:gridCol w:w="6933"/>
      </w:tblGrid>
      <w:tr w:rsidR="00BA30E0" w:rsidRPr="00BA30E0" w14:paraId="001C2F0E" w14:textId="77777777" w:rsidTr="000F7FC5">
        <w:trPr>
          <w:tblHeader/>
          <w:tblCellSpacing w:w="15" w:type="dxa"/>
        </w:trPr>
        <w:tc>
          <w:tcPr>
            <w:tcW w:w="0" w:type="auto"/>
            <w:vAlign w:val="center"/>
            <w:hideMark/>
          </w:tcPr>
          <w:p w14:paraId="536F7C3B" w14:textId="77777777" w:rsidR="000F7FC5" w:rsidRPr="00BA30E0" w:rsidRDefault="000F7FC5" w:rsidP="00BA30E0">
            <w:pPr>
              <w:spacing w:after="0" w:line="360" w:lineRule="auto"/>
              <w:contextualSpacing/>
              <w:jc w:val="center"/>
              <w:rPr>
                <w:rFonts w:ascii="Times New Roman" w:eastAsia="Times New Roman" w:hAnsi="Times New Roman" w:cs="Times New Roman"/>
                <w:b/>
                <w:bCs/>
                <w:color w:val="000000" w:themeColor="text1"/>
                <w:kern w:val="0"/>
                <w:sz w:val="24"/>
                <w:szCs w:val="24"/>
                <w14:ligatures w14:val="none"/>
              </w:rPr>
            </w:pPr>
            <w:r w:rsidRPr="00BA30E0">
              <w:rPr>
                <w:rFonts w:ascii="Times New Roman" w:eastAsia="Times New Roman" w:hAnsi="Times New Roman" w:cs="Times New Roman"/>
                <w:b/>
                <w:bCs/>
                <w:color w:val="000000" w:themeColor="text1"/>
                <w:kern w:val="0"/>
                <w:sz w:val="24"/>
                <w:szCs w:val="24"/>
                <w14:ligatures w14:val="none"/>
              </w:rPr>
              <w:lastRenderedPageBreak/>
              <w:t>Criteria</w:t>
            </w:r>
          </w:p>
        </w:tc>
        <w:tc>
          <w:tcPr>
            <w:tcW w:w="0" w:type="auto"/>
            <w:vAlign w:val="center"/>
            <w:hideMark/>
          </w:tcPr>
          <w:p w14:paraId="76FDC284" w14:textId="77777777" w:rsidR="000F7FC5" w:rsidRPr="00BA30E0" w:rsidRDefault="000F7FC5" w:rsidP="00BA30E0">
            <w:pPr>
              <w:spacing w:after="0" w:line="360" w:lineRule="auto"/>
              <w:contextualSpacing/>
              <w:jc w:val="center"/>
              <w:rPr>
                <w:rFonts w:ascii="Times New Roman" w:eastAsia="Times New Roman" w:hAnsi="Times New Roman" w:cs="Times New Roman"/>
                <w:b/>
                <w:bCs/>
                <w:color w:val="000000" w:themeColor="text1"/>
                <w:kern w:val="0"/>
                <w:sz w:val="24"/>
                <w:szCs w:val="24"/>
                <w14:ligatures w14:val="none"/>
              </w:rPr>
            </w:pPr>
            <w:r w:rsidRPr="00BA30E0">
              <w:rPr>
                <w:rFonts w:ascii="Times New Roman" w:eastAsia="Times New Roman" w:hAnsi="Times New Roman" w:cs="Times New Roman"/>
                <w:b/>
                <w:bCs/>
                <w:color w:val="000000" w:themeColor="text1"/>
                <w:kern w:val="0"/>
                <w:sz w:val="24"/>
                <w:szCs w:val="24"/>
                <w14:ligatures w14:val="none"/>
              </w:rPr>
              <w:t>Objective</w:t>
            </w:r>
          </w:p>
        </w:tc>
      </w:tr>
      <w:tr w:rsidR="00BA30E0" w:rsidRPr="00BA30E0" w14:paraId="085DF111" w14:textId="77777777" w:rsidTr="000F7FC5">
        <w:trPr>
          <w:tblCellSpacing w:w="15" w:type="dxa"/>
        </w:trPr>
        <w:tc>
          <w:tcPr>
            <w:tcW w:w="0" w:type="auto"/>
            <w:vAlign w:val="center"/>
            <w:hideMark/>
          </w:tcPr>
          <w:p w14:paraId="5445CB2E"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Specific</w:t>
            </w:r>
          </w:p>
        </w:tc>
        <w:tc>
          <w:tcPr>
            <w:tcW w:w="0" w:type="auto"/>
            <w:vAlign w:val="center"/>
            <w:hideMark/>
          </w:tcPr>
          <w:p w14:paraId="14908C2A" w14:textId="77777777" w:rsidR="000F7FC5" w:rsidRPr="00BA30E0" w:rsidRDefault="00F42F82"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hAnsi="Times New Roman" w:cs="Times New Roman"/>
                <w:color w:val="000000" w:themeColor="text1"/>
                <w:sz w:val="24"/>
                <w:szCs w:val="24"/>
              </w:rPr>
              <w:t>Build a high-capacity rail network in London</w:t>
            </w:r>
          </w:p>
        </w:tc>
      </w:tr>
      <w:tr w:rsidR="00BA30E0" w:rsidRPr="00BA30E0" w14:paraId="42AEBDB2" w14:textId="77777777" w:rsidTr="000F7FC5">
        <w:trPr>
          <w:tblCellSpacing w:w="15" w:type="dxa"/>
        </w:trPr>
        <w:tc>
          <w:tcPr>
            <w:tcW w:w="0" w:type="auto"/>
            <w:vAlign w:val="center"/>
            <w:hideMark/>
          </w:tcPr>
          <w:p w14:paraId="16F5C96F"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Measurable</w:t>
            </w:r>
          </w:p>
        </w:tc>
        <w:tc>
          <w:tcPr>
            <w:tcW w:w="0" w:type="auto"/>
            <w:vAlign w:val="center"/>
            <w:hideMark/>
          </w:tcPr>
          <w:p w14:paraId="6E3D59E6" w14:textId="77777777" w:rsidR="000F7FC5" w:rsidRPr="00BA30E0" w:rsidRDefault="00F42F82"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hAnsi="Times New Roman" w:cs="Times New Roman"/>
                <w:color w:val="000000" w:themeColor="text1"/>
                <w:sz w:val="24"/>
                <w:szCs w:val="24"/>
              </w:rPr>
              <w:t>Provide a 10% increase in capacity and carry 200 million people a year</w:t>
            </w:r>
          </w:p>
        </w:tc>
      </w:tr>
      <w:tr w:rsidR="00BA30E0" w:rsidRPr="00BA30E0" w14:paraId="5516A66A" w14:textId="77777777" w:rsidTr="000F7FC5">
        <w:trPr>
          <w:tblCellSpacing w:w="15" w:type="dxa"/>
        </w:trPr>
        <w:tc>
          <w:tcPr>
            <w:tcW w:w="0" w:type="auto"/>
            <w:vAlign w:val="center"/>
            <w:hideMark/>
          </w:tcPr>
          <w:p w14:paraId="44B03A4B"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Achievable</w:t>
            </w:r>
          </w:p>
        </w:tc>
        <w:tc>
          <w:tcPr>
            <w:tcW w:w="0" w:type="auto"/>
            <w:vAlign w:val="center"/>
            <w:hideMark/>
          </w:tcPr>
          <w:p w14:paraId="37B926EA" w14:textId="77777777" w:rsidR="000F7FC5" w:rsidRPr="00BA30E0" w:rsidRDefault="00F42F82"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hAnsi="Times New Roman" w:cs="Times New Roman"/>
                <w:color w:val="000000" w:themeColor="text1"/>
                <w:sz w:val="24"/>
                <w:szCs w:val="24"/>
              </w:rPr>
              <w:t>Progressively developed and funded</w:t>
            </w:r>
          </w:p>
        </w:tc>
      </w:tr>
      <w:tr w:rsidR="00BA30E0" w:rsidRPr="00BA30E0" w14:paraId="1B8E4DF6" w14:textId="77777777" w:rsidTr="000F7FC5">
        <w:trPr>
          <w:tblCellSpacing w:w="15" w:type="dxa"/>
        </w:trPr>
        <w:tc>
          <w:tcPr>
            <w:tcW w:w="0" w:type="auto"/>
            <w:vAlign w:val="center"/>
            <w:hideMark/>
          </w:tcPr>
          <w:p w14:paraId="60FB0E51"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Relevant</w:t>
            </w:r>
          </w:p>
        </w:tc>
        <w:tc>
          <w:tcPr>
            <w:tcW w:w="0" w:type="auto"/>
            <w:vAlign w:val="center"/>
            <w:hideMark/>
          </w:tcPr>
          <w:p w14:paraId="1A612327" w14:textId="77777777" w:rsidR="000F7FC5" w:rsidRPr="00BA30E0" w:rsidRDefault="00F42F82"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hAnsi="Times New Roman" w:cs="Times New Roman"/>
                <w:color w:val="000000" w:themeColor="text1"/>
                <w:sz w:val="24"/>
                <w:szCs w:val="24"/>
              </w:rPr>
              <w:t>Relieves traffic congestion and promotes development</w:t>
            </w:r>
          </w:p>
        </w:tc>
      </w:tr>
      <w:tr w:rsidR="00BA30E0" w:rsidRPr="00BA30E0" w14:paraId="2007BF71" w14:textId="77777777" w:rsidTr="000F7FC5">
        <w:trPr>
          <w:tblCellSpacing w:w="15" w:type="dxa"/>
        </w:trPr>
        <w:tc>
          <w:tcPr>
            <w:tcW w:w="0" w:type="auto"/>
            <w:vAlign w:val="center"/>
            <w:hideMark/>
          </w:tcPr>
          <w:p w14:paraId="3D519216"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Time-bound</w:t>
            </w:r>
          </w:p>
        </w:tc>
        <w:tc>
          <w:tcPr>
            <w:tcW w:w="0" w:type="auto"/>
            <w:vAlign w:val="center"/>
            <w:hideMark/>
          </w:tcPr>
          <w:p w14:paraId="7D5E26E9" w14:textId="77777777" w:rsidR="000F7FC5" w:rsidRPr="00BA30E0" w:rsidRDefault="00F42F82"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hAnsi="Times New Roman" w:cs="Times New Roman"/>
                <w:color w:val="000000" w:themeColor="text1"/>
                <w:sz w:val="24"/>
                <w:szCs w:val="24"/>
              </w:rPr>
              <w:t>Completed by 2022</w:t>
            </w:r>
          </w:p>
        </w:tc>
      </w:tr>
    </w:tbl>
    <w:p w14:paraId="64482332" w14:textId="77777777" w:rsidR="00BA30E0" w:rsidRPr="00BA30E0" w:rsidRDefault="00BA30E0" w:rsidP="00BA30E0">
      <w:pPr>
        <w:spacing w:after="0" w:line="360" w:lineRule="auto"/>
        <w:ind w:firstLine="720"/>
        <w:contextualSpacing/>
        <w:jc w:val="both"/>
        <w:rPr>
          <w:rStyle w:val="cursor-pointer"/>
          <w:rFonts w:ascii="Times New Roman" w:hAnsi="Times New Roman" w:cs="Times New Roman"/>
          <w:color w:val="000000" w:themeColor="text1"/>
          <w:sz w:val="24"/>
          <w:szCs w:val="24"/>
        </w:rPr>
      </w:pPr>
    </w:p>
    <w:p w14:paraId="3E7B2A81" w14:textId="77777777" w:rsidR="000F7FC5" w:rsidRPr="00BA30E0" w:rsidRDefault="005B6973"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r w:rsidRPr="00BA30E0">
        <w:rPr>
          <w:rStyle w:val="cursor-pointer"/>
          <w:rFonts w:ascii="Times New Roman" w:hAnsi="Times New Roman" w:cs="Times New Roman"/>
          <w:color w:val="000000" w:themeColor="text1"/>
          <w:sz w:val="24"/>
          <w:szCs w:val="24"/>
        </w:rPr>
        <w:t>By 2022, the project will have a fully operational railway to increase the capacity and connectivity. However, quantitative targets may marginalise qualitative stakeholder outcomes, and hence its measurement of performance.</w:t>
      </w:r>
    </w:p>
    <w:p w14:paraId="161A5B93"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p>
    <w:p w14:paraId="0C37DF89" w14:textId="77777777" w:rsidR="000F7FC5" w:rsidRPr="00BA30E0" w:rsidRDefault="000F7FC5" w:rsidP="00BA30E0">
      <w:pPr>
        <w:pStyle w:val="Heading1"/>
        <w:spacing w:before="0" w:beforeAutospacing="0" w:after="0" w:afterAutospacing="0" w:line="360" w:lineRule="auto"/>
        <w:contextualSpacing/>
        <w:rPr>
          <w:lang w:val="en-GB"/>
        </w:rPr>
      </w:pPr>
      <w:bookmarkStart w:id="3" w:name="_Toc226053777"/>
      <w:r w:rsidRPr="00BA30E0">
        <w:rPr>
          <w:rStyle w:val="Strong"/>
          <w:b/>
          <w:lang w:val="en-GB"/>
        </w:rPr>
        <w:t>Element 2: Stakeholder Engagement Strategies</w:t>
      </w:r>
      <w:bookmarkEnd w:id="3"/>
    </w:p>
    <w:p w14:paraId="56874909" w14:textId="77777777" w:rsidR="000F7FC5" w:rsidRPr="00BA30E0" w:rsidRDefault="000F7FC5" w:rsidP="00BA30E0">
      <w:pPr>
        <w:pStyle w:val="Heading2"/>
        <w:spacing w:before="0" w:beforeAutospacing="0" w:after="0" w:afterAutospacing="0" w:line="360" w:lineRule="auto"/>
        <w:contextualSpacing/>
        <w:rPr>
          <w:lang w:val="en-GB"/>
        </w:rPr>
      </w:pPr>
      <w:bookmarkStart w:id="4" w:name="_Toc226053778"/>
      <w:r w:rsidRPr="00BA30E0">
        <w:rPr>
          <w:rStyle w:val="Strong"/>
          <w:bCs/>
          <w:lang w:val="en-GB"/>
        </w:rPr>
        <w:t>2.1 Strategic Analysis of the Project Context</w:t>
      </w:r>
      <w:bookmarkEnd w:id="4"/>
    </w:p>
    <w:p w14:paraId="1F09B5F0" w14:textId="77777777" w:rsidR="000F7FC5" w:rsidRPr="00BA30E0" w:rsidRDefault="005B6973"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Effective stakeholder engagement requires the understanding of the broader operating environment. Crossrail project is carried out in a very sophisticated macro-environment that is marked by political pressure, economic pressure, and social demands.</w:t>
      </w:r>
    </w:p>
    <w:p w14:paraId="52957F98" w14:textId="77777777" w:rsidR="000F7FC5" w:rsidRPr="00BA30E0" w:rsidRDefault="000F7FC5" w:rsidP="00BA30E0">
      <w:pPr>
        <w:pStyle w:val="Heading3"/>
        <w:spacing w:before="0" w:beforeAutospacing="0" w:after="0" w:afterAutospacing="0" w:line="360" w:lineRule="auto"/>
        <w:contextualSpacing/>
        <w:rPr>
          <w:lang w:val="en-GB"/>
        </w:rPr>
      </w:pPr>
      <w:bookmarkStart w:id="5" w:name="_Toc226053779"/>
      <w:r w:rsidRPr="00BA30E0">
        <w:rPr>
          <w:rStyle w:val="Strong"/>
          <w:b/>
          <w:bCs/>
          <w:lang w:val="en-GB"/>
        </w:rPr>
        <w:t>Table 3: PESTLE Analysis</w:t>
      </w:r>
      <w:bookmarkEnd w:id="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2"/>
        <w:gridCol w:w="2688"/>
        <w:gridCol w:w="5140"/>
      </w:tblGrid>
      <w:tr w:rsidR="00BA30E0" w:rsidRPr="00BA30E0" w14:paraId="480262A4" w14:textId="77777777" w:rsidTr="00F42F82">
        <w:trPr>
          <w:tblHeader/>
          <w:tblCellSpacing w:w="15" w:type="dxa"/>
        </w:trPr>
        <w:tc>
          <w:tcPr>
            <w:tcW w:w="0" w:type="auto"/>
            <w:vAlign w:val="center"/>
            <w:hideMark/>
          </w:tcPr>
          <w:p w14:paraId="4C4CC807"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Factor</w:t>
            </w:r>
          </w:p>
        </w:tc>
        <w:tc>
          <w:tcPr>
            <w:tcW w:w="0" w:type="auto"/>
            <w:vAlign w:val="center"/>
            <w:hideMark/>
          </w:tcPr>
          <w:p w14:paraId="38A29E44"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Key Issues</w:t>
            </w:r>
          </w:p>
        </w:tc>
        <w:tc>
          <w:tcPr>
            <w:tcW w:w="0" w:type="auto"/>
            <w:vAlign w:val="center"/>
            <w:hideMark/>
          </w:tcPr>
          <w:p w14:paraId="519E7BDB"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Critical Insight</w:t>
            </w:r>
          </w:p>
        </w:tc>
      </w:tr>
      <w:tr w:rsidR="00BA30E0" w:rsidRPr="00BA30E0" w14:paraId="457BB0B6" w14:textId="77777777" w:rsidTr="00F42F82">
        <w:trPr>
          <w:tblCellSpacing w:w="15" w:type="dxa"/>
        </w:trPr>
        <w:tc>
          <w:tcPr>
            <w:tcW w:w="0" w:type="auto"/>
            <w:vAlign w:val="center"/>
            <w:hideMark/>
          </w:tcPr>
          <w:p w14:paraId="1E8EFE81"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Political</w:t>
            </w:r>
          </w:p>
        </w:tc>
        <w:tc>
          <w:tcPr>
            <w:tcW w:w="0" w:type="auto"/>
            <w:vAlign w:val="center"/>
            <w:hideMark/>
          </w:tcPr>
          <w:p w14:paraId="6EC654EE"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Strong government involvement and funding commitments</w:t>
            </w:r>
          </w:p>
        </w:tc>
        <w:tc>
          <w:tcPr>
            <w:tcW w:w="0" w:type="auto"/>
            <w:vAlign w:val="center"/>
            <w:hideMark/>
          </w:tcPr>
          <w:p w14:paraId="49B525E5"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Timelines were expedited under political pressure, which added to unrealistic expectations of deliveries (Department for Transport, 2022).</w:t>
            </w:r>
          </w:p>
        </w:tc>
      </w:tr>
      <w:tr w:rsidR="00BA30E0" w:rsidRPr="00BA30E0" w14:paraId="006E1B13" w14:textId="77777777" w:rsidTr="00F42F82">
        <w:trPr>
          <w:tblCellSpacing w:w="15" w:type="dxa"/>
        </w:trPr>
        <w:tc>
          <w:tcPr>
            <w:tcW w:w="0" w:type="auto"/>
            <w:vAlign w:val="center"/>
            <w:hideMark/>
          </w:tcPr>
          <w:p w14:paraId="35370CE3"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Economic</w:t>
            </w:r>
          </w:p>
        </w:tc>
        <w:tc>
          <w:tcPr>
            <w:tcW w:w="0" w:type="auto"/>
            <w:vAlign w:val="center"/>
            <w:hideMark/>
          </w:tcPr>
          <w:p w14:paraId="1BF620FB"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Budget increased from £14.8bn to over £18bn</w:t>
            </w:r>
          </w:p>
        </w:tc>
        <w:tc>
          <w:tcPr>
            <w:tcW w:w="0" w:type="auto"/>
            <w:vAlign w:val="center"/>
            <w:hideMark/>
          </w:tcPr>
          <w:p w14:paraId="4C5BFFB8"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Cost overruns indicate the lack of financial planning and risk forecasting (National Audit Office, 2019).</w:t>
            </w:r>
          </w:p>
        </w:tc>
      </w:tr>
      <w:tr w:rsidR="00BA30E0" w:rsidRPr="00BA30E0" w14:paraId="6917A1CD" w14:textId="77777777" w:rsidTr="00F42F82">
        <w:trPr>
          <w:tblCellSpacing w:w="15" w:type="dxa"/>
        </w:trPr>
        <w:tc>
          <w:tcPr>
            <w:tcW w:w="0" w:type="auto"/>
            <w:vAlign w:val="center"/>
            <w:hideMark/>
          </w:tcPr>
          <w:p w14:paraId="1B116A97"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Social</w:t>
            </w:r>
          </w:p>
        </w:tc>
        <w:tc>
          <w:tcPr>
            <w:tcW w:w="0" w:type="auto"/>
            <w:vAlign w:val="center"/>
            <w:hideMark/>
          </w:tcPr>
          <w:p w14:paraId="0632EFA9"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 public demand for efficient transport</w:t>
            </w:r>
          </w:p>
        </w:tc>
        <w:tc>
          <w:tcPr>
            <w:tcW w:w="0" w:type="auto"/>
            <w:vAlign w:val="center"/>
            <w:hideMark/>
          </w:tcPr>
          <w:p w14:paraId="6B20EC56"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Public trust and stakeholder satisfaction were lowered as a result of construction disruption.</w:t>
            </w:r>
          </w:p>
        </w:tc>
      </w:tr>
      <w:tr w:rsidR="00BA30E0" w:rsidRPr="00BA30E0" w14:paraId="5AC15132" w14:textId="77777777" w:rsidTr="00F42F82">
        <w:trPr>
          <w:tblCellSpacing w:w="15" w:type="dxa"/>
        </w:trPr>
        <w:tc>
          <w:tcPr>
            <w:tcW w:w="0" w:type="auto"/>
            <w:vAlign w:val="center"/>
            <w:hideMark/>
          </w:tcPr>
          <w:p w14:paraId="4AA73620"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Technological</w:t>
            </w:r>
          </w:p>
        </w:tc>
        <w:tc>
          <w:tcPr>
            <w:tcW w:w="0" w:type="auto"/>
            <w:vAlign w:val="center"/>
            <w:hideMark/>
          </w:tcPr>
          <w:p w14:paraId="0BD43EBF"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Advanced tunnelling and signalling systems</w:t>
            </w:r>
          </w:p>
        </w:tc>
        <w:tc>
          <w:tcPr>
            <w:tcW w:w="0" w:type="auto"/>
            <w:vAlign w:val="center"/>
            <w:hideMark/>
          </w:tcPr>
          <w:p w14:paraId="6877E60C"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Complexity in technology brought about uncertainty and risk of implementation.</w:t>
            </w:r>
          </w:p>
        </w:tc>
      </w:tr>
      <w:tr w:rsidR="00BA30E0" w:rsidRPr="00BA30E0" w14:paraId="61160522" w14:textId="77777777" w:rsidTr="00F42F82">
        <w:trPr>
          <w:tblCellSpacing w:w="15" w:type="dxa"/>
        </w:trPr>
        <w:tc>
          <w:tcPr>
            <w:tcW w:w="0" w:type="auto"/>
            <w:vAlign w:val="center"/>
            <w:hideMark/>
          </w:tcPr>
          <w:p w14:paraId="4554C826"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lastRenderedPageBreak/>
              <w:t>Legal</w:t>
            </w:r>
          </w:p>
        </w:tc>
        <w:tc>
          <w:tcPr>
            <w:tcW w:w="0" w:type="auto"/>
            <w:vAlign w:val="center"/>
            <w:hideMark/>
          </w:tcPr>
          <w:p w14:paraId="608F439A"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Compliance with safety and planning regulations</w:t>
            </w:r>
          </w:p>
        </w:tc>
        <w:tc>
          <w:tcPr>
            <w:tcW w:w="0" w:type="auto"/>
            <w:vAlign w:val="center"/>
            <w:hideMark/>
          </w:tcPr>
          <w:p w14:paraId="73215710"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Projects were prolonged by the regulatory requirements.</w:t>
            </w:r>
          </w:p>
        </w:tc>
      </w:tr>
      <w:tr w:rsidR="00BA30E0" w:rsidRPr="00BA30E0" w14:paraId="335AA4AA" w14:textId="77777777" w:rsidTr="00F42F82">
        <w:trPr>
          <w:tblCellSpacing w:w="15" w:type="dxa"/>
        </w:trPr>
        <w:tc>
          <w:tcPr>
            <w:tcW w:w="0" w:type="auto"/>
            <w:vAlign w:val="center"/>
            <w:hideMark/>
          </w:tcPr>
          <w:p w14:paraId="24CFE12A"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Environmental</w:t>
            </w:r>
          </w:p>
        </w:tc>
        <w:tc>
          <w:tcPr>
            <w:tcW w:w="0" w:type="auto"/>
            <w:vAlign w:val="center"/>
            <w:hideMark/>
          </w:tcPr>
          <w:p w14:paraId="55FDCCBE"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Pressure to reduce emissions and promote sustainability</w:t>
            </w:r>
          </w:p>
        </w:tc>
        <w:tc>
          <w:tcPr>
            <w:tcW w:w="0" w:type="auto"/>
            <w:vAlign w:val="center"/>
            <w:hideMark/>
          </w:tcPr>
          <w:p w14:paraId="04A46F9E"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Environmental issues generated a contradiction with the indigenous populations.</w:t>
            </w:r>
          </w:p>
        </w:tc>
      </w:tr>
    </w:tbl>
    <w:p w14:paraId="376BE44D" w14:textId="77777777" w:rsidR="005B6973" w:rsidRPr="00BA30E0" w:rsidRDefault="005B6973"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p>
    <w:p w14:paraId="41222FF2" w14:textId="77777777" w:rsidR="000F7FC5" w:rsidRPr="00BA30E0" w:rsidRDefault="005B6973" w:rsidP="00BA30E0">
      <w:pPr>
        <w:spacing w:after="0" w:line="360" w:lineRule="auto"/>
        <w:ind w:firstLine="720"/>
        <w:contextualSpacing/>
        <w:jc w:val="both"/>
        <w:rPr>
          <w:rFonts w:ascii="Times New Roman" w:hAnsi="Times New Roman" w:cs="Times New Roman"/>
          <w:color w:val="000000" w:themeColor="text1"/>
          <w:sz w:val="24"/>
          <w:szCs w:val="24"/>
        </w:rPr>
      </w:pPr>
      <w:r w:rsidRPr="00BA30E0">
        <w:rPr>
          <w:rFonts w:ascii="Times New Roman" w:eastAsia="Times New Roman" w:hAnsi="Times New Roman" w:cs="Times New Roman"/>
          <w:color w:val="000000" w:themeColor="text1"/>
          <w:kern w:val="0"/>
          <w:sz w:val="24"/>
          <w:szCs w:val="24"/>
          <w14:ligatures w14:val="none"/>
        </w:rPr>
        <w:t>As shown in the PESTLE analysis, the external pressures greatly influenced the expectations of the stakeholders. Specifically, political urgency and economic limitations led to a lack of fit between planning and execution, which made stakeholder relationships challenging. Additionally, the interdependence of these aspects implies that the failure of any of these areas, especially in economic forecasting, may increase risks in the social and political spheres, which further increases the level of stakeholder dissatisfaction.</w:t>
      </w:r>
    </w:p>
    <w:p w14:paraId="579625D0" w14:textId="77777777" w:rsidR="000F7FC5" w:rsidRPr="00BA30E0" w:rsidRDefault="000F7FC5" w:rsidP="00BA30E0">
      <w:pPr>
        <w:pStyle w:val="Heading3"/>
        <w:spacing w:before="0" w:beforeAutospacing="0" w:after="0" w:afterAutospacing="0" w:line="360" w:lineRule="auto"/>
        <w:contextualSpacing/>
        <w:rPr>
          <w:lang w:val="en-GB"/>
        </w:rPr>
      </w:pPr>
      <w:bookmarkStart w:id="6" w:name="_Toc226053780"/>
      <w:r w:rsidRPr="00BA30E0">
        <w:rPr>
          <w:rStyle w:val="Strong"/>
          <w:b/>
          <w:bCs/>
          <w:lang w:val="en-GB"/>
        </w:rPr>
        <w:t>Table 4: SWOT Analysis</w:t>
      </w:r>
      <w:bookmarkEnd w:id="6"/>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975"/>
        <w:gridCol w:w="30"/>
        <w:gridCol w:w="4387"/>
        <w:gridCol w:w="45"/>
      </w:tblGrid>
      <w:tr w:rsidR="00BA30E0" w:rsidRPr="00BA30E0" w14:paraId="3BC039C4" w14:textId="77777777" w:rsidTr="00F42F82">
        <w:trPr>
          <w:gridAfter w:val="1"/>
          <w:tblHeader/>
          <w:tblCellSpacing w:w="15" w:type="dxa"/>
        </w:trPr>
        <w:tc>
          <w:tcPr>
            <w:tcW w:w="0" w:type="auto"/>
            <w:gridSpan w:val="2"/>
            <w:vAlign w:val="center"/>
            <w:hideMark/>
          </w:tcPr>
          <w:p w14:paraId="363580AB"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Strengths</w:t>
            </w:r>
          </w:p>
        </w:tc>
        <w:tc>
          <w:tcPr>
            <w:tcW w:w="0" w:type="auto"/>
            <w:vAlign w:val="center"/>
            <w:hideMark/>
          </w:tcPr>
          <w:p w14:paraId="3D95ED5F"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Weaknesses</w:t>
            </w:r>
          </w:p>
        </w:tc>
      </w:tr>
      <w:tr w:rsidR="00BA30E0" w:rsidRPr="00BA30E0" w14:paraId="2F8A048B" w14:textId="77777777" w:rsidTr="00F42F82">
        <w:trPr>
          <w:gridAfter w:val="1"/>
          <w:tblCellSpacing w:w="15" w:type="dxa"/>
        </w:trPr>
        <w:tc>
          <w:tcPr>
            <w:tcW w:w="0" w:type="auto"/>
            <w:gridSpan w:val="2"/>
            <w:vAlign w:val="center"/>
            <w:hideMark/>
          </w:tcPr>
          <w:p w14:paraId="5874EF64"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Expanded rail capacity (10%)</w:t>
            </w:r>
          </w:p>
        </w:tc>
        <w:tc>
          <w:tcPr>
            <w:tcW w:w="0" w:type="auto"/>
            <w:vAlign w:val="center"/>
            <w:hideMark/>
          </w:tcPr>
          <w:p w14:paraId="1910AB58"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 cost increment.</w:t>
            </w:r>
          </w:p>
        </w:tc>
      </w:tr>
      <w:tr w:rsidR="00BA30E0" w:rsidRPr="00BA30E0" w14:paraId="4E171D81" w14:textId="77777777" w:rsidTr="00F42F82">
        <w:trPr>
          <w:gridAfter w:val="1"/>
          <w:tblCellSpacing w:w="15" w:type="dxa"/>
        </w:trPr>
        <w:tc>
          <w:tcPr>
            <w:tcW w:w="0" w:type="auto"/>
            <w:gridSpan w:val="2"/>
            <w:vAlign w:val="center"/>
            <w:hideMark/>
          </w:tcPr>
          <w:p w14:paraId="5CDD1D77"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Shorter travelling times (up to 40)</w:t>
            </w:r>
          </w:p>
        </w:tc>
        <w:tc>
          <w:tcPr>
            <w:tcW w:w="0" w:type="auto"/>
            <w:vAlign w:val="center"/>
            <w:hideMark/>
          </w:tcPr>
          <w:p w14:paraId="29C03752"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Late-timing of deadline.</w:t>
            </w:r>
          </w:p>
        </w:tc>
      </w:tr>
      <w:tr w:rsidR="00BA30E0" w:rsidRPr="00BA30E0" w14:paraId="05C8E9B5" w14:textId="77777777" w:rsidTr="00F42F82">
        <w:trPr>
          <w:gridAfter w:val="1"/>
          <w:tblCellSpacing w:w="15" w:type="dxa"/>
        </w:trPr>
        <w:tc>
          <w:tcPr>
            <w:tcW w:w="0" w:type="auto"/>
            <w:gridSpan w:val="2"/>
            <w:vAlign w:val="center"/>
            <w:hideMark/>
          </w:tcPr>
          <w:p w14:paraId="67D3BA19"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Enhanced connectivity across London</w:t>
            </w:r>
          </w:p>
        </w:tc>
        <w:tc>
          <w:tcPr>
            <w:tcW w:w="0" w:type="auto"/>
            <w:vAlign w:val="center"/>
            <w:hideMark/>
          </w:tcPr>
          <w:p w14:paraId="409741ED"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Weak coordination between stakeholders</w:t>
            </w:r>
          </w:p>
        </w:tc>
      </w:tr>
      <w:tr w:rsidR="00BA30E0" w:rsidRPr="00BA30E0" w14:paraId="146593A8" w14:textId="77777777" w:rsidTr="00F42F82">
        <w:trPr>
          <w:tblHeader/>
          <w:tblCellSpacing w:w="15" w:type="dxa"/>
        </w:trPr>
        <w:tc>
          <w:tcPr>
            <w:tcW w:w="0" w:type="auto"/>
            <w:vAlign w:val="center"/>
            <w:hideMark/>
          </w:tcPr>
          <w:p w14:paraId="07BA789C"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Opportunities</w:t>
            </w:r>
          </w:p>
        </w:tc>
        <w:tc>
          <w:tcPr>
            <w:tcW w:w="0" w:type="auto"/>
            <w:gridSpan w:val="3"/>
            <w:vAlign w:val="center"/>
            <w:hideMark/>
          </w:tcPr>
          <w:p w14:paraId="17B1A076"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Threats</w:t>
            </w:r>
          </w:p>
        </w:tc>
      </w:tr>
      <w:tr w:rsidR="00BA30E0" w:rsidRPr="00BA30E0" w14:paraId="1261E629" w14:textId="77777777" w:rsidTr="00F42F82">
        <w:trPr>
          <w:tblCellSpacing w:w="15" w:type="dxa"/>
        </w:trPr>
        <w:tc>
          <w:tcPr>
            <w:tcW w:w="0" w:type="auto"/>
            <w:vAlign w:val="center"/>
            <w:hideMark/>
          </w:tcPr>
          <w:p w14:paraId="17DE3DC5"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Growth in economy and creation of jobs</w:t>
            </w:r>
          </w:p>
        </w:tc>
        <w:tc>
          <w:tcPr>
            <w:tcW w:w="0" w:type="auto"/>
            <w:gridSpan w:val="3"/>
            <w:vAlign w:val="center"/>
            <w:hideMark/>
          </w:tcPr>
          <w:p w14:paraId="43F468B6"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Reputational losses through delays.</w:t>
            </w:r>
          </w:p>
        </w:tc>
      </w:tr>
      <w:tr w:rsidR="00BA30E0" w:rsidRPr="00BA30E0" w14:paraId="0B15A686" w14:textId="77777777" w:rsidTr="00F42F82">
        <w:trPr>
          <w:tblCellSpacing w:w="15" w:type="dxa"/>
        </w:trPr>
        <w:tc>
          <w:tcPr>
            <w:tcW w:w="0" w:type="auto"/>
            <w:vAlign w:val="center"/>
            <w:hideMark/>
          </w:tcPr>
          <w:p w14:paraId="50C776C7"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Sustainable urban transport</w:t>
            </w:r>
          </w:p>
        </w:tc>
        <w:tc>
          <w:tcPr>
            <w:tcW w:w="0" w:type="auto"/>
            <w:gridSpan w:val="3"/>
            <w:vAlign w:val="center"/>
            <w:hideMark/>
          </w:tcPr>
          <w:p w14:paraId="0F249FDD" w14:textId="77777777" w:rsidR="000F7FC5" w:rsidRPr="00BA30E0" w:rsidRDefault="005B6973"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Public discontent and stakeholder opposition.</w:t>
            </w:r>
          </w:p>
        </w:tc>
      </w:tr>
    </w:tbl>
    <w:p w14:paraId="58A20FDC" w14:textId="77777777" w:rsidR="00BA30E0" w:rsidRPr="00BA30E0" w:rsidRDefault="00BA30E0"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p>
    <w:p w14:paraId="5C475911" w14:textId="77777777" w:rsidR="000F7FC5" w:rsidRPr="00BA30E0" w:rsidRDefault="005B6973"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Importantly, although the project has significant long-term potential, governance and coordination flaws jeopard</w:t>
      </w:r>
      <w:r w:rsidR="00187FC5">
        <w:rPr>
          <w:rFonts w:ascii="Times New Roman" w:eastAsia="Times New Roman" w:hAnsi="Times New Roman" w:cs="Times New Roman"/>
          <w:color w:val="000000" w:themeColor="text1"/>
          <w:kern w:val="0"/>
          <w:sz w:val="24"/>
          <w:szCs w:val="24"/>
          <w14:ligatures w14:val="none"/>
        </w:rPr>
        <w:t>ise</w:t>
      </w:r>
      <w:r w:rsidRPr="00BA30E0">
        <w:rPr>
          <w:rFonts w:ascii="Times New Roman" w:eastAsia="Times New Roman" w:hAnsi="Times New Roman" w:cs="Times New Roman"/>
          <w:color w:val="000000" w:themeColor="text1"/>
          <w:kern w:val="0"/>
          <w:sz w:val="24"/>
          <w:szCs w:val="24"/>
          <w14:ligatures w14:val="none"/>
        </w:rPr>
        <w:t xml:space="preserve"> the stakeholders. This is an indication that there is a disconnect</w:t>
      </w:r>
      <w:r w:rsidR="00187FC5">
        <w:rPr>
          <w:rFonts w:ascii="Times New Roman" w:eastAsia="Times New Roman" w:hAnsi="Times New Roman" w:cs="Times New Roman"/>
          <w:color w:val="000000" w:themeColor="text1"/>
          <w:kern w:val="0"/>
          <w:sz w:val="24"/>
          <w:szCs w:val="24"/>
          <w14:ligatures w14:val="none"/>
        </w:rPr>
        <w:t>ion</w:t>
      </w:r>
      <w:r w:rsidRPr="00BA30E0">
        <w:rPr>
          <w:rFonts w:ascii="Times New Roman" w:eastAsia="Times New Roman" w:hAnsi="Times New Roman" w:cs="Times New Roman"/>
          <w:color w:val="000000" w:themeColor="text1"/>
          <w:kern w:val="0"/>
          <w:sz w:val="24"/>
          <w:szCs w:val="24"/>
          <w14:ligatures w14:val="none"/>
        </w:rPr>
        <w:t xml:space="preserve"> between strategic intent and operational delivery. Also reputational losses due to delays can be long term in terms of civic confidence in the next infrastructures.</w:t>
      </w:r>
    </w:p>
    <w:p w14:paraId="3830BB77" w14:textId="77777777" w:rsidR="00BA30E0" w:rsidRPr="00BA30E0" w:rsidRDefault="00BA30E0"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p>
    <w:p w14:paraId="40949959" w14:textId="77777777" w:rsidR="00BA30E0" w:rsidRPr="00BA30E0" w:rsidRDefault="00BA30E0"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p>
    <w:p w14:paraId="1FCBD25C" w14:textId="77777777" w:rsidR="00BA30E0" w:rsidRPr="00BA30E0" w:rsidRDefault="00BA30E0" w:rsidP="00BA30E0">
      <w:pPr>
        <w:spacing w:after="0" w:line="360" w:lineRule="auto"/>
        <w:ind w:firstLine="720"/>
        <w:contextualSpacing/>
        <w:jc w:val="both"/>
        <w:rPr>
          <w:rFonts w:ascii="Times New Roman" w:hAnsi="Times New Roman" w:cs="Times New Roman"/>
          <w:color w:val="000000" w:themeColor="text1"/>
          <w:sz w:val="24"/>
          <w:szCs w:val="24"/>
        </w:rPr>
      </w:pPr>
    </w:p>
    <w:p w14:paraId="6951E3E5" w14:textId="77777777" w:rsidR="000F7FC5" w:rsidRPr="00BA30E0" w:rsidRDefault="000F7FC5" w:rsidP="00BA30E0">
      <w:pPr>
        <w:pStyle w:val="Heading3"/>
        <w:spacing w:before="0" w:beforeAutospacing="0" w:after="0" w:afterAutospacing="0" w:line="360" w:lineRule="auto"/>
        <w:contextualSpacing/>
        <w:rPr>
          <w:lang w:val="en-GB"/>
        </w:rPr>
      </w:pPr>
      <w:bookmarkStart w:id="7" w:name="_Toc226053781"/>
      <w:r w:rsidRPr="00BA30E0">
        <w:rPr>
          <w:rStyle w:val="Strong"/>
          <w:b/>
          <w:bCs/>
          <w:lang w:val="en-GB"/>
        </w:rPr>
        <w:lastRenderedPageBreak/>
        <w:t>Table 5: VRIO Analysis</w:t>
      </w:r>
      <w:bookmarkEnd w:id="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06"/>
        <w:gridCol w:w="979"/>
        <w:gridCol w:w="583"/>
        <w:gridCol w:w="1147"/>
        <w:gridCol w:w="1147"/>
        <w:gridCol w:w="2688"/>
      </w:tblGrid>
      <w:tr w:rsidR="00BA30E0" w:rsidRPr="00BA30E0" w14:paraId="6D4B9BC1" w14:textId="77777777" w:rsidTr="00F42F82">
        <w:trPr>
          <w:tblHeader/>
          <w:tblCellSpacing w:w="15" w:type="dxa"/>
        </w:trPr>
        <w:tc>
          <w:tcPr>
            <w:tcW w:w="0" w:type="auto"/>
            <w:vAlign w:val="center"/>
            <w:hideMark/>
          </w:tcPr>
          <w:p w14:paraId="05A0A52E"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Resource/Capability</w:t>
            </w:r>
          </w:p>
        </w:tc>
        <w:tc>
          <w:tcPr>
            <w:tcW w:w="0" w:type="auto"/>
            <w:vAlign w:val="center"/>
            <w:hideMark/>
          </w:tcPr>
          <w:p w14:paraId="7EED9925"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Valuable</w:t>
            </w:r>
          </w:p>
        </w:tc>
        <w:tc>
          <w:tcPr>
            <w:tcW w:w="0" w:type="auto"/>
            <w:vAlign w:val="center"/>
            <w:hideMark/>
          </w:tcPr>
          <w:p w14:paraId="7C190C8F"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Rare</w:t>
            </w:r>
          </w:p>
        </w:tc>
        <w:tc>
          <w:tcPr>
            <w:tcW w:w="0" w:type="auto"/>
            <w:vAlign w:val="center"/>
            <w:hideMark/>
          </w:tcPr>
          <w:p w14:paraId="6803CE58"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Inimitable</w:t>
            </w:r>
          </w:p>
        </w:tc>
        <w:tc>
          <w:tcPr>
            <w:tcW w:w="0" w:type="auto"/>
            <w:vAlign w:val="center"/>
            <w:hideMark/>
          </w:tcPr>
          <w:p w14:paraId="751004AB"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Organised</w:t>
            </w:r>
          </w:p>
        </w:tc>
        <w:tc>
          <w:tcPr>
            <w:tcW w:w="0" w:type="auto"/>
            <w:vAlign w:val="center"/>
            <w:hideMark/>
          </w:tcPr>
          <w:p w14:paraId="02901A3F"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Outcome</w:t>
            </w:r>
          </w:p>
        </w:tc>
      </w:tr>
      <w:tr w:rsidR="00BA30E0" w:rsidRPr="00BA30E0" w14:paraId="6F7B632E" w14:textId="77777777" w:rsidTr="00F42F82">
        <w:trPr>
          <w:tblCellSpacing w:w="15" w:type="dxa"/>
        </w:trPr>
        <w:tc>
          <w:tcPr>
            <w:tcW w:w="0" w:type="auto"/>
            <w:vAlign w:val="center"/>
            <w:hideMark/>
          </w:tcPr>
          <w:p w14:paraId="08A33627"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Integrated rail infrastructure</w:t>
            </w:r>
          </w:p>
        </w:tc>
        <w:tc>
          <w:tcPr>
            <w:tcW w:w="0" w:type="auto"/>
            <w:vAlign w:val="center"/>
            <w:hideMark/>
          </w:tcPr>
          <w:p w14:paraId="78612419"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Yes</w:t>
            </w:r>
          </w:p>
        </w:tc>
        <w:tc>
          <w:tcPr>
            <w:tcW w:w="0" w:type="auto"/>
            <w:vAlign w:val="center"/>
            <w:hideMark/>
          </w:tcPr>
          <w:p w14:paraId="41B2BA2F"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Yes</w:t>
            </w:r>
          </w:p>
        </w:tc>
        <w:tc>
          <w:tcPr>
            <w:tcW w:w="0" w:type="auto"/>
            <w:vAlign w:val="center"/>
            <w:hideMark/>
          </w:tcPr>
          <w:p w14:paraId="009D7485"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Yes</w:t>
            </w:r>
          </w:p>
        </w:tc>
        <w:tc>
          <w:tcPr>
            <w:tcW w:w="0" w:type="auto"/>
            <w:vAlign w:val="center"/>
            <w:hideMark/>
          </w:tcPr>
          <w:p w14:paraId="338BC4D2"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Yes</w:t>
            </w:r>
          </w:p>
        </w:tc>
        <w:tc>
          <w:tcPr>
            <w:tcW w:w="0" w:type="auto"/>
            <w:vAlign w:val="center"/>
            <w:hideMark/>
          </w:tcPr>
          <w:p w14:paraId="140A701A"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Sustained competitive advantage</w:t>
            </w:r>
          </w:p>
        </w:tc>
      </w:tr>
      <w:tr w:rsidR="00BA30E0" w:rsidRPr="00BA30E0" w14:paraId="44BE7A31" w14:textId="77777777" w:rsidTr="00F42F82">
        <w:trPr>
          <w:tblCellSpacing w:w="15" w:type="dxa"/>
        </w:trPr>
        <w:tc>
          <w:tcPr>
            <w:tcW w:w="0" w:type="auto"/>
            <w:vAlign w:val="center"/>
            <w:hideMark/>
          </w:tcPr>
          <w:p w14:paraId="6B98DA13"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Government funding support</w:t>
            </w:r>
          </w:p>
        </w:tc>
        <w:tc>
          <w:tcPr>
            <w:tcW w:w="0" w:type="auto"/>
            <w:vAlign w:val="center"/>
            <w:hideMark/>
          </w:tcPr>
          <w:p w14:paraId="61F304F5"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Yes</w:t>
            </w:r>
          </w:p>
        </w:tc>
        <w:tc>
          <w:tcPr>
            <w:tcW w:w="0" w:type="auto"/>
            <w:vAlign w:val="center"/>
            <w:hideMark/>
          </w:tcPr>
          <w:p w14:paraId="43122729"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No</w:t>
            </w:r>
          </w:p>
        </w:tc>
        <w:tc>
          <w:tcPr>
            <w:tcW w:w="0" w:type="auto"/>
            <w:vAlign w:val="center"/>
            <w:hideMark/>
          </w:tcPr>
          <w:p w14:paraId="2A7528E9"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No</w:t>
            </w:r>
          </w:p>
        </w:tc>
        <w:tc>
          <w:tcPr>
            <w:tcW w:w="0" w:type="auto"/>
            <w:vAlign w:val="center"/>
            <w:hideMark/>
          </w:tcPr>
          <w:p w14:paraId="6BAF4464"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Yes</w:t>
            </w:r>
          </w:p>
        </w:tc>
        <w:tc>
          <w:tcPr>
            <w:tcW w:w="0" w:type="auto"/>
            <w:vAlign w:val="center"/>
            <w:hideMark/>
          </w:tcPr>
          <w:p w14:paraId="3DDF90B0"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Temporary advantage</w:t>
            </w:r>
          </w:p>
        </w:tc>
      </w:tr>
      <w:tr w:rsidR="00BA30E0" w:rsidRPr="00BA30E0" w14:paraId="0FD963BA" w14:textId="77777777" w:rsidTr="00F42F82">
        <w:trPr>
          <w:tblCellSpacing w:w="15" w:type="dxa"/>
        </w:trPr>
        <w:tc>
          <w:tcPr>
            <w:tcW w:w="0" w:type="auto"/>
            <w:vAlign w:val="center"/>
            <w:hideMark/>
          </w:tcPr>
          <w:p w14:paraId="5A6283DD"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Project management capability</w:t>
            </w:r>
          </w:p>
        </w:tc>
        <w:tc>
          <w:tcPr>
            <w:tcW w:w="0" w:type="auto"/>
            <w:vAlign w:val="center"/>
            <w:hideMark/>
          </w:tcPr>
          <w:p w14:paraId="10699BDD"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Yes</w:t>
            </w:r>
          </w:p>
        </w:tc>
        <w:tc>
          <w:tcPr>
            <w:tcW w:w="0" w:type="auto"/>
            <w:vAlign w:val="center"/>
            <w:hideMark/>
          </w:tcPr>
          <w:p w14:paraId="3E8D3A50"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No</w:t>
            </w:r>
          </w:p>
        </w:tc>
        <w:tc>
          <w:tcPr>
            <w:tcW w:w="0" w:type="auto"/>
            <w:vAlign w:val="center"/>
            <w:hideMark/>
          </w:tcPr>
          <w:p w14:paraId="4B02DE69"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No</w:t>
            </w:r>
          </w:p>
        </w:tc>
        <w:tc>
          <w:tcPr>
            <w:tcW w:w="0" w:type="auto"/>
            <w:vAlign w:val="center"/>
            <w:hideMark/>
          </w:tcPr>
          <w:p w14:paraId="481B49B2"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Partially</w:t>
            </w:r>
          </w:p>
        </w:tc>
        <w:tc>
          <w:tcPr>
            <w:tcW w:w="0" w:type="auto"/>
            <w:vAlign w:val="center"/>
            <w:hideMark/>
          </w:tcPr>
          <w:p w14:paraId="59E70C8D"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Limited effectiveness</w:t>
            </w:r>
          </w:p>
        </w:tc>
      </w:tr>
    </w:tbl>
    <w:p w14:paraId="21D39CA1" w14:textId="77777777" w:rsidR="00BA30E0" w:rsidRPr="00BA30E0" w:rsidRDefault="00BA30E0"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p>
    <w:p w14:paraId="4E2C9FF5" w14:textId="77777777" w:rsidR="000F7FC5" w:rsidRPr="00BA30E0" w:rsidRDefault="005B6973"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According to the VRIO analysis, the infrastructures alone are long-term value-adding, however organisational inefficiencies lower the project potential to maximise these benefits. Specifically, the lack of project management capacity was a source of delays and dissatisfaction among the stakeholders. This underscores the fact that having valuable resources is not enough without proper organisational alignment.</w:t>
      </w:r>
    </w:p>
    <w:p w14:paraId="2101612F" w14:textId="77777777" w:rsidR="00BA30E0" w:rsidRPr="00BA30E0" w:rsidRDefault="00BA30E0" w:rsidP="00BA30E0">
      <w:pPr>
        <w:spacing w:after="0" w:line="360" w:lineRule="auto"/>
        <w:ind w:firstLine="720"/>
        <w:contextualSpacing/>
        <w:jc w:val="both"/>
        <w:rPr>
          <w:rFonts w:ascii="Times New Roman" w:hAnsi="Times New Roman" w:cs="Times New Roman"/>
          <w:color w:val="000000" w:themeColor="text1"/>
          <w:sz w:val="24"/>
          <w:szCs w:val="24"/>
        </w:rPr>
      </w:pPr>
    </w:p>
    <w:p w14:paraId="4CFA001F" w14:textId="77777777" w:rsidR="000F7FC5" w:rsidRPr="00BA30E0" w:rsidRDefault="000F7FC5" w:rsidP="00BA30E0">
      <w:pPr>
        <w:pStyle w:val="Heading2"/>
        <w:spacing w:before="0" w:beforeAutospacing="0" w:after="0" w:afterAutospacing="0" w:line="360" w:lineRule="auto"/>
        <w:contextualSpacing/>
        <w:rPr>
          <w:lang w:val="en-GB"/>
        </w:rPr>
      </w:pPr>
      <w:bookmarkStart w:id="8" w:name="_Toc226053782"/>
      <w:r w:rsidRPr="00BA30E0">
        <w:rPr>
          <w:rStyle w:val="Strong"/>
          <w:bCs/>
          <w:lang w:val="en-GB"/>
        </w:rPr>
        <w:t>2.2 Power–Influence–Interest Analysis</w:t>
      </w:r>
      <w:bookmarkEnd w:id="8"/>
    </w:p>
    <w:p w14:paraId="2DE37A02" w14:textId="77777777" w:rsidR="000F7FC5" w:rsidRPr="00BA30E0" w:rsidRDefault="006141CD" w:rsidP="00BA30E0">
      <w:pPr>
        <w:pStyle w:val="NormalWeb"/>
        <w:spacing w:before="0" w:beforeAutospacing="0" w:after="0" w:afterAutospacing="0" w:line="360" w:lineRule="auto"/>
        <w:ind w:firstLine="720"/>
        <w:contextualSpacing/>
        <w:jc w:val="both"/>
        <w:rPr>
          <w:color w:val="000000" w:themeColor="text1"/>
          <w:lang w:val="en-GB"/>
        </w:rPr>
      </w:pPr>
      <w:r w:rsidRPr="00BA30E0">
        <w:rPr>
          <w:rStyle w:val="cursor-pointer"/>
          <w:color w:val="000000" w:themeColor="text1"/>
          <w:lang w:val="en-GB"/>
        </w:rPr>
        <w:t>Complex infrastructure projects involve stakeholder prioritisation as of great importance.</w:t>
      </w:r>
      <w:r w:rsidRPr="00BA30E0">
        <w:rPr>
          <w:color w:val="000000" w:themeColor="text1"/>
          <w:lang w:val="en-GB"/>
        </w:rPr>
        <w:t xml:space="preserve"> </w:t>
      </w:r>
      <w:r w:rsidRPr="00BA30E0">
        <w:rPr>
          <w:rStyle w:val="cursor-pointer"/>
          <w:color w:val="000000" w:themeColor="text1"/>
          <w:lang w:val="en-GB"/>
        </w:rPr>
        <w:t>Crossrail project has several stakeholders that have different levels of power, influence and interest.</w:t>
      </w:r>
    </w:p>
    <w:p w14:paraId="0ACC62EA" w14:textId="77777777" w:rsidR="000F7FC5" w:rsidRPr="00BA30E0" w:rsidRDefault="000F7FC5" w:rsidP="00BA30E0">
      <w:pPr>
        <w:pStyle w:val="Heading3"/>
        <w:spacing w:before="0" w:beforeAutospacing="0" w:after="0" w:afterAutospacing="0" w:line="360" w:lineRule="auto"/>
        <w:contextualSpacing/>
        <w:rPr>
          <w:lang w:val="en-GB"/>
        </w:rPr>
      </w:pPr>
      <w:bookmarkStart w:id="9" w:name="_Toc226053783"/>
      <w:r w:rsidRPr="00BA30E0">
        <w:rPr>
          <w:rStyle w:val="Strong"/>
          <w:b/>
          <w:bCs/>
          <w:lang w:val="en-GB"/>
        </w:rPr>
        <w:t>Table 6: Power–Influence–Interest Matrix</w:t>
      </w:r>
      <w:bookmarkEnd w:id="9"/>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66"/>
        <w:gridCol w:w="894"/>
        <w:gridCol w:w="1040"/>
        <w:gridCol w:w="894"/>
        <w:gridCol w:w="4356"/>
      </w:tblGrid>
      <w:tr w:rsidR="00BA30E0" w:rsidRPr="00BA30E0" w14:paraId="18A8B1C5" w14:textId="77777777" w:rsidTr="00F42F82">
        <w:trPr>
          <w:tblHeader/>
          <w:tblCellSpacing w:w="15" w:type="dxa"/>
        </w:trPr>
        <w:tc>
          <w:tcPr>
            <w:tcW w:w="0" w:type="auto"/>
            <w:vAlign w:val="center"/>
            <w:hideMark/>
          </w:tcPr>
          <w:p w14:paraId="5DFB69B9"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Stakeholder</w:t>
            </w:r>
          </w:p>
        </w:tc>
        <w:tc>
          <w:tcPr>
            <w:tcW w:w="0" w:type="auto"/>
            <w:vAlign w:val="center"/>
            <w:hideMark/>
          </w:tcPr>
          <w:p w14:paraId="1113B953"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Power</w:t>
            </w:r>
          </w:p>
        </w:tc>
        <w:tc>
          <w:tcPr>
            <w:tcW w:w="0" w:type="auto"/>
            <w:vAlign w:val="center"/>
            <w:hideMark/>
          </w:tcPr>
          <w:p w14:paraId="3CB953D5"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Influence</w:t>
            </w:r>
          </w:p>
        </w:tc>
        <w:tc>
          <w:tcPr>
            <w:tcW w:w="0" w:type="auto"/>
            <w:vAlign w:val="center"/>
            <w:hideMark/>
          </w:tcPr>
          <w:p w14:paraId="2CD1F270"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Interest</w:t>
            </w:r>
          </w:p>
        </w:tc>
        <w:tc>
          <w:tcPr>
            <w:tcW w:w="0" w:type="auto"/>
            <w:vAlign w:val="center"/>
            <w:hideMark/>
          </w:tcPr>
          <w:p w14:paraId="0D4E8749"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Critical Evaluation</w:t>
            </w:r>
          </w:p>
        </w:tc>
      </w:tr>
      <w:tr w:rsidR="00BA30E0" w:rsidRPr="00BA30E0" w14:paraId="0AF614DE" w14:textId="77777777" w:rsidTr="00F42F82">
        <w:trPr>
          <w:tblCellSpacing w:w="15" w:type="dxa"/>
        </w:trPr>
        <w:tc>
          <w:tcPr>
            <w:tcW w:w="0" w:type="auto"/>
            <w:vAlign w:val="center"/>
            <w:hideMark/>
          </w:tcPr>
          <w:p w14:paraId="1AB89987"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Department for Transport</w:t>
            </w:r>
          </w:p>
        </w:tc>
        <w:tc>
          <w:tcPr>
            <w:tcW w:w="0" w:type="auto"/>
            <w:vAlign w:val="center"/>
            <w:hideMark/>
          </w:tcPr>
          <w:p w14:paraId="36E6840B"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w:t>
            </w:r>
          </w:p>
        </w:tc>
        <w:tc>
          <w:tcPr>
            <w:tcW w:w="0" w:type="auto"/>
            <w:vAlign w:val="center"/>
            <w:hideMark/>
          </w:tcPr>
          <w:p w14:paraId="44647615"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w:t>
            </w:r>
          </w:p>
        </w:tc>
        <w:tc>
          <w:tcPr>
            <w:tcW w:w="0" w:type="auto"/>
            <w:vAlign w:val="center"/>
            <w:hideMark/>
          </w:tcPr>
          <w:p w14:paraId="5D12E688"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w:t>
            </w:r>
          </w:p>
        </w:tc>
        <w:tc>
          <w:tcPr>
            <w:tcW w:w="0" w:type="auto"/>
            <w:vAlign w:val="center"/>
            <w:hideMark/>
          </w:tcPr>
          <w:p w14:paraId="3922E69E" w14:textId="77777777" w:rsidR="000F7FC5" w:rsidRPr="00BA30E0" w:rsidRDefault="006141CD"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Controls funding and strategic direction</w:t>
            </w:r>
          </w:p>
        </w:tc>
      </w:tr>
      <w:tr w:rsidR="00BA30E0" w:rsidRPr="00BA30E0" w14:paraId="6E1F26B0" w14:textId="77777777" w:rsidTr="00F42F82">
        <w:trPr>
          <w:tblCellSpacing w:w="15" w:type="dxa"/>
        </w:trPr>
        <w:tc>
          <w:tcPr>
            <w:tcW w:w="0" w:type="auto"/>
            <w:vAlign w:val="center"/>
            <w:hideMark/>
          </w:tcPr>
          <w:p w14:paraId="1D8B377B"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Transport for London</w:t>
            </w:r>
          </w:p>
        </w:tc>
        <w:tc>
          <w:tcPr>
            <w:tcW w:w="0" w:type="auto"/>
            <w:vAlign w:val="center"/>
            <w:hideMark/>
          </w:tcPr>
          <w:p w14:paraId="00DC3152"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w:t>
            </w:r>
          </w:p>
        </w:tc>
        <w:tc>
          <w:tcPr>
            <w:tcW w:w="0" w:type="auto"/>
            <w:vAlign w:val="center"/>
            <w:hideMark/>
          </w:tcPr>
          <w:p w14:paraId="1A5CBCC8"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w:t>
            </w:r>
          </w:p>
        </w:tc>
        <w:tc>
          <w:tcPr>
            <w:tcW w:w="0" w:type="auto"/>
            <w:vAlign w:val="center"/>
            <w:hideMark/>
          </w:tcPr>
          <w:p w14:paraId="72C2FBA7"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w:t>
            </w:r>
          </w:p>
        </w:tc>
        <w:tc>
          <w:tcPr>
            <w:tcW w:w="0" w:type="auto"/>
            <w:vAlign w:val="center"/>
            <w:hideMark/>
          </w:tcPr>
          <w:p w14:paraId="3D3D2772" w14:textId="77777777" w:rsidR="000F7FC5" w:rsidRPr="00BA30E0" w:rsidRDefault="006141CD"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Responsible for operational delivery and public accountability</w:t>
            </w:r>
          </w:p>
        </w:tc>
      </w:tr>
      <w:tr w:rsidR="00BA30E0" w:rsidRPr="00BA30E0" w14:paraId="716B023B" w14:textId="77777777" w:rsidTr="00F42F82">
        <w:trPr>
          <w:tblCellSpacing w:w="15" w:type="dxa"/>
        </w:trPr>
        <w:tc>
          <w:tcPr>
            <w:tcW w:w="0" w:type="auto"/>
            <w:vAlign w:val="center"/>
            <w:hideMark/>
          </w:tcPr>
          <w:p w14:paraId="3C1C2BD1"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Crossrail Ltd</w:t>
            </w:r>
          </w:p>
        </w:tc>
        <w:tc>
          <w:tcPr>
            <w:tcW w:w="0" w:type="auto"/>
            <w:vAlign w:val="center"/>
            <w:hideMark/>
          </w:tcPr>
          <w:p w14:paraId="1FC9D0C3"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Medium</w:t>
            </w:r>
          </w:p>
        </w:tc>
        <w:tc>
          <w:tcPr>
            <w:tcW w:w="0" w:type="auto"/>
            <w:vAlign w:val="center"/>
            <w:hideMark/>
          </w:tcPr>
          <w:p w14:paraId="1C5A8888"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w:t>
            </w:r>
          </w:p>
        </w:tc>
        <w:tc>
          <w:tcPr>
            <w:tcW w:w="0" w:type="auto"/>
            <w:vAlign w:val="center"/>
            <w:hideMark/>
          </w:tcPr>
          <w:p w14:paraId="58348C04"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w:t>
            </w:r>
          </w:p>
        </w:tc>
        <w:tc>
          <w:tcPr>
            <w:tcW w:w="0" w:type="auto"/>
            <w:vAlign w:val="center"/>
            <w:hideMark/>
          </w:tcPr>
          <w:p w14:paraId="72EC61A6" w14:textId="77777777" w:rsidR="000F7FC5" w:rsidRPr="00BA30E0" w:rsidRDefault="006141CD"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Executes the project but constrained by external decisions</w:t>
            </w:r>
          </w:p>
        </w:tc>
      </w:tr>
      <w:tr w:rsidR="00BA30E0" w:rsidRPr="00BA30E0" w14:paraId="01526C00" w14:textId="77777777" w:rsidTr="00F42F82">
        <w:trPr>
          <w:tblCellSpacing w:w="15" w:type="dxa"/>
        </w:trPr>
        <w:tc>
          <w:tcPr>
            <w:tcW w:w="0" w:type="auto"/>
            <w:vAlign w:val="center"/>
            <w:hideMark/>
          </w:tcPr>
          <w:p w14:paraId="3141850D"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Local Residents</w:t>
            </w:r>
          </w:p>
        </w:tc>
        <w:tc>
          <w:tcPr>
            <w:tcW w:w="0" w:type="auto"/>
            <w:vAlign w:val="center"/>
            <w:hideMark/>
          </w:tcPr>
          <w:p w14:paraId="399A01B0"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Low</w:t>
            </w:r>
          </w:p>
        </w:tc>
        <w:tc>
          <w:tcPr>
            <w:tcW w:w="0" w:type="auto"/>
            <w:vAlign w:val="center"/>
            <w:hideMark/>
          </w:tcPr>
          <w:p w14:paraId="643F9F17"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Medium</w:t>
            </w:r>
          </w:p>
        </w:tc>
        <w:tc>
          <w:tcPr>
            <w:tcW w:w="0" w:type="auto"/>
            <w:vAlign w:val="center"/>
            <w:hideMark/>
          </w:tcPr>
          <w:p w14:paraId="77C7339B"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w:t>
            </w:r>
          </w:p>
        </w:tc>
        <w:tc>
          <w:tcPr>
            <w:tcW w:w="0" w:type="auto"/>
            <w:vAlign w:val="center"/>
            <w:hideMark/>
          </w:tcPr>
          <w:p w14:paraId="3013C3FC" w14:textId="77777777" w:rsidR="000F7FC5" w:rsidRPr="00BA30E0" w:rsidRDefault="006141CD"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Highly affected but lack decision-making authority</w:t>
            </w:r>
          </w:p>
        </w:tc>
      </w:tr>
      <w:tr w:rsidR="00BA30E0" w:rsidRPr="00BA30E0" w14:paraId="4667B3A4" w14:textId="77777777" w:rsidTr="00F42F82">
        <w:trPr>
          <w:tblCellSpacing w:w="15" w:type="dxa"/>
        </w:trPr>
        <w:tc>
          <w:tcPr>
            <w:tcW w:w="0" w:type="auto"/>
            <w:vAlign w:val="center"/>
            <w:hideMark/>
          </w:tcPr>
          <w:p w14:paraId="5205DA1F"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lastRenderedPageBreak/>
              <w:t>Local Businesses</w:t>
            </w:r>
          </w:p>
        </w:tc>
        <w:tc>
          <w:tcPr>
            <w:tcW w:w="0" w:type="auto"/>
            <w:vAlign w:val="center"/>
            <w:hideMark/>
          </w:tcPr>
          <w:p w14:paraId="458DB1DA"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Low</w:t>
            </w:r>
          </w:p>
        </w:tc>
        <w:tc>
          <w:tcPr>
            <w:tcW w:w="0" w:type="auto"/>
            <w:vAlign w:val="center"/>
            <w:hideMark/>
          </w:tcPr>
          <w:p w14:paraId="67ECCE49"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Low</w:t>
            </w:r>
          </w:p>
        </w:tc>
        <w:tc>
          <w:tcPr>
            <w:tcW w:w="0" w:type="auto"/>
            <w:vAlign w:val="center"/>
            <w:hideMark/>
          </w:tcPr>
          <w:p w14:paraId="02B2BB69"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Medium</w:t>
            </w:r>
          </w:p>
        </w:tc>
        <w:tc>
          <w:tcPr>
            <w:tcW w:w="0" w:type="auto"/>
            <w:vAlign w:val="center"/>
            <w:hideMark/>
          </w:tcPr>
          <w:p w14:paraId="1DCC6C69" w14:textId="77777777" w:rsidR="000F7FC5" w:rsidRPr="00BA30E0" w:rsidRDefault="006141CD"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Indirectly impacted by infrastructure changes</w:t>
            </w:r>
          </w:p>
        </w:tc>
      </w:tr>
      <w:tr w:rsidR="00BA30E0" w:rsidRPr="00BA30E0" w14:paraId="694D8793" w14:textId="77777777" w:rsidTr="00F42F82">
        <w:trPr>
          <w:tblCellSpacing w:w="15" w:type="dxa"/>
        </w:trPr>
        <w:tc>
          <w:tcPr>
            <w:tcW w:w="0" w:type="auto"/>
            <w:vAlign w:val="center"/>
            <w:hideMark/>
          </w:tcPr>
          <w:p w14:paraId="13636D9A"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Environmental Groups</w:t>
            </w:r>
          </w:p>
        </w:tc>
        <w:tc>
          <w:tcPr>
            <w:tcW w:w="0" w:type="auto"/>
            <w:vAlign w:val="center"/>
            <w:hideMark/>
          </w:tcPr>
          <w:p w14:paraId="68706A4F"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Medium</w:t>
            </w:r>
          </w:p>
        </w:tc>
        <w:tc>
          <w:tcPr>
            <w:tcW w:w="0" w:type="auto"/>
            <w:vAlign w:val="center"/>
            <w:hideMark/>
          </w:tcPr>
          <w:p w14:paraId="3BAB4FD6"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Medium</w:t>
            </w:r>
          </w:p>
        </w:tc>
        <w:tc>
          <w:tcPr>
            <w:tcW w:w="0" w:type="auto"/>
            <w:vAlign w:val="center"/>
            <w:hideMark/>
          </w:tcPr>
          <w:p w14:paraId="3622973D"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w:t>
            </w:r>
          </w:p>
        </w:tc>
        <w:tc>
          <w:tcPr>
            <w:tcW w:w="0" w:type="auto"/>
            <w:vAlign w:val="center"/>
            <w:hideMark/>
          </w:tcPr>
          <w:p w14:paraId="6810D879" w14:textId="77777777" w:rsidR="000F7FC5" w:rsidRPr="00BA30E0" w:rsidRDefault="006141CD"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Can influence through advocacy and legal challenges</w:t>
            </w:r>
          </w:p>
        </w:tc>
      </w:tr>
    </w:tbl>
    <w:p w14:paraId="5E5708A3" w14:textId="77777777" w:rsidR="00BA30E0" w:rsidRDefault="00BA30E0" w:rsidP="00BA30E0">
      <w:pPr>
        <w:pStyle w:val="NormalWeb"/>
        <w:spacing w:before="0" w:beforeAutospacing="0" w:after="0" w:afterAutospacing="0" w:line="360" w:lineRule="auto"/>
        <w:ind w:firstLine="720"/>
        <w:contextualSpacing/>
        <w:jc w:val="both"/>
        <w:rPr>
          <w:color w:val="000000" w:themeColor="text1"/>
          <w:lang w:val="en-GB"/>
        </w:rPr>
      </w:pPr>
    </w:p>
    <w:p w14:paraId="4BF3472E" w14:textId="77777777" w:rsidR="000F7FC5" w:rsidRPr="00BA30E0" w:rsidRDefault="006141CD"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This matrix brings out an evident asymmetry of the power of the stakeholders. Decision making is dominated by high-power stakeholders as those most affected, especially the local residents, are having less influence. Such imbalance attracts issues about fairness and inclusiveness of the stakeholder engagement processes (Freeman, 1984). Moreover, this asymmetry might also result in a further escalation of conflict since the marginalised stakeholders might also use more indirect methods of influence, such as campaigns or even lawsuits.</w:t>
      </w:r>
    </w:p>
    <w:p w14:paraId="4EFE941D"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p>
    <w:p w14:paraId="178505AA" w14:textId="77777777" w:rsidR="000F7FC5" w:rsidRPr="00BA30E0" w:rsidRDefault="000F7FC5" w:rsidP="00BA30E0">
      <w:pPr>
        <w:pStyle w:val="Heading2"/>
        <w:spacing w:before="0" w:beforeAutospacing="0" w:after="0" w:afterAutospacing="0" w:line="360" w:lineRule="auto"/>
        <w:contextualSpacing/>
        <w:rPr>
          <w:lang w:val="en-GB"/>
        </w:rPr>
      </w:pPr>
      <w:bookmarkStart w:id="10" w:name="_Toc226053784"/>
      <w:r w:rsidRPr="00BA30E0">
        <w:rPr>
          <w:rStyle w:val="Strong"/>
          <w:bCs/>
          <w:lang w:val="en-GB"/>
        </w:rPr>
        <w:t>2.3 Stakeholder Mapping</w:t>
      </w:r>
      <w:bookmarkEnd w:id="10"/>
    </w:p>
    <w:p w14:paraId="6536F82A" w14:textId="77777777" w:rsidR="006141CD" w:rsidRPr="00BA30E0" w:rsidRDefault="006141CD" w:rsidP="00BA30E0">
      <w:pPr>
        <w:spacing w:after="0" w:line="360" w:lineRule="auto"/>
        <w:ind w:firstLine="720"/>
        <w:contextualSpacing/>
        <w:jc w:val="both"/>
        <w:rPr>
          <w:rFonts w:ascii="Times New Roman" w:hAnsi="Times New Roman" w:cs="Times New Roman"/>
          <w:b/>
          <w:bCs/>
          <w:color w:val="000000" w:themeColor="text1"/>
          <w:sz w:val="24"/>
          <w:szCs w:val="24"/>
        </w:rPr>
      </w:pPr>
      <w:r w:rsidRPr="00BA30E0">
        <w:rPr>
          <w:rFonts w:ascii="Times New Roman" w:hAnsi="Times New Roman" w:cs="Times New Roman"/>
          <w:color w:val="000000" w:themeColor="text1"/>
          <w:sz w:val="24"/>
          <w:szCs w:val="24"/>
        </w:rPr>
        <w:t>The power and interest dimensions are used to classify the stakeholders into quadrants to establish appropriate engagement strategies.</w:t>
      </w:r>
    </w:p>
    <w:p w14:paraId="08DB3FF3" w14:textId="77777777" w:rsidR="000F7FC5" w:rsidRPr="00BA30E0" w:rsidRDefault="000F7FC5" w:rsidP="00BA30E0">
      <w:pPr>
        <w:pStyle w:val="Heading3"/>
        <w:spacing w:before="0" w:beforeAutospacing="0" w:after="0" w:afterAutospacing="0" w:line="360" w:lineRule="auto"/>
        <w:contextualSpacing/>
        <w:rPr>
          <w:rStyle w:val="Strong"/>
          <w:b/>
          <w:bCs/>
          <w:lang w:val="en-GB"/>
        </w:rPr>
      </w:pPr>
      <w:bookmarkStart w:id="11" w:name="_Toc226053785"/>
      <w:r w:rsidRPr="00BA30E0">
        <w:rPr>
          <w:rStyle w:val="Strong"/>
          <w:b/>
          <w:bCs/>
          <w:lang w:val="en-GB"/>
        </w:rPr>
        <w:t>Table 7: Stakeholder Map</w:t>
      </w:r>
      <w:bookmarkEnd w:id="11"/>
    </w:p>
    <w:p w14:paraId="5E30F4D7" w14:textId="77777777" w:rsidR="000C6FE7" w:rsidRPr="00BA30E0" w:rsidRDefault="000C6FE7" w:rsidP="00BA30E0">
      <w:pPr>
        <w:spacing w:after="0" w:line="360" w:lineRule="auto"/>
        <w:contextualSpacing/>
        <w:jc w:val="center"/>
        <w:rPr>
          <w:rFonts w:ascii="Times New Roman" w:hAnsi="Times New Roman" w:cs="Times New Roman"/>
          <w:color w:val="000000" w:themeColor="text1"/>
          <w:sz w:val="24"/>
          <w:szCs w:val="24"/>
        </w:rPr>
      </w:pPr>
      <w:r w:rsidRPr="00BA30E0">
        <w:rPr>
          <w:rFonts w:ascii="Times New Roman" w:hAnsi="Times New Roman" w:cs="Times New Roman"/>
          <w:noProof/>
          <w:color w:val="000000" w:themeColor="text1"/>
          <w:sz w:val="24"/>
          <w:szCs w:val="24"/>
        </w:rPr>
        <w:drawing>
          <wp:inline distT="0" distB="0" distL="0" distR="0" wp14:anchorId="7E67C04E" wp14:editId="34E53617">
            <wp:extent cx="3960055" cy="3369980"/>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68746" cy="3377376"/>
                    </a:xfrm>
                    <a:prstGeom prst="rect">
                      <a:avLst/>
                    </a:prstGeom>
                  </pic:spPr>
                </pic:pic>
              </a:graphicData>
            </a:graphic>
          </wp:inline>
        </w:drawing>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73"/>
        <w:gridCol w:w="2986"/>
        <w:gridCol w:w="3991"/>
      </w:tblGrid>
      <w:tr w:rsidR="00BA30E0" w:rsidRPr="00BA30E0" w14:paraId="305DCF98" w14:textId="77777777" w:rsidTr="00F42F82">
        <w:trPr>
          <w:tblHeader/>
          <w:tblCellSpacing w:w="15" w:type="dxa"/>
        </w:trPr>
        <w:tc>
          <w:tcPr>
            <w:tcW w:w="0" w:type="auto"/>
            <w:vAlign w:val="center"/>
            <w:hideMark/>
          </w:tcPr>
          <w:p w14:paraId="172DB25A"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lastRenderedPageBreak/>
              <w:t>Quadrant</w:t>
            </w:r>
          </w:p>
        </w:tc>
        <w:tc>
          <w:tcPr>
            <w:tcW w:w="0" w:type="auto"/>
            <w:vAlign w:val="center"/>
            <w:hideMark/>
          </w:tcPr>
          <w:p w14:paraId="4F1FDCCB"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Stakeholders</w:t>
            </w:r>
          </w:p>
        </w:tc>
        <w:tc>
          <w:tcPr>
            <w:tcW w:w="0" w:type="auto"/>
            <w:vAlign w:val="center"/>
            <w:hideMark/>
          </w:tcPr>
          <w:p w14:paraId="14663722"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Strategy</w:t>
            </w:r>
          </w:p>
        </w:tc>
      </w:tr>
      <w:tr w:rsidR="00BA30E0" w:rsidRPr="00BA30E0" w14:paraId="03E55C07" w14:textId="77777777" w:rsidTr="00F42F82">
        <w:trPr>
          <w:tblCellSpacing w:w="15" w:type="dxa"/>
        </w:trPr>
        <w:tc>
          <w:tcPr>
            <w:tcW w:w="0" w:type="auto"/>
            <w:vAlign w:val="center"/>
            <w:hideMark/>
          </w:tcPr>
          <w:p w14:paraId="19F1D58F"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 Power, High Interest</w:t>
            </w:r>
          </w:p>
        </w:tc>
        <w:tc>
          <w:tcPr>
            <w:tcW w:w="0" w:type="auto"/>
            <w:vAlign w:val="center"/>
            <w:hideMark/>
          </w:tcPr>
          <w:p w14:paraId="6D9A9288"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DfT, TfL</w:t>
            </w:r>
          </w:p>
        </w:tc>
        <w:tc>
          <w:tcPr>
            <w:tcW w:w="0" w:type="auto"/>
            <w:vAlign w:val="center"/>
            <w:hideMark/>
          </w:tcPr>
          <w:p w14:paraId="5DF46577" w14:textId="77777777" w:rsidR="000F7FC5" w:rsidRPr="00BA30E0" w:rsidRDefault="006141CD"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Be highly involved with constant interaction.</w:t>
            </w:r>
          </w:p>
        </w:tc>
      </w:tr>
      <w:tr w:rsidR="00BA30E0" w:rsidRPr="00BA30E0" w14:paraId="6D918D77" w14:textId="77777777" w:rsidTr="00F42F82">
        <w:trPr>
          <w:tblCellSpacing w:w="15" w:type="dxa"/>
        </w:trPr>
        <w:tc>
          <w:tcPr>
            <w:tcW w:w="0" w:type="auto"/>
            <w:vAlign w:val="center"/>
            <w:hideMark/>
          </w:tcPr>
          <w:p w14:paraId="11082B33"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High Power, Low Interest</w:t>
            </w:r>
          </w:p>
        </w:tc>
        <w:tc>
          <w:tcPr>
            <w:tcW w:w="0" w:type="auto"/>
            <w:vAlign w:val="center"/>
            <w:hideMark/>
          </w:tcPr>
          <w:p w14:paraId="016DEEEA"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Government bodies</w:t>
            </w:r>
          </w:p>
        </w:tc>
        <w:tc>
          <w:tcPr>
            <w:tcW w:w="0" w:type="auto"/>
            <w:vAlign w:val="center"/>
            <w:hideMark/>
          </w:tcPr>
          <w:p w14:paraId="71734100" w14:textId="77777777" w:rsidR="000F7FC5" w:rsidRPr="00BA30E0" w:rsidRDefault="006141CD"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Be content with frequent communications.</w:t>
            </w:r>
          </w:p>
        </w:tc>
      </w:tr>
      <w:tr w:rsidR="00BA30E0" w:rsidRPr="00BA30E0" w14:paraId="487FDFFB" w14:textId="77777777" w:rsidTr="00F42F82">
        <w:trPr>
          <w:tblCellSpacing w:w="15" w:type="dxa"/>
        </w:trPr>
        <w:tc>
          <w:tcPr>
            <w:tcW w:w="0" w:type="auto"/>
            <w:vAlign w:val="center"/>
            <w:hideMark/>
          </w:tcPr>
          <w:p w14:paraId="03ED0C57"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Low Power, High Interest</w:t>
            </w:r>
          </w:p>
        </w:tc>
        <w:tc>
          <w:tcPr>
            <w:tcW w:w="0" w:type="auto"/>
            <w:vAlign w:val="center"/>
            <w:hideMark/>
          </w:tcPr>
          <w:p w14:paraId="37FF0DB1"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Residents, Environmental groups</w:t>
            </w:r>
          </w:p>
        </w:tc>
        <w:tc>
          <w:tcPr>
            <w:tcW w:w="0" w:type="auto"/>
            <w:vAlign w:val="center"/>
            <w:hideMark/>
          </w:tcPr>
          <w:p w14:paraId="4EBD1FF5" w14:textId="77777777" w:rsidR="000F7FC5" w:rsidRPr="00BA30E0" w:rsidRDefault="006141CD"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Be informed and consult on a regular basis.</w:t>
            </w:r>
          </w:p>
        </w:tc>
      </w:tr>
      <w:tr w:rsidR="00BA30E0" w:rsidRPr="00BA30E0" w14:paraId="17B753B1" w14:textId="77777777" w:rsidTr="00F42F82">
        <w:trPr>
          <w:tblCellSpacing w:w="15" w:type="dxa"/>
        </w:trPr>
        <w:tc>
          <w:tcPr>
            <w:tcW w:w="0" w:type="auto"/>
            <w:vAlign w:val="center"/>
            <w:hideMark/>
          </w:tcPr>
          <w:p w14:paraId="6CC08230"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Low Power, Low Interest</w:t>
            </w:r>
          </w:p>
        </w:tc>
        <w:tc>
          <w:tcPr>
            <w:tcW w:w="0" w:type="auto"/>
            <w:vAlign w:val="center"/>
            <w:hideMark/>
          </w:tcPr>
          <w:p w14:paraId="304F5BC2"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Local businesses</w:t>
            </w:r>
          </w:p>
        </w:tc>
        <w:tc>
          <w:tcPr>
            <w:tcW w:w="0" w:type="auto"/>
            <w:vAlign w:val="center"/>
            <w:hideMark/>
          </w:tcPr>
          <w:p w14:paraId="6F7FDFBD" w14:textId="77777777" w:rsidR="000F7FC5" w:rsidRPr="00BA30E0" w:rsidRDefault="006141CD"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Watch with the least participation.</w:t>
            </w:r>
          </w:p>
        </w:tc>
      </w:tr>
    </w:tbl>
    <w:p w14:paraId="6F1274DB" w14:textId="77777777" w:rsidR="00FE6AA7" w:rsidRPr="00BA30E0" w:rsidRDefault="00FE6AA7"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p>
    <w:p w14:paraId="3219E14F" w14:textId="77777777" w:rsidR="000F7FC5" w:rsidRDefault="006141CD"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Despite the fact that this mapping offers a systematic way, it exposes a major shortcoming. Highly interested but low power stakeholders are usually pushed in the passive position, which can result in dissatisfaction and opposition. This implies that the traditional models of stakeholders might not be sufficient to deal with power imbalances in practice. To improve the sense of inclusivity and legitimacy, a more participatory process might be needed.</w:t>
      </w:r>
    </w:p>
    <w:p w14:paraId="25E54EF8" w14:textId="77777777" w:rsidR="00BA30E0" w:rsidRPr="00BA30E0" w:rsidRDefault="00BA30E0" w:rsidP="00BA30E0">
      <w:pPr>
        <w:spacing w:after="0" w:line="360" w:lineRule="auto"/>
        <w:ind w:firstLine="720"/>
        <w:contextualSpacing/>
        <w:jc w:val="both"/>
        <w:rPr>
          <w:rFonts w:ascii="Times New Roman" w:hAnsi="Times New Roman" w:cs="Times New Roman"/>
          <w:color w:val="000000" w:themeColor="text1"/>
          <w:sz w:val="24"/>
          <w:szCs w:val="24"/>
        </w:rPr>
      </w:pPr>
    </w:p>
    <w:p w14:paraId="69134D91" w14:textId="77777777" w:rsidR="000F7FC5" w:rsidRPr="00BA30E0" w:rsidRDefault="000F7FC5" w:rsidP="00BA30E0">
      <w:pPr>
        <w:pStyle w:val="Heading2"/>
        <w:spacing w:before="0" w:beforeAutospacing="0" w:after="0" w:afterAutospacing="0" w:line="360" w:lineRule="auto"/>
        <w:contextualSpacing/>
        <w:rPr>
          <w:lang w:val="en-GB"/>
        </w:rPr>
      </w:pPr>
      <w:bookmarkStart w:id="12" w:name="_Toc226053786"/>
      <w:r w:rsidRPr="00BA30E0">
        <w:rPr>
          <w:rStyle w:val="Strong"/>
          <w:bCs/>
          <w:lang w:val="en-GB"/>
        </w:rPr>
        <w:t>2.4 Communication Plan</w:t>
      </w:r>
      <w:bookmarkEnd w:id="12"/>
    </w:p>
    <w:p w14:paraId="2493ACD6" w14:textId="77777777" w:rsidR="000F7FC5" w:rsidRPr="00BA30E0" w:rsidRDefault="006141CD" w:rsidP="00BA30E0">
      <w:pPr>
        <w:pStyle w:val="NormalWeb"/>
        <w:spacing w:before="0" w:beforeAutospacing="0" w:after="0" w:afterAutospacing="0" w:line="360" w:lineRule="auto"/>
        <w:ind w:firstLine="720"/>
        <w:contextualSpacing/>
        <w:jc w:val="both"/>
        <w:rPr>
          <w:color w:val="000000" w:themeColor="text1"/>
          <w:lang w:val="en-GB"/>
        </w:rPr>
      </w:pPr>
      <w:r w:rsidRPr="00BA30E0">
        <w:rPr>
          <w:rStyle w:val="cursor-pointer"/>
          <w:color w:val="000000" w:themeColor="text1"/>
          <w:lang w:val="en-GB"/>
        </w:rPr>
        <w:t>It is necessary to have a programmed communication plan to enable transparency and alignment to the stakeholders.</w:t>
      </w:r>
    </w:p>
    <w:p w14:paraId="505A5C91" w14:textId="77777777" w:rsidR="000F7FC5" w:rsidRPr="00BA30E0" w:rsidRDefault="000F7FC5" w:rsidP="00BA30E0">
      <w:pPr>
        <w:pStyle w:val="Heading3"/>
        <w:spacing w:before="0" w:beforeAutospacing="0" w:after="0" w:afterAutospacing="0" w:line="360" w:lineRule="auto"/>
        <w:contextualSpacing/>
        <w:rPr>
          <w:lang w:val="en-GB"/>
        </w:rPr>
      </w:pPr>
      <w:bookmarkStart w:id="13" w:name="_Toc226053787"/>
      <w:r w:rsidRPr="00BA30E0">
        <w:rPr>
          <w:rStyle w:val="Strong"/>
          <w:b/>
          <w:bCs/>
          <w:lang w:val="en-GB"/>
        </w:rPr>
        <w:t>Table 8: Communication Plan</w:t>
      </w:r>
      <w:bookmarkEnd w:id="13"/>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79"/>
        <w:gridCol w:w="1169"/>
        <w:gridCol w:w="2720"/>
        <w:gridCol w:w="2982"/>
      </w:tblGrid>
      <w:tr w:rsidR="00BA30E0" w:rsidRPr="00BA30E0" w14:paraId="4EACDAB3" w14:textId="77777777" w:rsidTr="00F42F82">
        <w:trPr>
          <w:tblHeader/>
          <w:tblCellSpacing w:w="15" w:type="dxa"/>
        </w:trPr>
        <w:tc>
          <w:tcPr>
            <w:tcW w:w="0" w:type="auto"/>
            <w:vAlign w:val="center"/>
            <w:hideMark/>
          </w:tcPr>
          <w:p w14:paraId="359E03D0"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Stakeholder</w:t>
            </w:r>
          </w:p>
        </w:tc>
        <w:tc>
          <w:tcPr>
            <w:tcW w:w="0" w:type="auto"/>
            <w:vAlign w:val="center"/>
            <w:hideMark/>
          </w:tcPr>
          <w:p w14:paraId="0A0513F0"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Frequency</w:t>
            </w:r>
          </w:p>
        </w:tc>
        <w:tc>
          <w:tcPr>
            <w:tcW w:w="0" w:type="auto"/>
            <w:vAlign w:val="center"/>
            <w:hideMark/>
          </w:tcPr>
          <w:p w14:paraId="7FDA9BB3"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Method</w:t>
            </w:r>
          </w:p>
        </w:tc>
        <w:tc>
          <w:tcPr>
            <w:tcW w:w="0" w:type="auto"/>
            <w:vAlign w:val="center"/>
            <w:hideMark/>
          </w:tcPr>
          <w:p w14:paraId="0094271B"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Information Shared</w:t>
            </w:r>
          </w:p>
        </w:tc>
      </w:tr>
      <w:tr w:rsidR="00BA30E0" w:rsidRPr="00BA30E0" w14:paraId="1BA20913" w14:textId="77777777" w:rsidTr="00F42F82">
        <w:trPr>
          <w:tblCellSpacing w:w="15" w:type="dxa"/>
        </w:trPr>
        <w:tc>
          <w:tcPr>
            <w:tcW w:w="0" w:type="auto"/>
            <w:vAlign w:val="center"/>
            <w:hideMark/>
          </w:tcPr>
          <w:p w14:paraId="584EDF17"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Department for Transport</w:t>
            </w:r>
          </w:p>
        </w:tc>
        <w:tc>
          <w:tcPr>
            <w:tcW w:w="0" w:type="auto"/>
            <w:vAlign w:val="center"/>
            <w:hideMark/>
          </w:tcPr>
          <w:p w14:paraId="64D16765"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Monthly</w:t>
            </w:r>
          </w:p>
        </w:tc>
        <w:tc>
          <w:tcPr>
            <w:tcW w:w="0" w:type="auto"/>
            <w:vAlign w:val="center"/>
            <w:hideMark/>
          </w:tcPr>
          <w:p w14:paraId="50787910"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Formal reports, meetings</w:t>
            </w:r>
          </w:p>
        </w:tc>
        <w:tc>
          <w:tcPr>
            <w:tcW w:w="0" w:type="auto"/>
            <w:vAlign w:val="center"/>
            <w:hideMark/>
          </w:tcPr>
          <w:p w14:paraId="38C93FD1"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Budget, risks, progress updates</w:t>
            </w:r>
          </w:p>
        </w:tc>
      </w:tr>
      <w:tr w:rsidR="00BA30E0" w:rsidRPr="00BA30E0" w14:paraId="4417B391" w14:textId="77777777" w:rsidTr="00F42F82">
        <w:trPr>
          <w:tblCellSpacing w:w="15" w:type="dxa"/>
        </w:trPr>
        <w:tc>
          <w:tcPr>
            <w:tcW w:w="0" w:type="auto"/>
            <w:vAlign w:val="center"/>
            <w:hideMark/>
          </w:tcPr>
          <w:p w14:paraId="3242D0B4"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Transport for London</w:t>
            </w:r>
          </w:p>
        </w:tc>
        <w:tc>
          <w:tcPr>
            <w:tcW w:w="0" w:type="auto"/>
            <w:vAlign w:val="center"/>
            <w:hideMark/>
          </w:tcPr>
          <w:p w14:paraId="484D6913"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Bi-weekly</w:t>
            </w:r>
          </w:p>
        </w:tc>
        <w:tc>
          <w:tcPr>
            <w:tcW w:w="0" w:type="auto"/>
            <w:vAlign w:val="center"/>
            <w:hideMark/>
          </w:tcPr>
          <w:p w14:paraId="5CC4D604"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Meetings, emails</w:t>
            </w:r>
          </w:p>
        </w:tc>
        <w:tc>
          <w:tcPr>
            <w:tcW w:w="0" w:type="auto"/>
            <w:vAlign w:val="center"/>
            <w:hideMark/>
          </w:tcPr>
          <w:p w14:paraId="065348AC"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Operational performance</w:t>
            </w:r>
          </w:p>
        </w:tc>
      </w:tr>
      <w:tr w:rsidR="00BA30E0" w:rsidRPr="00BA30E0" w14:paraId="4340F8C3" w14:textId="77777777" w:rsidTr="00F42F82">
        <w:trPr>
          <w:tblCellSpacing w:w="15" w:type="dxa"/>
        </w:trPr>
        <w:tc>
          <w:tcPr>
            <w:tcW w:w="0" w:type="auto"/>
            <w:vAlign w:val="center"/>
            <w:hideMark/>
          </w:tcPr>
          <w:p w14:paraId="5C50ADA5"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Crossrail Ltd</w:t>
            </w:r>
          </w:p>
        </w:tc>
        <w:tc>
          <w:tcPr>
            <w:tcW w:w="0" w:type="auto"/>
            <w:vAlign w:val="center"/>
            <w:hideMark/>
          </w:tcPr>
          <w:p w14:paraId="1E228955"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Weekly</w:t>
            </w:r>
          </w:p>
        </w:tc>
        <w:tc>
          <w:tcPr>
            <w:tcW w:w="0" w:type="auto"/>
            <w:vAlign w:val="center"/>
            <w:hideMark/>
          </w:tcPr>
          <w:p w14:paraId="2DFB350E"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Internal briefings</w:t>
            </w:r>
          </w:p>
        </w:tc>
        <w:tc>
          <w:tcPr>
            <w:tcW w:w="0" w:type="auto"/>
            <w:vAlign w:val="center"/>
            <w:hideMark/>
          </w:tcPr>
          <w:p w14:paraId="192F3640"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Project coordination</w:t>
            </w:r>
          </w:p>
        </w:tc>
      </w:tr>
      <w:tr w:rsidR="00BA30E0" w:rsidRPr="00BA30E0" w14:paraId="3944062F" w14:textId="77777777" w:rsidTr="00F42F82">
        <w:trPr>
          <w:tblCellSpacing w:w="15" w:type="dxa"/>
        </w:trPr>
        <w:tc>
          <w:tcPr>
            <w:tcW w:w="0" w:type="auto"/>
            <w:vAlign w:val="center"/>
            <w:hideMark/>
          </w:tcPr>
          <w:p w14:paraId="2E941D91"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Local Residents</w:t>
            </w:r>
          </w:p>
        </w:tc>
        <w:tc>
          <w:tcPr>
            <w:tcW w:w="0" w:type="auto"/>
            <w:vAlign w:val="center"/>
            <w:hideMark/>
          </w:tcPr>
          <w:p w14:paraId="033F1D85"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Monthly</w:t>
            </w:r>
          </w:p>
        </w:tc>
        <w:tc>
          <w:tcPr>
            <w:tcW w:w="0" w:type="auto"/>
            <w:vAlign w:val="center"/>
            <w:hideMark/>
          </w:tcPr>
          <w:p w14:paraId="275C22A0"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Public meetings, newsletters</w:t>
            </w:r>
          </w:p>
        </w:tc>
        <w:tc>
          <w:tcPr>
            <w:tcW w:w="0" w:type="auto"/>
            <w:vAlign w:val="center"/>
            <w:hideMark/>
          </w:tcPr>
          <w:p w14:paraId="14A92D85"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Construction updates</w:t>
            </w:r>
          </w:p>
        </w:tc>
      </w:tr>
      <w:tr w:rsidR="00BA30E0" w:rsidRPr="00BA30E0" w14:paraId="4E9C0D00" w14:textId="77777777" w:rsidTr="00F42F82">
        <w:trPr>
          <w:tblCellSpacing w:w="15" w:type="dxa"/>
        </w:trPr>
        <w:tc>
          <w:tcPr>
            <w:tcW w:w="0" w:type="auto"/>
            <w:vAlign w:val="center"/>
            <w:hideMark/>
          </w:tcPr>
          <w:p w14:paraId="01ADFBC4"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Local Businesses</w:t>
            </w:r>
          </w:p>
        </w:tc>
        <w:tc>
          <w:tcPr>
            <w:tcW w:w="0" w:type="auto"/>
            <w:vAlign w:val="center"/>
            <w:hideMark/>
          </w:tcPr>
          <w:p w14:paraId="0AA034A5"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Monthly</w:t>
            </w:r>
          </w:p>
        </w:tc>
        <w:tc>
          <w:tcPr>
            <w:tcW w:w="0" w:type="auto"/>
            <w:vAlign w:val="center"/>
            <w:hideMark/>
          </w:tcPr>
          <w:p w14:paraId="3F105863"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Emails, reports</w:t>
            </w:r>
          </w:p>
        </w:tc>
        <w:tc>
          <w:tcPr>
            <w:tcW w:w="0" w:type="auto"/>
            <w:vAlign w:val="center"/>
            <w:hideMark/>
          </w:tcPr>
          <w:p w14:paraId="711BB282"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Economic impact</w:t>
            </w:r>
          </w:p>
        </w:tc>
      </w:tr>
      <w:tr w:rsidR="00BA30E0" w:rsidRPr="00BA30E0" w14:paraId="0295E796" w14:textId="77777777" w:rsidTr="00F42F82">
        <w:trPr>
          <w:tblCellSpacing w:w="15" w:type="dxa"/>
        </w:trPr>
        <w:tc>
          <w:tcPr>
            <w:tcW w:w="0" w:type="auto"/>
            <w:vAlign w:val="center"/>
            <w:hideMark/>
          </w:tcPr>
          <w:p w14:paraId="53ABA8DE"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lastRenderedPageBreak/>
              <w:t>Environmental Groups</w:t>
            </w:r>
          </w:p>
        </w:tc>
        <w:tc>
          <w:tcPr>
            <w:tcW w:w="0" w:type="auto"/>
            <w:vAlign w:val="center"/>
            <w:hideMark/>
          </w:tcPr>
          <w:p w14:paraId="7B7A2DC1"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Quarterly</w:t>
            </w:r>
          </w:p>
        </w:tc>
        <w:tc>
          <w:tcPr>
            <w:tcW w:w="0" w:type="auto"/>
            <w:vAlign w:val="center"/>
            <w:hideMark/>
          </w:tcPr>
          <w:p w14:paraId="193A2E8A"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Reports, consultations</w:t>
            </w:r>
          </w:p>
        </w:tc>
        <w:tc>
          <w:tcPr>
            <w:tcW w:w="0" w:type="auto"/>
            <w:vAlign w:val="center"/>
            <w:hideMark/>
          </w:tcPr>
          <w:p w14:paraId="68182D7C"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Environmental assessments</w:t>
            </w:r>
          </w:p>
        </w:tc>
      </w:tr>
    </w:tbl>
    <w:p w14:paraId="4BE20A6E" w14:textId="77777777" w:rsidR="00BA30E0" w:rsidRDefault="00BA30E0" w:rsidP="00BA30E0">
      <w:pPr>
        <w:pStyle w:val="NormalWeb"/>
        <w:spacing w:before="0" w:beforeAutospacing="0" w:after="0" w:afterAutospacing="0" w:line="360" w:lineRule="auto"/>
        <w:ind w:firstLine="720"/>
        <w:contextualSpacing/>
        <w:jc w:val="both"/>
        <w:rPr>
          <w:rStyle w:val="cursor-pointer"/>
          <w:color w:val="000000" w:themeColor="text1"/>
          <w:lang w:val="en-GB"/>
        </w:rPr>
      </w:pPr>
    </w:p>
    <w:p w14:paraId="39B70CDC" w14:textId="77777777" w:rsidR="000F7FC5" w:rsidRPr="00BA30E0" w:rsidRDefault="006141CD" w:rsidP="00BA30E0">
      <w:pPr>
        <w:pStyle w:val="NormalWeb"/>
        <w:spacing w:before="0" w:beforeAutospacing="0" w:after="0" w:afterAutospacing="0" w:line="360" w:lineRule="auto"/>
        <w:ind w:firstLine="720"/>
        <w:contextualSpacing/>
        <w:jc w:val="both"/>
        <w:rPr>
          <w:color w:val="000000" w:themeColor="text1"/>
          <w:lang w:val="en-GB"/>
        </w:rPr>
      </w:pPr>
      <w:r w:rsidRPr="00BA30E0">
        <w:rPr>
          <w:rStyle w:val="cursor-pointer"/>
          <w:color w:val="000000" w:themeColor="text1"/>
          <w:lang w:val="en-GB"/>
        </w:rPr>
        <w:t>Communication has been criticised as one-way, despite the fact that this plan was structured.</w:t>
      </w:r>
      <w:r w:rsidRPr="00BA30E0">
        <w:rPr>
          <w:color w:val="000000" w:themeColor="text1"/>
          <w:lang w:val="en-GB"/>
        </w:rPr>
        <w:t xml:space="preserve"> </w:t>
      </w:r>
      <w:r w:rsidRPr="00BA30E0">
        <w:rPr>
          <w:rStyle w:val="cursor-pointer"/>
          <w:color w:val="000000" w:themeColor="text1"/>
          <w:lang w:val="en-GB"/>
        </w:rPr>
        <w:t>The information dissemination is priorit</w:t>
      </w:r>
      <w:r w:rsidR="00187FC5">
        <w:rPr>
          <w:rStyle w:val="cursor-pointer"/>
          <w:color w:val="000000" w:themeColor="text1"/>
          <w:lang w:val="en-GB"/>
        </w:rPr>
        <w:t>ise</w:t>
      </w:r>
      <w:r w:rsidRPr="00BA30E0">
        <w:rPr>
          <w:rStyle w:val="cursor-pointer"/>
          <w:color w:val="000000" w:themeColor="text1"/>
          <w:lang w:val="en-GB"/>
        </w:rPr>
        <w:t>d over active interaction and engagement, whereas the possibility of stakeholder feedback is limited to reports and updates (National Audit Office, 2019).</w:t>
      </w:r>
      <w:r w:rsidRPr="00BA30E0">
        <w:rPr>
          <w:color w:val="000000" w:themeColor="text1"/>
          <w:lang w:val="en-GB"/>
        </w:rPr>
        <w:t xml:space="preserve"> </w:t>
      </w:r>
      <w:r w:rsidRPr="00BA30E0">
        <w:rPr>
          <w:rStyle w:val="cursor-pointer"/>
          <w:color w:val="000000" w:themeColor="text1"/>
          <w:lang w:val="en-GB"/>
        </w:rPr>
        <w:t>This diminishes trust and undermines the relationship of stakeholders.</w:t>
      </w:r>
      <w:r w:rsidRPr="00BA30E0">
        <w:rPr>
          <w:color w:val="000000" w:themeColor="text1"/>
          <w:lang w:val="en-GB"/>
        </w:rPr>
        <w:t xml:space="preserve"> </w:t>
      </w:r>
      <w:r w:rsidRPr="00BA30E0">
        <w:rPr>
          <w:rStyle w:val="cursor-pointer"/>
          <w:color w:val="000000" w:themeColor="text1"/>
          <w:lang w:val="en-GB"/>
        </w:rPr>
        <w:t>Also, uncertainty among stakeholders was also heightened by inconsistent communication in times of delay.</w:t>
      </w:r>
    </w:p>
    <w:p w14:paraId="3E7517CF"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p>
    <w:p w14:paraId="2D1F2968" w14:textId="77777777" w:rsidR="000F7FC5" w:rsidRPr="00BA30E0" w:rsidRDefault="000F7FC5" w:rsidP="00BA30E0">
      <w:pPr>
        <w:pStyle w:val="Heading2"/>
        <w:spacing w:before="0" w:beforeAutospacing="0" w:after="0" w:afterAutospacing="0" w:line="360" w:lineRule="auto"/>
        <w:contextualSpacing/>
        <w:rPr>
          <w:lang w:val="en-GB"/>
        </w:rPr>
      </w:pPr>
      <w:bookmarkStart w:id="14" w:name="_Toc226053788"/>
      <w:r w:rsidRPr="00BA30E0">
        <w:rPr>
          <w:rStyle w:val="Strong"/>
          <w:bCs/>
          <w:lang w:val="en-GB"/>
        </w:rPr>
        <w:t>2.5 Consultation Strategy</w:t>
      </w:r>
      <w:bookmarkEnd w:id="14"/>
    </w:p>
    <w:p w14:paraId="1F844004" w14:textId="77777777" w:rsidR="000F7FC5" w:rsidRPr="00BA30E0" w:rsidRDefault="006141CD"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Good consultation would guarantee involvement of the stakeholders and facilitate sound decision-making.</w:t>
      </w:r>
    </w:p>
    <w:p w14:paraId="2F98AD00" w14:textId="77777777" w:rsidR="000F7FC5" w:rsidRPr="00BA30E0" w:rsidRDefault="000F7FC5" w:rsidP="00BA30E0">
      <w:pPr>
        <w:pStyle w:val="Heading3"/>
        <w:spacing w:before="0" w:beforeAutospacing="0" w:after="0" w:afterAutospacing="0" w:line="360" w:lineRule="auto"/>
        <w:contextualSpacing/>
        <w:rPr>
          <w:lang w:val="en-GB"/>
        </w:rPr>
      </w:pPr>
      <w:bookmarkStart w:id="15" w:name="_Toc226053789"/>
      <w:r w:rsidRPr="00BA30E0">
        <w:rPr>
          <w:rStyle w:val="Strong"/>
          <w:b/>
          <w:bCs/>
          <w:lang w:val="en-GB"/>
        </w:rPr>
        <w:t>Table 9: Consultation Methods</w:t>
      </w:r>
      <w:bookmarkEnd w:id="1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42"/>
        <w:gridCol w:w="2893"/>
        <w:gridCol w:w="4348"/>
      </w:tblGrid>
      <w:tr w:rsidR="00BA30E0" w:rsidRPr="00BA30E0" w14:paraId="563B30EE" w14:textId="77777777" w:rsidTr="00F42F82">
        <w:trPr>
          <w:tblHeader/>
          <w:tblCellSpacing w:w="15" w:type="dxa"/>
        </w:trPr>
        <w:tc>
          <w:tcPr>
            <w:tcW w:w="0" w:type="auto"/>
            <w:vAlign w:val="center"/>
            <w:hideMark/>
          </w:tcPr>
          <w:p w14:paraId="0F31A0C9"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Method</w:t>
            </w:r>
          </w:p>
        </w:tc>
        <w:tc>
          <w:tcPr>
            <w:tcW w:w="0" w:type="auto"/>
            <w:vAlign w:val="center"/>
            <w:hideMark/>
          </w:tcPr>
          <w:p w14:paraId="7DF1F2F1"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Application</w:t>
            </w:r>
          </w:p>
        </w:tc>
        <w:tc>
          <w:tcPr>
            <w:tcW w:w="0" w:type="auto"/>
            <w:vAlign w:val="center"/>
            <w:hideMark/>
          </w:tcPr>
          <w:p w14:paraId="46020308"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Critical Insight</w:t>
            </w:r>
          </w:p>
        </w:tc>
      </w:tr>
      <w:tr w:rsidR="00BA30E0" w:rsidRPr="00BA30E0" w14:paraId="1FF26794" w14:textId="77777777" w:rsidTr="00F42F82">
        <w:trPr>
          <w:tblCellSpacing w:w="15" w:type="dxa"/>
        </w:trPr>
        <w:tc>
          <w:tcPr>
            <w:tcW w:w="0" w:type="auto"/>
            <w:vAlign w:val="center"/>
            <w:hideMark/>
          </w:tcPr>
          <w:p w14:paraId="37D1114C"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Public meetings</w:t>
            </w:r>
          </w:p>
        </w:tc>
        <w:tc>
          <w:tcPr>
            <w:tcW w:w="0" w:type="auto"/>
            <w:vAlign w:val="center"/>
            <w:hideMark/>
          </w:tcPr>
          <w:p w14:paraId="6A916D98"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Engage communities directly</w:t>
            </w:r>
          </w:p>
        </w:tc>
        <w:tc>
          <w:tcPr>
            <w:tcW w:w="0" w:type="auto"/>
            <w:vAlign w:val="center"/>
            <w:hideMark/>
          </w:tcPr>
          <w:p w14:paraId="68264A04"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Risk of dominance by vocal participants</w:t>
            </w:r>
          </w:p>
        </w:tc>
      </w:tr>
      <w:tr w:rsidR="00BA30E0" w:rsidRPr="00BA30E0" w14:paraId="5DAA63F6" w14:textId="77777777" w:rsidTr="00F42F82">
        <w:trPr>
          <w:tblCellSpacing w:w="15" w:type="dxa"/>
        </w:trPr>
        <w:tc>
          <w:tcPr>
            <w:tcW w:w="0" w:type="auto"/>
            <w:vAlign w:val="center"/>
            <w:hideMark/>
          </w:tcPr>
          <w:p w14:paraId="317C505D"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Surveys</w:t>
            </w:r>
          </w:p>
        </w:tc>
        <w:tc>
          <w:tcPr>
            <w:tcW w:w="0" w:type="auto"/>
            <w:vAlign w:val="center"/>
            <w:hideMark/>
          </w:tcPr>
          <w:p w14:paraId="0923D116"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Gather large-scale feedback</w:t>
            </w:r>
          </w:p>
        </w:tc>
        <w:tc>
          <w:tcPr>
            <w:tcW w:w="0" w:type="auto"/>
            <w:vAlign w:val="center"/>
            <w:hideMark/>
          </w:tcPr>
          <w:p w14:paraId="3E18EF8A"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Potential for low response rates</w:t>
            </w:r>
          </w:p>
        </w:tc>
      </w:tr>
      <w:tr w:rsidR="00BA30E0" w:rsidRPr="00BA30E0" w14:paraId="720A9721" w14:textId="77777777" w:rsidTr="00F42F82">
        <w:trPr>
          <w:tblCellSpacing w:w="15" w:type="dxa"/>
        </w:trPr>
        <w:tc>
          <w:tcPr>
            <w:tcW w:w="0" w:type="auto"/>
            <w:vAlign w:val="center"/>
            <w:hideMark/>
          </w:tcPr>
          <w:p w14:paraId="6CC9C49B"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Workshops</w:t>
            </w:r>
          </w:p>
        </w:tc>
        <w:tc>
          <w:tcPr>
            <w:tcW w:w="0" w:type="auto"/>
            <w:vAlign w:val="center"/>
            <w:hideMark/>
          </w:tcPr>
          <w:p w14:paraId="13887243"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Collaborative engagement</w:t>
            </w:r>
          </w:p>
        </w:tc>
        <w:tc>
          <w:tcPr>
            <w:tcW w:w="0" w:type="auto"/>
            <w:vAlign w:val="center"/>
            <w:hideMark/>
          </w:tcPr>
          <w:p w14:paraId="749422DE"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Resource-intensive and time-consuming</w:t>
            </w:r>
          </w:p>
        </w:tc>
      </w:tr>
      <w:tr w:rsidR="00BA30E0" w:rsidRPr="00BA30E0" w14:paraId="7CB9778E" w14:textId="77777777" w:rsidTr="00F42F82">
        <w:trPr>
          <w:tblCellSpacing w:w="15" w:type="dxa"/>
        </w:trPr>
        <w:tc>
          <w:tcPr>
            <w:tcW w:w="0" w:type="auto"/>
            <w:vAlign w:val="center"/>
            <w:hideMark/>
          </w:tcPr>
          <w:p w14:paraId="1B54D031"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Digital platforms</w:t>
            </w:r>
          </w:p>
        </w:tc>
        <w:tc>
          <w:tcPr>
            <w:tcW w:w="0" w:type="auto"/>
            <w:vAlign w:val="center"/>
            <w:hideMark/>
          </w:tcPr>
          <w:p w14:paraId="1FC39D60"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Continuous interaction</w:t>
            </w:r>
          </w:p>
        </w:tc>
        <w:tc>
          <w:tcPr>
            <w:tcW w:w="0" w:type="auto"/>
            <w:vAlign w:val="center"/>
            <w:hideMark/>
          </w:tcPr>
          <w:p w14:paraId="2E7940D8"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May exclude digitally disadvantaged groups</w:t>
            </w:r>
          </w:p>
        </w:tc>
      </w:tr>
    </w:tbl>
    <w:p w14:paraId="722C81A9" w14:textId="77777777" w:rsidR="00BA30E0" w:rsidRDefault="00BA30E0" w:rsidP="00BA30E0">
      <w:pPr>
        <w:pStyle w:val="NormalWeb"/>
        <w:spacing w:before="0" w:beforeAutospacing="0" w:after="0" w:afterAutospacing="0" w:line="360" w:lineRule="auto"/>
        <w:ind w:firstLine="720"/>
        <w:contextualSpacing/>
        <w:jc w:val="both"/>
        <w:rPr>
          <w:rStyle w:val="cursor-pointer"/>
          <w:color w:val="000000" w:themeColor="text1"/>
          <w:lang w:val="en-GB"/>
        </w:rPr>
      </w:pPr>
    </w:p>
    <w:p w14:paraId="307732FF" w14:textId="77777777" w:rsidR="000F7FC5" w:rsidRPr="00BA30E0" w:rsidRDefault="006141CD" w:rsidP="00BA30E0">
      <w:pPr>
        <w:pStyle w:val="NormalWeb"/>
        <w:spacing w:before="0" w:beforeAutospacing="0" w:after="0" w:afterAutospacing="0" w:line="360" w:lineRule="auto"/>
        <w:ind w:firstLine="720"/>
        <w:contextualSpacing/>
        <w:jc w:val="both"/>
        <w:rPr>
          <w:color w:val="000000" w:themeColor="text1"/>
          <w:lang w:val="en-GB"/>
        </w:rPr>
      </w:pPr>
      <w:r w:rsidRPr="00BA30E0">
        <w:rPr>
          <w:rStyle w:val="cursor-pointer"/>
          <w:color w:val="000000" w:themeColor="text1"/>
          <w:lang w:val="en-GB"/>
        </w:rPr>
        <w:t>Although these approaches offer various avenues of interaction, they rely on inclusivity and representation.</w:t>
      </w:r>
      <w:r w:rsidRPr="00BA30E0">
        <w:rPr>
          <w:color w:val="000000" w:themeColor="text1"/>
          <w:lang w:val="en-GB"/>
        </w:rPr>
        <w:t xml:space="preserve"> </w:t>
      </w:r>
      <w:r w:rsidRPr="00BA30E0">
        <w:rPr>
          <w:rStyle w:val="cursor-pointer"/>
          <w:color w:val="000000" w:themeColor="text1"/>
          <w:lang w:val="en-GB"/>
        </w:rPr>
        <w:t>There is an indication that mega infrastructure projects are not usually effective in engaging the marginalised groups, which leads to biasness and less legitimacy (Reed et al., 2009).</w:t>
      </w:r>
      <w:r w:rsidRPr="00BA30E0">
        <w:rPr>
          <w:color w:val="000000" w:themeColor="text1"/>
          <w:lang w:val="en-GB"/>
        </w:rPr>
        <w:t xml:space="preserve"> </w:t>
      </w:r>
      <w:r w:rsidRPr="00BA30E0">
        <w:rPr>
          <w:rStyle w:val="cursor-pointer"/>
          <w:color w:val="000000" w:themeColor="text1"/>
          <w:lang w:val="en-GB"/>
        </w:rPr>
        <w:t>Moreover, the use of digital platforms can automatically disqualify the older or less tech-savvy stakeholders.</w:t>
      </w:r>
    </w:p>
    <w:p w14:paraId="67EC2B30"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p>
    <w:p w14:paraId="6A41C65F" w14:textId="77777777" w:rsidR="000F7FC5" w:rsidRPr="00BA30E0" w:rsidRDefault="000F7FC5" w:rsidP="00BA30E0">
      <w:pPr>
        <w:pStyle w:val="Heading2"/>
        <w:spacing w:before="0" w:beforeAutospacing="0" w:after="0" w:afterAutospacing="0" w:line="360" w:lineRule="auto"/>
        <w:contextualSpacing/>
        <w:rPr>
          <w:lang w:val="en-GB"/>
        </w:rPr>
      </w:pPr>
      <w:bookmarkStart w:id="16" w:name="_Toc226053790"/>
      <w:r w:rsidRPr="00BA30E0">
        <w:rPr>
          <w:rStyle w:val="Strong"/>
          <w:bCs/>
          <w:lang w:val="en-GB"/>
        </w:rPr>
        <w:t>2.6 Critical Evaluation of Stakeholder Engagement</w:t>
      </w:r>
      <w:bookmarkEnd w:id="16"/>
    </w:p>
    <w:p w14:paraId="786426F7" w14:textId="77777777" w:rsidR="006141CD" w:rsidRPr="00BA30E0" w:rsidRDefault="006141CD"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The stakeholder engagement strategy, in the cross rail project, is a well-organised yet flawed strategy. Although such formal tools like stakeholder mapping and communication plans are used, they are limited in their use by practical considerations.</w:t>
      </w:r>
    </w:p>
    <w:p w14:paraId="3537C69F" w14:textId="77777777" w:rsidR="006141CD" w:rsidRPr="00BA30E0" w:rsidRDefault="00BA30E0" w:rsidP="00BA30E0">
      <w:pPr>
        <w:pStyle w:val="NormalWeb"/>
        <w:spacing w:before="0" w:beforeAutospacing="0" w:after="0" w:afterAutospacing="0" w:line="360" w:lineRule="auto"/>
        <w:ind w:firstLine="720"/>
        <w:contextualSpacing/>
        <w:jc w:val="both"/>
        <w:rPr>
          <w:color w:val="000000" w:themeColor="text1"/>
          <w:lang w:val="en-GB"/>
        </w:rPr>
      </w:pPr>
      <w:r>
        <w:rPr>
          <w:color w:val="000000" w:themeColor="text1"/>
          <w:lang w:val="en-GB"/>
        </w:rPr>
        <w:lastRenderedPageBreak/>
        <w:t>I</w:t>
      </w:r>
      <w:r w:rsidR="006141CD" w:rsidRPr="00BA30E0">
        <w:rPr>
          <w:color w:val="000000" w:themeColor="text1"/>
          <w:lang w:val="en-GB"/>
        </w:rPr>
        <w:t>t has excessive reliance on top-down decision making, where the top power stakeholders control the results. This restricts the power of the communities impacted and decreases the inclusive participation. Secondly, communication strategies emphas</w:t>
      </w:r>
      <w:r w:rsidR="00187FC5">
        <w:rPr>
          <w:color w:val="000000" w:themeColor="text1"/>
          <w:lang w:val="en-GB"/>
        </w:rPr>
        <w:t>ise</w:t>
      </w:r>
      <w:r w:rsidR="006141CD" w:rsidRPr="00BA30E0">
        <w:rPr>
          <w:color w:val="000000" w:themeColor="text1"/>
          <w:lang w:val="en-GB"/>
        </w:rPr>
        <w:t xml:space="preserve"> reporting more than dialogue, and this minim</w:t>
      </w:r>
      <w:r w:rsidR="00187FC5">
        <w:rPr>
          <w:color w:val="000000" w:themeColor="text1"/>
          <w:lang w:val="en-GB"/>
        </w:rPr>
        <w:t>ise</w:t>
      </w:r>
      <w:r w:rsidR="006141CD" w:rsidRPr="00BA30E0">
        <w:rPr>
          <w:color w:val="000000" w:themeColor="text1"/>
          <w:lang w:val="en-GB"/>
        </w:rPr>
        <w:t>s the chances of participation of stakeholders meaningfully. Thirdly, the consultation approaches are not representative enough, especially in vulnerable or less visible groups.</w:t>
      </w:r>
    </w:p>
    <w:p w14:paraId="37CB8306" w14:textId="77777777" w:rsidR="006141CD" w:rsidRPr="00BA30E0" w:rsidRDefault="00936C71" w:rsidP="00BA30E0">
      <w:pPr>
        <w:pStyle w:val="NormalWeb"/>
        <w:spacing w:before="0" w:beforeAutospacing="0" w:after="0" w:afterAutospacing="0" w:line="360" w:lineRule="auto"/>
        <w:ind w:firstLine="720"/>
        <w:contextualSpacing/>
        <w:jc w:val="both"/>
        <w:rPr>
          <w:color w:val="000000" w:themeColor="text1"/>
          <w:lang w:val="en-GB"/>
        </w:rPr>
      </w:pPr>
      <w:r>
        <w:rPr>
          <w:color w:val="000000" w:themeColor="text1"/>
          <w:lang w:val="en-GB"/>
        </w:rPr>
        <w:t>T</w:t>
      </w:r>
      <w:r w:rsidR="006141CD" w:rsidRPr="00BA30E0">
        <w:rPr>
          <w:color w:val="000000" w:themeColor="text1"/>
          <w:lang w:val="en-GB"/>
        </w:rPr>
        <w:t>he project shows a reactive and not a proactive stakeholder management approach. Problems like cost overruns and delays were usually resolved after they escalated, instead of being resolved during early stakeholder engagement. This implies a disconnect</w:t>
      </w:r>
      <w:r w:rsidR="00187FC5">
        <w:rPr>
          <w:color w:val="000000" w:themeColor="text1"/>
          <w:lang w:val="en-GB"/>
        </w:rPr>
        <w:t>ion</w:t>
      </w:r>
      <w:r w:rsidR="006141CD" w:rsidRPr="00BA30E0">
        <w:rPr>
          <w:color w:val="000000" w:themeColor="text1"/>
          <w:lang w:val="en-GB"/>
        </w:rPr>
        <w:t xml:space="preserve"> between theoretical models and frameworks of stakeholder management and their implementation.</w:t>
      </w:r>
    </w:p>
    <w:p w14:paraId="156E5F0A" w14:textId="77777777" w:rsidR="000F7FC5" w:rsidRDefault="006141CD"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Besides, there are no ongoing feedback loops, which restricts dynamically changing engagement strategies. Successful stakeholder engagement presupposes communication and responsiveness in an iterative manner, which seems limited in this instance. As a result, although the project deploys known stakeholder management tools, their application points out at the systemic issues regarding the power balance, inclusivity, and efficient communication. These constraints underscore the importance of having more adaptive, open and participatory solutions in future infrastructure projects.</w:t>
      </w:r>
    </w:p>
    <w:p w14:paraId="4640BEA6" w14:textId="77777777" w:rsidR="00936C71" w:rsidRPr="00BA30E0" w:rsidRDefault="00936C71" w:rsidP="00BA30E0">
      <w:pPr>
        <w:pStyle w:val="NormalWeb"/>
        <w:spacing w:before="0" w:beforeAutospacing="0" w:after="0" w:afterAutospacing="0" w:line="360" w:lineRule="auto"/>
        <w:ind w:firstLine="720"/>
        <w:contextualSpacing/>
        <w:jc w:val="both"/>
        <w:rPr>
          <w:color w:val="000000" w:themeColor="text1"/>
          <w:lang w:val="en-GB"/>
        </w:rPr>
      </w:pPr>
    </w:p>
    <w:p w14:paraId="3CDED31A" w14:textId="77777777" w:rsidR="000F7FC5" w:rsidRPr="00BA30E0" w:rsidRDefault="000F7FC5" w:rsidP="00BA30E0">
      <w:pPr>
        <w:pStyle w:val="Heading1"/>
        <w:spacing w:before="0" w:beforeAutospacing="0" w:after="0" w:afterAutospacing="0" w:line="360" w:lineRule="auto"/>
        <w:contextualSpacing/>
        <w:rPr>
          <w:b w:val="0"/>
          <w:lang w:val="en-GB"/>
        </w:rPr>
      </w:pPr>
      <w:bookmarkStart w:id="17" w:name="_Toc226053791"/>
      <w:r w:rsidRPr="00BA30E0">
        <w:rPr>
          <w:rStyle w:val="Strong"/>
          <w:b/>
          <w:lang w:val="en-GB"/>
        </w:rPr>
        <w:t>Element 3: Ethical Considerations in Stakeholder Consultation, Participation and Feedback</w:t>
      </w:r>
      <w:bookmarkEnd w:id="17"/>
    </w:p>
    <w:p w14:paraId="4B555C65" w14:textId="77777777" w:rsidR="000F7FC5" w:rsidRPr="00BA30E0" w:rsidRDefault="000F7FC5" w:rsidP="00BA30E0">
      <w:pPr>
        <w:pStyle w:val="Heading2"/>
        <w:spacing w:before="0" w:beforeAutospacing="0" w:after="0" w:afterAutospacing="0" w:line="360" w:lineRule="auto"/>
        <w:contextualSpacing/>
        <w:rPr>
          <w:lang w:val="en-GB"/>
        </w:rPr>
      </w:pPr>
      <w:bookmarkStart w:id="18" w:name="_Toc226053792"/>
      <w:r w:rsidRPr="00BA30E0">
        <w:rPr>
          <w:rStyle w:val="Strong"/>
          <w:bCs/>
          <w:lang w:val="en-GB"/>
        </w:rPr>
        <w:t>3.1 Methods of Consultation</w:t>
      </w:r>
      <w:bookmarkEnd w:id="18"/>
    </w:p>
    <w:p w14:paraId="24C66144" w14:textId="77777777" w:rsidR="00E53967" w:rsidRPr="00BA30E0" w:rsidRDefault="00E53967"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The consultation of stakeholders in the Crossrail project is done by using a mix of both face-to-face and online surveys that allow attaining both direct and mass data. Face-to-face interaction, which is achieved through public meetings, also gives a chance to stakeholders to give concerns and affect the decision making processes. Nevertheless, these approaches have been criticised to be predominated by more vocal or organised stakeholders that may ostracise the quieter ones (Xiao and Hao, 2023; Reed et al., 2024). Although online surveys prove to be effective in collecting quantitative data, they might omit those with poor access to digital devices or technological knowledge, which adds to the disparities in participation (Buhmann et al., 2024; Masrom et al., 2024).</w:t>
      </w:r>
    </w:p>
    <w:p w14:paraId="698E279F" w14:textId="77777777" w:rsidR="000F7FC5" w:rsidRDefault="00E53967"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 xml:space="preserve">Most importantly, although these consultation methods are intended to increase inclusiveness, their efficiency relies on the level of representation in the participation. Consultation </w:t>
      </w:r>
      <w:r w:rsidRPr="00BA30E0">
        <w:rPr>
          <w:rFonts w:ascii="Times New Roman" w:eastAsia="Times New Roman" w:hAnsi="Times New Roman" w:cs="Times New Roman"/>
          <w:color w:val="000000" w:themeColor="text1"/>
          <w:kern w:val="0"/>
          <w:sz w:val="24"/>
          <w:szCs w:val="24"/>
          <w14:ligatures w14:val="none"/>
        </w:rPr>
        <w:lastRenderedPageBreak/>
        <w:t>processes, which are prevalent in large infrastructure projects, are usually more efficiency than inclusivity based and result in skewed stakeholder representation and narrow response diversity (Di Maddaloni and Davis, 2024; Tumpa and Naeni, 2025). This casts doubt on whether the results of the consultation are truly representative of the general stakeholders.</w:t>
      </w:r>
    </w:p>
    <w:p w14:paraId="0D92E844" w14:textId="77777777" w:rsidR="00936C71" w:rsidRPr="00BA30E0" w:rsidRDefault="00936C71" w:rsidP="00BA30E0">
      <w:pPr>
        <w:spacing w:after="0" w:line="360" w:lineRule="auto"/>
        <w:ind w:firstLine="720"/>
        <w:contextualSpacing/>
        <w:jc w:val="both"/>
        <w:rPr>
          <w:rFonts w:ascii="Times New Roman" w:hAnsi="Times New Roman" w:cs="Times New Roman"/>
          <w:color w:val="000000" w:themeColor="text1"/>
          <w:sz w:val="24"/>
          <w:szCs w:val="24"/>
        </w:rPr>
      </w:pPr>
    </w:p>
    <w:p w14:paraId="57E52296" w14:textId="77777777" w:rsidR="000F7FC5" w:rsidRPr="00BA30E0" w:rsidRDefault="000F7FC5" w:rsidP="00BA30E0">
      <w:pPr>
        <w:pStyle w:val="Heading2"/>
        <w:spacing w:before="0" w:beforeAutospacing="0" w:after="0" w:afterAutospacing="0" w:line="360" w:lineRule="auto"/>
        <w:contextualSpacing/>
        <w:rPr>
          <w:lang w:val="en-GB"/>
        </w:rPr>
      </w:pPr>
      <w:bookmarkStart w:id="19" w:name="_Toc226053793"/>
      <w:r w:rsidRPr="00BA30E0">
        <w:rPr>
          <w:rStyle w:val="Strong"/>
          <w:bCs/>
          <w:lang w:val="en-GB"/>
        </w:rPr>
        <w:t>3.2 Ethical Considerations</w:t>
      </w:r>
      <w:bookmarkEnd w:id="19"/>
    </w:p>
    <w:p w14:paraId="0C6CC2F1" w14:textId="77777777" w:rsidR="00E53967" w:rsidRPr="00BA30E0" w:rsidRDefault="00E53967"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Informed consent and data confidentiality are some of the principles that should be followed when engaging with ethical stakeholders. In the case of Crossrail, the stakeholders should be sensit</w:t>
      </w:r>
      <w:r w:rsidR="00187FC5">
        <w:rPr>
          <w:rFonts w:ascii="Times New Roman" w:eastAsia="Times New Roman" w:hAnsi="Times New Roman" w:cs="Times New Roman"/>
          <w:color w:val="000000" w:themeColor="text1"/>
          <w:kern w:val="0"/>
          <w:sz w:val="24"/>
          <w:szCs w:val="24"/>
          <w14:ligatures w14:val="none"/>
        </w:rPr>
        <w:t>ise</w:t>
      </w:r>
      <w:r w:rsidRPr="00BA30E0">
        <w:rPr>
          <w:rFonts w:ascii="Times New Roman" w:eastAsia="Times New Roman" w:hAnsi="Times New Roman" w:cs="Times New Roman"/>
          <w:color w:val="000000" w:themeColor="text1"/>
          <w:kern w:val="0"/>
          <w:sz w:val="24"/>
          <w:szCs w:val="24"/>
          <w14:ligatures w14:val="none"/>
        </w:rPr>
        <w:t>d on the objective of the consultation undertakings and the use of their data. Trust and legitimacy in the process of engagement can only be ensured by ensuring voluntary participation (Buhmann et al., 2024; Sturge et al., 2023). Moreover, data protection laws, including GDPR, require the safe treatment of the stakeholder data to avoid their abuse.</w:t>
      </w:r>
    </w:p>
    <w:p w14:paraId="437F40FC" w14:textId="77777777" w:rsidR="000F7FC5" w:rsidRPr="00BA30E0" w:rsidRDefault="00E53967"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Ethical issues however become a problem when the consultation processes are seen as tokenistic and not participatory. It has been shown that stakeholders could be consulted with their contribution not having a substantial impact on decision-making, and thus compromising the integrity of ethical decision-making (Reed et al., 2024; Cellerino et al., 2026). Moreover, consultation questions also may be biased in their wording, which may affect the responses of stakeholders and precondition the development of predetermined results. This explains why transparency and neutrality are important with respect to stakeholder engagement practices.</w:t>
      </w:r>
    </w:p>
    <w:p w14:paraId="03ECEE8C" w14:textId="77777777" w:rsidR="000C6FE7" w:rsidRPr="00BA30E0" w:rsidRDefault="000C6FE7" w:rsidP="00BA30E0">
      <w:pPr>
        <w:spacing w:after="0" w:line="360" w:lineRule="auto"/>
        <w:ind w:firstLine="720"/>
        <w:contextualSpacing/>
        <w:jc w:val="both"/>
        <w:rPr>
          <w:rFonts w:ascii="Times New Roman" w:hAnsi="Times New Roman" w:cs="Times New Roman"/>
          <w:color w:val="000000" w:themeColor="text1"/>
          <w:sz w:val="24"/>
          <w:szCs w:val="24"/>
        </w:rPr>
      </w:pPr>
    </w:p>
    <w:p w14:paraId="33883306" w14:textId="77777777" w:rsidR="000F7FC5" w:rsidRPr="00BA30E0" w:rsidRDefault="000F7FC5" w:rsidP="00BA30E0">
      <w:pPr>
        <w:pStyle w:val="Heading2"/>
        <w:spacing w:before="0" w:beforeAutospacing="0" w:after="0" w:afterAutospacing="0" w:line="360" w:lineRule="auto"/>
        <w:contextualSpacing/>
        <w:rPr>
          <w:lang w:val="en-GB"/>
        </w:rPr>
      </w:pPr>
      <w:bookmarkStart w:id="20" w:name="_Toc226053794"/>
      <w:r w:rsidRPr="00BA30E0">
        <w:rPr>
          <w:rStyle w:val="Strong"/>
          <w:bCs/>
          <w:lang w:val="en-GB"/>
        </w:rPr>
        <w:t>3.3 Bias Control</w:t>
      </w:r>
      <w:bookmarkEnd w:id="20"/>
    </w:p>
    <w:p w14:paraId="0B1A2F92" w14:textId="77777777" w:rsidR="000F7FC5" w:rsidRDefault="00E53967"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Prejudice is a major ethical issue in stakeholder consultation. In massive infrastructure projects, bias manifestation may occur as a result of selective inclusion of stakeholders, whereby some groups may end up being overrepresented and others may end up being excluded. It is essential to guarantee a representative sample and therefore produce a balanced and credible result (Xiao and Hao, 2023; Vakeva-Baird and Tahmasebi, 2025). Further, the stakeholder feedback analysis should be done in an objective manner to prevent misinterpretation or false reporting.</w:t>
      </w:r>
    </w:p>
    <w:p w14:paraId="069FA4F9" w14:textId="77777777" w:rsidR="00936C71" w:rsidRDefault="00936C71" w:rsidP="00BA30E0">
      <w:pPr>
        <w:pStyle w:val="NormalWeb"/>
        <w:spacing w:before="0" w:beforeAutospacing="0" w:after="0" w:afterAutospacing="0" w:line="360" w:lineRule="auto"/>
        <w:ind w:firstLine="720"/>
        <w:contextualSpacing/>
        <w:jc w:val="both"/>
        <w:rPr>
          <w:color w:val="000000" w:themeColor="text1"/>
          <w:lang w:val="en-GB"/>
        </w:rPr>
      </w:pPr>
    </w:p>
    <w:p w14:paraId="35888906" w14:textId="77777777" w:rsidR="00936C71" w:rsidRDefault="00936C71" w:rsidP="00BA30E0">
      <w:pPr>
        <w:pStyle w:val="NormalWeb"/>
        <w:spacing w:before="0" w:beforeAutospacing="0" w:after="0" w:afterAutospacing="0" w:line="360" w:lineRule="auto"/>
        <w:ind w:firstLine="720"/>
        <w:contextualSpacing/>
        <w:jc w:val="both"/>
        <w:rPr>
          <w:color w:val="000000" w:themeColor="text1"/>
          <w:lang w:val="en-GB"/>
        </w:rPr>
      </w:pPr>
    </w:p>
    <w:p w14:paraId="51FD773B" w14:textId="77777777" w:rsidR="00936C71" w:rsidRDefault="00936C71" w:rsidP="00BA30E0">
      <w:pPr>
        <w:pStyle w:val="NormalWeb"/>
        <w:spacing w:before="0" w:beforeAutospacing="0" w:after="0" w:afterAutospacing="0" w:line="360" w:lineRule="auto"/>
        <w:ind w:firstLine="720"/>
        <w:contextualSpacing/>
        <w:jc w:val="both"/>
        <w:rPr>
          <w:color w:val="000000" w:themeColor="text1"/>
          <w:lang w:val="en-GB"/>
        </w:rPr>
      </w:pPr>
    </w:p>
    <w:p w14:paraId="03D3FA4A" w14:textId="77777777" w:rsidR="00936C71" w:rsidRPr="00BA30E0" w:rsidRDefault="00936C71" w:rsidP="00BA30E0">
      <w:pPr>
        <w:pStyle w:val="NormalWeb"/>
        <w:spacing w:before="0" w:beforeAutospacing="0" w:after="0" w:afterAutospacing="0" w:line="360" w:lineRule="auto"/>
        <w:ind w:firstLine="720"/>
        <w:contextualSpacing/>
        <w:jc w:val="both"/>
        <w:rPr>
          <w:color w:val="000000" w:themeColor="text1"/>
          <w:lang w:val="en-GB"/>
        </w:rPr>
      </w:pPr>
    </w:p>
    <w:p w14:paraId="763592EA" w14:textId="77777777" w:rsidR="000F7FC5" w:rsidRPr="00BA30E0" w:rsidRDefault="000F7FC5" w:rsidP="00BA30E0">
      <w:pPr>
        <w:pStyle w:val="Heading3"/>
        <w:spacing w:before="0" w:beforeAutospacing="0" w:after="0" w:afterAutospacing="0" w:line="360" w:lineRule="auto"/>
        <w:contextualSpacing/>
        <w:rPr>
          <w:lang w:val="en-GB"/>
        </w:rPr>
      </w:pPr>
      <w:bookmarkStart w:id="21" w:name="_Toc226053795"/>
      <w:r w:rsidRPr="00BA30E0">
        <w:rPr>
          <w:rStyle w:val="Strong"/>
          <w:b/>
          <w:bCs/>
          <w:lang w:val="en-GB"/>
        </w:rPr>
        <w:lastRenderedPageBreak/>
        <w:t>Table 10: Bias Control Measures</w:t>
      </w:r>
      <w:bookmarkEnd w:id="2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18"/>
        <w:gridCol w:w="3331"/>
        <w:gridCol w:w="3601"/>
      </w:tblGrid>
      <w:tr w:rsidR="00BA30E0" w:rsidRPr="00BA30E0" w14:paraId="4A5807B3" w14:textId="77777777" w:rsidTr="00F42F82">
        <w:trPr>
          <w:tblHeader/>
          <w:tblCellSpacing w:w="15" w:type="dxa"/>
        </w:trPr>
        <w:tc>
          <w:tcPr>
            <w:tcW w:w="0" w:type="auto"/>
            <w:vAlign w:val="center"/>
            <w:hideMark/>
          </w:tcPr>
          <w:p w14:paraId="00521765"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Measure</w:t>
            </w:r>
          </w:p>
        </w:tc>
        <w:tc>
          <w:tcPr>
            <w:tcW w:w="0" w:type="auto"/>
            <w:vAlign w:val="center"/>
            <w:hideMark/>
          </w:tcPr>
          <w:p w14:paraId="68581EE2"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Application</w:t>
            </w:r>
          </w:p>
        </w:tc>
        <w:tc>
          <w:tcPr>
            <w:tcW w:w="0" w:type="auto"/>
            <w:vAlign w:val="center"/>
            <w:hideMark/>
          </w:tcPr>
          <w:p w14:paraId="17A5AFDA"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Critical Insight</w:t>
            </w:r>
          </w:p>
        </w:tc>
      </w:tr>
      <w:tr w:rsidR="00BA30E0" w:rsidRPr="00BA30E0" w14:paraId="7C9426C0" w14:textId="77777777" w:rsidTr="00F42F82">
        <w:trPr>
          <w:tblCellSpacing w:w="15" w:type="dxa"/>
        </w:trPr>
        <w:tc>
          <w:tcPr>
            <w:tcW w:w="0" w:type="auto"/>
            <w:vAlign w:val="center"/>
            <w:hideMark/>
          </w:tcPr>
          <w:p w14:paraId="2E2C3F23"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Representative sampling</w:t>
            </w:r>
          </w:p>
        </w:tc>
        <w:tc>
          <w:tcPr>
            <w:tcW w:w="0" w:type="auto"/>
            <w:vAlign w:val="center"/>
            <w:hideMark/>
          </w:tcPr>
          <w:p w14:paraId="727EE4C6"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Include diverse stakeholder groups</w:t>
            </w:r>
          </w:p>
        </w:tc>
        <w:tc>
          <w:tcPr>
            <w:tcW w:w="0" w:type="auto"/>
            <w:vAlign w:val="center"/>
            <w:hideMark/>
          </w:tcPr>
          <w:p w14:paraId="091B6F94"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Reduces exclusion of minority voices</w:t>
            </w:r>
          </w:p>
        </w:tc>
      </w:tr>
      <w:tr w:rsidR="00BA30E0" w:rsidRPr="00BA30E0" w14:paraId="208D4CAE" w14:textId="77777777" w:rsidTr="00F42F82">
        <w:trPr>
          <w:tblCellSpacing w:w="15" w:type="dxa"/>
        </w:trPr>
        <w:tc>
          <w:tcPr>
            <w:tcW w:w="0" w:type="auto"/>
            <w:vAlign w:val="center"/>
            <w:hideMark/>
          </w:tcPr>
          <w:p w14:paraId="5A9F9779"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Neutral questioning</w:t>
            </w:r>
          </w:p>
        </w:tc>
        <w:tc>
          <w:tcPr>
            <w:tcW w:w="0" w:type="auto"/>
            <w:vAlign w:val="center"/>
            <w:hideMark/>
          </w:tcPr>
          <w:p w14:paraId="3782E363"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Avoid leading questions</w:t>
            </w:r>
          </w:p>
        </w:tc>
        <w:tc>
          <w:tcPr>
            <w:tcW w:w="0" w:type="auto"/>
            <w:vAlign w:val="center"/>
            <w:hideMark/>
          </w:tcPr>
          <w:p w14:paraId="335A0C0E"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Minimises response bias</w:t>
            </w:r>
          </w:p>
        </w:tc>
      </w:tr>
      <w:tr w:rsidR="00BA30E0" w:rsidRPr="00BA30E0" w14:paraId="53B9DC1E" w14:textId="77777777" w:rsidTr="00F42F82">
        <w:trPr>
          <w:tblCellSpacing w:w="15" w:type="dxa"/>
        </w:trPr>
        <w:tc>
          <w:tcPr>
            <w:tcW w:w="0" w:type="auto"/>
            <w:vAlign w:val="center"/>
            <w:hideMark/>
          </w:tcPr>
          <w:p w14:paraId="67C36FA6"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Transparent reporting</w:t>
            </w:r>
          </w:p>
        </w:tc>
        <w:tc>
          <w:tcPr>
            <w:tcW w:w="0" w:type="auto"/>
            <w:vAlign w:val="center"/>
            <w:hideMark/>
          </w:tcPr>
          <w:p w14:paraId="4F9F153C"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Publish full findings</w:t>
            </w:r>
          </w:p>
        </w:tc>
        <w:tc>
          <w:tcPr>
            <w:tcW w:w="0" w:type="auto"/>
            <w:vAlign w:val="center"/>
            <w:hideMark/>
          </w:tcPr>
          <w:p w14:paraId="24FE8826"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Enhances accountability</w:t>
            </w:r>
          </w:p>
        </w:tc>
      </w:tr>
    </w:tbl>
    <w:p w14:paraId="1C3E3B39" w14:textId="77777777" w:rsidR="00936C71" w:rsidRDefault="00936C71" w:rsidP="00BA30E0">
      <w:pPr>
        <w:pStyle w:val="NormalWeb"/>
        <w:spacing w:before="0" w:beforeAutospacing="0" w:after="0" w:afterAutospacing="0" w:line="360" w:lineRule="auto"/>
        <w:ind w:firstLine="720"/>
        <w:contextualSpacing/>
        <w:jc w:val="both"/>
        <w:rPr>
          <w:color w:val="000000" w:themeColor="text1"/>
          <w:lang w:val="en-GB"/>
        </w:rPr>
      </w:pPr>
    </w:p>
    <w:p w14:paraId="1A72C8C2" w14:textId="77777777" w:rsidR="000F7FC5" w:rsidRPr="00BA30E0" w:rsidRDefault="00E53967"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Irrespective of these efforts, it is difficult to be totally neutral. It is possible that organisational priorities and political pressures affect the interpretation and presentation of data, and cause biased or partial conclusions (Chiarelli et al., 2024; Reed et al., 2024). Therefore, bias control as a process needs to be considered a continuous process, as opposed to a predetermined outcome.</w:t>
      </w:r>
    </w:p>
    <w:p w14:paraId="408C8628"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p>
    <w:p w14:paraId="6A03718A" w14:textId="77777777" w:rsidR="000F7FC5" w:rsidRPr="00BA30E0" w:rsidRDefault="000F7FC5" w:rsidP="00BA30E0">
      <w:pPr>
        <w:pStyle w:val="Heading2"/>
        <w:spacing w:before="0" w:beforeAutospacing="0" w:after="0" w:afterAutospacing="0" w:line="360" w:lineRule="auto"/>
        <w:contextualSpacing/>
        <w:rPr>
          <w:lang w:val="en-GB"/>
        </w:rPr>
      </w:pPr>
      <w:bookmarkStart w:id="22" w:name="_Toc226053796"/>
      <w:r w:rsidRPr="00BA30E0">
        <w:rPr>
          <w:rStyle w:val="Strong"/>
          <w:bCs/>
          <w:lang w:val="en-GB"/>
        </w:rPr>
        <w:t>3.4 Diversity, Equity and Inclusion (DEI)</w:t>
      </w:r>
      <w:bookmarkEnd w:id="22"/>
    </w:p>
    <w:p w14:paraId="2127A023" w14:textId="77777777" w:rsidR="00E53967" w:rsidRPr="00BA30E0" w:rsidRDefault="00E53967"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Ethical stakeholder engagement involves diversity, equity and inclusion (DEI). The Crossrail project uses the means of open consultation points and the availability of participative opportunities online to promote broader participation. Also, the strategies of attracting underrepresented groups are to make sure that in decisions, different points of view are taken into account (Tumpa et al., 2026; Masrom et al., 2024).</w:t>
      </w:r>
    </w:p>
    <w:p w14:paraId="083732DD" w14:textId="77777777" w:rsidR="000F7FC5" w:rsidRPr="00BA30E0" w:rsidRDefault="00E53967"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Nevertheless, the application of DEI initiatives is usually pragmatically constrained. Participation may still be limited by structural disparities of the form of socio-economic and language barriers, among some groups. Studies emphas</w:t>
      </w:r>
      <w:r w:rsidR="00187FC5">
        <w:rPr>
          <w:rFonts w:ascii="Times New Roman" w:eastAsia="Times New Roman" w:hAnsi="Times New Roman" w:cs="Times New Roman"/>
          <w:color w:val="000000" w:themeColor="text1"/>
          <w:kern w:val="0"/>
          <w:sz w:val="24"/>
          <w:szCs w:val="24"/>
          <w14:ligatures w14:val="none"/>
        </w:rPr>
        <w:t>ise</w:t>
      </w:r>
      <w:r w:rsidRPr="00BA30E0">
        <w:rPr>
          <w:rFonts w:ascii="Times New Roman" w:eastAsia="Times New Roman" w:hAnsi="Times New Roman" w:cs="Times New Roman"/>
          <w:color w:val="000000" w:themeColor="text1"/>
          <w:kern w:val="0"/>
          <w:sz w:val="24"/>
          <w:szCs w:val="24"/>
          <w14:ligatures w14:val="none"/>
        </w:rPr>
        <w:t xml:space="preserve"> that top-down approach is often a characteristic feature of infrastructure projects that may impair the possibility of true inclusion and strengthen the status quo (Di Maddaloni and Davis, 2024; Buhmann et al., 2024). This implies that although DEI has been noted to be important, its application in practice has not been consistent.</w:t>
      </w:r>
    </w:p>
    <w:p w14:paraId="48A6FB16" w14:textId="77777777" w:rsidR="000C6FE7" w:rsidRPr="00BA30E0" w:rsidRDefault="000C6FE7" w:rsidP="00BA30E0">
      <w:pPr>
        <w:spacing w:after="0" w:line="360" w:lineRule="auto"/>
        <w:ind w:firstLine="720"/>
        <w:contextualSpacing/>
        <w:jc w:val="both"/>
        <w:rPr>
          <w:rFonts w:ascii="Times New Roman" w:hAnsi="Times New Roman" w:cs="Times New Roman"/>
          <w:color w:val="000000" w:themeColor="text1"/>
          <w:sz w:val="24"/>
          <w:szCs w:val="24"/>
        </w:rPr>
      </w:pPr>
    </w:p>
    <w:p w14:paraId="48FB5AAD" w14:textId="77777777" w:rsidR="000F7FC5" w:rsidRPr="00BA30E0" w:rsidRDefault="000F7FC5" w:rsidP="00BA30E0">
      <w:pPr>
        <w:pStyle w:val="Heading2"/>
        <w:spacing w:before="0" w:beforeAutospacing="0" w:after="0" w:afterAutospacing="0" w:line="360" w:lineRule="auto"/>
        <w:contextualSpacing/>
        <w:rPr>
          <w:lang w:val="en-GB"/>
        </w:rPr>
      </w:pPr>
      <w:bookmarkStart w:id="23" w:name="_Toc226053797"/>
      <w:r w:rsidRPr="00BA30E0">
        <w:rPr>
          <w:rStyle w:val="Strong"/>
          <w:bCs/>
          <w:lang w:val="en-GB"/>
        </w:rPr>
        <w:t>3.5 Feedback Collection and Review</w:t>
      </w:r>
      <w:bookmarkEnd w:id="23"/>
    </w:p>
    <w:p w14:paraId="6DD276F6" w14:textId="77777777" w:rsidR="000F7FC5" w:rsidRPr="00BA30E0" w:rsidRDefault="00E53967"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 xml:space="preserve">The gathering and assessment of stakeholder feedback are quantitative and qualitative in nature, comprising survey information and thematic analysis of stakeholder feedback. Quantitative data can be measured and qualitative feedback can give more insight into the issues and </w:t>
      </w:r>
      <w:r w:rsidRPr="00BA30E0">
        <w:rPr>
          <w:color w:val="000000" w:themeColor="text1"/>
          <w:lang w:val="en-GB"/>
        </w:rPr>
        <w:lastRenderedPageBreak/>
        <w:t>expectations of the stakeholders. The integration of this practice helps to make more informed decisions (Cellerino et al., 2026; Ngampravatdee et al., 2023).</w:t>
      </w:r>
    </w:p>
    <w:p w14:paraId="3E2AAC96" w14:textId="77777777" w:rsidR="000F7FC5" w:rsidRPr="00BA30E0" w:rsidRDefault="000F7FC5" w:rsidP="00BA30E0">
      <w:pPr>
        <w:pStyle w:val="Heading3"/>
        <w:spacing w:before="0" w:beforeAutospacing="0" w:after="0" w:afterAutospacing="0" w:line="360" w:lineRule="auto"/>
        <w:contextualSpacing/>
        <w:rPr>
          <w:lang w:val="en-GB"/>
        </w:rPr>
      </w:pPr>
      <w:bookmarkStart w:id="24" w:name="_Toc226053798"/>
      <w:r w:rsidRPr="00BA30E0">
        <w:rPr>
          <w:rStyle w:val="Strong"/>
          <w:b/>
          <w:bCs/>
          <w:lang w:val="en-GB"/>
        </w:rPr>
        <w:t>Table 11: Feedback Review Process</w:t>
      </w:r>
      <w:bookmarkEnd w:id="24"/>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15"/>
        <w:gridCol w:w="3553"/>
        <w:gridCol w:w="2795"/>
      </w:tblGrid>
      <w:tr w:rsidR="00BA30E0" w:rsidRPr="00BA30E0" w14:paraId="53933D4C" w14:textId="77777777" w:rsidTr="00936C71">
        <w:trPr>
          <w:tblHeader/>
          <w:tblCellSpacing w:w="15" w:type="dxa"/>
          <w:jc w:val="center"/>
        </w:trPr>
        <w:tc>
          <w:tcPr>
            <w:tcW w:w="0" w:type="auto"/>
            <w:vAlign w:val="center"/>
            <w:hideMark/>
          </w:tcPr>
          <w:p w14:paraId="062BBBA8"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Stage</w:t>
            </w:r>
          </w:p>
        </w:tc>
        <w:tc>
          <w:tcPr>
            <w:tcW w:w="0" w:type="auto"/>
            <w:vAlign w:val="center"/>
            <w:hideMark/>
          </w:tcPr>
          <w:p w14:paraId="56CAC23E"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Activity</w:t>
            </w:r>
          </w:p>
        </w:tc>
        <w:tc>
          <w:tcPr>
            <w:tcW w:w="0" w:type="auto"/>
            <w:vAlign w:val="center"/>
            <w:hideMark/>
          </w:tcPr>
          <w:p w14:paraId="3B8AB6CA" w14:textId="77777777" w:rsidR="000F7FC5" w:rsidRPr="00BA30E0" w:rsidRDefault="000F7FC5" w:rsidP="00BA30E0">
            <w:pPr>
              <w:spacing w:after="0" w:line="360" w:lineRule="auto"/>
              <w:contextualSpacing/>
              <w:jc w:val="center"/>
              <w:rPr>
                <w:rFonts w:ascii="Times New Roman" w:hAnsi="Times New Roman" w:cs="Times New Roman"/>
                <w:b/>
                <w:bCs/>
                <w:color w:val="000000" w:themeColor="text1"/>
                <w:sz w:val="24"/>
                <w:szCs w:val="24"/>
              </w:rPr>
            </w:pPr>
            <w:r w:rsidRPr="00BA30E0">
              <w:rPr>
                <w:rFonts w:ascii="Times New Roman" w:hAnsi="Times New Roman" w:cs="Times New Roman"/>
                <w:b/>
                <w:bCs/>
                <w:color w:val="000000" w:themeColor="text1"/>
                <w:sz w:val="24"/>
                <w:szCs w:val="24"/>
              </w:rPr>
              <w:t>Outcome</w:t>
            </w:r>
          </w:p>
        </w:tc>
      </w:tr>
      <w:tr w:rsidR="00BA30E0" w:rsidRPr="00BA30E0" w14:paraId="3B6C109A" w14:textId="77777777" w:rsidTr="00936C71">
        <w:trPr>
          <w:tblCellSpacing w:w="15" w:type="dxa"/>
          <w:jc w:val="center"/>
        </w:trPr>
        <w:tc>
          <w:tcPr>
            <w:tcW w:w="0" w:type="auto"/>
            <w:vAlign w:val="center"/>
            <w:hideMark/>
          </w:tcPr>
          <w:p w14:paraId="52A36540"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Data Collection</w:t>
            </w:r>
          </w:p>
        </w:tc>
        <w:tc>
          <w:tcPr>
            <w:tcW w:w="0" w:type="auto"/>
            <w:vAlign w:val="center"/>
            <w:hideMark/>
          </w:tcPr>
          <w:p w14:paraId="61701D84"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Surveys, meetings, digital platforms</w:t>
            </w:r>
          </w:p>
        </w:tc>
        <w:tc>
          <w:tcPr>
            <w:tcW w:w="0" w:type="auto"/>
            <w:vAlign w:val="center"/>
            <w:hideMark/>
          </w:tcPr>
          <w:p w14:paraId="252945EB"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Raw stakeholder input</w:t>
            </w:r>
          </w:p>
        </w:tc>
      </w:tr>
      <w:tr w:rsidR="00BA30E0" w:rsidRPr="00BA30E0" w14:paraId="017A4313" w14:textId="77777777" w:rsidTr="00936C71">
        <w:trPr>
          <w:tblCellSpacing w:w="15" w:type="dxa"/>
          <w:jc w:val="center"/>
        </w:trPr>
        <w:tc>
          <w:tcPr>
            <w:tcW w:w="0" w:type="auto"/>
            <w:vAlign w:val="center"/>
            <w:hideMark/>
          </w:tcPr>
          <w:p w14:paraId="3BC5C1AE"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Data Analysis</w:t>
            </w:r>
          </w:p>
        </w:tc>
        <w:tc>
          <w:tcPr>
            <w:tcW w:w="0" w:type="auto"/>
            <w:vAlign w:val="center"/>
            <w:hideMark/>
          </w:tcPr>
          <w:p w14:paraId="2CA412F8"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Statistical and thematic analysis</w:t>
            </w:r>
          </w:p>
        </w:tc>
        <w:tc>
          <w:tcPr>
            <w:tcW w:w="0" w:type="auto"/>
            <w:vAlign w:val="center"/>
            <w:hideMark/>
          </w:tcPr>
          <w:p w14:paraId="2D787702"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Identification of key themes</w:t>
            </w:r>
          </w:p>
        </w:tc>
      </w:tr>
      <w:tr w:rsidR="00BA30E0" w:rsidRPr="00BA30E0" w14:paraId="1D20B21C" w14:textId="77777777" w:rsidTr="00936C71">
        <w:trPr>
          <w:tblCellSpacing w:w="15" w:type="dxa"/>
          <w:jc w:val="center"/>
        </w:trPr>
        <w:tc>
          <w:tcPr>
            <w:tcW w:w="0" w:type="auto"/>
            <w:vAlign w:val="center"/>
            <w:hideMark/>
          </w:tcPr>
          <w:p w14:paraId="4A6BDDFC"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Reporting</w:t>
            </w:r>
          </w:p>
        </w:tc>
        <w:tc>
          <w:tcPr>
            <w:tcW w:w="0" w:type="auto"/>
            <w:vAlign w:val="center"/>
            <w:hideMark/>
          </w:tcPr>
          <w:p w14:paraId="272FDB39"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Summarising findings</w:t>
            </w:r>
          </w:p>
        </w:tc>
        <w:tc>
          <w:tcPr>
            <w:tcW w:w="0" w:type="auto"/>
            <w:vAlign w:val="center"/>
            <w:hideMark/>
          </w:tcPr>
          <w:p w14:paraId="71F9F45E"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Transparent communication</w:t>
            </w:r>
          </w:p>
        </w:tc>
      </w:tr>
      <w:tr w:rsidR="00BA30E0" w:rsidRPr="00BA30E0" w14:paraId="25766DCA" w14:textId="77777777" w:rsidTr="00936C71">
        <w:trPr>
          <w:tblCellSpacing w:w="15" w:type="dxa"/>
          <w:jc w:val="center"/>
        </w:trPr>
        <w:tc>
          <w:tcPr>
            <w:tcW w:w="0" w:type="auto"/>
            <w:vAlign w:val="center"/>
            <w:hideMark/>
          </w:tcPr>
          <w:p w14:paraId="0A5DAEAC"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Implementation</w:t>
            </w:r>
          </w:p>
        </w:tc>
        <w:tc>
          <w:tcPr>
            <w:tcW w:w="0" w:type="auto"/>
            <w:vAlign w:val="center"/>
            <w:hideMark/>
          </w:tcPr>
          <w:p w14:paraId="4702AF6F"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Incorporating feedback</w:t>
            </w:r>
          </w:p>
        </w:tc>
        <w:tc>
          <w:tcPr>
            <w:tcW w:w="0" w:type="auto"/>
            <w:vAlign w:val="center"/>
            <w:hideMark/>
          </w:tcPr>
          <w:p w14:paraId="4D1122F2"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r w:rsidRPr="00BA30E0">
              <w:rPr>
                <w:rFonts w:ascii="Times New Roman" w:hAnsi="Times New Roman" w:cs="Times New Roman"/>
                <w:color w:val="000000" w:themeColor="text1"/>
                <w:sz w:val="24"/>
                <w:szCs w:val="24"/>
              </w:rPr>
              <w:t>Improved decision-making</w:t>
            </w:r>
          </w:p>
        </w:tc>
      </w:tr>
    </w:tbl>
    <w:p w14:paraId="4B5EA9FC" w14:textId="77777777" w:rsidR="00936C71" w:rsidRDefault="00936C71" w:rsidP="00BA30E0">
      <w:pPr>
        <w:pStyle w:val="NormalWeb"/>
        <w:spacing w:before="0" w:beforeAutospacing="0" w:after="0" w:afterAutospacing="0" w:line="360" w:lineRule="auto"/>
        <w:ind w:firstLine="720"/>
        <w:contextualSpacing/>
        <w:jc w:val="both"/>
        <w:rPr>
          <w:color w:val="000000" w:themeColor="text1"/>
          <w:lang w:val="en-GB"/>
        </w:rPr>
      </w:pPr>
    </w:p>
    <w:p w14:paraId="09AC0CF4" w14:textId="77777777" w:rsidR="000F7FC5" w:rsidRPr="00BA30E0" w:rsidRDefault="00E53967"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Notwithstanding such an organ</w:t>
      </w:r>
      <w:r w:rsidR="00187FC5">
        <w:rPr>
          <w:color w:val="000000" w:themeColor="text1"/>
          <w:lang w:val="en-GB"/>
        </w:rPr>
        <w:t>ise</w:t>
      </w:r>
      <w:r w:rsidRPr="00BA30E0">
        <w:rPr>
          <w:color w:val="000000" w:themeColor="text1"/>
          <w:lang w:val="en-GB"/>
        </w:rPr>
        <w:t>d method, there are still difficulties in making sure that feedback is properly incorporated into the project decisions. There are indications that feedback is at times accepted but not fully executed, which frustrates the stakeholders and makes them less trustful (Reed et al., 2024; Tumpa and Naeni, 2025). Moreover, any delay in informing the stakeholders about the ways in which feedback has affected the results may undermine stakeholder trust in the engagement process.</w:t>
      </w:r>
    </w:p>
    <w:p w14:paraId="2879AF67" w14:textId="77777777" w:rsidR="000F7FC5" w:rsidRPr="00BA30E0" w:rsidRDefault="000F7FC5" w:rsidP="00BA30E0">
      <w:pPr>
        <w:spacing w:after="0" w:line="360" w:lineRule="auto"/>
        <w:contextualSpacing/>
        <w:rPr>
          <w:rFonts w:ascii="Times New Roman" w:hAnsi="Times New Roman" w:cs="Times New Roman"/>
          <w:color w:val="000000" w:themeColor="text1"/>
          <w:sz w:val="24"/>
          <w:szCs w:val="24"/>
        </w:rPr>
      </w:pPr>
    </w:p>
    <w:p w14:paraId="5F4AD630" w14:textId="77777777" w:rsidR="000F7FC5" w:rsidRPr="00BA30E0" w:rsidRDefault="000F7FC5" w:rsidP="00BA30E0">
      <w:pPr>
        <w:pStyle w:val="Heading2"/>
        <w:spacing w:before="0" w:beforeAutospacing="0" w:after="0" w:afterAutospacing="0" w:line="360" w:lineRule="auto"/>
        <w:contextualSpacing/>
        <w:rPr>
          <w:lang w:val="en-GB"/>
        </w:rPr>
      </w:pPr>
      <w:bookmarkStart w:id="25" w:name="_Toc226053799"/>
      <w:r w:rsidRPr="00BA30E0">
        <w:rPr>
          <w:rStyle w:val="Strong"/>
          <w:bCs/>
          <w:lang w:val="en-GB"/>
        </w:rPr>
        <w:t>3.6 Critical Evaluation</w:t>
      </w:r>
      <w:bookmarkEnd w:id="25"/>
    </w:p>
    <w:p w14:paraId="5507CC1F" w14:textId="77777777" w:rsidR="00E53967" w:rsidRPr="00BA30E0" w:rsidRDefault="00A424CE"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T</w:t>
      </w:r>
      <w:r w:rsidR="00E53967" w:rsidRPr="00BA30E0">
        <w:rPr>
          <w:color w:val="000000" w:themeColor="text1"/>
          <w:lang w:val="en-GB"/>
        </w:rPr>
        <w:t>he ethical stakeholder involvement in the Crossrail project shows its positive and negative sides. Although there are formal consultation mechanisms in place, control of bias and collection of feedback is provided but limited due to practicability and organisational constraints. Specifically, the concern of representation, lack of transparency and unequal power distribution remain factors that undermine the ethical quality of stakeholder engagement.</w:t>
      </w:r>
    </w:p>
    <w:p w14:paraId="272EB58D" w14:textId="77777777" w:rsidR="00BA30E0" w:rsidRPr="00BA30E0" w:rsidRDefault="00E53967"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Importantly, the use of structured processes does not ensure ethical results. Rather, ethical stakeholder engagement entails recurrent reflexivity, openness and sincerity towards inclusiveness. The absence of these factors makes consultation look more of a procedure, not a meaningful contribution to sustainable project outcomes (Buhmann et al., 2024; Reed et al., 2024).</w:t>
      </w:r>
    </w:p>
    <w:p w14:paraId="45F7B877" w14:textId="77777777" w:rsidR="00BA30E0" w:rsidRDefault="00BA30E0" w:rsidP="00BA30E0">
      <w:pPr>
        <w:pStyle w:val="NormalWeb"/>
        <w:spacing w:before="0" w:beforeAutospacing="0" w:after="0" w:afterAutospacing="0" w:line="360" w:lineRule="auto"/>
        <w:contextualSpacing/>
        <w:jc w:val="both"/>
        <w:rPr>
          <w:rStyle w:val="Strong"/>
          <w:b w:val="0"/>
          <w:bCs w:val="0"/>
          <w:color w:val="000000" w:themeColor="text1"/>
          <w:lang w:val="en-GB"/>
        </w:rPr>
      </w:pPr>
    </w:p>
    <w:p w14:paraId="4B6C89B1" w14:textId="77777777" w:rsidR="00936C71" w:rsidRDefault="00936C71" w:rsidP="00BA30E0">
      <w:pPr>
        <w:pStyle w:val="NormalWeb"/>
        <w:spacing w:before="0" w:beforeAutospacing="0" w:after="0" w:afterAutospacing="0" w:line="360" w:lineRule="auto"/>
        <w:contextualSpacing/>
        <w:jc w:val="both"/>
        <w:rPr>
          <w:rStyle w:val="Strong"/>
          <w:b w:val="0"/>
          <w:bCs w:val="0"/>
          <w:color w:val="000000" w:themeColor="text1"/>
          <w:lang w:val="en-GB"/>
        </w:rPr>
      </w:pPr>
    </w:p>
    <w:p w14:paraId="1DEB2AB0" w14:textId="77777777" w:rsidR="00936C71" w:rsidRDefault="00936C71" w:rsidP="00BA30E0">
      <w:pPr>
        <w:pStyle w:val="NormalWeb"/>
        <w:spacing w:before="0" w:beforeAutospacing="0" w:after="0" w:afterAutospacing="0" w:line="360" w:lineRule="auto"/>
        <w:contextualSpacing/>
        <w:jc w:val="both"/>
        <w:rPr>
          <w:rStyle w:val="Strong"/>
          <w:b w:val="0"/>
          <w:bCs w:val="0"/>
          <w:color w:val="000000" w:themeColor="text1"/>
          <w:lang w:val="en-GB"/>
        </w:rPr>
      </w:pPr>
    </w:p>
    <w:p w14:paraId="61D15E2E" w14:textId="77777777" w:rsidR="00936C71" w:rsidRPr="00BA30E0" w:rsidRDefault="00936C71" w:rsidP="00BA30E0">
      <w:pPr>
        <w:pStyle w:val="NormalWeb"/>
        <w:spacing w:before="0" w:beforeAutospacing="0" w:after="0" w:afterAutospacing="0" w:line="360" w:lineRule="auto"/>
        <w:contextualSpacing/>
        <w:jc w:val="both"/>
        <w:rPr>
          <w:rStyle w:val="Strong"/>
          <w:b w:val="0"/>
          <w:bCs w:val="0"/>
          <w:color w:val="000000" w:themeColor="text1"/>
          <w:lang w:val="en-GB"/>
        </w:rPr>
      </w:pPr>
    </w:p>
    <w:p w14:paraId="3816E60D" w14:textId="77777777" w:rsidR="00AE0B88" w:rsidRPr="00BA30E0" w:rsidRDefault="00AE0B88" w:rsidP="00BA30E0">
      <w:pPr>
        <w:pStyle w:val="Heading1"/>
        <w:spacing w:before="0" w:beforeAutospacing="0" w:after="0" w:afterAutospacing="0" w:line="360" w:lineRule="auto"/>
        <w:contextualSpacing/>
        <w:rPr>
          <w:b w:val="0"/>
          <w:lang w:val="en-GB"/>
        </w:rPr>
      </w:pPr>
      <w:bookmarkStart w:id="26" w:name="_Toc226053800"/>
      <w:r w:rsidRPr="00BA30E0">
        <w:rPr>
          <w:rStyle w:val="Strong"/>
          <w:b/>
          <w:lang w:val="en-GB"/>
        </w:rPr>
        <w:lastRenderedPageBreak/>
        <w:t>Element 4: Conclusion and Reflection</w:t>
      </w:r>
      <w:bookmarkEnd w:id="26"/>
    </w:p>
    <w:p w14:paraId="6184444E" w14:textId="77777777" w:rsidR="00AE0B88" w:rsidRPr="00BA30E0" w:rsidRDefault="00AE0B88" w:rsidP="00BA30E0">
      <w:pPr>
        <w:pStyle w:val="Heading2"/>
        <w:spacing w:before="0" w:beforeAutospacing="0" w:after="0" w:afterAutospacing="0" w:line="360" w:lineRule="auto"/>
        <w:contextualSpacing/>
        <w:rPr>
          <w:lang w:val="en-GB"/>
        </w:rPr>
      </w:pPr>
      <w:bookmarkStart w:id="27" w:name="_Toc226053801"/>
      <w:r w:rsidRPr="00BA30E0">
        <w:rPr>
          <w:rStyle w:val="Strong"/>
          <w:bCs/>
          <w:lang w:val="en-GB"/>
        </w:rPr>
        <w:t>4.1 Conclusion</w:t>
      </w:r>
      <w:bookmarkEnd w:id="27"/>
    </w:p>
    <w:p w14:paraId="2A3D5E65" w14:textId="77777777" w:rsidR="00A424CE" w:rsidRPr="00BA30E0" w:rsidRDefault="00A424CE"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To sum up, the Elizabeth Line (Crossrail) project can demonstrate the paramount role of stakeholder engagement in the development of an extensive infrastructure project. The analysis reveals that, although tools like stakeholder mapping, communication planning and consultation strategies are adopted in a structured manner, power imbalance, lack of inclusivity and coordination make them ineffective. The project identifies that the stakeholder engagement is not just a procedural issue but a strategic need to ensure the project success and sustainability.</w:t>
      </w:r>
    </w:p>
    <w:p w14:paraId="0F5B1E6A" w14:textId="77777777" w:rsidR="00AE0B88" w:rsidRPr="00BA30E0" w:rsidRDefault="00A424CE" w:rsidP="00BA30E0">
      <w:pPr>
        <w:spacing w:after="0" w:line="360" w:lineRule="auto"/>
        <w:ind w:firstLine="720"/>
        <w:contextualSpacing/>
        <w:jc w:val="both"/>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t>Moreover, the results show that excessive use of quantitative performance measures, including capacity and cost levels, can ignore qualitative results, including stakeholder satisfaction and trust. This supports the claim that stakeholder engagement can only be successful in the event of constant interaction, transparency and flexibility during the project lifecycle (Reed et al., 2024; Buhmann et al., 2024). Consequently, the Crossrail project can be used as a great resource of knowledge on the promise and constraints of stakeholder engagement in practice.</w:t>
      </w:r>
    </w:p>
    <w:p w14:paraId="35AA7431" w14:textId="77777777" w:rsidR="00BA30E0" w:rsidRPr="00BA30E0" w:rsidRDefault="00BA30E0" w:rsidP="00BA30E0">
      <w:pPr>
        <w:spacing w:after="0" w:line="360" w:lineRule="auto"/>
        <w:ind w:firstLine="720"/>
        <w:contextualSpacing/>
        <w:jc w:val="both"/>
        <w:rPr>
          <w:rFonts w:ascii="Times New Roman" w:hAnsi="Times New Roman" w:cs="Times New Roman"/>
          <w:color w:val="000000" w:themeColor="text1"/>
          <w:sz w:val="24"/>
          <w:szCs w:val="24"/>
        </w:rPr>
      </w:pPr>
    </w:p>
    <w:p w14:paraId="673851AB" w14:textId="77777777" w:rsidR="00AE0B88" w:rsidRPr="00BA30E0" w:rsidRDefault="00AE0B88" w:rsidP="00BA30E0">
      <w:pPr>
        <w:pStyle w:val="Heading2"/>
        <w:spacing w:before="0" w:beforeAutospacing="0" w:after="0" w:afterAutospacing="0" w:line="360" w:lineRule="auto"/>
        <w:contextualSpacing/>
        <w:rPr>
          <w:lang w:val="en-GB"/>
        </w:rPr>
      </w:pPr>
      <w:bookmarkStart w:id="28" w:name="_Toc226053802"/>
      <w:r w:rsidRPr="00BA30E0">
        <w:rPr>
          <w:rStyle w:val="Strong"/>
          <w:bCs/>
          <w:lang w:val="en-GB"/>
        </w:rPr>
        <w:t>4.2 Reflection on Stakeholder Engagement (Gibbs Reflective Approach)</w:t>
      </w:r>
      <w:bookmarkEnd w:id="28"/>
    </w:p>
    <w:p w14:paraId="76A1ED1A" w14:textId="77777777" w:rsidR="00AE0B88" w:rsidRPr="00BA30E0" w:rsidRDefault="00A424CE"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The principles of reflective practice, specifically the systematic method promoted by frameworks like the reflective cycle by Gibbs, which focuses on evaluation, analysis and future action, made this reflection possible (Sibeko et al., 2024; Ryan and Norman, 2025).</w:t>
      </w:r>
    </w:p>
    <w:p w14:paraId="3D11F26F" w14:textId="77777777" w:rsidR="00AE0B88" w:rsidRPr="00BA30E0" w:rsidRDefault="00AE0B88" w:rsidP="00BA30E0">
      <w:pPr>
        <w:pStyle w:val="Heading3"/>
        <w:spacing w:before="0" w:beforeAutospacing="0" w:after="0" w:afterAutospacing="0" w:line="360" w:lineRule="auto"/>
        <w:contextualSpacing/>
        <w:rPr>
          <w:lang w:val="en-GB"/>
        </w:rPr>
      </w:pPr>
      <w:bookmarkStart w:id="29" w:name="_Toc226053803"/>
      <w:r w:rsidRPr="00BA30E0">
        <w:rPr>
          <w:rStyle w:val="Strong"/>
          <w:bCs/>
          <w:lang w:val="en-GB"/>
        </w:rPr>
        <w:t>Development of Project Management Skills</w:t>
      </w:r>
      <w:bookmarkEnd w:id="29"/>
    </w:p>
    <w:p w14:paraId="748E6D0E" w14:textId="77777777" w:rsidR="00A424CE" w:rsidRPr="00BA30E0" w:rsidRDefault="00A424CE"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 xml:space="preserve">My involvement in the stakeholder management process has helped me to gain knowledge on project management as a </w:t>
      </w:r>
      <w:r w:rsidR="00187FC5" w:rsidRPr="00BA30E0">
        <w:rPr>
          <w:color w:val="000000" w:themeColor="text1"/>
          <w:lang w:val="en-GB"/>
        </w:rPr>
        <w:t>multi-dimensional</w:t>
      </w:r>
      <w:r w:rsidRPr="00BA30E0">
        <w:rPr>
          <w:color w:val="000000" w:themeColor="text1"/>
          <w:lang w:val="en-GB"/>
        </w:rPr>
        <w:t xml:space="preserve"> and dynamic field. To begin with, the stakeholders engagement seemed to be a systematic and linear process that entailed identification, mapping and communication. Nevertheless, this discussion has shown the difficulty in balancing conflicting interests of stakeholders especially in such a big infrastructure project where politics, social and economic interests overlap.</w:t>
      </w:r>
    </w:p>
    <w:p w14:paraId="16FA9F09" w14:textId="77777777" w:rsidR="00AE0B88" w:rsidRPr="00BA30E0" w:rsidRDefault="00A424CE"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 xml:space="preserve">Most importantly, I have been able to become able to critique stakeholder strategies instead of merely implementing theoretical approaches. This involves acknowledging how conventional models, including the power–interest matrix, cannot be applied to account for the actual power imbalances in the real world (Ugurel-Kamisli and Erden-Basaran, 2025; Tovey and Skolits, 2022). </w:t>
      </w:r>
      <w:r w:rsidRPr="00BA30E0">
        <w:rPr>
          <w:color w:val="000000" w:themeColor="text1"/>
          <w:lang w:val="en-GB"/>
        </w:rPr>
        <w:lastRenderedPageBreak/>
        <w:t>This is a competency that is required in future professional practice because it allows making decisions that are more adaptive and context-specific.</w:t>
      </w:r>
    </w:p>
    <w:p w14:paraId="27B3D3F1" w14:textId="77777777" w:rsidR="00AE0B88" w:rsidRPr="00BA30E0" w:rsidRDefault="00AE0B88" w:rsidP="00BA30E0">
      <w:pPr>
        <w:pStyle w:val="Heading3"/>
        <w:spacing w:before="0" w:beforeAutospacing="0" w:after="0" w:afterAutospacing="0" w:line="360" w:lineRule="auto"/>
        <w:contextualSpacing/>
        <w:rPr>
          <w:lang w:val="en-GB"/>
        </w:rPr>
      </w:pPr>
      <w:bookmarkStart w:id="30" w:name="_Toc226053804"/>
      <w:r w:rsidRPr="00BA30E0">
        <w:rPr>
          <w:rStyle w:val="Strong"/>
          <w:bCs/>
          <w:lang w:val="en-GB"/>
        </w:rPr>
        <w:t>Development of Communication Skills</w:t>
      </w:r>
      <w:bookmarkEnd w:id="30"/>
    </w:p>
    <w:p w14:paraId="38D69CD1" w14:textId="77777777" w:rsidR="00A424CE" w:rsidRPr="00BA30E0" w:rsidRDefault="00A424CE"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My communication skills have tremendously been enhanced by the project especially in the area of comprehending how information ought to be packaged to various stakeholder groups. Effective communication does not only entail the passing of information but entails active listening and responsiveness to information being passed. As was revealed in the analysis of Crossrail communication plan, one-directional communication may restrict stakeholder trust and participation.</w:t>
      </w:r>
    </w:p>
    <w:p w14:paraId="1C4AD6B8" w14:textId="77777777" w:rsidR="00AE0B88" w:rsidRPr="00BA30E0" w:rsidRDefault="00A424CE" w:rsidP="00735AB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This process has helped me become more critical of communication strategies and realise that two-way dialogue and ongoing feedback are important. This is in line with studies that indicate that engaging stakeholders via interactive communication is the best interaction that should be conducted instead of passive information sharing (Cook and Sambell, 2025; Mabika and Francis, 2025). These competencies can be transferred to the work environment where effective and transparent communication is critical to the manageme</w:t>
      </w:r>
      <w:r w:rsidR="00735AB0">
        <w:rPr>
          <w:color w:val="000000" w:themeColor="text1"/>
          <w:lang w:val="en-GB"/>
        </w:rPr>
        <w:t>nt of stakeholder relationships.</w:t>
      </w:r>
    </w:p>
    <w:p w14:paraId="7E1C0DAF" w14:textId="77777777" w:rsidR="00A424CE" w:rsidRPr="00BA30E0" w:rsidRDefault="00A424CE" w:rsidP="00BA30E0">
      <w:pPr>
        <w:pStyle w:val="Heading3"/>
        <w:spacing w:before="0" w:beforeAutospacing="0" w:after="0" w:afterAutospacing="0" w:line="360" w:lineRule="auto"/>
        <w:contextualSpacing/>
        <w:rPr>
          <w:rStyle w:val="Strong"/>
          <w:lang w:val="en-GB"/>
        </w:rPr>
      </w:pPr>
      <w:bookmarkStart w:id="31" w:name="_Toc226053805"/>
      <w:r w:rsidRPr="00BA30E0">
        <w:rPr>
          <w:rStyle w:val="Strong"/>
          <w:lang w:val="en-GB"/>
        </w:rPr>
        <w:t>Leadership and Conflict Management Skills Development</w:t>
      </w:r>
      <w:bookmarkEnd w:id="31"/>
    </w:p>
    <w:p w14:paraId="1545DF4C" w14:textId="77777777" w:rsidR="00FE6AA7" w:rsidRPr="00BA30E0" w:rsidRDefault="00FE6AA7"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The process of stakeholder engagement has also led to the acquisition of leadership and conflict management skills. The ability to manage stakeholders at varying levels of power, interest and influence necessitates the ability to balance the competing priorities and effectively solve conflicts. The case of Crossrail illustrates that neglecting to deal with stakeholder issues as an initiative may result in dissatisfaction and opposition.</w:t>
      </w:r>
    </w:p>
    <w:p w14:paraId="34942FAA" w14:textId="77777777" w:rsidR="00FE6AA7" w:rsidRPr="00BA30E0" w:rsidRDefault="00FE6AA7"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Considering this, I have realised that being a good leader is not only a decision-making process but also an ability to enable collaboration and inclusivity. This involves involving underrepresented stakeholders and having different viewpoints taken into consideration. It has been found out that inclusive leadership leads to better stakeholder participation and more sustainable project deliverables (Almutairi et al., 2025; Bigatto et al., 2024).</w:t>
      </w:r>
    </w:p>
    <w:p w14:paraId="33F56A6B" w14:textId="77777777" w:rsidR="00AE0B88" w:rsidRPr="00BA30E0" w:rsidRDefault="00FE6AA7"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Additionally, I have also gained awareness of emotional intelligence in the management of stakeholder relationships. It is important to understand the views of the stakeholders and act accordingly to minim</w:t>
      </w:r>
      <w:r w:rsidR="00187FC5">
        <w:rPr>
          <w:color w:val="000000" w:themeColor="text1"/>
          <w:lang w:val="en-GB"/>
        </w:rPr>
        <w:t>ise</w:t>
      </w:r>
      <w:r w:rsidRPr="00BA30E0">
        <w:rPr>
          <w:color w:val="000000" w:themeColor="text1"/>
          <w:lang w:val="en-GB"/>
        </w:rPr>
        <w:t xml:space="preserve"> conflict and create trust.</w:t>
      </w:r>
    </w:p>
    <w:p w14:paraId="690066A8" w14:textId="77777777" w:rsidR="00AE0B88" w:rsidRDefault="00AE0B88" w:rsidP="00BA30E0">
      <w:pPr>
        <w:spacing w:after="0" w:line="360" w:lineRule="auto"/>
        <w:contextualSpacing/>
        <w:rPr>
          <w:rFonts w:ascii="Times New Roman" w:hAnsi="Times New Roman" w:cs="Times New Roman"/>
          <w:color w:val="000000" w:themeColor="text1"/>
          <w:sz w:val="24"/>
          <w:szCs w:val="24"/>
        </w:rPr>
      </w:pPr>
    </w:p>
    <w:p w14:paraId="4F6F286D" w14:textId="77777777" w:rsidR="00735AB0" w:rsidRPr="00BA30E0" w:rsidRDefault="00735AB0" w:rsidP="00BA30E0">
      <w:pPr>
        <w:spacing w:after="0" w:line="360" w:lineRule="auto"/>
        <w:contextualSpacing/>
        <w:rPr>
          <w:rFonts w:ascii="Times New Roman" w:hAnsi="Times New Roman" w:cs="Times New Roman"/>
          <w:color w:val="000000" w:themeColor="text1"/>
          <w:sz w:val="24"/>
          <w:szCs w:val="24"/>
        </w:rPr>
      </w:pPr>
    </w:p>
    <w:p w14:paraId="766EBEED" w14:textId="77777777" w:rsidR="00AE0B88" w:rsidRPr="00BA30E0" w:rsidRDefault="00AE0B88" w:rsidP="00BA30E0">
      <w:pPr>
        <w:pStyle w:val="Heading2"/>
        <w:spacing w:before="0" w:beforeAutospacing="0" w:after="0" w:afterAutospacing="0" w:line="360" w:lineRule="auto"/>
        <w:contextualSpacing/>
        <w:rPr>
          <w:lang w:val="en-GB"/>
        </w:rPr>
      </w:pPr>
      <w:bookmarkStart w:id="32" w:name="_Toc226053806"/>
      <w:r w:rsidRPr="00BA30E0">
        <w:rPr>
          <w:rStyle w:val="Strong"/>
          <w:bCs/>
          <w:lang w:val="en-GB"/>
        </w:rPr>
        <w:lastRenderedPageBreak/>
        <w:t>4.3 Future Application of Skills</w:t>
      </w:r>
      <w:bookmarkEnd w:id="32"/>
    </w:p>
    <w:p w14:paraId="119F886E" w14:textId="77777777" w:rsidR="00FE6AA7" w:rsidRPr="00BA30E0" w:rsidRDefault="00FE6AA7"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The competencies acquired during this module can be used in my future career in a great manner. Project management skills will help me to plan and coordinate complex tasks effectively and communication skills will help me to engage with stakeholders and collaborate with them. This will help me to manage difficult circumstances and uphold positive relationships with stakeholders because of leadership and conflict management skills.</w:t>
      </w:r>
    </w:p>
    <w:p w14:paraId="3041A107" w14:textId="77777777" w:rsidR="00AE0B88" w:rsidRPr="00BA30E0" w:rsidRDefault="00FE6AA7" w:rsidP="00BA30E0">
      <w:pPr>
        <w:pStyle w:val="NormalWeb"/>
        <w:spacing w:before="0" w:beforeAutospacing="0" w:after="0" w:afterAutospacing="0" w:line="360" w:lineRule="auto"/>
        <w:ind w:firstLine="720"/>
        <w:contextualSpacing/>
        <w:jc w:val="both"/>
        <w:rPr>
          <w:color w:val="000000" w:themeColor="text1"/>
          <w:lang w:val="en-GB"/>
        </w:rPr>
      </w:pPr>
      <w:r w:rsidRPr="00BA30E0">
        <w:rPr>
          <w:color w:val="000000" w:themeColor="text1"/>
          <w:lang w:val="en-GB"/>
        </w:rPr>
        <w:t>Notably, this reflection has highlighted the necessity of the constant learning process and flexibility. Engagement of stakeholders is not a one-time thing but it has to be evaluated and enhanced constantly. With the help of reflective practice, I can evaluate my own performance and focus on improvement and development in the future as well as develop my professional abilities (Sibeko et al., 2024; Tovey and Skolits, 2022).</w:t>
      </w:r>
    </w:p>
    <w:p w14:paraId="60CB64CE" w14:textId="77777777" w:rsidR="000F7FC5" w:rsidRPr="00BA30E0" w:rsidRDefault="000F7FC5" w:rsidP="00BA30E0">
      <w:pPr>
        <w:pStyle w:val="NormalWeb"/>
        <w:spacing w:before="0" w:beforeAutospacing="0" w:after="0" w:afterAutospacing="0" w:line="360" w:lineRule="auto"/>
        <w:contextualSpacing/>
        <w:rPr>
          <w:color w:val="000000" w:themeColor="text1"/>
          <w:lang w:val="en-GB"/>
        </w:rPr>
      </w:pPr>
    </w:p>
    <w:p w14:paraId="75E715D0" w14:textId="77777777" w:rsidR="000F7FC5" w:rsidRPr="00BA30E0" w:rsidRDefault="000F7FC5" w:rsidP="00BA30E0">
      <w:pPr>
        <w:spacing w:after="0" w:line="360" w:lineRule="auto"/>
        <w:contextualSpacing/>
        <w:rPr>
          <w:rFonts w:ascii="Times New Roman" w:eastAsia="Times New Roman" w:hAnsi="Times New Roman" w:cs="Times New Roman"/>
          <w:color w:val="000000" w:themeColor="text1"/>
          <w:kern w:val="0"/>
          <w:sz w:val="24"/>
          <w:szCs w:val="24"/>
          <w14:ligatures w14:val="none"/>
        </w:rPr>
      </w:pPr>
      <w:r w:rsidRPr="00BA30E0">
        <w:rPr>
          <w:rFonts w:ascii="Times New Roman" w:eastAsia="Times New Roman" w:hAnsi="Times New Roman" w:cs="Times New Roman"/>
          <w:color w:val="000000" w:themeColor="text1"/>
          <w:kern w:val="0"/>
          <w:sz w:val="24"/>
          <w:szCs w:val="24"/>
          <w14:ligatures w14:val="none"/>
        </w:rPr>
        <w:br w:type="page"/>
      </w:r>
    </w:p>
    <w:p w14:paraId="3D3CCABE" w14:textId="77777777" w:rsidR="000F7FC5" w:rsidRPr="00BA30E0" w:rsidRDefault="000F7FC5" w:rsidP="00BA30E0">
      <w:pPr>
        <w:pStyle w:val="Heading1"/>
        <w:spacing w:before="0" w:beforeAutospacing="0" w:after="0" w:afterAutospacing="0" w:line="360" w:lineRule="auto"/>
        <w:contextualSpacing/>
        <w:jc w:val="center"/>
        <w:rPr>
          <w:i w:val="0"/>
          <w:lang w:val="en-GB"/>
        </w:rPr>
      </w:pPr>
      <w:bookmarkStart w:id="33" w:name="_Toc226053807"/>
      <w:r w:rsidRPr="00BA30E0">
        <w:rPr>
          <w:i w:val="0"/>
          <w:lang w:val="en-GB"/>
        </w:rPr>
        <w:lastRenderedPageBreak/>
        <w:t>References</w:t>
      </w:r>
      <w:bookmarkEnd w:id="33"/>
    </w:p>
    <w:p w14:paraId="603AB05D"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Almutairi, A., Alsaawi, A. and Alatassi, A. (2025) </w:t>
      </w:r>
      <w:r w:rsidRPr="00BA30E0">
        <w:rPr>
          <w:rStyle w:val="Emphasis"/>
          <w:color w:val="000000" w:themeColor="text1"/>
          <w:lang w:val="en-GB"/>
        </w:rPr>
        <w:t>Reflective experiences in project leadership and stakeholder engagement</w:t>
      </w:r>
      <w:r w:rsidRPr="00BA30E0">
        <w:rPr>
          <w:color w:val="000000" w:themeColor="text1"/>
          <w:lang w:val="en-GB"/>
        </w:rPr>
        <w:t>. Journal of Healthcare Leadership.</w:t>
      </w:r>
    </w:p>
    <w:p w14:paraId="468CDBB7"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Bigatto, M., Scroccaro, A. and Doleanu, I.G. (2024) </w:t>
      </w:r>
      <w:r w:rsidRPr="00BA30E0">
        <w:rPr>
          <w:rStyle w:val="Emphasis"/>
          <w:color w:val="000000" w:themeColor="text1"/>
          <w:lang w:val="en-GB"/>
        </w:rPr>
        <w:t>Empowering future innovators: The impact of interdisciplinary education on leadership and stakeholder skills</w:t>
      </w:r>
      <w:r w:rsidRPr="00BA30E0">
        <w:rPr>
          <w:color w:val="000000" w:themeColor="text1"/>
          <w:lang w:val="en-GB"/>
        </w:rPr>
        <w:t>. ICERI Proceedings.</w:t>
      </w:r>
    </w:p>
    <w:p w14:paraId="24D5E5F5"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Buhmann, K., Jonsson, J. and Fisker, M. (2024) </w:t>
      </w:r>
      <w:r w:rsidRPr="00BA30E0">
        <w:rPr>
          <w:rStyle w:val="Emphasis"/>
          <w:color w:val="000000" w:themeColor="text1"/>
          <w:lang w:val="en-GB"/>
        </w:rPr>
        <w:t>Stakeholder engagement and ethical business practices in infrastructure projects</w:t>
      </w:r>
      <w:r w:rsidRPr="00BA30E0">
        <w:rPr>
          <w:color w:val="000000" w:themeColor="text1"/>
          <w:lang w:val="en-GB"/>
        </w:rPr>
        <w:t>. Journal of Business Ethics.</w:t>
      </w:r>
    </w:p>
    <w:p w14:paraId="3CE39FC0"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Cellerino, R., et al. (2026) </w:t>
      </w:r>
      <w:r w:rsidRPr="00BA30E0">
        <w:rPr>
          <w:rStyle w:val="Emphasis"/>
          <w:color w:val="000000" w:themeColor="text1"/>
          <w:lang w:val="en-GB"/>
        </w:rPr>
        <w:t>Stakeholder participation and ethical governance in large infrastructure projects</w:t>
      </w:r>
      <w:r w:rsidRPr="00BA30E0">
        <w:rPr>
          <w:color w:val="000000" w:themeColor="text1"/>
          <w:lang w:val="en-GB"/>
        </w:rPr>
        <w:t>. Project Management Journal.</w:t>
      </w:r>
    </w:p>
    <w:p w14:paraId="037467FD"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Chiarelli, R., et al. (2024) </w:t>
      </w:r>
      <w:r w:rsidRPr="00BA30E0">
        <w:rPr>
          <w:rStyle w:val="Emphasis"/>
          <w:color w:val="000000" w:themeColor="text1"/>
          <w:lang w:val="en-GB"/>
        </w:rPr>
        <w:t>Bias and transparency in stakeholder decision-making processes</w:t>
      </w:r>
      <w:r w:rsidRPr="00BA30E0">
        <w:rPr>
          <w:color w:val="000000" w:themeColor="text1"/>
          <w:lang w:val="en-GB"/>
        </w:rPr>
        <w:t>. International Journal of Project Management.</w:t>
      </w:r>
    </w:p>
    <w:p w14:paraId="23C60338"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Cook, E.J. and Sambell, R. (2025) </w:t>
      </w:r>
      <w:r w:rsidRPr="00BA30E0">
        <w:rPr>
          <w:rStyle w:val="Emphasis"/>
          <w:color w:val="000000" w:themeColor="text1"/>
          <w:lang w:val="en-GB"/>
        </w:rPr>
        <w:t>Developing communication and employability through reflective practice</w:t>
      </w:r>
      <w:r w:rsidRPr="00BA30E0">
        <w:rPr>
          <w:color w:val="000000" w:themeColor="text1"/>
          <w:lang w:val="en-GB"/>
        </w:rPr>
        <w:t>. Higher Education Research Journal.</w:t>
      </w:r>
    </w:p>
    <w:p w14:paraId="7E76388F"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Department for Transport (2022) </w:t>
      </w:r>
      <w:r w:rsidRPr="00BA30E0">
        <w:rPr>
          <w:rStyle w:val="Emphasis"/>
          <w:color w:val="000000" w:themeColor="text1"/>
          <w:lang w:val="en-GB"/>
        </w:rPr>
        <w:t>Crossrail project update</w:t>
      </w:r>
      <w:r w:rsidRPr="00BA30E0">
        <w:rPr>
          <w:color w:val="000000" w:themeColor="text1"/>
          <w:lang w:val="en-GB"/>
        </w:rPr>
        <w:t>. London: UK Government.</w:t>
      </w:r>
    </w:p>
    <w:p w14:paraId="1864AF27"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Di Maddaloni, F. and Davis, K. (2024) </w:t>
      </w:r>
      <w:r w:rsidRPr="00BA30E0">
        <w:rPr>
          <w:rStyle w:val="Emphasis"/>
          <w:color w:val="000000" w:themeColor="text1"/>
          <w:lang w:val="en-GB"/>
        </w:rPr>
        <w:t>Stakeholder engagement in megaprojects: Balancing power and interest</w:t>
      </w:r>
      <w:r w:rsidRPr="00BA30E0">
        <w:rPr>
          <w:color w:val="000000" w:themeColor="text1"/>
          <w:lang w:val="en-GB"/>
        </w:rPr>
        <w:t>. International Journal of Project Management.</w:t>
      </w:r>
    </w:p>
    <w:p w14:paraId="69A01F8A"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Freeman, R.E. (1984) </w:t>
      </w:r>
      <w:r w:rsidRPr="00BA30E0">
        <w:rPr>
          <w:rStyle w:val="Emphasis"/>
          <w:color w:val="000000" w:themeColor="text1"/>
          <w:lang w:val="en-GB"/>
        </w:rPr>
        <w:t>Strategic management: A stakeholder approach</w:t>
      </w:r>
      <w:r w:rsidRPr="00BA30E0">
        <w:rPr>
          <w:color w:val="000000" w:themeColor="text1"/>
          <w:lang w:val="en-GB"/>
        </w:rPr>
        <w:t>. Boston: Pitman.</w:t>
      </w:r>
    </w:p>
    <w:p w14:paraId="3EE6F010"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Mabika, M. and Francis, J. (2025) </w:t>
      </w:r>
      <w:r w:rsidRPr="00BA30E0">
        <w:rPr>
          <w:rStyle w:val="Emphasis"/>
          <w:color w:val="000000" w:themeColor="text1"/>
          <w:lang w:val="en-GB"/>
        </w:rPr>
        <w:t>Reflective practices in community and infrastructure projects</w:t>
      </w:r>
      <w:r w:rsidRPr="00BA30E0">
        <w:rPr>
          <w:color w:val="000000" w:themeColor="text1"/>
          <w:lang w:val="en-GB"/>
        </w:rPr>
        <w:t>. Journal of Rural and Community Development.</w:t>
      </w:r>
    </w:p>
    <w:p w14:paraId="3C94641D"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Masrom, M., et al. (2024) </w:t>
      </w:r>
      <w:r w:rsidRPr="00BA30E0">
        <w:rPr>
          <w:rStyle w:val="Emphasis"/>
          <w:color w:val="000000" w:themeColor="text1"/>
          <w:lang w:val="en-GB"/>
        </w:rPr>
        <w:t>Digital inclusion and stakeholder participation in infrastructure development</w:t>
      </w:r>
      <w:r w:rsidRPr="00BA30E0">
        <w:rPr>
          <w:color w:val="000000" w:themeColor="text1"/>
          <w:lang w:val="en-GB"/>
        </w:rPr>
        <w:t>. Sustainability Journal.</w:t>
      </w:r>
    </w:p>
    <w:p w14:paraId="23D17F42"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National Audit Office (2019) </w:t>
      </w:r>
      <w:r w:rsidRPr="00BA30E0">
        <w:rPr>
          <w:rStyle w:val="Emphasis"/>
          <w:color w:val="000000" w:themeColor="text1"/>
          <w:lang w:val="en-GB"/>
        </w:rPr>
        <w:t>Completing Crossrail</w:t>
      </w:r>
      <w:r w:rsidRPr="00BA30E0">
        <w:rPr>
          <w:color w:val="000000" w:themeColor="text1"/>
          <w:lang w:val="en-GB"/>
        </w:rPr>
        <w:t>. London: NAO.</w:t>
      </w:r>
    </w:p>
    <w:p w14:paraId="370BCED5"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Ngampravatdee, K., et al. (2023) </w:t>
      </w:r>
      <w:r w:rsidRPr="00BA30E0">
        <w:rPr>
          <w:rStyle w:val="Emphasis"/>
          <w:color w:val="000000" w:themeColor="text1"/>
          <w:lang w:val="en-GB"/>
        </w:rPr>
        <w:t>Mixed-method approaches in stakeholder feedback analysis</w:t>
      </w:r>
      <w:r w:rsidRPr="00BA30E0">
        <w:rPr>
          <w:color w:val="000000" w:themeColor="text1"/>
          <w:lang w:val="en-GB"/>
        </w:rPr>
        <w:t>. Journal of Construction Management.</w:t>
      </w:r>
    </w:p>
    <w:p w14:paraId="5B0AA2A2"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Reed, M.S., et al. (2024) </w:t>
      </w:r>
      <w:r w:rsidRPr="00BA30E0">
        <w:rPr>
          <w:rStyle w:val="Emphasis"/>
          <w:color w:val="000000" w:themeColor="text1"/>
          <w:lang w:val="en-GB"/>
        </w:rPr>
        <w:t>Stakeholder participation for environmental management: A systematic review</w:t>
      </w:r>
      <w:r w:rsidRPr="00BA30E0">
        <w:rPr>
          <w:color w:val="000000" w:themeColor="text1"/>
          <w:lang w:val="en-GB"/>
        </w:rPr>
        <w:t>. Environmental Science &amp; Policy.</w:t>
      </w:r>
    </w:p>
    <w:p w14:paraId="420E1836"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Ryan, S.T. and Norman, J. (2025) </w:t>
      </w:r>
      <w:r w:rsidRPr="00BA30E0">
        <w:rPr>
          <w:rStyle w:val="Emphasis"/>
          <w:color w:val="000000" w:themeColor="text1"/>
          <w:lang w:val="en-GB"/>
        </w:rPr>
        <w:t>Critical reflections on collaborative stakeholder engagement</w:t>
      </w:r>
      <w:r w:rsidRPr="00BA30E0">
        <w:rPr>
          <w:color w:val="000000" w:themeColor="text1"/>
          <w:lang w:val="en-GB"/>
        </w:rPr>
        <w:t>. Health Promotion Journal.</w:t>
      </w:r>
    </w:p>
    <w:p w14:paraId="31C3B705"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Sibeko, N., Ezeji, I.N., Uleanya, C. and Adigun, M. (2024) </w:t>
      </w:r>
      <w:r w:rsidRPr="00BA30E0">
        <w:rPr>
          <w:rStyle w:val="Emphasis"/>
          <w:color w:val="000000" w:themeColor="text1"/>
          <w:lang w:val="en-GB"/>
        </w:rPr>
        <w:t>Applying Gibbs’ reflective cycle in project management education</w:t>
      </w:r>
      <w:r w:rsidRPr="00BA30E0">
        <w:rPr>
          <w:color w:val="000000" w:themeColor="text1"/>
          <w:lang w:val="en-GB"/>
        </w:rPr>
        <w:t>. Springer Conference Proceedings.</w:t>
      </w:r>
    </w:p>
    <w:p w14:paraId="3C5107C5"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lastRenderedPageBreak/>
        <w:t xml:space="preserve">Sturge, J., et al. (2023) </w:t>
      </w:r>
      <w:r w:rsidRPr="00BA30E0">
        <w:rPr>
          <w:rStyle w:val="Emphasis"/>
          <w:color w:val="000000" w:themeColor="text1"/>
          <w:lang w:val="en-GB"/>
        </w:rPr>
        <w:t>Ethical considerations in stakeholder engagement and consultation</w:t>
      </w:r>
      <w:r w:rsidRPr="00BA30E0">
        <w:rPr>
          <w:color w:val="000000" w:themeColor="text1"/>
          <w:lang w:val="en-GB"/>
        </w:rPr>
        <w:t>. Business Ethics Review.</w:t>
      </w:r>
    </w:p>
    <w:p w14:paraId="0BA3D8F3"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Tovey, T.L.S. and Skolits, G.J. (2022) </w:t>
      </w:r>
      <w:r w:rsidRPr="00BA30E0">
        <w:rPr>
          <w:rStyle w:val="Emphasis"/>
          <w:color w:val="000000" w:themeColor="text1"/>
          <w:lang w:val="en-GB"/>
        </w:rPr>
        <w:t>Conceptualising reflective practice in project environments</w:t>
      </w:r>
      <w:r w:rsidRPr="00BA30E0">
        <w:rPr>
          <w:color w:val="000000" w:themeColor="text1"/>
          <w:lang w:val="en-GB"/>
        </w:rPr>
        <w:t>. American Journal of Evaluation.</w:t>
      </w:r>
    </w:p>
    <w:p w14:paraId="27C6A796"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Transport for London (2022) </w:t>
      </w:r>
      <w:r w:rsidRPr="00BA30E0">
        <w:rPr>
          <w:rStyle w:val="Emphasis"/>
          <w:color w:val="000000" w:themeColor="text1"/>
          <w:lang w:val="en-GB"/>
        </w:rPr>
        <w:t>Elizabeth Line performance and capacity report</w:t>
      </w:r>
      <w:r w:rsidRPr="00BA30E0">
        <w:rPr>
          <w:color w:val="000000" w:themeColor="text1"/>
          <w:lang w:val="en-GB"/>
        </w:rPr>
        <w:t>. London: TfL.</w:t>
      </w:r>
    </w:p>
    <w:p w14:paraId="0B180002"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Tumpa, T.J. and Naeni, L.M. (2025) </w:t>
      </w:r>
      <w:r w:rsidRPr="00BA30E0">
        <w:rPr>
          <w:rStyle w:val="Emphasis"/>
          <w:color w:val="000000" w:themeColor="text1"/>
          <w:lang w:val="en-GB"/>
        </w:rPr>
        <w:t>Challenges in stakeholder engagement for large infrastructure projects</w:t>
      </w:r>
      <w:r w:rsidRPr="00BA30E0">
        <w:rPr>
          <w:color w:val="000000" w:themeColor="text1"/>
          <w:lang w:val="en-GB"/>
        </w:rPr>
        <w:t>. Built Environment Project Review.</w:t>
      </w:r>
    </w:p>
    <w:p w14:paraId="32C51063"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Tumpa, T.J., et al. (2026) </w:t>
      </w:r>
      <w:r w:rsidRPr="00BA30E0">
        <w:rPr>
          <w:rStyle w:val="Emphasis"/>
          <w:color w:val="000000" w:themeColor="text1"/>
          <w:lang w:val="en-GB"/>
        </w:rPr>
        <w:t>Diversity and inclusion in stakeholder engagement practices</w:t>
      </w:r>
      <w:r w:rsidRPr="00BA30E0">
        <w:rPr>
          <w:color w:val="000000" w:themeColor="text1"/>
          <w:lang w:val="en-GB"/>
        </w:rPr>
        <w:t>. Journal of Infrastructure Development.</w:t>
      </w:r>
    </w:p>
    <w:p w14:paraId="4D1280A1"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Ugurel-Kamisli, M. and Erden-Basaran, O. (2025) </w:t>
      </w:r>
      <w:r w:rsidRPr="00BA30E0">
        <w:rPr>
          <w:rStyle w:val="Emphasis"/>
          <w:color w:val="000000" w:themeColor="text1"/>
          <w:lang w:val="en-GB"/>
        </w:rPr>
        <w:t>Reflective learning in project management practice</w:t>
      </w:r>
      <w:r w:rsidRPr="00BA30E0">
        <w:rPr>
          <w:color w:val="000000" w:themeColor="text1"/>
          <w:lang w:val="en-GB"/>
        </w:rPr>
        <w:t>. Professional Development in Education.</w:t>
      </w:r>
    </w:p>
    <w:p w14:paraId="59DD7215"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Vakeva-Baird, S. and Tahmasebi, A. (2025) </w:t>
      </w:r>
      <w:r w:rsidRPr="00BA30E0">
        <w:rPr>
          <w:rStyle w:val="Emphasis"/>
          <w:color w:val="000000" w:themeColor="text1"/>
          <w:lang w:val="en-GB"/>
        </w:rPr>
        <w:t>Bias control in stakeholder consultation processes</w:t>
      </w:r>
      <w:r w:rsidRPr="00BA30E0">
        <w:rPr>
          <w:color w:val="000000" w:themeColor="text1"/>
          <w:lang w:val="en-GB"/>
        </w:rPr>
        <w:t>. Project Governance Journal.</w:t>
      </w:r>
    </w:p>
    <w:p w14:paraId="1F6E886A" w14:textId="77777777" w:rsidR="00AE0B88" w:rsidRPr="00BA30E0" w:rsidRDefault="00AE0B88" w:rsidP="00735AB0">
      <w:pPr>
        <w:pStyle w:val="NormalWeb"/>
        <w:spacing w:before="0" w:beforeAutospacing="0" w:after="0" w:afterAutospacing="0" w:line="360" w:lineRule="auto"/>
        <w:ind w:left="720" w:hanging="720"/>
        <w:contextualSpacing/>
        <w:rPr>
          <w:color w:val="000000" w:themeColor="text1"/>
          <w:lang w:val="en-GB"/>
        </w:rPr>
      </w:pPr>
      <w:r w:rsidRPr="00BA30E0">
        <w:rPr>
          <w:color w:val="000000" w:themeColor="text1"/>
          <w:lang w:val="en-GB"/>
        </w:rPr>
        <w:t xml:space="preserve">Xiao, Y. and Hao, J. (2023) </w:t>
      </w:r>
      <w:r w:rsidRPr="00BA30E0">
        <w:rPr>
          <w:rStyle w:val="Emphasis"/>
          <w:color w:val="000000" w:themeColor="text1"/>
          <w:lang w:val="en-GB"/>
        </w:rPr>
        <w:t>Stakeholder engagement strategies in infrastructure megaprojects</w:t>
      </w:r>
      <w:r w:rsidRPr="00BA30E0">
        <w:rPr>
          <w:color w:val="000000" w:themeColor="text1"/>
          <w:lang w:val="en-GB"/>
        </w:rPr>
        <w:t>. Journal of Construction Engineering and Management.</w:t>
      </w:r>
    </w:p>
    <w:p w14:paraId="6E741CDA" w14:textId="77777777" w:rsidR="00656F96" w:rsidRPr="00BA30E0" w:rsidRDefault="00656F96" w:rsidP="00BA30E0">
      <w:pPr>
        <w:spacing w:after="0" w:line="360" w:lineRule="auto"/>
        <w:contextualSpacing/>
        <w:rPr>
          <w:rFonts w:ascii="Times New Roman" w:hAnsi="Times New Roman" w:cs="Times New Roman"/>
          <w:color w:val="000000" w:themeColor="text1"/>
          <w:sz w:val="24"/>
          <w:szCs w:val="24"/>
        </w:rPr>
      </w:pPr>
    </w:p>
    <w:sectPr w:rsidR="00656F96" w:rsidRPr="00BA30E0">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B3DC3" w14:textId="77777777" w:rsidR="002A6D00" w:rsidRDefault="002A6D00" w:rsidP="00BA30E0">
      <w:pPr>
        <w:spacing w:after="0" w:line="240" w:lineRule="auto"/>
      </w:pPr>
      <w:r>
        <w:separator/>
      </w:r>
    </w:p>
  </w:endnote>
  <w:endnote w:type="continuationSeparator" w:id="0">
    <w:p w14:paraId="46094566" w14:textId="77777777" w:rsidR="002A6D00" w:rsidRDefault="002A6D00" w:rsidP="00BA3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0C043" w14:textId="77777777" w:rsidR="002A6D00" w:rsidRDefault="002A6D00" w:rsidP="00BA30E0">
      <w:pPr>
        <w:spacing w:after="0" w:line="240" w:lineRule="auto"/>
      </w:pPr>
      <w:r>
        <w:separator/>
      </w:r>
    </w:p>
  </w:footnote>
  <w:footnote w:type="continuationSeparator" w:id="0">
    <w:p w14:paraId="269D699C" w14:textId="77777777" w:rsidR="002A6D00" w:rsidRDefault="002A6D00" w:rsidP="00BA30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5158483"/>
      <w:docPartObj>
        <w:docPartGallery w:val="Page Numbers (Top of Page)"/>
        <w:docPartUnique/>
      </w:docPartObj>
    </w:sdtPr>
    <w:sdtEndPr>
      <w:rPr>
        <w:noProof/>
      </w:rPr>
    </w:sdtEndPr>
    <w:sdtContent>
      <w:p w14:paraId="485F21FC" w14:textId="77777777" w:rsidR="00BA30E0" w:rsidRDefault="00BA30E0">
        <w:pPr>
          <w:pStyle w:val="Header"/>
          <w:jc w:val="right"/>
        </w:pPr>
        <w:r w:rsidRPr="00BA30E0">
          <w:rPr>
            <w:rFonts w:ascii="Times New Roman" w:hAnsi="Times New Roman" w:cs="Times New Roman"/>
            <w:color w:val="000000" w:themeColor="text1"/>
            <w:sz w:val="24"/>
            <w:szCs w:val="24"/>
          </w:rPr>
          <w:fldChar w:fldCharType="begin"/>
        </w:r>
        <w:r w:rsidRPr="00BA30E0">
          <w:rPr>
            <w:rFonts w:ascii="Times New Roman" w:hAnsi="Times New Roman" w:cs="Times New Roman"/>
            <w:color w:val="000000" w:themeColor="text1"/>
            <w:sz w:val="24"/>
            <w:szCs w:val="24"/>
          </w:rPr>
          <w:instrText xml:space="preserve"> PAGE   \* MERGEFORMAT </w:instrText>
        </w:r>
        <w:r w:rsidRPr="00BA30E0">
          <w:rPr>
            <w:rFonts w:ascii="Times New Roman" w:hAnsi="Times New Roman" w:cs="Times New Roman"/>
            <w:color w:val="000000" w:themeColor="text1"/>
            <w:sz w:val="24"/>
            <w:szCs w:val="24"/>
          </w:rPr>
          <w:fldChar w:fldCharType="separate"/>
        </w:r>
        <w:r w:rsidR="00354B86">
          <w:rPr>
            <w:rFonts w:ascii="Times New Roman" w:hAnsi="Times New Roman" w:cs="Times New Roman"/>
            <w:noProof/>
            <w:color w:val="000000" w:themeColor="text1"/>
            <w:sz w:val="24"/>
            <w:szCs w:val="24"/>
          </w:rPr>
          <w:t>2</w:t>
        </w:r>
        <w:r w:rsidRPr="00BA30E0">
          <w:rPr>
            <w:rFonts w:ascii="Times New Roman" w:hAnsi="Times New Roman" w:cs="Times New Roman"/>
            <w:noProof/>
            <w:color w:val="000000" w:themeColor="text1"/>
            <w:sz w:val="24"/>
            <w:szCs w:val="24"/>
          </w:rPr>
          <w:fldChar w:fldCharType="end"/>
        </w:r>
      </w:p>
    </w:sdtContent>
  </w:sdt>
  <w:p w14:paraId="04A7AE05" w14:textId="77777777" w:rsidR="00BA30E0" w:rsidRDefault="00BA30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260D4"/>
    <w:multiLevelType w:val="multilevel"/>
    <w:tmpl w:val="049C1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BE261C"/>
    <w:multiLevelType w:val="multilevel"/>
    <w:tmpl w:val="72C68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5A1624"/>
    <w:multiLevelType w:val="multilevel"/>
    <w:tmpl w:val="51E89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296619">
    <w:abstractNumId w:val="2"/>
  </w:num>
  <w:num w:numId="2" w16cid:durableId="860583953">
    <w:abstractNumId w:val="0"/>
  </w:num>
  <w:num w:numId="3" w16cid:durableId="19267689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7FC5"/>
    <w:rsid w:val="00027CCF"/>
    <w:rsid w:val="00050FA2"/>
    <w:rsid w:val="000A0711"/>
    <w:rsid w:val="000C6FE7"/>
    <w:rsid w:val="000D1FC3"/>
    <w:rsid w:val="000E5D8A"/>
    <w:rsid w:val="000F7FC5"/>
    <w:rsid w:val="00135D6A"/>
    <w:rsid w:val="00150226"/>
    <w:rsid w:val="00187FC5"/>
    <w:rsid w:val="00226C58"/>
    <w:rsid w:val="0023110F"/>
    <w:rsid w:val="00233B77"/>
    <w:rsid w:val="00284BDD"/>
    <w:rsid w:val="002A6D00"/>
    <w:rsid w:val="002E7527"/>
    <w:rsid w:val="00327D14"/>
    <w:rsid w:val="00354B86"/>
    <w:rsid w:val="0040479C"/>
    <w:rsid w:val="004B7E10"/>
    <w:rsid w:val="004D33F8"/>
    <w:rsid w:val="00503304"/>
    <w:rsid w:val="00511AFE"/>
    <w:rsid w:val="005A2C80"/>
    <w:rsid w:val="005B6973"/>
    <w:rsid w:val="005C1515"/>
    <w:rsid w:val="006141CD"/>
    <w:rsid w:val="00656F96"/>
    <w:rsid w:val="00674BF3"/>
    <w:rsid w:val="00676C06"/>
    <w:rsid w:val="00682258"/>
    <w:rsid w:val="006875DE"/>
    <w:rsid w:val="006A0D41"/>
    <w:rsid w:val="006E7B1C"/>
    <w:rsid w:val="00731DC2"/>
    <w:rsid w:val="00735AB0"/>
    <w:rsid w:val="00763559"/>
    <w:rsid w:val="00765030"/>
    <w:rsid w:val="00787D12"/>
    <w:rsid w:val="007D4DDE"/>
    <w:rsid w:val="007D5E10"/>
    <w:rsid w:val="00880893"/>
    <w:rsid w:val="008976A9"/>
    <w:rsid w:val="008D3FA6"/>
    <w:rsid w:val="00936C71"/>
    <w:rsid w:val="0098254C"/>
    <w:rsid w:val="00992F08"/>
    <w:rsid w:val="009A48A0"/>
    <w:rsid w:val="00A153D3"/>
    <w:rsid w:val="00A424CE"/>
    <w:rsid w:val="00A6776F"/>
    <w:rsid w:val="00A7057D"/>
    <w:rsid w:val="00AB242B"/>
    <w:rsid w:val="00AC6B20"/>
    <w:rsid w:val="00AE0B88"/>
    <w:rsid w:val="00BA30E0"/>
    <w:rsid w:val="00C275BB"/>
    <w:rsid w:val="00C830A4"/>
    <w:rsid w:val="00CA43BA"/>
    <w:rsid w:val="00CC25F8"/>
    <w:rsid w:val="00D72DCC"/>
    <w:rsid w:val="00D841DD"/>
    <w:rsid w:val="00DA7666"/>
    <w:rsid w:val="00E5014F"/>
    <w:rsid w:val="00E52712"/>
    <w:rsid w:val="00E53967"/>
    <w:rsid w:val="00E6374F"/>
    <w:rsid w:val="00E812FB"/>
    <w:rsid w:val="00F42C24"/>
    <w:rsid w:val="00F42F82"/>
    <w:rsid w:val="00F93EAF"/>
    <w:rsid w:val="00FE1C94"/>
    <w:rsid w:val="00FE23E9"/>
    <w:rsid w:val="00FE6A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39932"/>
  <w15:chartTrackingRefBased/>
  <w15:docId w15:val="{5CE465CE-6D6B-4C5B-BCBB-D59A8BB63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C6FE7"/>
    <w:pPr>
      <w:spacing w:before="100" w:beforeAutospacing="1" w:after="100" w:afterAutospacing="1" w:line="240" w:lineRule="auto"/>
      <w:outlineLvl w:val="0"/>
    </w:pPr>
    <w:rPr>
      <w:rFonts w:ascii="Times New Roman" w:eastAsia="Times New Roman" w:hAnsi="Times New Roman" w:cs="Times New Roman"/>
      <w:b/>
      <w:bCs/>
      <w:i/>
      <w:color w:val="000000" w:themeColor="text1"/>
      <w:kern w:val="0"/>
      <w:sz w:val="24"/>
      <w:szCs w:val="24"/>
      <w:lang w:val="en-US"/>
      <w14:ligatures w14:val="none"/>
    </w:rPr>
  </w:style>
  <w:style w:type="paragraph" w:styleId="Heading2">
    <w:name w:val="heading 2"/>
    <w:basedOn w:val="Normal"/>
    <w:link w:val="Heading2Char"/>
    <w:uiPriority w:val="9"/>
    <w:qFormat/>
    <w:rsid w:val="000C6FE7"/>
    <w:pPr>
      <w:spacing w:before="100" w:beforeAutospacing="1" w:after="100" w:afterAutospacing="1" w:line="240" w:lineRule="auto"/>
      <w:outlineLvl w:val="1"/>
    </w:pPr>
    <w:rPr>
      <w:rFonts w:ascii="Times New Roman" w:eastAsia="Times New Roman" w:hAnsi="Times New Roman" w:cs="Times New Roman"/>
      <w:b/>
      <w:bCs/>
      <w:i/>
      <w:color w:val="000000" w:themeColor="text1"/>
      <w:kern w:val="0"/>
      <w:sz w:val="24"/>
      <w:szCs w:val="24"/>
      <w:lang w:val="en-US"/>
      <w14:ligatures w14:val="none"/>
    </w:rPr>
  </w:style>
  <w:style w:type="paragraph" w:styleId="Heading3">
    <w:name w:val="heading 3"/>
    <w:basedOn w:val="Normal"/>
    <w:link w:val="Heading3Char"/>
    <w:uiPriority w:val="9"/>
    <w:qFormat/>
    <w:rsid w:val="00BA30E0"/>
    <w:pPr>
      <w:spacing w:before="100" w:beforeAutospacing="1" w:after="100" w:afterAutospacing="1" w:line="240" w:lineRule="auto"/>
      <w:jc w:val="center"/>
      <w:outlineLvl w:val="2"/>
    </w:pPr>
    <w:rPr>
      <w:rFonts w:ascii="Times New Roman" w:eastAsia="Times New Roman" w:hAnsi="Times New Roman" w:cs="Times New Roman"/>
      <w:b/>
      <w:bCs/>
      <w:color w:val="000000" w:themeColor="text1"/>
      <w:kern w:val="0"/>
      <w:sz w:val="24"/>
      <w:szCs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FE7"/>
    <w:rPr>
      <w:rFonts w:ascii="Times New Roman" w:eastAsia="Times New Roman" w:hAnsi="Times New Roman" w:cs="Times New Roman"/>
      <w:b/>
      <w:bCs/>
      <w:i/>
      <w:color w:val="000000" w:themeColor="text1"/>
      <w:kern w:val="0"/>
      <w:sz w:val="24"/>
      <w:szCs w:val="24"/>
      <w14:ligatures w14:val="none"/>
    </w:rPr>
  </w:style>
  <w:style w:type="paragraph" w:styleId="TOCHeading">
    <w:name w:val="TOC Heading"/>
    <w:basedOn w:val="Heading1"/>
    <w:next w:val="Normal"/>
    <w:uiPriority w:val="39"/>
    <w:unhideWhenUsed/>
    <w:qFormat/>
    <w:rsid w:val="000F7FC5"/>
    <w:pPr>
      <w:outlineLvl w:val="9"/>
    </w:pPr>
  </w:style>
  <w:style w:type="character" w:customStyle="1" w:styleId="Heading2Char">
    <w:name w:val="Heading 2 Char"/>
    <w:basedOn w:val="DefaultParagraphFont"/>
    <w:link w:val="Heading2"/>
    <w:uiPriority w:val="9"/>
    <w:rsid w:val="000C6FE7"/>
    <w:rPr>
      <w:rFonts w:ascii="Times New Roman" w:eastAsia="Times New Roman" w:hAnsi="Times New Roman" w:cs="Times New Roman"/>
      <w:b/>
      <w:bCs/>
      <w:i/>
      <w:color w:val="000000" w:themeColor="text1"/>
      <w:kern w:val="0"/>
      <w:sz w:val="24"/>
      <w:szCs w:val="24"/>
      <w14:ligatures w14:val="none"/>
    </w:rPr>
  </w:style>
  <w:style w:type="character" w:customStyle="1" w:styleId="Heading3Char">
    <w:name w:val="Heading 3 Char"/>
    <w:basedOn w:val="DefaultParagraphFont"/>
    <w:link w:val="Heading3"/>
    <w:uiPriority w:val="9"/>
    <w:rsid w:val="00BA30E0"/>
    <w:rPr>
      <w:rFonts w:ascii="Times New Roman" w:eastAsia="Times New Roman" w:hAnsi="Times New Roman" w:cs="Times New Roman"/>
      <w:b/>
      <w:bCs/>
      <w:color w:val="000000" w:themeColor="text1"/>
      <w:kern w:val="0"/>
      <w:sz w:val="24"/>
      <w:szCs w:val="24"/>
      <w14:ligatures w14:val="none"/>
    </w:rPr>
  </w:style>
  <w:style w:type="character" w:styleId="Strong">
    <w:name w:val="Strong"/>
    <w:basedOn w:val="DefaultParagraphFont"/>
    <w:uiPriority w:val="22"/>
    <w:qFormat/>
    <w:rsid w:val="000F7FC5"/>
    <w:rPr>
      <w:b/>
      <w:bCs/>
    </w:rPr>
  </w:style>
  <w:style w:type="paragraph" w:styleId="NormalWeb">
    <w:name w:val="Normal (Web)"/>
    <w:basedOn w:val="Normal"/>
    <w:uiPriority w:val="99"/>
    <w:unhideWhenUsed/>
    <w:rsid w:val="000F7FC5"/>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Emphasis">
    <w:name w:val="Emphasis"/>
    <w:basedOn w:val="DefaultParagraphFont"/>
    <w:uiPriority w:val="20"/>
    <w:qFormat/>
    <w:rsid w:val="00AE0B88"/>
    <w:rPr>
      <w:i/>
      <w:iCs/>
    </w:rPr>
  </w:style>
  <w:style w:type="character" w:customStyle="1" w:styleId="cursor-pointer">
    <w:name w:val="cursor-pointer"/>
    <w:basedOn w:val="DefaultParagraphFont"/>
    <w:rsid w:val="00F42F82"/>
  </w:style>
  <w:style w:type="paragraph" w:styleId="Header">
    <w:name w:val="header"/>
    <w:basedOn w:val="Normal"/>
    <w:link w:val="HeaderChar"/>
    <w:uiPriority w:val="99"/>
    <w:unhideWhenUsed/>
    <w:rsid w:val="00BA30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30E0"/>
    <w:rPr>
      <w:lang w:val="en-GB"/>
    </w:rPr>
  </w:style>
  <w:style w:type="paragraph" w:styleId="Footer">
    <w:name w:val="footer"/>
    <w:basedOn w:val="Normal"/>
    <w:link w:val="FooterChar"/>
    <w:uiPriority w:val="99"/>
    <w:unhideWhenUsed/>
    <w:rsid w:val="00BA30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30E0"/>
    <w:rPr>
      <w:lang w:val="en-GB"/>
    </w:rPr>
  </w:style>
  <w:style w:type="paragraph" w:styleId="TOC1">
    <w:name w:val="toc 1"/>
    <w:basedOn w:val="Normal"/>
    <w:next w:val="Normal"/>
    <w:autoRedefine/>
    <w:uiPriority w:val="39"/>
    <w:unhideWhenUsed/>
    <w:rsid w:val="00BA30E0"/>
    <w:pPr>
      <w:spacing w:after="100"/>
    </w:pPr>
  </w:style>
  <w:style w:type="paragraph" w:styleId="TOC3">
    <w:name w:val="toc 3"/>
    <w:basedOn w:val="Normal"/>
    <w:next w:val="Normal"/>
    <w:autoRedefine/>
    <w:uiPriority w:val="39"/>
    <w:unhideWhenUsed/>
    <w:rsid w:val="00BA30E0"/>
    <w:pPr>
      <w:spacing w:after="100"/>
      <w:ind w:left="440"/>
    </w:pPr>
  </w:style>
  <w:style w:type="paragraph" w:styleId="TOC2">
    <w:name w:val="toc 2"/>
    <w:basedOn w:val="Normal"/>
    <w:next w:val="Normal"/>
    <w:autoRedefine/>
    <w:uiPriority w:val="39"/>
    <w:unhideWhenUsed/>
    <w:rsid w:val="00BA30E0"/>
    <w:pPr>
      <w:spacing w:after="100"/>
      <w:ind w:left="220"/>
    </w:pPr>
  </w:style>
  <w:style w:type="character" w:styleId="Hyperlink">
    <w:name w:val="Hyperlink"/>
    <w:basedOn w:val="DefaultParagraphFont"/>
    <w:uiPriority w:val="99"/>
    <w:unhideWhenUsed/>
    <w:rsid w:val="00BA30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410625">
      <w:bodyDiv w:val="1"/>
      <w:marLeft w:val="0"/>
      <w:marRight w:val="0"/>
      <w:marTop w:val="0"/>
      <w:marBottom w:val="0"/>
      <w:divBdr>
        <w:top w:val="none" w:sz="0" w:space="0" w:color="auto"/>
        <w:left w:val="none" w:sz="0" w:space="0" w:color="auto"/>
        <w:bottom w:val="none" w:sz="0" w:space="0" w:color="auto"/>
        <w:right w:val="none" w:sz="0" w:space="0" w:color="auto"/>
      </w:divBdr>
      <w:divsChild>
        <w:div w:id="1859733230">
          <w:marLeft w:val="0"/>
          <w:marRight w:val="0"/>
          <w:marTop w:val="0"/>
          <w:marBottom w:val="0"/>
          <w:divBdr>
            <w:top w:val="none" w:sz="0" w:space="0" w:color="auto"/>
            <w:left w:val="none" w:sz="0" w:space="0" w:color="auto"/>
            <w:bottom w:val="none" w:sz="0" w:space="0" w:color="auto"/>
            <w:right w:val="none" w:sz="0" w:space="0" w:color="auto"/>
          </w:divBdr>
          <w:divsChild>
            <w:div w:id="202668644">
              <w:marLeft w:val="0"/>
              <w:marRight w:val="0"/>
              <w:marTop w:val="0"/>
              <w:marBottom w:val="0"/>
              <w:divBdr>
                <w:top w:val="none" w:sz="0" w:space="0" w:color="auto"/>
                <w:left w:val="none" w:sz="0" w:space="0" w:color="auto"/>
                <w:bottom w:val="none" w:sz="0" w:space="0" w:color="auto"/>
                <w:right w:val="none" w:sz="0" w:space="0" w:color="auto"/>
              </w:divBdr>
            </w:div>
          </w:divsChild>
        </w:div>
        <w:div w:id="616832789">
          <w:marLeft w:val="0"/>
          <w:marRight w:val="0"/>
          <w:marTop w:val="0"/>
          <w:marBottom w:val="0"/>
          <w:divBdr>
            <w:top w:val="none" w:sz="0" w:space="0" w:color="auto"/>
            <w:left w:val="none" w:sz="0" w:space="0" w:color="auto"/>
            <w:bottom w:val="none" w:sz="0" w:space="0" w:color="auto"/>
            <w:right w:val="none" w:sz="0" w:space="0" w:color="auto"/>
          </w:divBdr>
          <w:divsChild>
            <w:div w:id="90225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71752">
      <w:bodyDiv w:val="1"/>
      <w:marLeft w:val="0"/>
      <w:marRight w:val="0"/>
      <w:marTop w:val="0"/>
      <w:marBottom w:val="0"/>
      <w:divBdr>
        <w:top w:val="none" w:sz="0" w:space="0" w:color="auto"/>
        <w:left w:val="none" w:sz="0" w:space="0" w:color="auto"/>
        <w:bottom w:val="none" w:sz="0" w:space="0" w:color="auto"/>
        <w:right w:val="none" w:sz="0" w:space="0" w:color="auto"/>
      </w:divBdr>
      <w:divsChild>
        <w:div w:id="623850101">
          <w:marLeft w:val="0"/>
          <w:marRight w:val="0"/>
          <w:marTop w:val="0"/>
          <w:marBottom w:val="0"/>
          <w:divBdr>
            <w:top w:val="none" w:sz="0" w:space="0" w:color="auto"/>
            <w:left w:val="none" w:sz="0" w:space="0" w:color="auto"/>
            <w:bottom w:val="none" w:sz="0" w:space="0" w:color="auto"/>
            <w:right w:val="none" w:sz="0" w:space="0" w:color="auto"/>
          </w:divBdr>
          <w:divsChild>
            <w:div w:id="733547095">
              <w:marLeft w:val="0"/>
              <w:marRight w:val="0"/>
              <w:marTop w:val="0"/>
              <w:marBottom w:val="0"/>
              <w:divBdr>
                <w:top w:val="none" w:sz="0" w:space="0" w:color="auto"/>
                <w:left w:val="none" w:sz="0" w:space="0" w:color="auto"/>
                <w:bottom w:val="none" w:sz="0" w:space="0" w:color="auto"/>
                <w:right w:val="none" w:sz="0" w:space="0" w:color="auto"/>
              </w:divBdr>
            </w:div>
          </w:divsChild>
        </w:div>
        <w:div w:id="1141581643">
          <w:marLeft w:val="0"/>
          <w:marRight w:val="0"/>
          <w:marTop w:val="0"/>
          <w:marBottom w:val="0"/>
          <w:divBdr>
            <w:top w:val="none" w:sz="0" w:space="0" w:color="auto"/>
            <w:left w:val="none" w:sz="0" w:space="0" w:color="auto"/>
            <w:bottom w:val="none" w:sz="0" w:space="0" w:color="auto"/>
            <w:right w:val="none" w:sz="0" w:space="0" w:color="auto"/>
          </w:divBdr>
          <w:divsChild>
            <w:div w:id="1890996241">
              <w:marLeft w:val="0"/>
              <w:marRight w:val="0"/>
              <w:marTop w:val="0"/>
              <w:marBottom w:val="0"/>
              <w:divBdr>
                <w:top w:val="none" w:sz="0" w:space="0" w:color="auto"/>
                <w:left w:val="none" w:sz="0" w:space="0" w:color="auto"/>
                <w:bottom w:val="none" w:sz="0" w:space="0" w:color="auto"/>
                <w:right w:val="none" w:sz="0" w:space="0" w:color="auto"/>
              </w:divBdr>
            </w:div>
          </w:divsChild>
        </w:div>
        <w:div w:id="1285648963">
          <w:marLeft w:val="0"/>
          <w:marRight w:val="0"/>
          <w:marTop w:val="0"/>
          <w:marBottom w:val="0"/>
          <w:divBdr>
            <w:top w:val="none" w:sz="0" w:space="0" w:color="auto"/>
            <w:left w:val="none" w:sz="0" w:space="0" w:color="auto"/>
            <w:bottom w:val="none" w:sz="0" w:space="0" w:color="auto"/>
            <w:right w:val="none" w:sz="0" w:space="0" w:color="auto"/>
          </w:divBdr>
          <w:divsChild>
            <w:div w:id="504978163">
              <w:marLeft w:val="0"/>
              <w:marRight w:val="0"/>
              <w:marTop w:val="0"/>
              <w:marBottom w:val="0"/>
              <w:divBdr>
                <w:top w:val="none" w:sz="0" w:space="0" w:color="auto"/>
                <w:left w:val="none" w:sz="0" w:space="0" w:color="auto"/>
                <w:bottom w:val="none" w:sz="0" w:space="0" w:color="auto"/>
                <w:right w:val="none" w:sz="0" w:space="0" w:color="auto"/>
              </w:divBdr>
            </w:div>
          </w:divsChild>
        </w:div>
        <w:div w:id="614220040">
          <w:marLeft w:val="0"/>
          <w:marRight w:val="0"/>
          <w:marTop w:val="0"/>
          <w:marBottom w:val="0"/>
          <w:divBdr>
            <w:top w:val="none" w:sz="0" w:space="0" w:color="auto"/>
            <w:left w:val="none" w:sz="0" w:space="0" w:color="auto"/>
            <w:bottom w:val="none" w:sz="0" w:space="0" w:color="auto"/>
            <w:right w:val="none" w:sz="0" w:space="0" w:color="auto"/>
          </w:divBdr>
          <w:divsChild>
            <w:div w:id="1646079777">
              <w:marLeft w:val="0"/>
              <w:marRight w:val="0"/>
              <w:marTop w:val="0"/>
              <w:marBottom w:val="0"/>
              <w:divBdr>
                <w:top w:val="none" w:sz="0" w:space="0" w:color="auto"/>
                <w:left w:val="none" w:sz="0" w:space="0" w:color="auto"/>
                <w:bottom w:val="none" w:sz="0" w:space="0" w:color="auto"/>
                <w:right w:val="none" w:sz="0" w:space="0" w:color="auto"/>
              </w:divBdr>
            </w:div>
          </w:divsChild>
        </w:div>
        <w:div w:id="282613925">
          <w:marLeft w:val="0"/>
          <w:marRight w:val="0"/>
          <w:marTop w:val="0"/>
          <w:marBottom w:val="0"/>
          <w:divBdr>
            <w:top w:val="none" w:sz="0" w:space="0" w:color="auto"/>
            <w:left w:val="none" w:sz="0" w:space="0" w:color="auto"/>
            <w:bottom w:val="none" w:sz="0" w:space="0" w:color="auto"/>
            <w:right w:val="none" w:sz="0" w:space="0" w:color="auto"/>
          </w:divBdr>
          <w:divsChild>
            <w:div w:id="1104306363">
              <w:marLeft w:val="0"/>
              <w:marRight w:val="0"/>
              <w:marTop w:val="0"/>
              <w:marBottom w:val="0"/>
              <w:divBdr>
                <w:top w:val="none" w:sz="0" w:space="0" w:color="auto"/>
                <w:left w:val="none" w:sz="0" w:space="0" w:color="auto"/>
                <w:bottom w:val="none" w:sz="0" w:space="0" w:color="auto"/>
                <w:right w:val="none" w:sz="0" w:space="0" w:color="auto"/>
              </w:divBdr>
            </w:div>
          </w:divsChild>
        </w:div>
        <w:div w:id="1393385574">
          <w:marLeft w:val="0"/>
          <w:marRight w:val="0"/>
          <w:marTop w:val="0"/>
          <w:marBottom w:val="0"/>
          <w:divBdr>
            <w:top w:val="none" w:sz="0" w:space="0" w:color="auto"/>
            <w:left w:val="none" w:sz="0" w:space="0" w:color="auto"/>
            <w:bottom w:val="none" w:sz="0" w:space="0" w:color="auto"/>
            <w:right w:val="none" w:sz="0" w:space="0" w:color="auto"/>
          </w:divBdr>
          <w:divsChild>
            <w:div w:id="1029842001">
              <w:marLeft w:val="0"/>
              <w:marRight w:val="0"/>
              <w:marTop w:val="0"/>
              <w:marBottom w:val="0"/>
              <w:divBdr>
                <w:top w:val="none" w:sz="0" w:space="0" w:color="auto"/>
                <w:left w:val="none" w:sz="0" w:space="0" w:color="auto"/>
                <w:bottom w:val="none" w:sz="0" w:space="0" w:color="auto"/>
                <w:right w:val="none" w:sz="0" w:space="0" w:color="auto"/>
              </w:divBdr>
            </w:div>
          </w:divsChild>
        </w:div>
        <w:div w:id="187333511">
          <w:marLeft w:val="0"/>
          <w:marRight w:val="0"/>
          <w:marTop w:val="0"/>
          <w:marBottom w:val="0"/>
          <w:divBdr>
            <w:top w:val="none" w:sz="0" w:space="0" w:color="auto"/>
            <w:left w:val="none" w:sz="0" w:space="0" w:color="auto"/>
            <w:bottom w:val="none" w:sz="0" w:space="0" w:color="auto"/>
            <w:right w:val="none" w:sz="0" w:space="0" w:color="auto"/>
          </w:divBdr>
          <w:divsChild>
            <w:div w:id="204875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292911">
      <w:bodyDiv w:val="1"/>
      <w:marLeft w:val="0"/>
      <w:marRight w:val="0"/>
      <w:marTop w:val="0"/>
      <w:marBottom w:val="0"/>
      <w:divBdr>
        <w:top w:val="none" w:sz="0" w:space="0" w:color="auto"/>
        <w:left w:val="none" w:sz="0" w:space="0" w:color="auto"/>
        <w:bottom w:val="none" w:sz="0" w:space="0" w:color="auto"/>
        <w:right w:val="none" w:sz="0" w:space="0" w:color="auto"/>
      </w:divBdr>
    </w:div>
    <w:div w:id="836843764">
      <w:bodyDiv w:val="1"/>
      <w:marLeft w:val="0"/>
      <w:marRight w:val="0"/>
      <w:marTop w:val="0"/>
      <w:marBottom w:val="0"/>
      <w:divBdr>
        <w:top w:val="none" w:sz="0" w:space="0" w:color="auto"/>
        <w:left w:val="none" w:sz="0" w:space="0" w:color="auto"/>
        <w:bottom w:val="none" w:sz="0" w:space="0" w:color="auto"/>
        <w:right w:val="none" w:sz="0" w:space="0" w:color="auto"/>
      </w:divBdr>
    </w:div>
    <w:div w:id="914364893">
      <w:bodyDiv w:val="1"/>
      <w:marLeft w:val="0"/>
      <w:marRight w:val="0"/>
      <w:marTop w:val="0"/>
      <w:marBottom w:val="0"/>
      <w:divBdr>
        <w:top w:val="none" w:sz="0" w:space="0" w:color="auto"/>
        <w:left w:val="none" w:sz="0" w:space="0" w:color="auto"/>
        <w:bottom w:val="none" w:sz="0" w:space="0" w:color="auto"/>
        <w:right w:val="none" w:sz="0" w:space="0" w:color="auto"/>
      </w:divBdr>
      <w:divsChild>
        <w:div w:id="334960728">
          <w:marLeft w:val="0"/>
          <w:marRight w:val="0"/>
          <w:marTop w:val="0"/>
          <w:marBottom w:val="0"/>
          <w:divBdr>
            <w:top w:val="none" w:sz="0" w:space="0" w:color="auto"/>
            <w:left w:val="none" w:sz="0" w:space="0" w:color="auto"/>
            <w:bottom w:val="none" w:sz="0" w:space="0" w:color="auto"/>
            <w:right w:val="none" w:sz="0" w:space="0" w:color="auto"/>
          </w:divBdr>
          <w:divsChild>
            <w:div w:id="1783381707">
              <w:marLeft w:val="0"/>
              <w:marRight w:val="0"/>
              <w:marTop w:val="0"/>
              <w:marBottom w:val="0"/>
              <w:divBdr>
                <w:top w:val="none" w:sz="0" w:space="0" w:color="auto"/>
                <w:left w:val="none" w:sz="0" w:space="0" w:color="auto"/>
                <w:bottom w:val="none" w:sz="0" w:space="0" w:color="auto"/>
                <w:right w:val="none" w:sz="0" w:space="0" w:color="auto"/>
              </w:divBdr>
            </w:div>
          </w:divsChild>
        </w:div>
        <w:div w:id="1138570939">
          <w:marLeft w:val="0"/>
          <w:marRight w:val="0"/>
          <w:marTop w:val="0"/>
          <w:marBottom w:val="0"/>
          <w:divBdr>
            <w:top w:val="none" w:sz="0" w:space="0" w:color="auto"/>
            <w:left w:val="none" w:sz="0" w:space="0" w:color="auto"/>
            <w:bottom w:val="none" w:sz="0" w:space="0" w:color="auto"/>
            <w:right w:val="none" w:sz="0" w:space="0" w:color="auto"/>
          </w:divBdr>
          <w:divsChild>
            <w:div w:id="46373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521045">
      <w:bodyDiv w:val="1"/>
      <w:marLeft w:val="0"/>
      <w:marRight w:val="0"/>
      <w:marTop w:val="0"/>
      <w:marBottom w:val="0"/>
      <w:divBdr>
        <w:top w:val="none" w:sz="0" w:space="0" w:color="auto"/>
        <w:left w:val="none" w:sz="0" w:space="0" w:color="auto"/>
        <w:bottom w:val="none" w:sz="0" w:space="0" w:color="auto"/>
        <w:right w:val="none" w:sz="0" w:space="0" w:color="auto"/>
      </w:divBdr>
      <w:divsChild>
        <w:div w:id="388263834">
          <w:marLeft w:val="0"/>
          <w:marRight w:val="0"/>
          <w:marTop w:val="0"/>
          <w:marBottom w:val="0"/>
          <w:divBdr>
            <w:top w:val="none" w:sz="0" w:space="0" w:color="auto"/>
            <w:left w:val="none" w:sz="0" w:space="0" w:color="auto"/>
            <w:bottom w:val="none" w:sz="0" w:space="0" w:color="auto"/>
            <w:right w:val="none" w:sz="0" w:space="0" w:color="auto"/>
          </w:divBdr>
          <w:divsChild>
            <w:div w:id="1141312126">
              <w:marLeft w:val="0"/>
              <w:marRight w:val="0"/>
              <w:marTop w:val="0"/>
              <w:marBottom w:val="0"/>
              <w:divBdr>
                <w:top w:val="none" w:sz="0" w:space="0" w:color="auto"/>
                <w:left w:val="none" w:sz="0" w:space="0" w:color="auto"/>
                <w:bottom w:val="none" w:sz="0" w:space="0" w:color="auto"/>
                <w:right w:val="none" w:sz="0" w:space="0" w:color="auto"/>
              </w:divBdr>
            </w:div>
          </w:divsChild>
        </w:div>
        <w:div w:id="210658666">
          <w:marLeft w:val="0"/>
          <w:marRight w:val="0"/>
          <w:marTop w:val="0"/>
          <w:marBottom w:val="0"/>
          <w:divBdr>
            <w:top w:val="none" w:sz="0" w:space="0" w:color="auto"/>
            <w:left w:val="none" w:sz="0" w:space="0" w:color="auto"/>
            <w:bottom w:val="none" w:sz="0" w:space="0" w:color="auto"/>
            <w:right w:val="none" w:sz="0" w:space="0" w:color="auto"/>
          </w:divBdr>
          <w:divsChild>
            <w:div w:id="611595605">
              <w:marLeft w:val="0"/>
              <w:marRight w:val="0"/>
              <w:marTop w:val="0"/>
              <w:marBottom w:val="0"/>
              <w:divBdr>
                <w:top w:val="none" w:sz="0" w:space="0" w:color="auto"/>
                <w:left w:val="none" w:sz="0" w:space="0" w:color="auto"/>
                <w:bottom w:val="none" w:sz="0" w:space="0" w:color="auto"/>
                <w:right w:val="none" w:sz="0" w:space="0" w:color="auto"/>
              </w:divBdr>
            </w:div>
          </w:divsChild>
        </w:div>
        <w:div w:id="532574338">
          <w:marLeft w:val="0"/>
          <w:marRight w:val="0"/>
          <w:marTop w:val="0"/>
          <w:marBottom w:val="0"/>
          <w:divBdr>
            <w:top w:val="none" w:sz="0" w:space="0" w:color="auto"/>
            <w:left w:val="none" w:sz="0" w:space="0" w:color="auto"/>
            <w:bottom w:val="none" w:sz="0" w:space="0" w:color="auto"/>
            <w:right w:val="none" w:sz="0" w:space="0" w:color="auto"/>
          </w:divBdr>
          <w:divsChild>
            <w:div w:id="2052070506">
              <w:marLeft w:val="0"/>
              <w:marRight w:val="0"/>
              <w:marTop w:val="0"/>
              <w:marBottom w:val="0"/>
              <w:divBdr>
                <w:top w:val="none" w:sz="0" w:space="0" w:color="auto"/>
                <w:left w:val="none" w:sz="0" w:space="0" w:color="auto"/>
                <w:bottom w:val="none" w:sz="0" w:space="0" w:color="auto"/>
                <w:right w:val="none" w:sz="0" w:space="0" w:color="auto"/>
              </w:divBdr>
            </w:div>
          </w:divsChild>
        </w:div>
        <w:div w:id="1711682838">
          <w:marLeft w:val="0"/>
          <w:marRight w:val="0"/>
          <w:marTop w:val="0"/>
          <w:marBottom w:val="0"/>
          <w:divBdr>
            <w:top w:val="none" w:sz="0" w:space="0" w:color="auto"/>
            <w:left w:val="none" w:sz="0" w:space="0" w:color="auto"/>
            <w:bottom w:val="none" w:sz="0" w:space="0" w:color="auto"/>
            <w:right w:val="none" w:sz="0" w:space="0" w:color="auto"/>
          </w:divBdr>
          <w:divsChild>
            <w:div w:id="1110859498">
              <w:marLeft w:val="0"/>
              <w:marRight w:val="0"/>
              <w:marTop w:val="0"/>
              <w:marBottom w:val="0"/>
              <w:divBdr>
                <w:top w:val="none" w:sz="0" w:space="0" w:color="auto"/>
                <w:left w:val="none" w:sz="0" w:space="0" w:color="auto"/>
                <w:bottom w:val="none" w:sz="0" w:space="0" w:color="auto"/>
                <w:right w:val="none" w:sz="0" w:space="0" w:color="auto"/>
              </w:divBdr>
            </w:div>
          </w:divsChild>
        </w:div>
        <w:div w:id="1869833715">
          <w:marLeft w:val="0"/>
          <w:marRight w:val="0"/>
          <w:marTop w:val="0"/>
          <w:marBottom w:val="0"/>
          <w:divBdr>
            <w:top w:val="none" w:sz="0" w:space="0" w:color="auto"/>
            <w:left w:val="none" w:sz="0" w:space="0" w:color="auto"/>
            <w:bottom w:val="none" w:sz="0" w:space="0" w:color="auto"/>
            <w:right w:val="none" w:sz="0" w:space="0" w:color="auto"/>
          </w:divBdr>
          <w:divsChild>
            <w:div w:id="129327734">
              <w:marLeft w:val="0"/>
              <w:marRight w:val="0"/>
              <w:marTop w:val="0"/>
              <w:marBottom w:val="0"/>
              <w:divBdr>
                <w:top w:val="none" w:sz="0" w:space="0" w:color="auto"/>
                <w:left w:val="none" w:sz="0" w:space="0" w:color="auto"/>
                <w:bottom w:val="none" w:sz="0" w:space="0" w:color="auto"/>
                <w:right w:val="none" w:sz="0" w:space="0" w:color="auto"/>
              </w:divBdr>
            </w:div>
          </w:divsChild>
        </w:div>
        <w:div w:id="1054698434">
          <w:marLeft w:val="0"/>
          <w:marRight w:val="0"/>
          <w:marTop w:val="0"/>
          <w:marBottom w:val="0"/>
          <w:divBdr>
            <w:top w:val="none" w:sz="0" w:space="0" w:color="auto"/>
            <w:left w:val="none" w:sz="0" w:space="0" w:color="auto"/>
            <w:bottom w:val="none" w:sz="0" w:space="0" w:color="auto"/>
            <w:right w:val="none" w:sz="0" w:space="0" w:color="auto"/>
          </w:divBdr>
          <w:divsChild>
            <w:div w:id="1758750045">
              <w:marLeft w:val="0"/>
              <w:marRight w:val="0"/>
              <w:marTop w:val="0"/>
              <w:marBottom w:val="0"/>
              <w:divBdr>
                <w:top w:val="none" w:sz="0" w:space="0" w:color="auto"/>
                <w:left w:val="none" w:sz="0" w:space="0" w:color="auto"/>
                <w:bottom w:val="none" w:sz="0" w:space="0" w:color="auto"/>
                <w:right w:val="none" w:sz="0" w:space="0" w:color="auto"/>
              </w:divBdr>
            </w:div>
          </w:divsChild>
        </w:div>
        <w:div w:id="1779177229">
          <w:marLeft w:val="0"/>
          <w:marRight w:val="0"/>
          <w:marTop w:val="0"/>
          <w:marBottom w:val="0"/>
          <w:divBdr>
            <w:top w:val="none" w:sz="0" w:space="0" w:color="auto"/>
            <w:left w:val="none" w:sz="0" w:space="0" w:color="auto"/>
            <w:bottom w:val="none" w:sz="0" w:space="0" w:color="auto"/>
            <w:right w:val="none" w:sz="0" w:space="0" w:color="auto"/>
          </w:divBdr>
          <w:divsChild>
            <w:div w:id="48080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460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5628B5-89E8-4EC9-8AEB-EF1E8AAE6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4709</Words>
  <Characters>26846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Roger Aznar Montero</cp:lastModifiedBy>
  <cp:revision>2</cp:revision>
  <dcterms:created xsi:type="dcterms:W3CDTF">2026-04-29T15:43:00Z</dcterms:created>
  <dcterms:modified xsi:type="dcterms:W3CDTF">2026-04-29T15:43:00Z</dcterms:modified>
</cp:coreProperties>
</file>