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 xmlns:w="http://schemas.openxmlformats.org/wordprocessingml/2006/main">
  <w:body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32"/>
          <w:lang w:val="en-US"/>
        </w:rPr>
      </w:pPr>
      <w:r>
        <w:rPr>
          <w:rFonts w:ascii="Bahnschrift Light" w:cs="Bahnschrift Light" w:hAnsi="Bahnschrift Light"/>
          <w:sz w:val="32"/>
          <w:lang w:val="en-US"/>
        </w:rPr>
        <w:t xml:space="preserve">                                                    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32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32"/>
        </w:rPr>
      </w:pPr>
      <w:r>
        <w:rPr>
          <w:rFonts w:ascii="Bahnschrift Light" w:cs="Bahnschrift Light" w:hAnsi="Bahnschrift Light"/>
          <w:sz w:val="32"/>
          <w:lang w:val="en-US"/>
        </w:rPr>
        <w:t xml:space="preserve">                                                   Safe Water Africa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32"/>
        </w:rPr>
      </w:pPr>
      <w:r>
        <w:rPr>
          <w:rFonts w:ascii="Bahnschrift Light" w:cs="Bahnschrift Light" w:hAnsi="Bahnschrift Light"/>
          <w:sz w:val="32"/>
        </w:rPr>
        <w:t xml:space="preserve">                                                          </w:t>
      </w:r>
      <w:r>
        <w:rPr>
          <w:rFonts w:ascii="Bahnschrift Light" w:cs="Bahnschrift Light" w:hAnsi="Bahnschrift Light"/>
          <w:sz w:val="32"/>
          <w:lang w:val="en-US"/>
        </w:rPr>
        <w:t>(c</w:t>
      </w:r>
      <w:r>
        <w:rPr>
          <w:rFonts w:ascii="Bahnschrift Light" w:cs="Bahnschrift Light" w:hAnsi="Bahnschrift Light"/>
          <w:sz w:val="32"/>
          <w:lang w:val="en-US"/>
        </w:rPr>
        <w:t>ontinuing)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32"/>
        </w:rPr>
      </w:pPr>
      <w:r>
        <w:rPr>
          <w:rFonts w:ascii="Bahnschrift Light" w:cs="Bahnschrift Light" w:hAnsi="Bahnschrift Light"/>
          <w:sz w:val="32"/>
          <w:lang w:val="en-US"/>
        </w:rPr>
        <w:t xml:space="preserve">                                               Humanity care urgent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8"/>
          <w:lang w:val="en-US"/>
        </w:rPr>
      </w:pPr>
      <w:r>
        <w:rPr>
          <w:rFonts w:ascii="Bahnschrift Light" w:cs="Bahnschrift Light" w:hAnsi="Bahnschrift Light"/>
          <w:sz w:val="28"/>
          <w:lang w:val="en-US"/>
        </w:rPr>
        <w:t xml:space="preserve">                                       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8"/>
        </w:rPr>
      </w:pPr>
      <w:r>
        <w:rPr>
          <w:rFonts w:ascii="Bahnschrift Light" w:cs="Bahnschrift Light" w:hAnsi="Bahnschrift Light"/>
          <w:sz w:val="28"/>
          <w:lang w:val="en-US"/>
        </w:rPr>
        <w:t xml:space="preserve">                                                               (Project report)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8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18"/>
        </w:rPr>
      </w:pPr>
      <w:r>
        <w:rPr>
          <w:rFonts w:ascii="Bahnschrift Light" w:cs="Bahnschrift Light" w:hAnsi="Bahnschrift Light"/>
          <w:sz w:val="28"/>
          <w:lang w:val="en-US"/>
        </w:rPr>
        <w:t xml:space="preserve">                                                        Community Engagement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8"/>
        </w:rPr>
      </w:pPr>
      <w:r>
        <w:rPr>
          <w:rFonts w:ascii="Bahnschrift Light" w:cs="Bahnschrift Light" w:hAnsi="Bahnschrift Light"/>
          <w:sz w:val="28"/>
          <w:lang w:val="en-US"/>
        </w:rPr>
        <w:t xml:space="preserve">                                                                       (LCBB4002)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8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8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-apple-system"/>
          <w:color w:val="000000"/>
          <w:sz w:val="52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-apple-system"/>
          <w:color w:val="000000"/>
          <w:sz w:val="22"/>
          <w:lang w:val="en-US"/>
        </w:rPr>
      </w:pPr>
      <w:r>
        <w:fldChar w:fldCharType="begin"/>
      </w:r>
      <w:r>
        <w:instrText xml:space="preserve"> HYPERLINK "https://moodle.uwtsd.ac.uk/course/view.php?id=3808" </w:instrText>
      </w:r>
      <w:r>
        <w:fldChar w:fldCharType="end"/>
      </w:r>
    </w:p>
    <w:p>
      <w:pPr>
        <w:rPr>
          <w:rFonts w:ascii="Verdana" w:hAnsi="Verdana"/>
          <w:b/>
        </w:rPr>
      </w:pPr>
    </w:p>
    <w:p>
      <w:pPr>
        <w:rPr>
          <w:rFonts w:ascii="Verdana" w:cs="Verdana-Bold" w:hAnsi="Verdana"/>
          <w:b/>
          <w:bCs/>
          <w:caps/>
          <w:sz w:val="24"/>
          <w:szCs w:val="24"/>
        </w:rPr>
      </w:pPr>
      <w:r>
        <w:rPr>
          <w:rFonts w:ascii="Verdana" w:cs="Verdana-Bold" w:hAnsi="Verdana"/>
          <w:b/>
          <w:bCs/>
          <w:caps/>
          <w:sz w:val="24"/>
          <w:szCs w:val="24"/>
        </w:rPr>
        <w:t>Learner Assessment Submission and Declaration</w:t>
      </w:r>
    </w:p>
    <w:p>
      <w:pPr>
        <w:rPr>
          <w:rFonts w:ascii="Verdana" w:cs="Verdana-Bold" w:hAnsi="Verdana"/>
          <w:b/>
          <w:bCs/>
        </w:rPr>
      </w:pPr>
    </w:p>
    <w:p>
      <w:pPr>
        <w:rPr>
          <w:rFonts w:ascii="Verdana" w:cs="Verdana-Bold" w:hAnsi="Verdana"/>
          <w:b/>
          <w:bCs/>
        </w:rPr>
      </w:pPr>
    </w:p>
    <w:p>
      <w:pPr>
        <w:rPr>
          <w:rFonts w:ascii="Verdana" w:cs="Verdana-Bold" w:hAnsi="Verdana"/>
          <w:b/>
          <w:bCs/>
        </w:rPr>
      </w:pPr>
      <w:r>
        <w:rPr>
          <w:rFonts w:ascii="Verdana" w:cs="Verdana-Bold" w:hAnsi="Verdana"/>
          <w:b/>
          <w:bCs/>
        </w:rPr>
        <w:t xml:space="preserve">“In submitting this work, I affirm that my work adheres to the scholarly and intellectual standards of honesty and integrity.  I </w:t>
      </w:r>
      <w:r>
        <w:rPr>
          <w:rFonts w:ascii="Verdana" w:cs="Verdana-Bold" w:hAnsi="Verdana"/>
          <w:b/>
          <w:bCs/>
          <w:lang w:val="en-US"/>
        </w:rPr>
        <w:t xml:space="preserve">confirm </w:t>
      </w:r>
      <w:r>
        <w:rPr>
          <w:rFonts w:ascii="Verdana" w:cs="Verdana-Bold" w:hAnsi="Verdana"/>
          <w:b/>
          <w:bCs/>
        </w:rPr>
        <w:t xml:space="preserve"> that this work is my work only and that in the preparation of this work I have not consulted any person.  I affirm that I </w:t>
      </w:r>
      <w:r>
        <w:rPr>
          <w:rFonts w:ascii="Verdana" w:cs="Verdana-Bold" w:hAnsi="Verdana"/>
          <w:b/>
          <w:bCs/>
          <w:lang w:val="en-US"/>
        </w:rPr>
        <w:t>did</w:t>
      </w:r>
      <w:r>
        <w:rPr>
          <w:rFonts w:ascii="Verdana" w:cs="Verdana-Bold" w:hAnsi="Verdana"/>
          <w:b/>
          <w:bCs/>
        </w:rPr>
        <w:t xml:space="preserve"> not plagiarised or misrepresented the ideas or language of someone else as my own and that I have fully and accurately attributed any ideas or text of others to the sources and documented each source”. </w:t>
      </w:r>
    </w:p>
    <w:p>
      <w:pPr>
        <w:rPr>
          <w:rFonts w:ascii="Verdana" w:cs="Verdana-Bold" w:hAnsi="Verdana"/>
          <w:b/>
          <w:bCs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/>
      </w:tblPr>
      <w:tblGrid>
        <w:gridCol w:w="3080"/>
        <w:gridCol w:w="1564"/>
        <w:gridCol w:w="1517"/>
        <w:gridCol w:w="3081"/>
      </w:tblGrid>
      <w:tr>
        <w:trPr>
          <w:trHeight w:val="1524" w:hRule="exact"/>
        </w:trPr>
        <w:tc>
          <w:tcPr>
            <w:cnfStyle w:val="101000000000"/>
            <w:tcW w:w="4644" w:type="dxa"/>
            <w:gridSpan w:val="2"/>
          </w:tcPr>
          <w:p>
            <w:pPr>
              <w:rPr>
                <w:rFonts w:ascii="Verdana" w:cs="Verdana" w:hAnsi="Verdana"/>
              </w:rPr>
            </w:pPr>
            <w:r>
              <w:rPr>
                <w:rFonts w:ascii="Verdana" w:cs="Verdana" w:hAnsi="Verdana"/>
              </w:rPr>
              <w:t xml:space="preserve">Learner name: </w:t>
            </w:r>
            <w:r>
              <w:rPr>
                <w:rFonts w:ascii="Verdana" w:cs="Verdana" w:hAnsi="Verdana"/>
                <w:lang w:val="en-US"/>
              </w:rPr>
              <w:t>Petar Yanakiev</w:t>
            </w:r>
          </w:p>
          <w:p>
            <w:pPr>
              <w:rPr>
                <w:rFonts w:ascii="Verdana" w:cs="Verdana" w:hAnsi="Verdana"/>
              </w:rPr>
            </w:pPr>
            <w:r>
              <w:rPr>
                <w:rFonts w:ascii="Verdana" w:cs="Verdana" w:hAnsi="Verdana"/>
                <w:lang w:val="en-US"/>
              </w:rPr>
              <w:t>Student Number: 2008345</w:t>
            </w:r>
          </w:p>
          <w:p>
            <w:pPr>
              <w:rPr>
                <w:rFonts w:ascii="Verdana" w:cs="Verdana-Bold" w:hAnsi="Verdana"/>
                <w:b/>
                <w:bCs/>
              </w:rPr>
            </w:pPr>
          </w:p>
        </w:tc>
        <w:tc>
          <w:tcPr>
            <w:cnfStyle w:val="100000000000"/>
            <w:tcW w:w="4598" w:type="dxa"/>
            <w:gridSpan w:val="2"/>
          </w:tcPr>
          <w:p>
            <w:pPr>
              <w:rPr>
                <w:rFonts w:ascii="Verdana" w:cs="Verdana-Bold" w:hAnsi="Verdana"/>
                <w:b w:val="off"/>
                <w:bCs/>
              </w:rPr>
            </w:pPr>
            <w:r>
              <w:rPr>
                <w:rFonts w:ascii="Verdana" w:cs="Verdana-Bold" w:hAnsi="Verdana"/>
                <w:b w:val="off"/>
                <w:bCs/>
                <w:lang w:val="en-US"/>
              </w:rPr>
              <w:t>Lecture: Riaz Bhatti</w:t>
            </w:r>
          </w:p>
        </w:tc>
      </w:tr>
      <w:tr>
        <w:trPr>
          <w:trHeight w:val="1324" w:hRule="exact"/>
        </w:trPr>
        <w:tc>
          <w:tcPr>
            <w:cnfStyle w:val="001000100000"/>
            <w:tcW w:w="3080" w:type="dxa"/>
          </w:tcPr>
          <w:p>
            <w:pPr>
              <w:rPr>
                <w:rFonts w:ascii="Verdana" w:hAnsi="Verdana"/>
              </w:rPr>
            </w:pPr>
            <w:r>
              <w:rPr>
                <w:rFonts w:ascii="Verdana" w:hAnsi="Verdana"/>
                <w:lang w:val="en-US"/>
              </w:rPr>
              <w:t>Hand out date:</w:t>
            </w:r>
            <w:r>
              <w:rPr>
                <w:rFonts w:ascii="Verdana" w:hAnsi="Verdana"/>
              </w:rPr>
              <w:t xml:space="preserve"> </w:t>
            </w:r>
            <w:r>
              <w:rPr>
                <w:rFonts w:ascii="Verdana" w:hAnsi="Verdana"/>
                <w:lang w:val="en-US"/>
              </w:rPr>
              <w:t>Week 2 of term</w:t>
            </w:r>
          </w:p>
          <w:p>
            <w:pPr>
              <w:rPr>
                <w:rFonts w:ascii="Verdana" w:cs="Verdana-Bold" w:hAnsi="Verdana"/>
                <w:b/>
                <w:bCs/>
              </w:rPr>
            </w:pPr>
          </w:p>
        </w:tc>
        <w:tc>
          <w:tcPr>
            <w:cnfStyle w:val="000000100000"/>
            <w:tcW w:w="3081" w:type="dxa"/>
            <w:gridSpan w:val="2"/>
          </w:tcPr>
          <w:p>
            <w:pPr>
              <w:rPr>
                <w:rFonts w:ascii="Verdana" w:hAnsi="Verdana"/>
              </w:rPr>
            </w:pPr>
            <w:r>
              <w:rPr>
                <w:rFonts w:ascii="Verdana" w:hAnsi="Verdana"/>
                <w:lang w:val="en-US"/>
              </w:rPr>
              <w:t>S</w:t>
            </w:r>
            <w:r>
              <w:rPr>
                <w:rFonts w:ascii="Verdana" w:hAnsi="Verdana"/>
              </w:rPr>
              <w:t xml:space="preserve">ubmission </w:t>
            </w:r>
            <w:r>
              <w:rPr>
                <w:rFonts w:ascii="Verdana" w:hAnsi="Verdana"/>
                <w:lang w:val="en-US"/>
              </w:rPr>
              <w:t>d</w:t>
            </w:r>
            <w:r>
              <w:rPr>
                <w:rFonts w:ascii="Verdana" w:hAnsi="Verdana"/>
                <w:lang w:val="en-US"/>
              </w:rPr>
              <w:t xml:space="preserve">ead line </w:t>
            </w:r>
            <w:r>
              <w:rPr>
                <w:rFonts w:ascii="Verdana" w:hAnsi="Verdana"/>
              </w:rPr>
              <w:t>date:</w:t>
            </w:r>
            <w:r>
              <w:rPr>
                <w:rFonts w:ascii="Verdana" w:hAnsi="Verdana"/>
                <w:lang w:val="en-US"/>
              </w:rPr>
              <w:t>18/12/</w:t>
            </w:r>
            <w:r>
              <w:rPr>
                <w:rFonts w:ascii="Verdana" w:hAnsi="Verdana"/>
                <w:lang w:val="en-US"/>
              </w:rPr>
              <w:t>2020</w:t>
            </w:r>
          </w:p>
          <w:p>
            <w:pPr>
              <w:rPr>
                <w:rFonts w:ascii="Verdana" w:cs="Verdana-Bold" w:hAnsi="Verdana"/>
                <w:b/>
                <w:bCs/>
              </w:rPr>
            </w:pPr>
          </w:p>
        </w:tc>
        <w:tc>
          <w:tcPr>
            <w:cnfStyle w:val="000000100000"/>
            <w:tcW w:w="3081" w:type="dxa"/>
          </w:tcPr>
          <w:p>
            <w:pPr>
              <w:rPr>
                <w:rFonts w:ascii="Verdana" w:cs="Verdana" w:hAnsi="Verdana"/>
              </w:rPr>
            </w:pPr>
            <w:r>
              <w:rPr>
                <w:rFonts w:ascii="Verdana" w:cs="Verdana" w:hAnsi="Verdana"/>
                <w:lang w:val="en-US"/>
              </w:rPr>
              <w:t>S</w:t>
            </w:r>
            <w:r>
              <w:rPr>
                <w:rFonts w:ascii="Verdana" w:cs="Verdana" w:hAnsi="Verdana"/>
              </w:rPr>
              <w:t>ubmitted on:</w:t>
            </w:r>
            <w:r>
              <w:rPr>
                <w:rFonts w:ascii="Verdana" w:cs="Verdana" w:hAnsi="Verdana"/>
                <w:lang w:val="en-US"/>
              </w:rPr>
              <w:t>18/12/</w:t>
            </w:r>
            <w:r>
              <w:rPr>
                <w:rFonts w:ascii="Verdana" w:cs="Verdana" w:hAnsi="Verdana"/>
                <w:lang w:val="en-US"/>
              </w:rPr>
              <w:t>2020</w:t>
            </w:r>
          </w:p>
          <w:p>
            <w:pPr>
              <w:rPr>
                <w:rFonts w:ascii="Verdana" w:cs="Verdana-Bold" w:hAnsi="Verdana"/>
                <w:b/>
                <w:bCs/>
              </w:rPr>
            </w:pPr>
          </w:p>
        </w:tc>
      </w:tr>
      <w:tr>
        <w:trPr/>
        <w:tc>
          <w:tcPr>
            <w:cnfStyle w:val="001000010000"/>
            <w:tcW w:w="9242" w:type="dxa"/>
            <w:gridSpan w:val="4"/>
          </w:tcPr>
          <w:p>
            <w:pPr>
              <w:rPr>
                <w:rFonts w:ascii="Verdana" w:cs="Verdana-Bold" w:hAnsi="Verdana"/>
                <w:bCs/>
              </w:rPr>
            </w:pPr>
            <w:r>
              <w:rPr>
                <w:rFonts w:ascii="Verdana" w:cs="Verdana-Bold" w:hAnsi="Verdana"/>
                <w:bCs/>
              </w:rPr>
              <w:t>Progra</w:t>
            </w:r>
            <w:r>
              <w:rPr>
                <w:rFonts w:ascii="Verdana" w:cs="Verdana-Bold" w:hAnsi="Verdana"/>
                <w:bCs/>
                <w:lang w:val="en-US"/>
              </w:rPr>
              <w:t>m</w:t>
            </w:r>
            <w:r>
              <w:rPr>
                <w:rFonts w:ascii="Verdana" w:cs="Verdana-Bold" w:hAnsi="Verdana"/>
                <w:bCs/>
                <w:lang w:val="en-US"/>
              </w:rPr>
              <w:t>m</w:t>
            </w:r>
            <w:r>
              <w:rPr>
                <w:rFonts w:ascii="Verdana" w:cs="Verdana-Bold" w:hAnsi="Verdana"/>
                <w:bCs/>
              </w:rPr>
              <w:t>e</w:t>
            </w:r>
            <w:r>
              <w:rPr>
                <w:rFonts w:ascii="Verdana" w:cs="Verdana-Bold" w:hAnsi="Verdana"/>
                <w:bCs/>
                <w:lang w:val="en-US"/>
              </w:rPr>
              <w:t>: BA Business Management</w:t>
            </w:r>
          </w:p>
          <w:p>
            <w:pPr>
              <w:rPr>
                <w:rFonts w:ascii="Verdana" w:cs="Verdana-Bold" w:hAnsi="Verdana"/>
                <w:b/>
                <w:bCs/>
              </w:rPr>
            </w:pPr>
          </w:p>
        </w:tc>
      </w:tr>
      <w:tr>
        <w:trPr/>
        <w:tc>
          <w:tcPr>
            <w:cnfStyle w:val="001000100000"/>
            <w:tcW w:w="9242" w:type="dxa"/>
            <w:gridSpan w:val="4"/>
          </w:tcPr>
          <w:p>
            <w:pPr>
              <w:rPr>
                <w:rFonts w:ascii="Verdana" w:cs="Verdana" w:hAnsi="Verdana"/>
              </w:rPr>
            </w:pPr>
            <w:r>
              <w:rPr>
                <w:rFonts w:ascii="Verdana" w:cs="Verdana" w:hAnsi="Verdana"/>
              </w:rPr>
              <w:t xml:space="preserve">Unit: </w:t>
            </w:r>
            <w:r>
              <w:rPr>
                <w:rFonts w:ascii="Verdana" w:cs="Verdana" w:hAnsi="Verdana"/>
                <w:lang w:val="en-US"/>
              </w:rPr>
              <w:t>LCBB4002</w:t>
            </w:r>
          </w:p>
          <w:p>
            <w:pPr>
              <w:rPr>
                <w:rFonts w:ascii="Verdana" w:cs="Verdana" w:hAnsi="Verdana"/>
              </w:rPr>
            </w:pPr>
          </w:p>
        </w:tc>
      </w:tr>
      <w:tr>
        <w:trPr>
          <w:trHeight w:val="754"/>
        </w:trPr>
        <w:tc>
          <w:tcPr>
            <w:cnfStyle w:val="001000010000"/>
            <w:tcW w:w="9242" w:type="dxa"/>
            <w:gridSpan w:val="4"/>
          </w:tcPr>
          <w:p>
            <w:pPr>
              <w:rPr>
                <w:rFonts w:ascii="Verdana" w:cs="Verdana-Bold" w:hAnsi="Verdana"/>
                <w:b/>
                <w:bCs/>
                <w:sz w:val="24"/>
              </w:rPr>
            </w:pPr>
            <w:r>
              <w:rPr>
                <w:rFonts w:ascii="Verdana" w:cs="Verdana" w:hAnsi="Verdana"/>
              </w:rPr>
              <w:t>Assignment</w:t>
            </w:r>
            <w:r>
              <w:rPr>
                <w:rFonts w:ascii="Verdana" w:cs="Verdana" w:hAnsi="Verdana"/>
              </w:rPr>
              <w:t xml:space="preserve">  title:</w:t>
            </w:r>
            <w:r>
              <w:t xml:space="preserve"> </w:t>
            </w:r>
            <w:r>
              <w:rPr>
                <w:lang w:val="en-US"/>
              </w:rPr>
              <w:t>Community Engagement</w:t>
            </w:r>
            <w:r>
              <w:rPr>
                <w:sz w:val="24"/>
                <w:lang w:val="en-US"/>
              </w:rPr>
              <w:t>- Assessment 2</w:t>
            </w:r>
          </w:p>
        </w:tc>
      </w:tr>
    </w:tbl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lato"/>
          <w:color w:val="000000"/>
          <w:sz w:val="32"/>
          <w:rtl w:val="off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lato"/>
          <w:color w:val="000000"/>
          <w:sz w:val="32"/>
          <w:rtl w:val="off"/>
          <w:lang w:val="en-US"/>
        </w:rPr>
      </w:pPr>
    </w:p>
    <w:p>
      <w:pPr>
        <w:rPr>
          <w:rFonts w:ascii="Verdana" w:cs="Verdana-Bold" w:hAnsi="Verdana"/>
          <w:b/>
          <w:bCs/>
        </w:rPr>
      </w:pPr>
      <w:r>
        <w:rPr>
          <w:rFonts w:ascii="Verdana" w:cs="Verdana-Bold" w:hAnsi="Verdana"/>
          <w:b/>
          <w:bCs/>
        </w:rPr>
        <w:t>Learner declaration</w:t>
      </w:r>
    </w:p>
    <w:p>
      <w:pPr>
        <w:rPr>
          <w:rFonts w:ascii="Verdana" w:cs="Verdana-Bold" w:hAnsi="Verdana"/>
          <w:b/>
          <w:bCs/>
        </w:rPr>
      </w:pPr>
    </w:p>
    <w:p>
      <w:pPr>
        <w:rPr>
          <w:rFonts w:ascii="Verdana" w:cs="Verdana" w:hAnsi="Verdana"/>
        </w:rPr>
      </w:pPr>
      <w:r>
        <w:rPr>
          <w:rFonts w:ascii="Verdana" w:cs="Verdana" w:hAnsi="Verdana"/>
        </w:rPr>
        <w:t xml:space="preserve">I </w:t>
      </w:r>
      <w:r>
        <w:rPr>
          <w:rFonts w:ascii="Verdana" w:cs="Verdana" w:hAnsi="Verdana"/>
          <w:lang w:val="en-US"/>
        </w:rPr>
        <w:t xml:space="preserve">confirm </w:t>
      </w:r>
      <w:r>
        <w:rPr>
          <w:rFonts w:ascii="Verdana" w:cs="Verdana" w:hAnsi="Verdana"/>
        </w:rPr>
        <w:t>that the work submitted for this assig</w:t>
      </w:r>
      <w:r>
        <w:rPr>
          <w:rFonts w:ascii="Verdana" w:cs="Verdana" w:hAnsi="Verdana"/>
        </w:rPr>
        <w:t xml:space="preserve">nment is my own. I have clearly </w:t>
      </w:r>
      <w:r>
        <w:rPr>
          <w:rFonts w:ascii="Verdana" w:cs="Verdana" w:hAnsi="Verdana"/>
        </w:rPr>
        <w:t>referenced any sources used in the work. I understand t</w:t>
      </w:r>
      <w:r>
        <w:rPr>
          <w:rFonts w:ascii="Verdana" w:cs="Verdana" w:hAnsi="Verdana"/>
        </w:rPr>
        <w:t xml:space="preserve">hat false declaration is a form </w:t>
      </w:r>
      <w:r>
        <w:rPr>
          <w:rFonts w:ascii="Verdana" w:cs="Verdana" w:hAnsi="Verdana"/>
        </w:rPr>
        <w:t>of malpractice.</w:t>
      </w:r>
    </w:p>
    <w:p>
      <w:pPr>
        <w:rPr>
          <w:rFonts w:ascii="Verdana" w:cs="Verdana" w:hAnsi="Verdana"/>
        </w:rPr>
      </w:pPr>
    </w:p>
    <w:p>
      <w:pPr>
        <w:rPr>
          <w:rFonts w:ascii="Verdana" w:cs="Verdana" w:hAnsi="Verdana"/>
        </w:rPr>
      </w:pPr>
      <w:r>
        <w:rPr>
          <w:rFonts w:ascii="Verdana" w:cs="Verdana" w:hAnsi="Verdana"/>
        </w:rPr>
        <w:t xml:space="preserve">Learner signature: </w:t>
      </w:r>
      <w:r>
        <w:rPr>
          <w:rFonts w:ascii="Verdana" w:cs="Verdana" w:hAnsi="Verdana"/>
        </w:rPr>
        <w:t xml:space="preserve">  </w:t>
      </w:r>
      <w:r>
        <w:rPr>
          <w:rFonts w:ascii="Verdana" w:cs="Verdana" w:hAnsi="Verdana"/>
        </w:rPr>
        <w:drawing>
          <wp:inline>
            <wp:extent cx="1113790" cy="98234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a:uri="http://schemas.openxmlformats.org/drawingml/2006/picture">
                <pic:pic xmlns:pic="http://schemas.openxmlformats.org/drawingml/2006/picture">
                  <pic:nvPicPr>
                    <pic:cNvPr id="0" name="picture.jp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113790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Verdana" w:cs="Verdana" w:hAnsi="Verdana"/>
        </w:rPr>
        <w:t xml:space="preserve">                                                         Date:</w:t>
      </w:r>
      <w:r>
        <w:rPr>
          <w:rFonts w:ascii="Verdana" w:cs="Verdana" w:hAnsi="Verdana"/>
          <w:lang w:val="en-US"/>
        </w:rPr>
        <w:t>18</w:t>
      </w:r>
      <w:r>
        <w:rPr>
          <w:rFonts w:ascii="Verdana" w:cs="Verdana" w:hAnsi="Verdana"/>
          <w:lang w:val="en-US"/>
        </w:rPr>
        <w:t>/12/2020</w:t>
      </w:r>
    </w:p>
    <w:p>
      <w:pPr>
        <w:rPr>
          <w:rFonts w:ascii="Verdana" w:cs="Verdana" w:hAnsi="Verdana"/>
        </w:rPr>
      </w:pPr>
    </w:p>
    <w:p>
      <w:pPr>
        <w:rPr>
          <w:rFonts w:ascii="Verdana" w:cs="Verdana" w:hAnsi="Verdana"/>
        </w:rPr>
      </w:pPr>
    </w:p>
    <w:p>
      <w:pPr>
        <w:rPr>
          <w:rFonts w:ascii="Verdana" w:cs="Verdana" w:hAnsi="Verdana"/>
        </w:rPr>
      </w:pPr>
    </w:p>
    <w:p>
      <w:pPr>
        <w:rPr>
          <w:rFonts w:ascii="Verdana" w:cs="Verdana" w:hAnsi="Verdana"/>
          <w:sz w:val="32"/>
          <w:lang w:val="en-US"/>
        </w:rPr>
      </w:pPr>
      <w:r>
        <w:rPr>
          <w:rFonts w:ascii="Verdana" w:cs="Verdana" w:hAnsi="Verdana"/>
          <w:sz w:val="32"/>
          <w:lang w:val="en-US"/>
        </w:rPr>
        <w:t>Introduction....................................</w:t>
      </w:r>
    </w:p>
    <w:p>
      <w:pPr>
        <w:rPr>
          <w:rFonts w:ascii="Verdana" w:cs="Verdana" w:hAnsi="Verdana"/>
          <w:sz w:val="32"/>
        </w:rPr>
      </w:pPr>
      <w:r>
        <w:rPr>
          <w:rFonts w:ascii="Verdana" w:cs="Verdana" w:hAnsi="Verdana"/>
          <w:sz w:val="32"/>
          <w:lang w:val="en-US"/>
        </w:rPr>
        <w:t>Reflection.......................................</w:t>
      </w:r>
    </w:p>
    <w:p>
      <w:pPr>
        <w:rPr>
          <w:rFonts w:ascii="Verdana" w:cs="Verdana" w:hAnsi="Verdana"/>
          <w:sz w:val="32"/>
        </w:rPr>
      </w:pPr>
      <w:r>
        <w:rPr>
          <w:rFonts w:ascii="Verdana" w:cs="Verdana" w:hAnsi="Verdana"/>
          <w:sz w:val="32"/>
          <w:lang w:val="en-US"/>
        </w:rPr>
        <w:t>Conclusion......................................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2"/>
        </w:rPr>
      </w:pPr>
      <w:r>
        <w:rPr>
          <w:rFonts w:ascii="Verdana" w:cs="Verdana" w:hAnsi="Verdana"/>
          <w:sz w:val="32"/>
          <w:lang w:val="en-US"/>
        </w:rPr>
        <w:t>References......................................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2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2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2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2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2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2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22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30"/>
        </w:rPr>
      </w:pPr>
      <w:r>
        <w:rPr>
          <w:rFonts w:ascii="Bahnschrift Light" w:cs="Bahnschrift Light" w:hAnsi="Bahnschrift Light"/>
          <w:sz w:val="32"/>
          <w:lang w:val="en-US"/>
        </w:rPr>
        <w:t>Introduction....................................................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30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Poor sanitation water is a threat to public health worldwide, putting people at risk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of a host of diarrheal and other diseases as well as chemical contamination. </w:t>
      </w:r>
      <w:r>
        <w:rPr>
          <w:rFonts w:ascii="open sans"/>
          <w:color w:val="000000"/>
          <w:sz w:val="24"/>
          <w:rtl w:val="off"/>
          <w:lang w:val="en-US"/>
        </w:rPr>
        <w:t xml:space="preserve">In the developing world, unsanitary water </w:t>
      </w:r>
      <w:r>
        <w:rPr>
          <w:rFonts w:ascii="open sans"/>
          <w:color w:val="000000"/>
          <w:sz w:val="24"/>
          <w:rtl w:val="off"/>
          <w:lang w:val="en-US"/>
        </w:rPr>
        <w:t xml:space="preserve">has especially devastating effects on young kids. </w:t>
      </w:r>
      <w:r>
        <w:rPr>
          <w:rFonts w:ascii="open sans"/>
          <w:color w:val="000000"/>
          <w:sz w:val="24"/>
          <w:rtl w:val="off"/>
          <w:lang w:val="en-US"/>
        </w:rPr>
        <w:t xml:space="preserve">Each year, &gt; 2 million people die of </w:t>
      </w:r>
      <w:r>
        <w:rPr>
          <w:rFonts w:ascii="open sans"/>
          <w:color w:val="000000"/>
          <w:sz w:val="24"/>
          <w:rtl w:val="off"/>
          <w:lang w:val="en-US"/>
        </w:rPr>
        <w:t>diarrheal disease, mainly children under 5 years of age .</w:t>
      </w:r>
      <w:r>
        <w:rPr>
          <w:rFonts w:ascii="open sans"/>
          <w:color w:val="000000"/>
          <w:sz w:val="24"/>
          <w:rtl w:val="off"/>
          <w:lang w:val="en-US"/>
        </w:rPr>
        <w:t xml:space="preserve">Diarrheal disease accounted for 17 percent of all deaths from 2000 to 2003 for children in </w:t>
      </w:r>
      <w:r>
        <w:rPr>
          <w:rFonts w:ascii="open sans"/>
          <w:color w:val="000000"/>
          <w:sz w:val="24"/>
          <w:rtl w:val="off"/>
          <w:lang w:val="en-US"/>
        </w:rPr>
        <w:t xml:space="preserve">this age group, ranking third among causes of death, after neonatal causes and acute respiratory infections. </w:t>
      </w:r>
      <w:r>
        <w:rPr>
          <w:rFonts w:ascii="open sans"/>
          <w:color w:val="000000"/>
          <w:sz w:val="24"/>
          <w:rtl w:val="off"/>
          <w:lang w:val="en-US"/>
        </w:rPr>
        <w:t xml:space="preserve">Malnutrition and reduced physical and cognitive growth </w:t>
      </w:r>
      <w:r>
        <w:rPr>
          <w:rFonts w:ascii="open sans"/>
          <w:color w:val="000000"/>
          <w:sz w:val="24"/>
          <w:rtl w:val="off"/>
          <w:lang w:val="en-US"/>
        </w:rPr>
        <w:t>may also result in extreme, chronic diarrheal disease.</w:t>
      </w:r>
      <w:r>
        <w:rPr>
          <w:rFonts w:ascii="open sans"/>
          <w:color w:val="000000"/>
          <w:sz w:val="24"/>
          <w:rtl w:val="off"/>
          <w:lang w:val="en-US"/>
        </w:rPr>
        <w:t xml:space="preserve">Almost 90% of diarrhea-related deaths are due to unsafe or inadequate sources of </w:t>
      </w:r>
      <w:r>
        <w:rPr>
          <w:rFonts w:ascii="open sans"/>
          <w:color w:val="000000"/>
          <w:sz w:val="24"/>
          <w:rtl w:val="off"/>
          <w:lang w:val="en-US"/>
        </w:rPr>
        <w:t xml:space="preserve">water and sanitation, conditions that affect a significant portion of the world's population.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An estimated 1.1 billion people lack access to clean water (one sixth </w:t>
      </w:r>
      <w:r>
        <w:rPr>
          <w:rFonts w:ascii="open sans"/>
          <w:color w:val="000000"/>
          <w:sz w:val="24"/>
          <w:rtl w:val="off"/>
          <w:lang w:val="en-US"/>
        </w:rPr>
        <w:t>of the world's population) and 2.6 billion lack access to proper sanitation.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30"/>
          <w:lang w:val="en-US"/>
        </w:rPr>
      </w:pPr>
      <w:r>
        <w:rPr>
          <w:rFonts w:ascii="Segoe UI"/>
          <w:color w:val="000000"/>
          <w:sz w:val="32"/>
          <w:lang w:val="en-US"/>
        </w:rPr>
        <w:t>Reflection.....................................................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30"/>
          <w:lang w:val="en-US"/>
        </w:rPr>
      </w:pPr>
      <w:r>
        <w:rPr>
          <w:rFonts w:ascii="Segoe UI"/>
          <w:color w:val="000000"/>
          <w:sz w:val="30"/>
          <w:lang w:val="en-US"/>
        </w:rPr>
        <w:br w:type="textWrapping"/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30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In the 2000 Millennium Summit of the United Nations (UN), the Member States adopted a set of 8 priorities and </w:t>
      </w:r>
      <w:r>
        <w:rPr>
          <w:rFonts w:ascii="open sans"/>
          <w:color w:val="000000"/>
          <w:sz w:val="24"/>
          <w:rtl w:val="off"/>
          <w:lang w:val="en-US"/>
        </w:rPr>
        <w:t>associated objectives and metrics aimed at helping to end human poverty and its implications.</w:t>
      </w:r>
      <w:r>
        <w:rPr>
          <w:rFonts w:ascii="open sans"/>
          <w:color w:val="000000"/>
          <w:sz w:val="24"/>
          <w:rtl w:val="off"/>
          <w:lang w:val="en-US"/>
        </w:rPr>
        <w:t xml:space="preserve">The Millennium Development Goals include a call to halve the proportion of people </w:t>
      </w:r>
      <w:r>
        <w:rPr>
          <w:rFonts w:ascii="open sans"/>
          <w:color w:val="000000"/>
          <w:sz w:val="24"/>
          <w:rtl w:val="off"/>
          <w:lang w:val="en-US"/>
        </w:rPr>
        <w:t xml:space="preserve">without sustainable access to clean drinking water and basic sanitation by the year 2015. </w:t>
      </w:r>
      <w:r>
        <w:rPr>
          <w:rFonts w:ascii="open sans"/>
          <w:color w:val="000000"/>
          <w:sz w:val="24"/>
          <w:rtl w:val="off"/>
          <w:lang w:val="en-US"/>
        </w:rPr>
        <w:t xml:space="preserve">Although some progress has been made, </w:t>
      </w:r>
      <w:r>
        <w:rPr>
          <w:rFonts w:ascii="open sans"/>
          <w:color w:val="000000"/>
          <w:sz w:val="24"/>
          <w:rtl w:val="off"/>
          <w:lang w:val="en-US"/>
        </w:rPr>
        <w:t>a great deal remains to be done.</w:t>
      </w:r>
      <w:r>
        <w:rPr>
          <w:rFonts w:ascii="open sans"/>
          <w:color w:val="000000"/>
          <w:sz w:val="24"/>
          <w:rtl w:val="off"/>
          <w:lang w:val="en-US"/>
        </w:rPr>
        <w:t xml:space="preserve">"To this end, the "International Decade for Action: Water for Life 2005-2015" was launched by the UN in March 2005. A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UN Millennium Project Task Force has identified 5 guiding principles and 10 steps required to accelerate efforts to achieve the goals </w:t>
      </w:r>
      <w:r>
        <w:rPr>
          <w:rFonts w:ascii="open sans"/>
          <w:color w:val="000000"/>
          <w:sz w:val="24"/>
          <w:rtl w:val="off"/>
          <w:lang w:val="en-US"/>
        </w:rPr>
        <w:t xml:space="preserve">. </w:t>
      </w:r>
      <w:r>
        <w:rPr>
          <w:rFonts w:ascii="open sans"/>
          <w:color w:val="000000"/>
          <w:sz w:val="24"/>
          <w:rtl w:val="off"/>
          <w:lang w:val="en-US"/>
        </w:rPr>
        <w:t xml:space="preserve">It will also be an important part of this phase to draw on </w:t>
      </w:r>
      <w:r>
        <w:rPr>
          <w:rFonts w:ascii="open sans"/>
          <w:color w:val="000000"/>
          <w:sz w:val="24"/>
          <w:rtl w:val="off"/>
          <w:lang w:val="en-US"/>
        </w:rPr>
        <w:t>lessons learned from the previous International Drinking Water and Sanitation Decade during the 1980s.</w:t>
      </w:r>
      <w:r>
        <w:rPr>
          <w:rFonts w:ascii="open sans"/>
          <w:color w:val="000000"/>
          <w:sz w:val="24"/>
          <w:rtl w:val="off"/>
          <w:lang w:val="en-US"/>
        </w:rPr>
        <w:t xml:space="preserve">Progress in achieving these goals would help to achieve the other 7 Millennium Development Goals, improve the productivity of the workforce, and </w:t>
      </w:r>
      <w:r>
        <w:rPr>
          <w:rFonts w:ascii="open sans"/>
          <w:color w:val="000000"/>
          <w:sz w:val="24"/>
          <w:rtl w:val="off"/>
          <w:lang w:val="en-US"/>
        </w:rPr>
        <w:t xml:space="preserve">dramatically reduce the amount of time women and children spend gathering and storing water, allowing them to undertake other productive and educational activities. </w:t>
      </w:r>
      <w:r>
        <w:rPr>
          <w:rFonts w:ascii="open sans"/>
          <w:color w:val="000000"/>
          <w:sz w:val="24"/>
          <w:rtl w:val="off"/>
          <w:lang w:val="en-US"/>
        </w:rPr>
        <w:t xml:space="preserve">In addition, the accomplishment of these targets would be a </w:t>
      </w:r>
      <w:r>
        <w:rPr>
          <w:rFonts w:ascii="open sans"/>
          <w:color w:val="000000"/>
          <w:sz w:val="24"/>
          <w:rtl w:val="off"/>
          <w:lang w:val="en-US"/>
        </w:rPr>
        <w:t>significant step towards breaking the cycle of poverty and illness.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It is important to introduce and analyze </w:t>
      </w:r>
      <w:r>
        <w:rPr>
          <w:rFonts w:ascii="open sans"/>
          <w:color w:val="000000"/>
          <w:sz w:val="24"/>
          <w:rtl w:val="off"/>
          <w:lang w:val="en-US"/>
        </w:rPr>
        <w:t xml:space="preserve">innovative approaches to improving water, sanitation and hygiene. </w:t>
      </w:r>
      <w:r>
        <w:rPr>
          <w:rFonts w:ascii="open sans"/>
          <w:color w:val="000000"/>
          <w:sz w:val="24"/>
          <w:rtl w:val="off"/>
          <w:lang w:val="en-US"/>
        </w:rPr>
        <w:t xml:space="preserve">A number of studies have shown that measures such as point-of-use water disinfection and educational campaigns </w:t>
      </w:r>
      <w:r>
        <w:rPr>
          <w:rFonts w:ascii="open sans"/>
          <w:color w:val="000000"/>
          <w:sz w:val="24"/>
          <w:rtl w:val="off"/>
          <w:lang w:val="en-US"/>
        </w:rPr>
        <w:t>to improve personal- hygiene help reduce the incidence of illnesses in a variety of geographic settings.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rtl w:val="off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The importance of adapting such approaches to </w:t>
      </w:r>
      <w:r>
        <w:rPr>
          <w:rFonts w:ascii="open sans"/>
          <w:color w:val="000000"/>
          <w:sz w:val="24"/>
          <w:rtl w:val="off"/>
          <w:lang w:val="en-US"/>
        </w:rPr>
        <w:t xml:space="preserve">local conditions is also illustrated by these studies. </w:t>
      </w:r>
      <w:r>
        <w:rPr>
          <w:rFonts w:ascii="open sans"/>
          <w:color w:val="000000"/>
          <w:sz w:val="24"/>
          <w:rtl w:val="off"/>
          <w:lang w:val="en-US"/>
        </w:rPr>
        <w:t xml:space="preserve">For example, a recent study found that household use of a flocculant disinfectant preparation helped reduce the prevalence of </w:t>
      </w:r>
      <w:r>
        <w:rPr>
          <w:rFonts w:ascii="open sans"/>
          <w:color w:val="000000"/>
          <w:sz w:val="24"/>
          <w:rtl w:val="off"/>
          <w:lang w:val="en-US"/>
        </w:rPr>
        <w:t>diarrhea in children &lt;2 years of age in an area in rural western Kenya that had turbid source water.</w:t>
      </w:r>
      <w:r>
        <w:rPr>
          <w:rFonts w:ascii="open sans"/>
          <w:color w:val="000000"/>
          <w:sz w:val="24"/>
          <w:rtl w:val="off"/>
          <w:lang w:val="en-US"/>
        </w:rPr>
        <w:t xml:space="preserve">Studies have shown that hand washing with soap decreased the prevalence of diarrhea in all age groups and reduced the </w:t>
      </w:r>
      <w:r>
        <w:rPr>
          <w:rFonts w:ascii="open sans"/>
          <w:color w:val="000000"/>
          <w:sz w:val="24"/>
          <w:rtl w:val="off"/>
          <w:lang w:val="en-US"/>
        </w:rPr>
        <w:t xml:space="preserve">incidence of diarrhea and pneumonia in children &lt;5 years of age in refugee camps in Africa and urban slums in Asia.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The reduced incidence of pneumonia reported in the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>second study is noteworthy and further study is warranted.</w:t>
      </w:r>
      <w:r>
        <w:rPr>
          <w:rFonts w:ascii="open sans"/>
          <w:color w:val="000000"/>
          <w:sz w:val="24"/>
          <w:rtl w:val="off"/>
          <w:lang w:val="en-US"/>
        </w:rPr>
        <w:t xml:space="preserve">While water interventions have lagged behind those for improving sanitation, promising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advances have been made, especially in the creation of ecological sanitation systems.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Latest experiences with the Asian tsunami and the US Gulf Coast hurricane Katrina are grim </w:t>
      </w:r>
      <w:r>
        <w:rPr>
          <w:rFonts w:ascii="open sans"/>
          <w:color w:val="000000"/>
          <w:sz w:val="24"/>
          <w:rtl w:val="off"/>
          <w:lang w:val="en-US"/>
        </w:rPr>
        <w:t>reminders of the urgent need to fix water and sanitation in the wake of natural disasters.</w:t>
      </w:r>
      <w:r>
        <w:rPr>
          <w:rFonts w:ascii="open sans"/>
          <w:color w:val="000000"/>
          <w:sz w:val="24"/>
          <w:rtl w:val="off"/>
          <w:lang w:val="en-US"/>
        </w:rPr>
        <w:t xml:space="preserve">Currently, the United States ranks last among the 22 member countries of the Organization for International Cooperation and Development (OECD) Development Assistance </w:t>
      </w:r>
      <w:r>
        <w:rPr>
          <w:rFonts w:ascii="open sans"/>
          <w:color w:val="000000"/>
          <w:sz w:val="24"/>
          <w:rtl w:val="off"/>
          <w:lang w:val="en-US"/>
        </w:rPr>
        <w:t xml:space="preserve">Committee in net official development assistance given to developing countries when such assistance is calculated as a percentage of gross national income </w:t>
      </w:r>
      <w:r>
        <w:rPr>
          <w:rFonts w:ascii="open sans"/>
          <w:color w:val="000000"/>
          <w:sz w:val="24"/>
          <w:rtl w:val="off"/>
          <w:lang w:val="en-US"/>
        </w:rPr>
        <w:t xml:space="preserve">. </w:t>
      </w:r>
      <w:r>
        <w:rPr>
          <w:rFonts w:ascii="open sans"/>
          <w:color w:val="000000"/>
          <w:sz w:val="24"/>
          <w:rtl w:val="off"/>
          <w:lang w:val="en-US"/>
        </w:rPr>
        <w:t xml:space="preserve">The political and social climate of today provides </w:t>
      </w:r>
      <w:r>
        <w:rPr>
          <w:rFonts w:ascii="open sans"/>
          <w:color w:val="000000"/>
          <w:sz w:val="24"/>
          <w:rtl w:val="off"/>
          <w:lang w:val="en-US"/>
        </w:rPr>
        <w:t xml:space="preserve">an important opportunity to make this situation better. </w:t>
      </w:r>
      <w:r>
        <w:rPr>
          <w:rFonts w:ascii="open sans"/>
          <w:color w:val="000000"/>
          <w:sz w:val="24"/>
          <w:rtl w:val="off"/>
          <w:lang w:val="en-US"/>
        </w:rPr>
        <w:t xml:space="preserve">As the Dean of the Harvard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>School of Public Health, Barry Bloom, wrote,</w:t>
      </w:r>
      <w:r>
        <w:rPr>
          <w:rFonts w:ascii="open sans"/>
          <w:color w:val="000000"/>
          <w:sz w:val="24"/>
          <w:rtl w:val="off"/>
          <w:lang w:val="en-US"/>
        </w:rPr>
        <w:t xml:space="preserve">"The </w:t>
      </w:r>
      <w:r>
        <w:rPr>
          <w:rFonts w:ascii="open sans"/>
          <w:color w:val="000000"/>
          <w:sz w:val="24"/>
          <w:rtl w:val="off"/>
          <w:lang w:val="en-US"/>
        </w:rPr>
        <w:t xml:space="preserve">United </w:t>
      </w:r>
      <w:r>
        <w:rPr>
          <w:rFonts w:ascii="open sans"/>
          <w:color w:val="000000"/>
          <w:sz w:val="24"/>
          <w:rtl w:val="off"/>
          <w:lang w:val="en-US"/>
        </w:rPr>
        <w:t xml:space="preserve">States </w:t>
      </w:r>
      <w:r>
        <w:rPr>
          <w:rFonts w:ascii="open sans"/>
          <w:color w:val="000000"/>
          <w:sz w:val="24"/>
          <w:rtl w:val="off"/>
          <w:lang w:val="en-US"/>
        </w:rPr>
        <w:t xml:space="preserve">should </w:t>
      </w:r>
      <w:r>
        <w:rPr>
          <w:rFonts w:ascii="open sans"/>
          <w:color w:val="000000"/>
          <w:sz w:val="24"/>
          <w:rtl w:val="off"/>
          <w:lang w:val="en-US"/>
        </w:rPr>
        <w:t xml:space="preserve">be </w:t>
      </w:r>
      <w:r>
        <w:rPr>
          <w:rFonts w:ascii="open sans"/>
          <w:color w:val="000000"/>
          <w:sz w:val="24"/>
          <w:rtl w:val="off"/>
          <w:lang w:val="en-US"/>
        </w:rPr>
        <w:t xml:space="preserve">investing </w:t>
      </w:r>
      <w:r>
        <w:rPr>
          <w:rFonts w:ascii="open sans"/>
          <w:color w:val="000000"/>
          <w:sz w:val="24"/>
          <w:rtl w:val="off"/>
          <w:lang w:val="en-US"/>
        </w:rPr>
        <w:t xml:space="preserve">efforts </w:t>
      </w:r>
      <w:r>
        <w:rPr>
          <w:rFonts w:ascii="open sans"/>
          <w:color w:val="000000"/>
          <w:sz w:val="24"/>
          <w:rtl w:val="off"/>
          <w:lang w:val="en-US"/>
        </w:rPr>
        <w:t xml:space="preserve">and </w:t>
      </w:r>
      <w:r>
        <w:rPr>
          <w:rFonts w:ascii="open sans"/>
          <w:color w:val="000000"/>
          <w:sz w:val="24"/>
          <w:rtl w:val="off"/>
          <w:lang w:val="en-US"/>
        </w:rPr>
        <w:t xml:space="preserve">funds </w:t>
      </w:r>
      <w:r>
        <w:rPr>
          <w:rFonts w:ascii="open sans"/>
          <w:color w:val="000000"/>
          <w:sz w:val="24"/>
          <w:rtl w:val="off"/>
          <w:lang w:val="en-US"/>
        </w:rPr>
        <w:t xml:space="preserve">to </w:t>
      </w:r>
      <w:r>
        <w:rPr>
          <w:rFonts w:ascii="open sans"/>
          <w:color w:val="000000"/>
          <w:sz w:val="24"/>
          <w:rtl w:val="off"/>
          <w:lang w:val="en-US"/>
        </w:rPr>
        <w:t xml:space="preserve">strengthen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health </w:t>
      </w:r>
      <w:r>
        <w:rPr>
          <w:rFonts w:ascii="open sans"/>
          <w:color w:val="000000"/>
          <w:sz w:val="24"/>
          <w:rtl w:val="off"/>
          <w:lang w:val="en-US"/>
        </w:rPr>
        <w:t xml:space="preserve">structures </w:t>
      </w:r>
      <w:r>
        <w:rPr>
          <w:rFonts w:ascii="open sans"/>
          <w:color w:val="000000"/>
          <w:sz w:val="24"/>
          <w:rtl w:val="off"/>
          <w:lang w:val="en-US"/>
        </w:rPr>
        <w:t xml:space="preserve">in </w:t>
      </w:r>
      <w:r>
        <w:rPr>
          <w:rFonts w:ascii="open sans"/>
          <w:color w:val="000000"/>
          <w:sz w:val="24"/>
          <w:rtl w:val="off"/>
          <w:lang w:val="en-US"/>
        </w:rPr>
        <w:t xml:space="preserve">countries </w:t>
      </w:r>
      <w:r>
        <w:rPr>
          <w:rFonts w:ascii="open sans"/>
          <w:color w:val="000000"/>
          <w:sz w:val="24"/>
          <w:rtl w:val="off"/>
          <w:lang w:val="en-US"/>
        </w:rPr>
        <w:t xml:space="preserve">around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>world.</w:t>
      </w:r>
      <w:r>
        <w:rPr>
          <w:rFonts w:ascii="open sans"/>
          <w:color w:val="000000"/>
          <w:sz w:val="24"/>
          <w:rtl w:val="off"/>
          <w:lang w:val="en-US"/>
        </w:rPr>
        <w:t xml:space="preserve">This </w:t>
      </w:r>
      <w:r>
        <w:rPr>
          <w:rFonts w:ascii="open sans"/>
          <w:color w:val="000000"/>
          <w:sz w:val="24"/>
          <w:rtl w:val="off"/>
          <w:lang w:val="en-US"/>
        </w:rPr>
        <w:t xml:space="preserve">investment </w:t>
      </w:r>
      <w:r>
        <w:rPr>
          <w:rFonts w:ascii="open sans"/>
          <w:color w:val="000000"/>
          <w:sz w:val="24"/>
          <w:rtl w:val="off"/>
          <w:lang w:val="en-US"/>
        </w:rPr>
        <w:t xml:space="preserve">would </w:t>
      </w:r>
      <w:r>
        <w:rPr>
          <w:rFonts w:ascii="open sans"/>
          <w:color w:val="000000"/>
          <w:sz w:val="24"/>
          <w:rtl w:val="off"/>
          <w:lang w:val="en-US"/>
        </w:rPr>
        <w:t xml:space="preserve">protect </w:t>
      </w:r>
      <w:r>
        <w:rPr>
          <w:rFonts w:ascii="open sans"/>
          <w:color w:val="000000"/>
          <w:sz w:val="24"/>
          <w:rtl w:val="off"/>
          <w:lang w:val="en-US"/>
        </w:rPr>
        <w:t xml:space="preserve">our </w:t>
      </w:r>
      <w:r>
        <w:rPr>
          <w:rFonts w:ascii="open sans"/>
          <w:color w:val="000000"/>
          <w:sz w:val="24"/>
          <w:rtl w:val="off"/>
          <w:lang w:val="en-US"/>
        </w:rPr>
        <w:t xml:space="preserve">country </w:t>
      </w:r>
      <w:r>
        <w:rPr>
          <w:rFonts w:ascii="open sans"/>
          <w:color w:val="000000"/>
          <w:sz w:val="24"/>
          <w:rtl w:val="off"/>
          <w:lang w:val="en-US"/>
        </w:rPr>
        <w:t xml:space="preserve">and </w:t>
      </w:r>
      <w:r>
        <w:rPr>
          <w:rFonts w:ascii="open sans"/>
          <w:color w:val="000000"/>
          <w:sz w:val="24"/>
          <w:rtl w:val="off"/>
          <w:lang w:val="en-US"/>
        </w:rPr>
        <w:t xml:space="preserve">every </w:t>
      </w:r>
      <w:r>
        <w:rPr>
          <w:rFonts w:ascii="open sans"/>
          <w:color w:val="000000"/>
          <w:sz w:val="24"/>
          <w:rtl w:val="off"/>
          <w:lang w:val="en-US"/>
        </w:rPr>
        <w:t xml:space="preserve">other </w:t>
      </w:r>
      <w:r>
        <w:rPr>
          <w:rFonts w:ascii="open sans"/>
          <w:color w:val="000000"/>
          <w:sz w:val="24"/>
          <w:rtl w:val="off"/>
          <w:lang w:val="en-US"/>
        </w:rPr>
        <w:t xml:space="preserve">against </w:t>
      </w:r>
      <w:r>
        <w:rPr>
          <w:rFonts w:ascii="open sans"/>
          <w:color w:val="000000"/>
          <w:sz w:val="24"/>
          <w:rtl w:val="off"/>
          <w:lang w:val="en-US"/>
        </w:rPr>
        <w:t xml:space="preserve">global </w:t>
      </w:r>
      <w:r>
        <w:rPr>
          <w:rFonts w:ascii="open sans"/>
          <w:color w:val="000000"/>
          <w:sz w:val="24"/>
          <w:rtl w:val="off"/>
          <w:lang w:val="en-US"/>
        </w:rPr>
        <w:t xml:space="preserve">epidemics, </w:t>
      </w:r>
      <w:r>
        <w:rPr>
          <w:rFonts w:ascii="open sans"/>
          <w:color w:val="000000"/>
          <w:sz w:val="24"/>
          <w:rtl w:val="off"/>
          <w:lang w:val="en-US"/>
        </w:rPr>
        <w:t xml:space="preserve">save </w:t>
      </w:r>
      <w:r>
        <w:rPr>
          <w:rFonts w:ascii="open sans"/>
          <w:color w:val="000000"/>
          <w:sz w:val="24"/>
          <w:rtl w:val="off"/>
          <w:lang w:val="en-US"/>
        </w:rPr>
        <w:t xml:space="preserve">million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lives, </w:t>
      </w:r>
      <w:r>
        <w:rPr>
          <w:rFonts w:ascii="open sans"/>
          <w:color w:val="000000"/>
          <w:sz w:val="24"/>
          <w:rtl w:val="off"/>
          <w:lang w:val="en-US"/>
        </w:rPr>
        <w:t xml:space="preserve">and </w:t>
      </w:r>
      <w:r>
        <w:rPr>
          <w:rFonts w:ascii="open sans"/>
          <w:color w:val="000000"/>
          <w:sz w:val="24"/>
          <w:rtl w:val="off"/>
          <w:lang w:val="en-US"/>
        </w:rPr>
        <w:t xml:space="preserve">change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US </w:t>
      </w:r>
      <w:r>
        <w:rPr>
          <w:rFonts w:ascii="open sans"/>
          <w:color w:val="000000"/>
          <w:sz w:val="24"/>
          <w:rtl w:val="off"/>
          <w:lang w:val="en-US"/>
        </w:rPr>
        <w:t xml:space="preserve">image </w:t>
      </w:r>
      <w:r>
        <w:rPr>
          <w:rFonts w:ascii="open sans"/>
          <w:color w:val="000000"/>
          <w:sz w:val="24"/>
          <w:rtl w:val="off"/>
          <w:lang w:val="en-US"/>
        </w:rPr>
        <w:t xml:space="preserve">from </w:t>
      </w:r>
      <w:r>
        <w:rPr>
          <w:rFonts w:ascii="open sans"/>
          <w:color w:val="000000"/>
          <w:sz w:val="24"/>
          <w:rtl w:val="off"/>
          <w:lang w:val="en-US"/>
        </w:rPr>
        <w:t xml:space="preserve">one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self </w:t>
      </w:r>
      <w:r>
        <w:rPr>
          <w:rFonts w:ascii="open sans"/>
          <w:color w:val="000000"/>
          <w:sz w:val="24"/>
          <w:rtl w:val="off"/>
          <w:lang w:val="en-US"/>
        </w:rPr>
        <w:t xml:space="preserve">interest </w:t>
      </w:r>
      <w:r>
        <w:rPr>
          <w:rFonts w:ascii="open sans"/>
          <w:color w:val="000000"/>
          <w:sz w:val="24"/>
          <w:rtl w:val="off"/>
          <w:lang w:val="en-US"/>
        </w:rPr>
        <w:t xml:space="preserve">to </w:t>
      </w:r>
      <w:r>
        <w:rPr>
          <w:rFonts w:ascii="open sans"/>
          <w:color w:val="000000"/>
          <w:sz w:val="24"/>
          <w:rtl w:val="off"/>
          <w:lang w:val="en-US"/>
        </w:rPr>
        <w:t xml:space="preserve">one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human </w:t>
      </w:r>
      <w:r>
        <w:rPr>
          <w:rFonts w:ascii="open sans"/>
          <w:color w:val="000000"/>
          <w:sz w:val="24"/>
          <w:rtl w:val="off"/>
          <w:lang w:val="en-US"/>
        </w:rPr>
        <w:t xml:space="preserve">interest" </w:t>
      </w:r>
      <w:r>
        <w:rPr>
          <w:rFonts w:ascii="open sans"/>
          <w:color w:val="000000"/>
          <w:sz w:val="24"/>
          <w:highlight w:val="white"/>
          <w:rtl w:val="off"/>
          <w:lang w:val="en-US"/>
        </w:rPr>
        <w:t>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Water safety plans (WSPs) for small structures should be built on the basis of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a detailed understanding of the relationship between risk factors and the incidence of pollution. </w:t>
      </w:r>
      <w:r>
        <w:rPr>
          <w:rFonts w:ascii="open sans"/>
          <w:color w:val="000000"/>
          <w:sz w:val="24"/>
          <w:rtl w:val="off"/>
          <w:lang w:val="en-US"/>
        </w:rPr>
        <w:t xml:space="preserve">This can be done by the use of well-designed water quality evaluations that provide clearer evidence </w:t>
      </w:r>
      <w:r>
        <w:rPr>
          <w:rFonts w:ascii="open sans"/>
          <w:color w:val="000000"/>
          <w:sz w:val="24"/>
          <w:rtl w:val="off"/>
          <w:lang w:val="en-US"/>
        </w:rPr>
        <w:t>to support the identification of control steps, performance limits, criteria of monitoring and procedures for verification.</w:t>
      </w:r>
      <w:r>
        <w:rPr>
          <w:rFonts w:ascii="open sans"/>
          <w:color w:val="000000"/>
          <w:sz w:val="24"/>
          <w:rtl w:val="off"/>
          <w:lang w:val="en-US"/>
        </w:rPr>
        <w:t xml:space="preserve">Group operator preparation is vital to the WSP's success and the understanding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obtained from the tests provides a solid foundation for meeting these needs.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The WSP approach means that water quality management is more efficient and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>the use of targeted evaluations is cost-effective in improving the design of WSPs.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In order to resolve these concerns, the Water Protection Plan (WSP) strategy launched by </w:t>
      </w:r>
      <w:r>
        <w:rPr>
          <w:rFonts w:ascii="open sans"/>
          <w:color w:val="000000"/>
          <w:sz w:val="24"/>
          <w:rtl w:val="off"/>
          <w:lang w:val="en-US"/>
        </w:rPr>
        <w:t xml:space="preserve">the World Health Organization (WHO in 2004 is now under development in many developing countries. </w:t>
      </w:r>
      <w:r>
        <w:rPr>
          <w:rFonts w:ascii="open sans"/>
          <w:color w:val="000000"/>
          <w:sz w:val="24"/>
          <w:rtl w:val="off"/>
          <w:lang w:val="en-US"/>
        </w:rPr>
        <w:t xml:space="preserve">The WSP approach was developed by two Italian NGOs within the context </w:t>
      </w:r>
      <w:r>
        <w:rPr>
          <w:rFonts w:ascii="open sans"/>
          <w:color w:val="000000"/>
          <w:sz w:val="24"/>
          <w:rtl w:val="off"/>
          <w:lang w:val="en-US"/>
        </w:rPr>
        <w:t xml:space="preserve">of two cooperation projects implemented in rural areas of Burkina Faso and Senegal </w:t>
      </w:r>
      <w:r>
        <w:rPr>
          <w:rFonts w:ascii="open sans"/>
          <w:color w:val="000000"/>
          <w:sz w:val="24"/>
          <w:highlight w:val="white"/>
          <w:rtl w:val="off"/>
          <w:lang w:val="en-US"/>
        </w:rPr>
        <w:t>(Non-Governmental Organizations).</w:t>
      </w:r>
      <w:r>
        <w:rPr>
          <w:rFonts w:ascii="open sans"/>
          <w:color w:val="000000"/>
          <w:sz w:val="24"/>
          <w:rtl w:val="off"/>
          <w:lang w:val="en-US"/>
        </w:rPr>
        <w:t xml:space="preserve">A questionnaire focused on five separate sustainability elements and a cost and time usage assessment </w:t>
      </w:r>
      <w:r>
        <w:rPr>
          <w:rFonts w:ascii="open sans"/>
          <w:color w:val="000000"/>
          <w:sz w:val="24"/>
          <w:rtl w:val="off"/>
          <w:lang w:val="en-US"/>
        </w:rPr>
        <w:t xml:space="preserve">were carried out and applied in both case studies in order to determine its sustainability. </w:t>
      </w:r>
      <w:r>
        <w:rPr>
          <w:rFonts w:ascii="open sans"/>
          <w:color w:val="000000"/>
          <w:sz w:val="24"/>
          <w:rtl w:val="off"/>
          <w:lang w:val="en-US"/>
        </w:rPr>
        <w:t xml:space="preserve">The findings have shown that the questionnaire can provide a useful and interesting summary </w:t>
      </w:r>
      <w:r>
        <w:rPr>
          <w:rFonts w:ascii="open sans"/>
          <w:color w:val="000000"/>
          <w:sz w:val="24"/>
          <w:rtl w:val="off"/>
          <w:lang w:val="en-US"/>
        </w:rPr>
        <w:t>of the WSP's sustainability, but more field surveys are suggested to collect more details.</w:t>
      </w:r>
      <w:r>
        <w:rPr>
          <w:rFonts w:ascii="open sans"/>
          <w:color w:val="000000"/>
          <w:sz w:val="24"/>
          <w:rtl w:val="off"/>
          <w:lang w:val="en-US"/>
        </w:rPr>
        <w:t xml:space="preserve">Time </w:t>
      </w:r>
      <w:r>
        <w:rPr>
          <w:rFonts w:ascii="open sans"/>
          <w:color w:val="000000"/>
          <w:sz w:val="24"/>
          <w:rtl w:val="off"/>
          <w:lang w:val="en-US"/>
        </w:rPr>
        <w:t xml:space="preserve">and </w:t>
      </w:r>
      <w:r>
        <w:rPr>
          <w:rFonts w:ascii="open sans"/>
          <w:color w:val="000000"/>
          <w:sz w:val="24"/>
          <w:rtl w:val="off"/>
          <w:lang w:val="en-US"/>
        </w:rPr>
        <w:t xml:space="preserve">costs </w:t>
      </w:r>
      <w:r>
        <w:rPr>
          <w:rFonts w:ascii="open sans"/>
          <w:color w:val="000000"/>
          <w:sz w:val="24"/>
          <w:rtl w:val="off"/>
          <w:lang w:val="en-US"/>
        </w:rPr>
        <w:t xml:space="preserve">related </w:t>
      </w:r>
      <w:r>
        <w:rPr>
          <w:rFonts w:ascii="open sans"/>
          <w:color w:val="000000"/>
          <w:sz w:val="24"/>
          <w:rtl w:val="off"/>
          <w:lang w:val="en-US"/>
        </w:rPr>
        <w:t xml:space="preserve">to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growth, </w:t>
      </w:r>
      <w:r>
        <w:rPr>
          <w:rFonts w:ascii="open sans"/>
          <w:color w:val="000000"/>
          <w:sz w:val="24"/>
          <w:rtl w:val="off"/>
          <w:lang w:val="en-US"/>
        </w:rPr>
        <w:t xml:space="preserve">implementation </w:t>
      </w:r>
      <w:r>
        <w:rPr>
          <w:rFonts w:ascii="open sans"/>
          <w:color w:val="000000"/>
          <w:sz w:val="24"/>
          <w:rtl w:val="off"/>
          <w:lang w:val="en-US"/>
        </w:rPr>
        <w:t xml:space="preserve">and </w:t>
      </w:r>
      <w:r>
        <w:rPr>
          <w:rFonts w:ascii="open sans"/>
          <w:color w:val="000000"/>
          <w:sz w:val="24"/>
          <w:rtl w:val="off"/>
          <w:lang w:val="en-US"/>
        </w:rPr>
        <w:t xml:space="preserve">management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WSP </w:t>
      </w:r>
      <w:r>
        <w:rPr>
          <w:rFonts w:ascii="open sans"/>
          <w:color w:val="000000"/>
          <w:sz w:val="24"/>
          <w:rtl w:val="off"/>
          <w:lang w:val="en-US"/>
        </w:rPr>
        <w:t xml:space="preserve">have </w:t>
      </w:r>
      <w:r>
        <w:rPr>
          <w:rFonts w:ascii="open sans"/>
          <w:color w:val="000000"/>
          <w:sz w:val="24"/>
          <w:rtl w:val="off"/>
          <w:lang w:val="en-US"/>
        </w:rPr>
        <w:t xml:space="preserve">been </w:t>
      </w:r>
      <w:r>
        <w:rPr>
          <w:rFonts w:ascii="open sans"/>
          <w:color w:val="000000"/>
          <w:sz w:val="24"/>
          <w:rtl w:val="off"/>
          <w:lang w:val="en-US"/>
        </w:rPr>
        <w:t xml:space="preserve">shown </w:t>
      </w:r>
      <w:r>
        <w:rPr>
          <w:rFonts w:ascii="open sans"/>
          <w:color w:val="000000"/>
          <w:sz w:val="24"/>
          <w:rtl w:val="off"/>
          <w:lang w:val="en-US"/>
        </w:rPr>
        <w:t xml:space="preserve">not </w:t>
      </w:r>
      <w:r>
        <w:rPr>
          <w:rFonts w:ascii="open sans"/>
          <w:color w:val="000000"/>
          <w:sz w:val="24"/>
          <w:rtl w:val="off"/>
          <w:lang w:val="en-US"/>
        </w:rPr>
        <w:t xml:space="preserve">to </w:t>
      </w:r>
      <w:r>
        <w:rPr>
          <w:rFonts w:ascii="open sans"/>
          <w:color w:val="000000"/>
          <w:sz w:val="24"/>
          <w:rtl w:val="off"/>
          <w:lang w:val="en-US"/>
        </w:rPr>
        <w:t xml:space="preserve">be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insignificant </w:t>
      </w:r>
      <w:r>
        <w:rPr>
          <w:rFonts w:ascii="open sans"/>
          <w:color w:val="000000"/>
          <w:sz w:val="24"/>
          <w:rtl w:val="off"/>
          <w:lang w:val="en-US"/>
        </w:rPr>
        <w:t xml:space="preserve">and </w:t>
      </w:r>
      <w:r>
        <w:rPr>
          <w:rFonts w:ascii="open sans"/>
          <w:color w:val="000000"/>
          <w:sz w:val="24"/>
          <w:rtl w:val="off"/>
          <w:lang w:val="en-US"/>
        </w:rPr>
        <w:t xml:space="preserve">above </w:t>
      </w:r>
      <w:r>
        <w:rPr>
          <w:rFonts w:ascii="open sans"/>
          <w:color w:val="000000"/>
          <w:sz w:val="24"/>
          <w:rtl w:val="off"/>
          <w:lang w:val="en-US"/>
        </w:rPr>
        <w:t xml:space="preserve">all, </w:t>
      </w:r>
      <w:r>
        <w:rPr>
          <w:rFonts w:ascii="open sans"/>
          <w:color w:val="000000"/>
          <w:sz w:val="24"/>
          <w:rtl w:val="off"/>
          <w:lang w:val="en-US"/>
        </w:rPr>
        <w:t xml:space="preserve">to </w:t>
      </w:r>
      <w:r>
        <w:rPr>
          <w:rFonts w:ascii="open sans"/>
          <w:color w:val="000000"/>
          <w:sz w:val="24"/>
          <w:rtl w:val="off"/>
          <w:lang w:val="en-US"/>
        </w:rPr>
        <w:t xml:space="preserve">be </w:t>
      </w:r>
      <w:r>
        <w:rPr>
          <w:rFonts w:ascii="open sans"/>
          <w:color w:val="000000"/>
          <w:sz w:val="24"/>
          <w:rtl w:val="off"/>
          <w:lang w:val="en-US"/>
        </w:rPr>
        <w:t xml:space="preserve">heavily </w:t>
      </w:r>
      <w:r>
        <w:rPr>
          <w:rFonts w:ascii="open sans"/>
          <w:color w:val="000000"/>
          <w:sz w:val="24"/>
          <w:rtl w:val="off"/>
          <w:lang w:val="en-US"/>
        </w:rPr>
        <w:t xml:space="preserve">dependent </w:t>
      </w:r>
      <w:r>
        <w:rPr>
          <w:rFonts w:ascii="open sans"/>
          <w:color w:val="000000"/>
          <w:sz w:val="24"/>
          <w:rtl w:val="off"/>
          <w:lang w:val="en-US"/>
        </w:rPr>
        <w:t xml:space="preserve">on </w:t>
      </w:r>
      <w:r>
        <w:rPr>
          <w:rFonts w:ascii="open sans"/>
          <w:color w:val="000000"/>
          <w:sz w:val="24"/>
          <w:rtl w:val="off"/>
          <w:lang w:val="en-US"/>
        </w:rPr>
        <w:t xml:space="preserve">water </w:t>
      </w:r>
      <w:r>
        <w:rPr>
          <w:rFonts w:ascii="open sans"/>
          <w:color w:val="000000"/>
          <w:sz w:val="24"/>
          <w:rtl w:val="off"/>
          <w:lang w:val="en-US"/>
        </w:rPr>
        <w:t xml:space="preserve">quality </w:t>
      </w:r>
      <w:r>
        <w:rPr>
          <w:rFonts w:ascii="open sans"/>
          <w:color w:val="000000"/>
          <w:sz w:val="24"/>
          <w:rtl w:val="off"/>
          <w:lang w:val="en-US"/>
        </w:rPr>
        <w:t xml:space="preserve">and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complexity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water </w:t>
      </w:r>
      <w:r>
        <w:rPr>
          <w:rFonts w:ascii="open sans"/>
          <w:color w:val="000000"/>
          <w:sz w:val="24"/>
          <w:rtl w:val="off"/>
          <w:lang w:val="en-US"/>
        </w:rPr>
        <w:t xml:space="preserve">supply </w:t>
      </w:r>
      <w:r>
        <w:rPr>
          <w:rFonts w:ascii="open sans"/>
          <w:color w:val="000000"/>
          <w:sz w:val="24"/>
          <w:rtl w:val="off"/>
          <w:lang w:val="en-US"/>
        </w:rPr>
        <w:t xml:space="preserve">system.In order to that </w:t>
      </w:r>
      <w:r>
        <w:rPr>
          <w:rFonts w:ascii="open sans"/>
          <w:color w:val="000000"/>
          <w:sz w:val="24"/>
          <w:rtl w:val="off"/>
          <w:lang w:val="en-US"/>
        </w:rPr>
        <w:t xml:space="preserve">due </w:t>
      </w:r>
      <w:r>
        <w:rPr>
          <w:rFonts w:ascii="open sans"/>
          <w:color w:val="000000"/>
          <w:sz w:val="24"/>
          <w:rtl w:val="off"/>
          <w:lang w:val="en-US"/>
        </w:rPr>
        <w:t xml:space="preserve">to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lack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proper </w:t>
      </w:r>
      <w:r>
        <w:rPr>
          <w:rFonts w:ascii="open sans"/>
          <w:color w:val="000000"/>
          <w:sz w:val="24"/>
          <w:rtl w:val="off"/>
          <w:lang w:val="en-US"/>
        </w:rPr>
        <w:t xml:space="preserve">handling </w:t>
      </w:r>
      <w:r>
        <w:rPr>
          <w:rFonts w:ascii="open sans"/>
          <w:color w:val="000000"/>
          <w:sz w:val="24"/>
          <w:rtl w:val="off"/>
          <w:lang w:val="en-US"/>
        </w:rPr>
        <w:t xml:space="preserve">and </w:t>
      </w:r>
      <w:r>
        <w:rPr>
          <w:rFonts w:ascii="open sans"/>
          <w:color w:val="000000"/>
          <w:sz w:val="24"/>
          <w:rtl w:val="off"/>
          <w:lang w:val="en-US"/>
        </w:rPr>
        <w:t xml:space="preserve">hygiene </w:t>
      </w:r>
      <w:r>
        <w:rPr>
          <w:rFonts w:ascii="open sans"/>
          <w:color w:val="000000"/>
          <w:sz w:val="24"/>
          <w:rtl w:val="off"/>
          <w:lang w:val="en-US"/>
        </w:rPr>
        <w:t xml:space="preserve">during </w:t>
      </w:r>
      <w:r>
        <w:rPr>
          <w:rFonts w:ascii="open sans"/>
          <w:color w:val="000000"/>
          <w:sz w:val="24"/>
          <w:rtl w:val="off"/>
          <w:lang w:val="en-US"/>
        </w:rPr>
        <w:t xml:space="preserve">transport </w:t>
      </w:r>
      <w:r>
        <w:rPr>
          <w:rFonts w:ascii="open sans"/>
          <w:color w:val="000000"/>
          <w:sz w:val="24"/>
          <w:rtl w:val="off"/>
          <w:lang w:val="en-US"/>
        </w:rPr>
        <w:t xml:space="preserve">and </w:t>
      </w:r>
      <w:r>
        <w:rPr>
          <w:rFonts w:ascii="open sans"/>
          <w:color w:val="000000"/>
          <w:sz w:val="24"/>
          <w:rtl w:val="off"/>
          <w:lang w:val="en-US"/>
        </w:rPr>
        <w:t xml:space="preserve">storage </w:t>
      </w:r>
      <w:r>
        <w:rPr>
          <w:rFonts w:ascii="open sans"/>
          <w:color w:val="000000"/>
          <w:sz w:val="24"/>
          <w:rtl w:val="off"/>
          <w:lang w:val="en-US"/>
        </w:rPr>
        <w:t xml:space="preserve">phases, </w:t>
      </w:r>
      <w:r>
        <w:rPr>
          <w:rFonts w:ascii="open sans"/>
          <w:color w:val="000000"/>
          <w:sz w:val="24"/>
          <w:rtl w:val="off"/>
          <w:lang w:val="en-US"/>
        </w:rPr>
        <w:t xml:space="preserve">an </w:t>
      </w:r>
      <w:r>
        <w:rPr>
          <w:rFonts w:ascii="open sans"/>
          <w:color w:val="000000"/>
          <w:sz w:val="24"/>
          <w:rtl w:val="off"/>
          <w:lang w:val="en-US"/>
        </w:rPr>
        <w:t xml:space="preserve">uncountable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number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people </w:t>
      </w:r>
      <w:r>
        <w:rPr>
          <w:rFonts w:ascii="open sans"/>
          <w:color w:val="000000"/>
          <w:sz w:val="24"/>
          <w:rtl w:val="off"/>
          <w:lang w:val="en-US"/>
        </w:rPr>
        <w:t xml:space="preserve">drink </w:t>
      </w:r>
      <w:r>
        <w:rPr>
          <w:rFonts w:ascii="open sans"/>
          <w:color w:val="000000"/>
          <w:sz w:val="24"/>
          <w:rtl w:val="off"/>
          <w:lang w:val="en-US"/>
        </w:rPr>
        <w:t xml:space="preserve">potable </w:t>
      </w:r>
      <w:r>
        <w:rPr>
          <w:rFonts w:ascii="open sans"/>
          <w:color w:val="000000"/>
          <w:sz w:val="24"/>
          <w:rtl w:val="off"/>
          <w:lang w:val="en-US"/>
        </w:rPr>
        <w:t xml:space="preserve">water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low </w:t>
      </w:r>
      <w:r>
        <w:rPr>
          <w:rFonts w:ascii="open sans"/>
          <w:color w:val="000000"/>
          <w:sz w:val="24"/>
          <w:rtl w:val="off"/>
          <w:lang w:val="en-US"/>
        </w:rPr>
        <w:t xml:space="preserve">quality </w:t>
      </w:r>
      <w:r>
        <w:rPr>
          <w:rFonts w:ascii="open sans"/>
          <w:color w:val="000000"/>
          <w:sz w:val="24"/>
          <w:rtl w:val="off"/>
          <w:lang w:val="en-US"/>
        </w:rPr>
        <w:t xml:space="preserve">despite </w:t>
      </w:r>
      <w:r>
        <w:rPr>
          <w:rFonts w:ascii="open sans"/>
          <w:color w:val="000000"/>
          <w:sz w:val="24"/>
          <w:rtl w:val="off"/>
          <w:lang w:val="en-US"/>
        </w:rPr>
        <w:t xml:space="preserve">having </w:t>
      </w:r>
      <w:r>
        <w:rPr>
          <w:rFonts w:ascii="open sans"/>
          <w:color w:val="000000"/>
          <w:sz w:val="24"/>
          <w:rtl w:val="off"/>
          <w:lang w:val="en-US"/>
        </w:rPr>
        <w:t xml:space="preserve">access </w:t>
      </w:r>
      <w:r>
        <w:rPr>
          <w:rFonts w:ascii="open sans"/>
          <w:color w:val="000000"/>
          <w:sz w:val="24"/>
          <w:rtl w:val="off"/>
          <w:lang w:val="en-US"/>
        </w:rPr>
        <w:t xml:space="preserve">to </w:t>
      </w:r>
      <w:r>
        <w:rPr>
          <w:rFonts w:ascii="open sans"/>
          <w:color w:val="000000"/>
          <w:sz w:val="24"/>
          <w:rtl w:val="off"/>
          <w:lang w:val="en-US"/>
        </w:rPr>
        <w:t xml:space="preserve">an </w:t>
      </w:r>
      <w:r>
        <w:rPr>
          <w:rFonts w:ascii="open sans"/>
          <w:color w:val="000000"/>
          <w:sz w:val="24"/>
          <w:rtl w:val="off"/>
          <w:lang w:val="en-US"/>
        </w:rPr>
        <w:t xml:space="preserve">improved </w:t>
      </w:r>
      <w:r>
        <w:rPr>
          <w:rFonts w:ascii="open sans"/>
          <w:color w:val="000000"/>
          <w:sz w:val="24"/>
          <w:rtl w:val="off"/>
          <w:lang w:val="en-US"/>
        </w:rPr>
        <w:t>source.</w:t>
      </w:r>
      <w:r>
        <w:rPr>
          <w:rFonts w:ascii="open sans"/>
          <w:color w:val="000000"/>
          <w:sz w:val="24"/>
          <w:rtl w:val="off"/>
          <w:lang w:val="en-US"/>
        </w:rPr>
        <w:t xml:space="preserve">For </w:t>
      </w:r>
      <w:r>
        <w:rPr>
          <w:rFonts w:ascii="open sans"/>
          <w:color w:val="000000"/>
          <w:sz w:val="24"/>
          <w:rtl w:val="off"/>
          <w:lang w:val="en-US"/>
        </w:rPr>
        <w:t xml:space="preserve">these </w:t>
      </w:r>
      <w:r>
        <w:rPr>
          <w:rFonts w:ascii="open sans"/>
          <w:color w:val="000000"/>
          <w:sz w:val="24"/>
          <w:rtl w:val="off"/>
          <w:lang w:val="en-US"/>
        </w:rPr>
        <w:t xml:space="preserve">purposes, </w:t>
      </w:r>
      <w:r>
        <w:rPr>
          <w:rFonts w:ascii="open sans"/>
          <w:color w:val="000000"/>
          <w:sz w:val="24"/>
          <w:rtl w:val="off"/>
          <w:lang w:val="en-US"/>
        </w:rPr>
        <w:t xml:space="preserve">in </w:t>
      </w:r>
      <w:r>
        <w:rPr>
          <w:rFonts w:ascii="open sans"/>
          <w:color w:val="000000"/>
          <w:sz w:val="24"/>
          <w:rtl w:val="off"/>
          <w:lang w:val="en-US"/>
        </w:rPr>
        <w:t xml:space="preserve">order </w:t>
      </w:r>
      <w:r>
        <w:rPr>
          <w:rFonts w:ascii="open sans"/>
          <w:color w:val="000000"/>
          <w:sz w:val="24"/>
          <w:rtl w:val="off"/>
          <w:lang w:val="en-US"/>
        </w:rPr>
        <w:t xml:space="preserve">to </w:t>
      </w:r>
      <w:r>
        <w:rPr>
          <w:rFonts w:ascii="open sans"/>
          <w:color w:val="000000"/>
          <w:sz w:val="24"/>
          <w:rtl w:val="off"/>
          <w:lang w:val="en-US"/>
        </w:rPr>
        <w:t xml:space="preserve">avoid </w:t>
      </w:r>
      <w:r>
        <w:rPr>
          <w:rFonts w:ascii="open sans"/>
          <w:color w:val="000000"/>
          <w:sz w:val="24"/>
          <w:rtl w:val="off"/>
          <w:lang w:val="en-US"/>
        </w:rPr>
        <w:t xml:space="preserve">(or </w:t>
      </w:r>
      <w:r>
        <w:rPr>
          <w:rFonts w:ascii="open sans"/>
          <w:color w:val="000000"/>
          <w:sz w:val="24"/>
          <w:rtl w:val="off"/>
          <w:lang w:val="en-US"/>
        </w:rPr>
        <w:t xml:space="preserve">at </w:t>
      </w:r>
      <w:r>
        <w:rPr>
          <w:rFonts w:ascii="open sans"/>
          <w:color w:val="000000"/>
          <w:sz w:val="24"/>
          <w:rtl w:val="off"/>
          <w:lang w:val="en-US"/>
        </w:rPr>
        <w:t xml:space="preserve">least </w:t>
      </w:r>
      <w:r>
        <w:rPr>
          <w:rFonts w:ascii="open sans"/>
          <w:color w:val="000000"/>
          <w:sz w:val="24"/>
          <w:rtl w:val="off"/>
          <w:lang w:val="en-US"/>
        </w:rPr>
        <w:t xml:space="preserve">minimize) </w:t>
      </w:r>
      <w:r>
        <w:rPr>
          <w:rFonts w:ascii="open sans"/>
          <w:color w:val="000000"/>
          <w:sz w:val="24"/>
          <w:rtl w:val="off"/>
          <w:lang w:val="en-US"/>
        </w:rPr>
        <w:t xml:space="preserve">pollution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drinking </w:t>
      </w:r>
      <w:r>
        <w:rPr>
          <w:rFonts w:ascii="open sans"/>
          <w:color w:val="000000"/>
          <w:sz w:val="24"/>
          <w:rtl w:val="off"/>
          <w:lang w:val="en-US"/>
        </w:rPr>
        <w:t xml:space="preserve">water,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enactment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Water </w:t>
      </w:r>
      <w:r>
        <w:rPr>
          <w:rFonts w:ascii="open sans"/>
          <w:color w:val="000000"/>
          <w:sz w:val="24"/>
          <w:rtl w:val="off"/>
          <w:lang w:val="en-US"/>
        </w:rPr>
        <w:t xml:space="preserve">Safety </w:t>
      </w:r>
      <w:r>
        <w:rPr>
          <w:rFonts w:ascii="open sans"/>
          <w:color w:val="000000"/>
          <w:sz w:val="24"/>
          <w:rtl w:val="off"/>
          <w:lang w:val="en-US"/>
        </w:rPr>
        <w:t xml:space="preserve">Plan </w:t>
      </w:r>
      <w:r>
        <w:rPr>
          <w:rFonts w:ascii="open sans"/>
          <w:color w:val="000000"/>
          <w:sz w:val="24"/>
          <w:rtl w:val="off"/>
          <w:lang w:val="en-US"/>
        </w:rPr>
        <w:t xml:space="preserve">(WSP) </w:t>
      </w:r>
      <w:r>
        <w:rPr>
          <w:rFonts w:ascii="open sans"/>
          <w:color w:val="000000"/>
          <w:sz w:val="24"/>
          <w:rtl w:val="off"/>
          <w:lang w:val="en-US"/>
        </w:rPr>
        <w:t xml:space="preserve">approach </w:t>
      </w:r>
      <w:r>
        <w:rPr>
          <w:rFonts w:ascii="open sans"/>
          <w:color w:val="000000"/>
          <w:sz w:val="24"/>
          <w:rtl w:val="off"/>
          <w:lang w:val="en-US"/>
        </w:rPr>
        <w:t xml:space="preserve">should </w:t>
      </w:r>
      <w:r>
        <w:rPr>
          <w:rFonts w:ascii="open sans"/>
          <w:color w:val="000000"/>
          <w:sz w:val="24"/>
          <w:rtl w:val="off"/>
          <w:lang w:val="en-US"/>
        </w:rPr>
        <w:t xml:space="preserve">be </w:t>
      </w:r>
      <w:r>
        <w:rPr>
          <w:rFonts w:ascii="open sans"/>
          <w:color w:val="000000"/>
          <w:sz w:val="24"/>
          <w:rtl w:val="off"/>
          <w:lang w:val="en-US"/>
        </w:rPr>
        <w:t xml:space="preserve">considered </w:t>
      </w:r>
      <w:r>
        <w:rPr>
          <w:rFonts w:ascii="open sans"/>
          <w:color w:val="000000"/>
          <w:sz w:val="24"/>
          <w:rtl w:val="off"/>
          <w:lang w:val="en-US"/>
        </w:rPr>
        <w:t xml:space="preserve">without </w:t>
      </w:r>
      <w:r>
        <w:rPr>
          <w:rFonts w:ascii="open sans"/>
          <w:color w:val="000000"/>
          <w:sz w:val="24"/>
          <w:rtl w:val="off"/>
          <w:lang w:val="en-US"/>
        </w:rPr>
        <w:t xml:space="preserve">excluding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improvement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adequate </w:t>
      </w:r>
      <w:r>
        <w:rPr>
          <w:rFonts w:ascii="open sans"/>
          <w:color w:val="000000"/>
          <w:sz w:val="24"/>
          <w:rtl w:val="off"/>
          <w:lang w:val="en-US"/>
        </w:rPr>
        <w:t xml:space="preserve">hygiene </w:t>
      </w:r>
      <w:r>
        <w:rPr>
          <w:rFonts w:ascii="open sans"/>
          <w:color w:val="000000"/>
          <w:sz w:val="24"/>
          <w:rtl w:val="off"/>
          <w:lang w:val="en-US"/>
        </w:rPr>
        <w:t xml:space="preserve">and </w:t>
      </w:r>
      <w:r>
        <w:rPr>
          <w:rFonts w:ascii="open sans"/>
          <w:color w:val="000000"/>
          <w:sz w:val="24"/>
          <w:rtl w:val="off"/>
          <w:lang w:val="en-US"/>
        </w:rPr>
        <w:t xml:space="preserve">sanitation </w:t>
      </w:r>
      <w:r>
        <w:rPr>
          <w:rFonts w:ascii="open sans"/>
          <w:color w:val="000000"/>
          <w:sz w:val="24"/>
          <w:rtl w:val="off"/>
          <w:lang w:val="en-US"/>
        </w:rPr>
        <w:t>practices.</w:t>
      </w:r>
      <w:r>
        <w:rPr>
          <w:rFonts w:ascii="open sans"/>
          <w:color w:val="000000"/>
          <w:sz w:val="24"/>
          <w:rtl w:val="off"/>
          <w:lang w:val="en-US"/>
        </w:rPr>
        <w:t xml:space="preserve">With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risk-based </w:t>
      </w:r>
      <w:r>
        <w:rPr>
          <w:rFonts w:ascii="open sans"/>
          <w:color w:val="000000"/>
          <w:sz w:val="24"/>
          <w:rtl w:val="off"/>
          <w:lang w:val="en-US"/>
        </w:rPr>
        <w:t xml:space="preserve">approach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WSP </w:t>
      </w:r>
      <w:r>
        <w:rPr>
          <w:rFonts w:ascii="open sans"/>
          <w:color w:val="000000"/>
          <w:sz w:val="24"/>
          <w:rtl w:val="off"/>
          <w:lang w:val="en-US"/>
        </w:rPr>
        <w:t xml:space="preserve">strategy,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previous </w:t>
      </w:r>
      <w:r>
        <w:rPr>
          <w:rFonts w:ascii="open sans"/>
          <w:color w:val="000000"/>
          <w:sz w:val="24"/>
          <w:rtl w:val="off"/>
          <w:lang w:val="en-US"/>
        </w:rPr>
        <w:t xml:space="preserve">concentration-based </w:t>
      </w:r>
      <w:r>
        <w:rPr>
          <w:rFonts w:ascii="open sans"/>
          <w:color w:val="000000"/>
          <w:sz w:val="24"/>
          <w:rtl w:val="off"/>
          <w:lang w:val="en-US"/>
        </w:rPr>
        <w:t xml:space="preserve">approach, </w:t>
      </w:r>
      <w:r>
        <w:rPr>
          <w:rFonts w:ascii="open sans"/>
          <w:color w:val="000000"/>
          <w:sz w:val="24"/>
          <w:rtl w:val="off"/>
          <w:lang w:val="en-US"/>
        </w:rPr>
        <w:t xml:space="preserve">still </w:t>
      </w:r>
      <w:r>
        <w:rPr>
          <w:rFonts w:ascii="open sans"/>
          <w:color w:val="000000"/>
          <w:sz w:val="24"/>
          <w:rtl w:val="off"/>
          <w:lang w:val="en-US"/>
        </w:rPr>
        <w:t xml:space="preserve">prevalent </w:t>
      </w:r>
      <w:r>
        <w:rPr>
          <w:rFonts w:ascii="open sans"/>
          <w:color w:val="000000"/>
          <w:sz w:val="24"/>
          <w:rtl w:val="off"/>
          <w:lang w:val="en-US"/>
        </w:rPr>
        <w:t xml:space="preserve">globally </w:t>
      </w:r>
      <w:r>
        <w:rPr>
          <w:rFonts w:ascii="open sans"/>
          <w:color w:val="000000"/>
          <w:sz w:val="24"/>
          <w:rtl w:val="off"/>
          <w:lang w:val="en-US"/>
        </w:rPr>
        <w:t xml:space="preserve">and </w:t>
      </w:r>
      <w:r>
        <w:rPr>
          <w:rFonts w:ascii="open sans"/>
          <w:color w:val="000000"/>
          <w:sz w:val="24"/>
          <w:rtl w:val="off"/>
          <w:lang w:val="en-US"/>
        </w:rPr>
        <w:t xml:space="preserve">only </w:t>
      </w:r>
      <w:r>
        <w:rPr>
          <w:rFonts w:ascii="open sans"/>
          <w:color w:val="000000"/>
          <w:sz w:val="24"/>
          <w:rtl w:val="off"/>
          <w:lang w:val="en-US"/>
        </w:rPr>
        <w:t xml:space="preserve">able </w:t>
      </w:r>
      <w:r>
        <w:rPr>
          <w:rFonts w:ascii="open sans"/>
          <w:color w:val="000000"/>
          <w:sz w:val="24"/>
          <w:rtl w:val="off"/>
          <w:lang w:val="en-US"/>
        </w:rPr>
        <w:t xml:space="preserve">to </w:t>
      </w:r>
      <w:r>
        <w:rPr>
          <w:rFonts w:ascii="open sans"/>
          <w:color w:val="000000"/>
          <w:sz w:val="24"/>
          <w:rtl w:val="off"/>
          <w:lang w:val="en-US"/>
        </w:rPr>
        <w:t xml:space="preserve">assess </w:t>
      </w:r>
      <w:r>
        <w:rPr>
          <w:rFonts w:ascii="open sans"/>
          <w:color w:val="000000"/>
          <w:sz w:val="24"/>
          <w:rtl w:val="off"/>
          <w:lang w:val="en-US"/>
        </w:rPr>
        <w:t xml:space="preserve">whether </w:t>
      </w:r>
      <w:r>
        <w:rPr>
          <w:rFonts w:ascii="open sans"/>
          <w:color w:val="000000"/>
          <w:sz w:val="24"/>
          <w:rtl w:val="off"/>
          <w:lang w:val="en-US"/>
        </w:rPr>
        <w:t xml:space="preserve">drinking </w:t>
      </w:r>
      <w:r>
        <w:rPr>
          <w:rFonts w:ascii="open sans"/>
          <w:color w:val="000000"/>
          <w:sz w:val="24"/>
          <w:rtl w:val="off"/>
          <w:lang w:val="en-US"/>
        </w:rPr>
        <w:t xml:space="preserve">water </w:t>
      </w:r>
      <w:r>
        <w:rPr>
          <w:rFonts w:ascii="open sans"/>
          <w:color w:val="000000"/>
          <w:sz w:val="24"/>
          <w:rtl w:val="off"/>
          <w:lang w:val="en-US"/>
        </w:rPr>
        <w:t xml:space="preserve">meets </w:t>
      </w:r>
      <w:r>
        <w:rPr>
          <w:rFonts w:ascii="open sans"/>
          <w:color w:val="000000"/>
          <w:sz w:val="24"/>
          <w:rtl w:val="off"/>
          <w:lang w:val="en-US"/>
        </w:rPr>
        <w:t xml:space="preserve">quality </w:t>
      </w:r>
      <w:r>
        <w:rPr>
          <w:rFonts w:ascii="open sans"/>
          <w:color w:val="000000"/>
          <w:sz w:val="24"/>
          <w:rtl w:val="off"/>
          <w:lang w:val="en-US"/>
        </w:rPr>
        <w:t xml:space="preserve">requirements, </w:t>
      </w:r>
      <w:r>
        <w:rPr>
          <w:rFonts w:ascii="open sans"/>
          <w:color w:val="000000"/>
          <w:sz w:val="24"/>
          <w:rtl w:val="off"/>
          <w:lang w:val="en-US"/>
        </w:rPr>
        <w:t xml:space="preserve">has </w:t>
      </w:r>
      <w:r>
        <w:rPr>
          <w:rFonts w:ascii="open sans"/>
          <w:color w:val="000000"/>
          <w:sz w:val="24"/>
          <w:rtl w:val="off"/>
          <w:lang w:val="en-US"/>
        </w:rPr>
        <w:t xml:space="preserve">been </w:t>
      </w:r>
      <w:r>
        <w:rPr>
          <w:rFonts w:ascii="open sans"/>
          <w:color w:val="000000"/>
          <w:sz w:val="24"/>
          <w:rtl w:val="off"/>
          <w:lang w:val="en-US"/>
        </w:rPr>
        <w:t>overcome.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This </w:t>
      </w:r>
      <w:r>
        <w:rPr>
          <w:rFonts w:ascii="open sans"/>
          <w:color w:val="000000"/>
          <w:sz w:val="24"/>
          <w:rtl w:val="off"/>
          <w:lang w:val="en-US"/>
        </w:rPr>
        <w:t xml:space="preserve">latter </w:t>
      </w:r>
      <w:r>
        <w:rPr>
          <w:rFonts w:ascii="open sans"/>
          <w:color w:val="000000"/>
          <w:sz w:val="24"/>
          <w:rtl w:val="off"/>
          <w:lang w:val="en-US"/>
        </w:rPr>
        <w:t xml:space="preserve">method </w:t>
      </w:r>
      <w:r>
        <w:rPr>
          <w:rFonts w:ascii="open sans"/>
          <w:color w:val="000000"/>
          <w:sz w:val="24"/>
          <w:rtl w:val="off"/>
          <w:lang w:val="en-US"/>
        </w:rPr>
        <w:t xml:space="preserve">may </w:t>
      </w:r>
      <w:r>
        <w:rPr>
          <w:rFonts w:ascii="open sans"/>
          <w:color w:val="000000"/>
          <w:sz w:val="24"/>
          <w:rtl w:val="off"/>
          <w:lang w:val="en-US"/>
        </w:rPr>
        <w:t xml:space="preserve">in </w:t>
      </w:r>
      <w:r>
        <w:rPr>
          <w:rFonts w:ascii="open sans"/>
          <w:color w:val="000000"/>
          <w:sz w:val="24"/>
          <w:rtl w:val="off"/>
          <w:lang w:val="en-US"/>
        </w:rPr>
        <w:t xml:space="preserve">fact, </w:t>
      </w:r>
      <w:r>
        <w:rPr>
          <w:rFonts w:ascii="open sans"/>
          <w:color w:val="000000"/>
          <w:sz w:val="24"/>
          <w:rtl w:val="off"/>
          <w:lang w:val="en-US"/>
        </w:rPr>
        <w:t xml:space="preserve">be </w:t>
      </w:r>
      <w:r>
        <w:rPr>
          <w:rFonts w:ascii="open sans"/>
          <w:color w:val="000000"/>
          <w:sz w:val="24"/>
          <w:rtl w:val="off"/>
          <w:lang w:val="en-US"/>
        </w:rPr>
        <w:t xml:space="preserve">called </w:t>
      </w:r>
      <w:r>
        <w:rPr>
          <w:rFonts w:ascii="open sans"/>
          <w:color w:val="000000"/>
          <w:sz w:val="24"/>
          <w:rtl w:val="off"/>
          <w:lang w:val="en-US"/>
        </w:rPr>
        <w:t xml:space="preserve">proactive </w:t>
      </w:r>
      <w:r>
        <w:rPr>
          <w:rFonts w:ascii="open sans"/>
          <w:color w:val="000000"/>
          <w:sz w:val="24"/>
          <w:rtl w:val="off"/>
          <w:lang w:val="en-US"/>
        </w:rPr>
        <w:t xml:space="preserve">in </w:t>
      </w:r>
      <w:r>
        <w:rPr>
          <w:rFonts w:ascii="open sans"/>
          <w:color w:val="000000"/>
          <w:sz w:val="24"/>
          <w:rtl w:val="off"/>
          <w:lang w:val="en-US"/>
        </w:rPr>
        <w:t xml:space="preserve">that </w:t>
      </w:r>
      <w:r>
        <w:rPr>
          <w:rFonts w:ascii="open sans"/>
          <w:color w:val="000000"/>
          <w:sz w:val="24"/>
          <w:rtl w:val="off"/>
          <w:lang w:val="en-US"/>
        </w:rPr>
        <w:t xml:space="preserve">it </w:t>
      </w:r>
      <w:r>
        <w:rPr>
          <w:rFonts w:ascii="open sans"/>
          <w:color w:val="000000"/>
          <w:sz w:val="24"/>
          <w:rtl w:val="off"/>
          <w:lang w:val="en-US"/>
        </w:rPr>
        <w:t xml:space="preserve">is </w:t>
      </w:r>
      <w:r>
        <w:rPr>
          <w:rFonts w:ascii="open sans"/>
          <w:color w:val="000000"/>
          <w:sz w:val="24"/>
          <w:rtl w:val="off"/>
          <w:lang w:val="en-US"/>
        </w:rPr>
        <w:t xml:space="preserve">capable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preventing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pollution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drinking </w:t>
      </w:r>
      <w:r>
        <w:rPr>
          <w:rFonts w:ascii="open sans"/>
          <w:color w:val="000000"/>
          <w:sz w:val="24"/>
          <w:rtl w:val="off"/>
          <w:lang w:val="en-US"/>
        </w:rPr>
        <w:t xml:space="preserve">water </w:t>
      </w:r>
      <w:r>
        <w:rPr>
          <w:rFonts w:ascii="open sans"/>
          <w:color w:val="000000"/>
          <w:sz w:val="24"/>
          <w:rtl w:val="off"/>
          <w:lang w:val="en-US"/>
        </w:rPr>
        <w:t xml:space="preserve">by </w:t>
      </w:r>
      <w:r>
        <w:rPr>
          <w:rFonts w:ascii="open sans"/>
          <w:color w:val="000000"/>
          <w:sz w:val="24"/>
          <w:rtl w:val="off"/>
          <w:lang w:val="en-US"/>
        </w:rPr>
        <w:t xml:space="preserve">recognizing </w:t>
      </w:r>
      <w:r>
        <w:rPr>
          <w:rFonts w:ascii="open sans"/>
          <w:color w:val="000000"/>
          <w:sz w:val="24"/>
          <w:rtl w:val="off"/>
          <w:lang w:val="en-US"/>
        </w:rPr>
        <w:t xml:space="preserve">all </w:t>
      </w:r>
      <w:r>
        <w:rPr>
          <w:rFonts w:ascii="open sans"/>
          <w:color w:val="000000"/>
          <w:sz w:val="24"/>
          <w:rtl w:val="off"/>
          <w:lang w:val="en-US"/>
        </w:rPr>
        <w:t xml:space="preserve">potential </w:t>
      </w:r>
      <w:r>
        <w:rPr>
          <w:rFonts w:ascii="open sans"/>
          <w:color w:val="000000"/>
          <w:sz w:val="24"/>
          <w:rtl w:val="off"/>
          <w:lang w:val="en-US"/>
        </w:rPr>
        <w:t xml:space="preserve">harmful </w:t>
      </w:r>
      <w:r>
        <w:rPr>
          <w:rFonts w:ascii="open sans"/>
          <w:color w:val="000000"/>
          <w:sz w:val="24"/>
          <w:rtl w:val="off"/>
          <w:lang w:val="en-US"/>
        </w:rPr>
        <w:t xml:space="preserve">incidents, </w:t>
      </w:r>
      <w:r>
        <w:rPr>
          <w:rFonts w:ascii="open sans"/>
          <w:color w:val="000000"/>
          <w:sz w:val="24"/>
          <w:rtl w:val="off"/>
          <w:lang w:val="en-US"/>
        </w:rPr>
        <w:t xml:space="preserve">other </w:t>
      </w:r>
      <w:r>
        <w:rPr>
          <w:rFonts w:ascii="open sans"/>
          <w:color w:val="000000"/>
          <w:sz w:val="24"/>
          <w:rtl w:val="off"/>
          <w:lang w:val="en-US"/>
        </w:rPr>
        <w:t xml:space="preserve">hazards </w:t>
      </w:r>
      <w:r>
        <w:rPr>
          <w:rFonts w:ascii="open sans"/>
          <w:color w:val="000000"/>
          <w:sz w:val="24"/>
          <w:rtl w:val="off"/>
          <w:lang w:val="en-US"/>
        </w:rPr>
        <w:t xml:space="preserve">and </w:t>
      </w:r>
      <w:r>
        <w:rPr>
          <w:rFonts w:ascii="open sans"/>
          <w:color w:val="000000"/>
          <w:sz w:val="24"/>
          <w:rtl w:val="off"/>
          <w:lang w:val="en-US"/>
        </w:rPr>
        <w:t xml:space="preserve">evaluating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risks </w:t>
      </w:r>
      <w:r>
        <w:rPr>
          <w:rFonts w:ascii="open sans"/>
          <w:color w:val="000000"/>
          <w:sz w:val="24"/>
          <w:rtl w:val="off"/>
          <w:lang w:val="en-US"/>
        </w:rPr>
        <w:t xml:space="preserve">associated </w:t>
      </w:r>
      <w:r>
        <w:rPr>
          <w:rFonts w:ascii="open sans"/>
          <w:color w:val="000000"/>
          <w:sz w:val="24"/>
          <w:rtl w:val="off"/>
          <w:lang w:val="en-US"/>
        </w:rPr>
        <w:t xml:space="preserve">with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contamination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drinking </w:t>
      </w:r>
      <w:r>
        <w:rPr>
          <w:rFonts w:ascii="open sans"/>
          <w:color w:val="000000"/>
          <w:sz w:val="24"/>
          <w:rtl w:val="off"/>
          <w:lang w:val="en-US"/>
        </w:rPr>
        <w:t>water.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On the contrary, the previous concentration-based method is not distinguished by its preventive strategy; indeed, </w:t>
      </w:r>
      <w:r>
        <w:rPr>
          <w:rFonts w:ascii="open sans"/>
          <w:color w:val="000000"/>
          <w:sz w:val="24"/>
          <w:rtl w:val="off"/>
          <w:lang w:val="en-US"/>
        </w:rPr>
        <w:t xml:space="preserve">it is only detected, but not prevented or stopped, by water pollution under this approach. </w:t>
      </w:r>
      <w:r>
        <w:rPr>
          <w:rFonts w:ascii="open sans"/>
          <w:color w:val="000000"/>
          <w:sz w:val="24"/>
          <w:rtl w:val="off"/>
          <w:lang w:val="en-US"/>
        </w:rPr>
        <w:t xml:space="preserve">In addition, factors such as the degree and length of exposure to pollutants, their toxicity and the seriousness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>of the diseases they produce are taken into account in the current method when evaluating the need for mitigation.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30"/>
          <w:lang w:val="en-US"/>
        </w:rPr>
      </w:pPr>
      <w:r>
        <w:rPr>
          <w:rFonts w:ascii="Segoe UI"/>
          <w:color w:val="000000"/>
          <w:sz w:val="32"/>
          <w:lang w:val="en-US"/>
        </w:rPr>
        <w:t>Conclusion.................................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rtl w:val="off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rtl w:val="off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This </w:t>
      </w:r>
      <w:r>
        <w:rPr>
          <w:rFonts w:ascii="open sans"/>
          <w:color w:val="000000"/>
          <w:sz w:val="24"/>
          <w:rtl w:val="off"/>
          <w:lang w:val="en-US"/>
        </w:rPr>
        <w:t xml:space="preserve">study </w:t>
      </w:r>
      <w:r>
        <w:rPr>
          <w:rFonts w:ascii="open sans"/>
          <w:color w:val="000000"/>
          <w:sz w:val="24"/>
          <w:rtl w:val="off"/>
          <w:lang w:val="en-US"/>
        </w:rPr>
        <w:t xml:space="preserve">was </w:t>
      </w:r>
      <w:r>
        <w:rPr>
          <w:rFonts w:ascii="open sans"/>
          <w:color w:val="000000"/>
          <w:sz w:val="24"/>
          <w:rtl w:val="off"/>
          <w:lang w:val="en-US"/>
        </w:rPr>
        <w:t xml:space="preserve">aimed </w:t>
      </w:r>
      <w:r>
        <w:rPr>
          <w:rFonts w:ascii="open sans"/>
          <w:color w:val="000000"/>
          <w:sz w:val="24"/>
          <w:rtl w:val="off"/>
          <w:lang w:val="en-US"/>
        </w:rPr>
        <w:t xml:space="preserve">at </w:t>
      </w:r>
      <w:r>
        <w:rPr>
          <w:rFonts w:ascii="open sans"/>
          <w:color w:val="000000"/>
          <w:sz w:val="24"/>
          <w:rtl w:val="off"/>
          <w:lang w:val="en-US"/>
        </w:rPr>
        <w:t xml:space="preserve">presenting </w:t>
      </w:r>
      <w:r>
        <w:rPr>
          <w:rFonts w:ascii="open sans"/>
          <w:color w:val="000000"/>
          <w:sz w:val="24"/>
          <w:rtl w:val="off"/>
          <w:lang w:val="en-US"/>
        </w:rPr>
        <w:t xml:space="preserve">two </w:t>
      </w:r>
      <w:r>
        <w:rPr>
          <w:rFonts w:ascii="open sans"/>
          <w:color w:val="000000"/>
          <w:sz w:val="24"/>
          <w:rtl w:val="off"/>
          <w:lang w:val="en-US"/>
        </w:rPr>
        <w:t xml:space="preserve">complementary </w:t>
      </w:r>
      <w:r>
        <w:rPr>
          <w:rFonts w:ascii="open sans"/>
          <w:color w:val="000000"/>
          <w:sz w:val="24"/>
          <w:rtl w:val="off"/>
          <w:lang w:val="en-US"/>
        </w:rPr>
        <w:t xml:space="preserve">WSP </w:t>
      </w:r>
      <w:r>
        <w:rPr>
          <w:rFonts w:ascii="open sans"/>
          <w:color w:val="000000"/>
          <w:sz w:val="24"/>
          <w:rtl w:val="off"/>
          <w:lang w:val="en-US"/>
        </w:rPr>
        <w:t xml:space="preserve">sustainability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assessment </w:t>
      </w:r>
      <w:r>
        <w:rPr>
          <w:rFonts w:ascii="open sans"/>
          <w:color w:val="000000"/>
          <w:sz w:val="24"/>
          <w:rtl w:val="off"/>
          <w:lang w:val="en-US"/>
        </w:rPr>
        <w:t xml:space="preserve">methodologies </w:t>
      </w:r>
      <w:r>
        <w:rPr>
          <w:rFonts w:ascii="open sans"/>
          <w:color w:val="000000"/>
          <w:sz w:val="24"/>
          <w:rtl w:val="off"/>
          <w:lang w:val="en-US"/>
        </w:rPr>
        <w:t xml:space="preserve">tested </w:t>
      </w:r>
      <w:r>
        <w:rPr>
          <w:rFonts w:ascii="open sans"/>
          <w:color w:val="000000"/>
          <w:sz w:val="24"/>
          <w:rtl w:val="off"/>
          <w:lang w:val="en-US"/>
        </w:rPr>
        <w:t xml:space="preserve">in </w:t>
      </w:r>
      <w:r>
        <w:rPr>
          <w:rFonts w:ascii="open sans"/>
          <w:color w:val="000000"/>
          <w:sz w:val="24"/>
          <w:rtl w:val="off"/>
          <w:lang w:val="en-US"/>
        </w:rPr>
        <w:t xml:space="preserve">two </w:t>
      </w:r>
      <w:r>
        <w:rPr>
          <w:rFonts w:ascii="open sans"/>
          <w:color w:val="000000"/>
          <w:sz w:val="24"/>
          <w:rtl w:val="off"/>
          <w:lang w:val="en-US"/>
        </w:rPr>
        <w:t xml:space="preserve">rural </w:t>
      </w:r>
      <w:r>
        <w:rPr>
          <w:rFonts w:ascii="open sans"/>
          <w:color w:val="000000"/>
          <w:sz w:val="24"/>
          <w:rtl w:val="off"/>
          <w:lang w:val="en-US"/>
        </w:rPr>
        <w:t xml:space="preserve">areas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sub-Saharan </w:t>
      </w:r>
      <w:r>
        <w:rPr>
          <w:rFonts w:ascii="open sans"/>
          <w:color w:val="000000"/>
          <w:sz w:val="24"/>
          <w:rtl w:val="off"/>
          <w:lang w:val="en-US"/>
        </w:rPr>
        <w:t xml:space="preserve">Africa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highlight w:val="white"/>
          <w:rtl w:val="off"/>
          <w:lang w:val="en-US"/>
        </w:rPr>
        <w:t>(Senegal and Burkina Faso).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30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The first approach includes a set of issues relating to five elements of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sustainability: scientific economic, organizational and structural, social and cultural, environmental and health issues.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The questionnaire should be submitted to the key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interested parties involved in the creation of the WSP.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According to the respondents' opinions, the purpose of the instrument is to collect all the information required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to highlight all the possible reasons for success or failure related to the sustainability of rural water services </w:t>
      </w:r>
      <w:r>
        <w:rPr>
          <w:rFonts w:ascii="open sans"/>
          <w:color w:val="000000"/>
          <w:sz w:val="24"/>
          <w:rtl w:val="off"/>
          <w:lang w:val="en-US"/>
        </w:rPr>
        <w:t>I in which the WSP approach is applied.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Instead the second approach lies </w:t>
      </w:r>
      <w:r>
        <w:rPr>
          <w:rFonts w:ascii="open sans"/>
          <w:color w:val="000000"/>
          <w:sz w:val="24"/>
          <w:rtl w:val="off"/>
          <w:lang w:val="en-US"/>
        </w:rPr>
        <w:t xml:space="preserve">in a time-consuming study of prices.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Based on the three separate phases of the development of the WSP (development, implementation and management), an assessment of the time required and the costs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>to be covered (based on the control measures given by the WSP) should be carried out in order to better determine the feasibility of the WSP.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rtl w:val="off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following </w:t>
      </w:r>
      <w:r>
        <w:rPr>
          <w:rFonts w:ascii="open sans"/>
          <w:color w:val="000000"/>
          <w:sz w:val="24"/>
          <w:rtl w:val="off"/>
          <w:lang w:val="en-US"/>
        </w:rPr>
        <w:t xml:space="preserve">highlights </w:t>
      </w:r>
      <w:r>
        <w:rPr>
          <w:rFonts w:ascii="open sans"/>
          <w:color w:val="000000"/>
          <w:sz w:val="24"/>
          <w:rtl w:val="off"/>
          <w:lang w:val="en-US"/>
        </w:rPr>
        <w:t xml:space="preserve">summarize </w:t>
      </w:r>
      <w:r>
        <w:rPr>
          <w:rFonts w:ascii="open sans"/>
          <w:color w:val="000000"/>
          <w:sz w:val="24"/>
          <w:rtl w:val="off"/>
          <w:lang w:val="en-US"/>
        </w:rPr>
        <w:t xml:space="preserve">the </w:t>
      </w:r>
      <w:r>
        <w:rPr>
          <w:rFonts w:ascii="open sans"/>
          <w:color w:val="000000"/>
          <w:sz w:val="24"/>
          <w:rtl w:val="off"/>
          <w:lang w:val="en-US"/>
        </w:rPr>
        <w:t xml:space="preserve">main </w:t>
      </w:r>
      <w:r>
        <w:rPr>
          <w:rFonts w:ascii="open sans"/>
          <w:color w:val="000000"/>
          <w:sz w:val="24"/>
          <w:rtl w:val="off"/>
          <w:lang w:val="en-US"/>
        </w:rPr>
        <w:t xml:space="preserve">results </w:t>
      </w:r>
      <w:r>
        <w:rPr>
          <w:rFonts w:ascii="open sans"/>
          <w:color w:val="000000"/>
          <w:sz w:val="24"/>
          <w:rtl w:val="off"/>
          <w:lang w:val="en-US"/>
        </w:rPr>
        <w:t xml:space="preserve">of </w:t>
      </w:r>
      <w:r>
        <w:rPr>
          <w:rFonts w:ascii="open sans"/>
          <w:color w:val="000000"/>
          <w:sz w:val="24"/>
          <w:rtl w:val="off"/>
          <w:lang w:val="en-US"/>
        </w:rPr>
        <w:t xml:space="preserve">this </w:t>
      </w:r>
      <w:r>
        <w:rPr>
          <w:rFonts w:ascii="open sans"/>
          <w:color w:val="000000"/>
          <w:sz w:val="24"/>
          <w:rtl w:val="off"/>
          <w:lang w:val="en-US"/>
        </w:rPr>
        <w:t xml:space="preserve">experimental </w:t>
      </w:r>
      <w:r>
        <w:rPr>
          <w:rFonts w:ascii="open sans"/>
          <w:color w:val="000000"/>
          <w:sz w:val="24"/>
          <w:rtl w:val="off"/>
          <w:lang w:val="en-US"/>
        </w:rPr>
        <w:t>review.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30"/>
          <w:lang w:val="en-US"/>
        </w:rPr>
      </w:pPr>
      <w:r>
        <w:rPr>
          <w:rFonts w:ascii="open sans"/>
          <w:color w:val="000000"/>
          <w:sz w:val="32"/>
          <w:lang w:val="en-US"/>
        </w:rPr>
        <w:t>References..................................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30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2"/>
          <w:lang w:val="en-US"/>
        </w:rPr>
      </w:pPr>
      <w:r>
        <w:rPr>
          <w:rFonts w:ascii="Segoe UI"/>
          <w:color w:val="000000"/>
          <w:sz w:val="22"/>
          <w:lang w:val="en-US"/>
        </w:rPr>
        <w:t>UNICEF; World Health Organization. Progress on Sanitation and Drinking Water—2015 Update and MDG Assessment; WHO: Geneva, Switzerland; UNICEF: New York, NY, USA, 2015. [Google Scholar]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2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2"/>
          <w:lang w:val="en-US"/>
        </w:rPr>
      </w:pPr>
      <w:r>
        <w:rPr>
          <w:rFonts w:ascii="Segoe UI"/>
          <w:color w:val="000000"/>
          <w:sz w:val="22"/>
          <w:lang w:val="en-US"/>
        </w:rPr>
        <w:t>Davison, A.; Howard, G.; Stevens, M.; Callan, P.; Fewtrell, L.; Deere, D.; Bartram, J. Water Safety Plan. Managing Drinking-Water Quality from Catchment to Consumer; Water, Sanitation and Health—Protection and the Human Environment: Geneva, Switzerland, 2005. [Google Scholar]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arial"/>
          <w:color w:val="000000"/>
          <w:sz w:val="20"/>
          <w:rtl w:val="off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Etchie, A.T.; Etchie, T.O.; Adewuyi, G.O.; Krishnamurthi, K.; Devi, S.S.; Wate, S.R. Prioritizing hazardous pollutants in two Nigerian water supply schemes: A risk-based approach. </w:t>
      </w:r>
      <w:r>
        <w:rPr>
          <w:rFonts w:ascii="arial"/>
          <w:i/>
          <w:color w:val="000000"/>
          <w:sz w:val="20"/>
          <w:rtl w:val="off"/>
          <w:lang w:val="en-US"/>
        </w:rPr>
        <w:t>Bull. World Health Organ.</w:t>
      </w:r>
      <w:r>
        <w:rPr>
          <w:rFonts w:ascii="arial"/>
          <w:color w:val="000000"/>
          <w:sz w:val="20"/>
          <w:rtl w:val="off"/>
          <w:lang w:val="en-US"/>
        </w:rPr>
        <w:t xml:space="preserve"> </w:t>
      </w:r>
      <w:r>
        <w:rPr>
          <w:rFonts w:ascii="arial"/>
          <w:b/>
          <w:color w:val="000000"/>
          <w:sz w:val="20"/>
          <w:rtl w:val="off"/>
          <w:lang w:val="en-US"/>
        </w:rPr>
        <w:t>2013</w:t>
      </w:r>
      <w:r>
        <w:rPr>
          <w:rFonts w:ascii="arial"/>
          <w:color w:val="000000"/>
          <w:sz w:val="20"/>
          <w:rtl w:val="off"/>
          <w:lang w:val="en-US"/>
        </w:rPr>
        <w:t xml:space="preserve">, </w:t>
      </w:r>
      <w:r>
        <w:rPr>
          <w:rFonts w:ascii="arial"/>
          <w:i/>
          <w:color w:val="000000"/>
          <w:sz w:val="20"/>
          <w:rtl w:val="off"/>
          <w:lang w:val="en-US"/>
        </w:rPr>
        <w:t>91</w:t>
      </w:r>
      <w:r>
        <w:rPr>
          <w:rFonts w:ascii="arial"/>
          <w:color w:val="000000"/>
          <w:sz w:val="20"/>
          <w:rtl w:val="off"/>
          <w:lang w:val="en-US"/>
        </w:rPr>
        <w:t xml:space="preserve">, 553–561. 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arial"/>
          <w:color w:val="000000"/>
          <w:sz w:val="20"/>
          <w:rtl w:val="off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World Commission on Environment and Development. </w:t>
      </w:r>
      <w:r>
        <w:rPr>
          <w:rFonts w:ascii="arial"/>
          <w:i/>
          <w:color w:val="000000"/>
          <w:sz w:val="20"/>
          <w:rtl w:val="off"/>
          <w:lang w:val="en-US"/>
        </w:rPr>
        <w:t>Our Common Future—The Brundtland Report</w:t>
      </w:r>
      <w:r>
        <w:rPr>
          <w:rFonts w:ascii="arial"/>
          <w:color w:val="000000"/>
          <w:sz w:val="20"/>
          <w:rtl w:val="off"/>
          <w:lang w:val="en-US"/>
        </w:rPr>
        <w:t>; United Nations: New York, NY, USA, 1987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arial"/>
          <w:color w:val="000000"/>
          <w:sz w:val="20"/>
          <w:rtl w:val="off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Mihelcic, J.; Crittenden, J.; Small, M.; Shonnard, D.; Hokanson, D.; Zhang, Q.; Chen, H.; Sorby, S.; James, V.; Sutherland, J.; </w:t>
      </w:r>
      <w:r>
        <w:rPr>
          <w:rFonts w:ascii="arial"/>
          <w:i/>
          <w:color w:val="000000"/>
          <w:sz w:val="20"/>
          <w:rtl w:val="off"/>
          <w:lang w:val="en-US"/>
        </w:rPr>
        <w:t>et al.</w:t>
      </w:r>
      <w:r>
        <w:rPr>
          <w:rFonts w:ascii="arial"/>
          <w:color w:val="000000"/>
          <w:sz w:val="20"/>
          <w:rtl w:val="off"/>
          <w:lang w:val="en-US"/>
        </w:rPr>
        <w:t xml:space="preserve"> Sustainability science and engineering: The emergence of a new metadiscipline. </w:t>
      </w:r>
      <w:r>
        <w:rPr>
          <w:rFonts w:ascii="arial"/>
          <w:i/>
          <w:color w:val="000000"/>
          <w:sz w:val="20"/>
          <w:rtl w:val="off"/>
          <w:lang w:val="en-US"/>
        </w:rPr>
        <w:t>Environ. Sci. Technol.</w:t>
      </w:r>
      <w:r>
        <w:rPr>
          <w:rFonts w:ascii="arial"/>
          <w:color w:val="000000"/>
          <w:sz w:val="20"/>
          <w:rtl w:val="off"/>
          <w:lang w:val="en-US"/>
        </w:rPr>
        <w:t xml:space="preserve"> </w:t>
      </w:r>
      <w:r>
        <w:rPr>
          <w:rFonts w:ascii="arial"/>
          <w:b/>
          <w:color w:val="000000"/>
          <w:sz w:val="20"/>
          <w:rtl w:val="off"/>
          <w:lang w:val="en-US"/>
        </w:rPr>
        <w:t>2003</w:t>
      </w:r>
      <w:r>
        <w:rPr>
          <w:rFonts w:ascii="arial"/>
          <w:color w:val="000000"/>
          <w:sz w:val="20"/>
          <w:rtl w:val="off"/>
          <w:lang w:val="en-US"/>
        </w:rPr>
        <w:t xml:space="preserve">, </w:t>
      </w:r>
      <w:r>
        <w:rPr>
          <w:rFonts w:ascii="arial"/>
          <w:i/>
          <w:color w:val="000000"/>
          <w:sz w:val="20"/>
          <w:rtl w:val="off"/>
          <w:lang w:val="en-US"/>
        </w:rPr>
        <w:t>37</w:t>
      </w:r>
      <w:r>
        <w:rPr>
          <w:rFonts w:ascii="arial"/>
          <w:color w:val="000000"/>
          <w:sz w:val="20"/>
          <w:rtl w:val="off"/>
          <w:lang w:val="en-US"/>
        </w:rPr>
        <w:t>, 5314–5324.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arial"/>
          <w:color w:val="000000"/>
          <w:sz w:val="20"/>
          <w:rtl w:val="off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Klostermann, J.E.M.; Cramer, J. Social construction of sustainability in water companies in the Dutch coastal zone. </w:t>
      </w:r>
      <w:r>
        <w:rPr>
          <w:rFonts w:ascii="arial"/>
          <w:i/>
          <w:color w:val="000000"/>
          <w:sz w:val="20"/>
          <w:rtl w:val="off"/>
          <w:lang w:val="en-US"/>
        </w:rPr>
        <w:t>J. Clean. Prod.</w:t>
      </w:r>
      <w:r>
        <w:rPr>
          <w:rFonts w:ascii="arial"/>
          <w:color w:val="000000"/>
          <w:sz w:val="20"/>
          <w:rtl w:val="off"/>
          <w:lang w:val="en-US"/>
        </w:rPr>
        <w:t xml:space="preserve"> </w:t>
      </w:r>
      <w:r>
        <w:rPr>
          <w:rFonts w:ascii="arial"/>
          <w:b/>
          <w:color w:val="000000"/>
          <w:sz w:val="20"/>
          <w:rtl w:val="off"/>
          <w:lang w:val="en-US"/>
        </w:rPr>
        <w:t>2007</w:t>
      </w:r>
      <w:r>
        <w:rPr>
          <w:rFonts w:ascii="arial"/>
          <w:color w:val="000000"/>
          <w:sz w:val="20"/>
          <w:rtl w:val="off"/>
          <w:lang w:val="en-US"/>
        </w:rPr>
        <w:t xml:space="preserve">, </w:t>
      </w:r>
      <w:r>
        <w:rPr>
          <w:rFonts w:ascii="arial"/>
          <w:i/>
          <w:color w:val="000000"/>
          <w:sz w:val="20"/>
          <w:rtl w:val="off"/>
          <w:lang w:val="en-US"/>
        </w:rPr>
        <w:t>15</w:t>
      </w:r>
      <w:r>
        <w:rPr>
          <w:rFonts w:ascii="arial"/>
          <w:color w:val="000000"/>
          <w:sz w:val="20"/>
          <w:rtl w:val="off"/>
          <w:lang w:val="en-US"/>
        </w:rPr>
        <w:t>, 1573–1584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Jones, S.A.; Silva, C. A practical method to evaluate the sustainability of rural water and sanitation infrastructure systems in developing countries. </w:t>
      </w:r>
      <w:r>
        <w:rPr>
          <w:rFonts w:ascii="arial"/>
          <w:i/>
          <w:color w:val="000000"/>
          <w:sz w:val="20"/>
          <w:rtl w:val="off"/>
          <w:lang w:val="en-US"/>
        </w:rPr>
        <w:t>Desalin</w:t>
      </w:r>
      <w:r>
        <w:rPr>
          <w:rFonts w:ascii="arial"/>
          <w:color w:val="000000"/>
          <w:sz w:val="20"/>
          <w:rtl w:val="off"/>
          <w:lang w:val="en-US"/>
        </w:rPr>
        <w:t xml:space="preserve"> </w:t>
      </w:r>
      <w:r>
        <w:rPr>
          <w:rFonts w:ascii="arial"/>
          <w:b/>
          <w:color w:val="000000"/>
          <w:sz w:val="20"/>
          <w:rtl w:val="off"/>
          <w:lang w:val="en-US"/>
        </w:rPr>
        <w:t>2009</w:t>
      </w:r>
      <w:r>
        <w:rPr>
          <w:rFonts w:ascii="arial"/>
          <w:color w:val="000000"/>
          <w:sz w:val="20"/>
          <w:rtl w:val="off"/>
          <w:lang w:val="en-US"/>
        </w:rPr>
        <w:t xml:space="preserve">, </w:t>
      </w:r>
      <w:r>
        <w:rPr>
          <w:rFonts w:ascii="arial"/>
          <w:i/>
          <w:color w:val="000000"/>
          <w:sz w:val="20"/>
          <w:rtl w:val="off"/>
          <w:lang w:val="en-US"/>
        </w:rPr>
        <w:t>248</w:t>
      </w:r>
      <w:r>
        <w:rPr>
          <w:rFonts w:ascii="arial"/>
          <w:color w:val="000000"/>
          <w:sz w:val="20"/>
          <w:rtl w:val="off"/>
          <w:lang w:val="en-US"/>
        </w:rPr>
        <w:t>, 500–509.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arial"/>
          <w:color w:val="000000"/>
          <w:sz w:val="20"/>
          <w:rtl w:val="off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Malley, Z.J.U.; Taeb, M.; Matsumoto, T.; Takeya, H. Environmental sustainability and water availability: Analyses of the scarcity and improvement opportunities in the Usangu plain, Tanzania. </w:t>
      </w:r>
      <w:r>
        <w:rPr>
          <w:rFonts w:ascii="arial"/>
          <w:i/>
          <w:color w:val="000000"/>
          <w:sz w:val="20"/>
          <w:rtl w:val="off"/>
          <w:lang w:val="en-US"/>
        </w:rPr>
        <w:t>Phys. Chem. Earth</w:t>
      </w:r>
      <w:r>
        <w:rPr>
          <w:rFonts w:ascii="arial"/>
          <w:color w:val="000000"/>
          <w:sz w:val="20"/>
          <w:rtl w:val="off"/>
          <w:lang w:val="en-US"/>
        </w:rPr>
        <w:t xml:space="preserve"> </w:t>
      </w:r>
      <w:r>
        <w:rPr>
          <w:rFonts w:ascii="arial"/>
          <w:b/>
          <w:color w:val="000000"/>
          <w:sz w:val="20"/>
          <w:rtl w:val="off"/>
          <w:lang w:val="en-US"/>
        </w:rPr>
        <w:t>2009</w:t>
      </w:r>
      <w:r>
        <w:rPr>
          <w:rFonts w:ascii="arial"/>
          <w:color w:val="000000"/>
          <w:sz w:val="20"/>
          <w:rtl w:val="off"/>
          <w:lang w:val="en-US"/>
        </w:rPr>
        <w:t xml:space="preserve">, </w:t>
      </w:r>
      <w:r>
        <w:rPr>
          <w:rFonts w:ascii="arial"/>
          <w:i/>
          <w:color w:val="000000"/>
          <w:sz w:val="20"/>
          <w:rtl w:val="off"/>
          <w:lang w:val="en-US"/>
        </w:rPr>
        <w:t>34</w:t>
      </w:r>
      <w:r>
        <w:rPr>
          <w:rFonts w:ascii="arial"/>
          <w:color w:val="000000"/>
          <w:sz w:val="20"/>
          <w:rtl w:val="off"/>
          <w:lang w:val="en-US"/>
        </w:rPr>
        <w:t>, 3–13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2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McConville, J.R.; Mihelcic, J.R. Adapting life-cycle thinking tools to evaluate project sustainability in international water and sanitation development work. </w:t>
      </w:r>
      <w:r>
        <w:rPr>
          <w:rFonts w:ascii="arial"/>
          <w:i/>
          <w:color w:val="000000"/>
          <w:sz w:val="20"/>
          <w:rtl w:val="off"/>
          <w:lang w:val="en-US"/>
        </w:rPr>
        <w:t>Environ. Eng. Sci.</w:t>
      </w:r>
      <w:r>
        <w:rPr>
          <w:rFonts w:ascii="arial"/>
          <w:color w:val="000000"/>
          <w:sz w:val="20"/>
          <w:rtl w:val="off"/>
          <w:lang w:val="en-US"/>
        </w:rPr>
        <w:t xml:space="preserve"> </w:t>
      </w:r>
      <w:r>
        <w:rPr>
          <w:rFonts w:ascii="arial"/>
          <w:b/>
          <w:color w:val="000000"/>
          <w:sz w:val="20"/>
          <w:rtl w:val="off"/>
          <w:lang w:val="en-US"/>
        </w:rPr>
        <w:t>2007</w:t>
      </w:r>
      <w:r>
        <w:rPr>
          <w:rFonts w:ascii="arial"/>
          <w:color w:val="000000"/>
          <w:sz w:val="20"/>
          <w:rtl w:val="off"/>
          <w:lang w:val="en-US"/>
        </w:rPr>
        <w:t xml:space="preserve">, </w:t>
      </w:r>
      <w:r>
        <w:rPr>
          <w:rFonts w:ascii="arial"/>
          <w:i/>
          <w:color w:val="000000"/>
          <w:sz w:val="20"/>
          <w:rtl w:val="off"/>
          <w:lang w:val="en-US"/>
        </w:rPr>
        <w:t>24</w:t>
      </w:r>
      <w:r>
        <w:rPr>
          <w:rFonts w:ascii="arial"/>
          <w:color w:val="000000"/>
          <w:sz w:val="20"/>
          <w:rtl w:val="off"/>
          <w:lang w:val="en-US"/>
        </w:rPr>
        <w:t>, 937–948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2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Montgomery, M.A.; Bartram, J.; Elimelech, M. Increasing functional sustainability of water and sanitation supplies in rural sub-Saharan Africa. </w:t>
      </w:r>
      <w:r>
        <w:rPr>
          <w:rFonts w:ascii="arial"/>
          <w:i/>
          <w:color w:val="000000"/>
          <w:sz w:val="20"/>
          <w:rtl w:val="off"/>
          <w:lang w:val="en-US"/>
        </w:rPr>
        <w:t>Environ. Eng. Sci.</w:t>
      </w:r>
      <w:r>
        <w:rPr>
          <w:rFonts w:ascii="arial"/>
          <w:color w:val="000000"/>
          <w:sz w:val="20"/>
          <w:rtl w:val="off"/>
          <w:lang w:val="en-US"/>
        </w:rPr>
        <w:t xml:space="preserve"> </w:t>
      </w:r>
      <w:r>
        <w:rPr>
          <w:rFonts w:ascii="arial"/>
          <w:b/>
          <w:color w:val="000000"/>
          <w:sz w:val="20"/>
          <w:rtl w:val="off"/>
          <w:lang w:val="en-US"/>
        </w:rPr>
        <w:t>2009</w:t>
      </w:r>
      <w:r>
        <w:rPr>
          <w:rFonts w:ascii="arial"/>
          <w:color w:val="000000"/>
          <w:sz w:val="20"/>
          <w:rtl w:val="off"/>
          <w:lang w:val="en-US"/>
        </w:rPr>
        <w:t xml:space="preserve">, </w:t>
      </w:r>
      <w:r>
        <w:rPr>
          <w:rFonts w:ascii="arial"/>
          <w:i/>
          <w:color w:val="000000"/>
          <w:sz w:val="20"/>
          <w:rtl w:val="off"/>
          <w:lang w:val="en-US"/>
        </w:rPr>
        <w:t>26</w:t>
      </w:r>
      <w:r>
        <w:rPr>
          <w:rFonts w:ascii="arial"/>
          <w:color w:val="000000"/>
          <w:sz w:val="20"/>
          <w:rtl w:val="off"/>
          <w:lang w:val="en-US"/>
        </w:rPr>
        <w:t>, 1017–1023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2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Katz, T.; Sara, J. Making Rural Water Supply Sustainable: Recommendations from a Global Study. In </w:t>
      </w:r>
      <w:r>
        <w:rPr>
          <w:rFonts w:ascii="arial"/>
          <w:i/>
          <w:color w:val="000000"/>
          <w:sz w:val="20"/>
          <w:rtl w:val="off"/>
          <w:lang w:val="en-US"/>
        </w:rPr>
        <w:t>UNDP—World Bank Water and Sanitation Program</w:t>
      </w:r>
      <w:r>
        <w:rPr>
          <w:rFonts w:ascii="arial"/>
          <w:color w:val="000000"/>
          <w:sz w:val="20"/>
          <w:rtl w:val="off"/>
          <w:lang w:val="en-US"/>
        </w:rPr>
        <w:t xml:space="preserve">; World Bank: Washington, DC, USA, 1998; 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>Duncker, L. Hygiene awareness for rural areas in South Africa. In Proceedings of the 25th WEDC Conference Integrated Development for Water Supply and Sanitation, Addis Ababa, Ethiopia, 30 August–3 September 1999; pp. 79–8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Hoko, Z.; Hertle, J. An evaluation of the sustainability of a rural water rehabilitation project in Zimbabwe. </w:t>
      </w:r>
      <w:r>
        <w:rPr>
          <w:rFonts w:ascii="arial"/>
          <w:i/>
          <w:color w:val="000000"/>
          <w:sz w:val="20"/>
          <w:rtl w:val="off"/>
          <w:lang w:val="en-US"/>
        </w:rPr>
        <w:t>Phys. Chem. Earth</w:t>
      </w:r>
      <w:r>
        <w:rPr>
          <w:rFonts w:ascii="arial"/>
          <w:color w:val="000000"/>
          <w:sz w:val="20"/>
          <w:rtl w:val="off"/>
          <w:lang w:val="en-US"/>
        </w:rPr>
        <w:t xml:space="preserve"> </w:t>
      </w:r>
      <w:r>
        <w:rPr>
          <w:rFonts w:ascii="arial"/>
          <w:b/>
          <w:color w:val="000000"/>
          <w:sz w:val="20"/>
          <w:rtl w:val="off"/>
          <w:lang w:val="en-US"/>
        </w:rPr>
        <w:t>2006</w:t>
      </w:r>
      <w:r>
        <w:rPr>
          <w:rFonts w:ascii="arial"/>
          <w:color w:val="000000"/>
          <w:sz w:val="20"/>
          <w:rtl w:val="off"/>
          <w:lang w:val="en-US"/>
        </w:rPr>
        <w:t xml:space="preserve">, </w:t>
      </w:r>
      <w:r>
        <w:rPr>
          <w:rFonts w:ascii="arial"/>
          <w:i/>
          <w:color w:val="000000"/>
          <w:sz w:val="20"/>
          <w:rtl w:val="off"/>
          <w:lang w:val="en-US"/>
        </w:rPr>
        <w:t>31</w:t>
      </w:r>
      <w:r>
        <w:rPr>
          <w:rFonts w:ascii="arial"/>
          <w:color w:val="000000"/>
          <w:sz w:val="20"/>
          <w:rtl w:val="off"/>
          <w:lang w:val="en-US"/>
        </w:rPr>
        <w:t>, 699–706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Schweitzer, R.W.; Mihelcic, J.R. Assessing sustainability of community management of rural water systems in the developing world. </w:t>
      </w:r>
      <w:r>
        <w:rPr>
          <w:rFonts w:ascii="arial"/>
          <w:i/>
          <w:color w:val="000000"/>
          <w:sz w:val="20"/>
          <w:rtl w:val="off"/>
          <w:lang w:val="en-US"/>
        </w:rPr>
        <w:t>J. Water Sanit. Hyg. Dev.</w:t>
      </w:r>
      <w:r>
        <w:rPr>
          <w:rFonts w:ascii="arial"/>
          <w:color w:val="000000"/>
          <w:sz w:val="20"/>
          <w:rtl w:val="off"/>
          <w:lang w:val="en-US"/>
        </w:rPr>
        <w:t xml:space="preserve"> </w:t>
      </w:r>
      <w:r>
        <w:rPr>
          <w:rFonts w:ascii="arial"/>
          <w:b/>
          <w:color w:val="000000"/>
          <w:sz w:val="20"/>
          <w:rtl w:val="off"/>
          <w:lang w:val="en-US"/>
        </w:rPr>
        <w:t>2012</w:t>
      </w:r>
      <w:r>
        <w:rPr>
          <w:rFonts w:ascii="arial"/>
          <w:color w:val="000000"/>
          <w:sz w:val="20"/>
          <w:rtl w:val="off"/>
          <w:lang w:val="en-US"/>
        </w:rPr>
        <w:t xml:space="preserve">, </w:t>
      </w:r>
      <w:r>
        <w:rPr>
          <w:rFonts w:ascii="arial"/>
          <w:i/>
          <w:color w:val="000000"/>
          <w:sz w:val="20"/>
          <w:rtl w:val="off"/>
          <w:lang w:val="en-US"/>
        </w:rPr>
        <w:t>2</w:t>
      </w:r>
      <w:r>
        <w:rPr>
          <w:rFonts w:ascii="arial"/>
          <w:color w:val="000000"/>
          <w:sz w:val="20"/>
          <w:rtl w:val="off"/>
          <w:lang w:val="en-US"/>
        </w:rPr>
        <w:t>, 20–30.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Kwangware, J.; Mayo, A.; Hoko, Z. Sustainability of donor-funded rural water supply and sanitation projects in Mbire district, Zimbabwe. </w:t>
      </w:r>
      <w:r>
        <w:rPr>
          <w:rFonts w:ascii="arial"/>
          <w:i/>
          <w:color w:val="000000"/>
          <w:sz w:val="20"/>
          <w:rtl w:val="off"/>
          <w:lang w:val="en-US"/>
        </w:rPr>
        <w:t>Phys. Chem. Earth</w:t>
      </w:r>
      <w:r>
        <w:rPr>
          <w:rFonts w:ascii="arial"/>
          <w:color w:val="000000"/>
          <w:sz w:val="20"/>
          <w:rtl w:val="off"/>
          <w:lang w:val="en-US"/>
        </w:rPr>
        <w:t xml:space="preserve"> </w:t>
      </w:r>
      <w:r>
        <w:rPr>
          <w:rFonts w:ascii="arial"/>
          <w:b/>
          <w:color w:val="000000"/>
          <w:sz w:val="20"/>
          <w:rtl w:val="off"/>
          <w:lang w:val="en-US"/>
        </w:rPr>
        <w:t>2014</w:t>
      </w:r>
      <w:r>
        <w:rPr>
          <w:rFonts w:ascii="arial"/>
          <w:color w:val="000000"/>
          <w:sz w:val="20"/>
          <w:rtl w:val="off"/>
          <w:lang w:val="en-US"/>
        </w:rPr>
        <w:t xml:space="preserve">, </w:t>
      </w:r>
      <w:r>
        <w:rPr>
          <w:rFonts w:ascii="arial"/>
          <w:i/>
          <w:color w:val="000000"/>
          <w:sz w:val="20"/>
          <w:rtl w:val="off"/>
          <w:lang w:val="en-US"/>
        </w:rPr>
        <w:t>76–78</w:t>
      </w:r>
      <w:r>
        <w:rPr>
          <w:rFonts w:ascii="arial"/>
          <w:color w:val="000000"/>
          <w:sz w:val="20"/>
          <w:rtl w:val="off"/>
          <w:lang w:val="en-US"/>
        </w:rPr>
        <w:t>, 134–139.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0"/>
          <w:rtl w:val="off"/>
          <w:lang w:val="en-US"/>
        </w:rPr>
        <w:t xml:space="preserve">Dwivedi, A.K.; Bhadauria, S.S. Composite sustainable management index for rural water supply systems using the analytical hierarchy process. </w:t>
      </w:r>
      <w:r>
        <w:rPr>
          <w:rFonts w:ascii="arial"/>
          <w:i/>
          <w:color w:val="000000"/>
          <w:sz w:val="20"/>
          <w:rtl w:val="off"/>
          <w:lang w:val="en-US"/>
        </w:rPr>
        <w:t>J. Perform. Constr. Facil.</w:t>
      </w:r>
      <w:r>
        <w:rPr>
          <w:rFonts w:ascii="arial"/>
          <w:color w:val="000000"/>
          <w:sz w:val="20"/>
          <w:rtl w:val="off"/>
          <w:lang w:val="en-US"/>
        </w:rPr>
        <w:t xml:space="preserve"> </w:t>
      </w:r>
      <w:r>
        <w:rPr>
          <w:rFonts w:ascii="arial"/>
          <w:b/>
          <w:color w:val="000000"/>
          <w:sz w:val="20"/>
          <w:rtl w:val="off"/>
          <w:lang w:val="en-US"/>
        </w:rPr>
        <w:t>2014</w:t>
      </w:r>
      <w:r>
        <w:rPr>
          <w:rFonts w:ascii="arial"/>
          <w:color w:val="000000"/>
          <w:sz w:val="20"/>
          <w:rtl w:val="off"/>
          <w:lang w:val="en-US"/>
        </w:rPr>
        <w:t xml:space="preserve">, </w:t>
      </w:r>
      <w:r>
        <w:rPr>
          <w:rFonts w:ascii="arial"/>
          <w:i/>
          <w:color w:val="000000"/>
          <w:sz w:val="20"/>
          <w:rtl w:val="off"/>
          <w:lang w:val="en-US"/>
        </w:rPr>
        <w:t>28</w:t>
      </w:r>
      <w:r>
        <w:rPr>
          <w:rFonts w:ascii="arial"/>
          <w:color w:val="000000"/>
          <w:sz w:val="20"/>
          <w:rtl w:val="off"/>
          <w:lang w:val="en-US"/>
        </w:rPr>
        <w:t>, 608–617</w:t>
      </w:r>
      <w:r>
        <w:rPr>
          <w:rFonts w:ascii="Segoe UI"/>
          <w:color w:val="000000"/>
          <w:sz w:val="18"/>
          <w:rtl w:val="off"/>
          <w:lang w:val="en-US"/>
        </w:rPr>
        <w:t xml:space="preserve"> 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Schweitzer, R.; Grayson, C.; Lockwood, H. Mapping of Water, Sanitation, and Hygiene Sustainability Tools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 xml:space="preserve"> (accessed on 8 July 2015).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Water Sci Technol (2003) 47 (3): 215–220.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https://doi.org/10.2166/wst.2003.0198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 xml:space="preserve"> © IWA Publishing 2003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Moriarty, P.; Batchelor, C.; Fonseca, C.; Klutse, A.; Naafs, A.; Nyarko, K.; Pezon, C.; Potter, A.; Reddy, R.; Snehalatha, M. Ladders for Assessing and Costing Water Service Delivery; IRC International Water and Sanitation Centre: The Hague, The Netherlands, 2011; Available online: http://www.ircwash.org/sites/default/files/Moriarty-2011-Ladders.pdf (accessed on 30 September 2013).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Netshiswinzhe, B. Strengthening sustainability of water supply projects. In Proceedings of the 26th WEDC Conference Water, Sanitation and Hygiene: Challenges of the Millennium, Dhaka, Bangladesh, 5–9 November 2000; pp. 336–339.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Kenel, P.P.; Schlaman, J.C. Preserving sustainable water supplies for future generations. J. Am. Water Works Assoc. 2005, 97, 78–92. [Google Scholar]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Gleitsmann, B.A.; Kroma, M.K.; Steenhuis, T. Analysis of a rural water supply project in three communities in Mali: Participation and sustainability. Nat. Resour. Forum 2007, 31, 142–150. [Google Scholar] [CrossRef]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Esposto, S. The sustainability of applied technologies for water supply in developing countries. Technol. Soc. 2009, 31, 257–262. [Google Scholar] [CrossRef]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Ujang, Z. Water Safety Plan: An Insight on New Pollutants, Water Chemistry and Sustainability. Available online: http://web.utm.my/vc-arc/images/keynote-water-safety-plan-10%20nov2009.pdf (accessed on 6 March 2014).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Zurbrügg, C.; Gfrerer, M.; Ashadi, H.; Brenner, W.; Küper, D. Determinants of sustainability in solid waste management—The Gianyar waste recovery project in Indonesia. Waste Manag. 2012, 32, 2126–2133. [Google Scholar] [CrossRef] [PubMed]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World Health Organisation. Guidelines for Drinking-water Quality, 4th ed.; World Health Organisation: Geneva, Switzerland, 2011; ISBN 978-92-4-154815-1. [Google Scholar]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Sorlini, S.; Palazzini, D.; Collivignarelli, C. Fluoride removal from drinking water in Senegal: Laboratory and pilot experimentation on bone char-based treatment. J. Water Sanit Hyg. Dev. 2011, 1, 213–223. [Google Scholar] [CrossRef]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Sorlini, S.; Pedrazzani, R.; Palazzini, D.; Collivignarelli, M.C. Drinking Water Quality Change from Catchment to Consumer in the Rural Community of Patar (Senegal). Water Qual. Expo. Health 2013, 5, 75–83. [Google Scholar] [CrossRef]
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  <w:r>
        <w:rPr>
          <w:rFonts w:ascii="Segoe UI"/>
          <w:color w:val="000000"/>
          <w:sz w:val="20"/>
          <w:lang w:val="en-US"/>
        </w:rPr>
        <w:t>Bartram, J.; Corrales, L.; Davison, A.; Deere, D.; Drury, D.; Gordon, B.; Howard, G.; Rinehold, A.; Stevens, M. Water Safety Plan Manual: Step-by-Step Risk Management for Drinking-Water Suppliers; WHO: Geneva, Switzerland, 2009; ISBN 978-92-4-156263-8. [Google Scholar]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1.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>Kosek M, Bern C, Guerrant RL The global burden of diarrhoeal disease, as estimated from studies published between 1992 and 2000. Bull World Health Organ. 2003;81:197–204 [</w:t>
      </w:r>
      <w:r>
        <w:fldChar w:fldCharType="begin"/>
      </w:r>
      <w:r>
        <w:instrText xml:space="preserve"> HYPERLINK "https://www.ncbi.nlm.nih.gov/pmc/articles/PMC2572419/"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PMC free article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"https://www.ncbi.nlm.nih.gov/pubmed/12764516"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PubMed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"https://scholar.google.com/scholar_lookup?journal=Bull+World+Health+Organ&amp;title=The+global+burden+of+diarrhoeal+disease,+as+estimated+from+studies+published+between+1992+and+2000.&amp;volume=81&amp;publication_year=2003&amp;pages=197-204&amp;pmid=12764516&amp;"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Google Scholar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2.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>Parashar U, Bresee JS, Glass RI The global burden of diarrhoeal disease in children. Bull World Health Organ. 2003;81:236. [</w:t>
      </w:r>
      <w:r>
        <w:fldChar w:fldCharType="begin"/>
      </w:r>
      <w:r>
        <w:instrText xml:space="preserve"> HYPERLINK "https://www.ncbi.nlm.nih.gov/pmc/articles/PMC2572439/"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PMC free article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"https://www.ncbi.nlm.nih.gov/pubmed/12764488"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PubMed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"https://scholar.google.com/scholar_lookup?journal=Bull+World+Health+Organ&amp;title=The+global+burden+of+diarrhoeal+disease+in+children.&amp;volume=81&amp;publication_year=2003&amp;pages=236&amp;pmid=12764488&amp;"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Google Scholar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3.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>World Health Organization The World Health Report 2005—make every mother and child count. Geneva: The Organization; 2005 [</w:t>
      </w:r>
      <w:r>
        <w:fldChar w:fldCharType="begin"/>
      </w:r>
      <w:r>
        <w:instrText xml:space="preserve"> HYPERLINK "https://scholar.google.com/scholar?q=World+Health+Organization++The+World+Health+Report+2005%E2%80%94make+every+mother+and+child+count.+Geneva:+The+Organization;++2005+"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Google Scholar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4.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>Guerrant DI, Moore SR, Lima AA, Patrick PD, Schorling JB, Guerrant RL Association of early childhood diarrhea and cryptosporidiosis with impaired physical fitness and cognitive function four-seven years later in a poor urban community in northeast Brazil. Am J Trop Med Hyg. 1999;61:707–13 [</w:t>
      </w:r>
      <w:r>
        <w:fldChar w:fldCharType="begin"/>
      </w:r>
      <w:r>
        <w:instrText xml:space="preserve"> HYPERLINK "https://www.ncbi.nlm.nih.gov/pubmed/10586898"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PubMed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scholar.google.com/scholar_lookup?journal=Am+J+Trop+Med+Hyg&amp;title=Association+of+early+childhood+diarrhea+and+cryptosporidiosis+with+impaired+physical+fitness+and+cognitive+function+four-seven+years+later+in+a+poor+urban+community+in+northeast+Brazil.&amp;volume=61&amp;publication_year=1999&amp;pages=707-13&amp;pmid=10586898&amp;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Google Scholar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5.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 xml:space="preserve">World Health Organization Water, sanitation and hygiene links to health: Facts and figures updated November 2004. [cited 17 Aug 2005]. Available from </w:t>
      </w:r>
      <w:r>
        <w:fldChar w:fldCharType="begin"/>
      </w:r>
      <w:r>
        <w:instrText xml:space="preserve"> HYPERLINK "http://www.who.int/water_sanitation_health/publications/facts2004/en/print.html"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http://www.who.int/water_sanitation_health/publications/facts2004/en/print.html</w:t>
      </w:r>
      <w:r>
        <w:fldChar w:fldCharType="end"/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6.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>Sachs JD, McArthur JW The Millennium Project: a plan for meeting the Millennium Development Goals. Lancet. 2005;365:347–53 [</w:t>
      </w:r>
      <w:r>
        <w:fldChar w:fldCharType="begin"/>
      </w:r>
      <w:r>
        <w:instrText xml:space="preserve"> HYPERLINK "https://www.ncbi.nlm.nih.gov/pubmed/15664232"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PubMed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"https://scholar.google.com/scholar_lookup?journal=Lancet&amp;title=The+Millennium+Project:+a+plan+for+meeting+the+Millennium+Development+Goals.&amp;volume=365&amp;publication_year=2005&amp;pages=347-53&amp;pmid=15664232&amp;"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Google Scholar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7.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>UN Millennium Project, Task Force on Water and Sanitation Health, dignity, and development: what will it take? New York: Stockholm International Water Institute and United Nations Millennium Project; 2005 [</w:t>
      </w:r>
      <w:r>
        <w:fldChar w:fldCharType="begin"/>
      </w:r>
      <w:r>
        <w:instrText xml:space="preserve"> HYPERLINK "https://scholar.google.com/scholar?q=UN+Millennium+Project,+Task+Force+on+Water+and+Sanitation++Health,+dignity,+and+development:+what+will+it+take?+New+York:+Stockholm+International+Water+Institute+and+United+Nations+Millennium+Project;++2005+"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Google Scholar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8.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>Bartram J, Lewis K, Lenton R, Wright A Focusing on improved water and sanitation for health. Lancet. 2005;365:810–2 [</w:t>
      </w:r>
      <w:r>
        <w:fldChar w:fldCharType="begin"/>
      </w:r>
      <w:r>
        <w:instrText xml:space="preserve"> HYPERLINK "https://www.ncbi.nlm.nih.gov/pubmed/15733725"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PubMed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"https://scholar.google.com/scholar_lookup?journal=Lancet&amp;title=Focusing+on+improved+water+and+sanitation+for+health.&amp;volume=365&amp;publication_year=2005&amp;pages=810-2&amp;pmid=15733725&amp;"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Google Scholar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9.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>Clasen TF, Cairncross S Household water management: refining the dominant paradigm. Trop Med Int Health. 2004;9:187–91 10.1046/j.1365-3156.2003.01191.x [</w:t>
      </w:r>
      <w:r>
        <w:fldChar w:fldCharType="begin"/>
      </w:r>
      <w:r>
        <w:instrText xml:space="preserve"> HYPERLINK "https://www.ncbi.nlm.nih.gov/pubmed/15040554"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PubMed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"https://dx.doi.org/10.1046%2Fj.1365-3156.2003.01191.x"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CrossRef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"https://scholar.google.com/scholar_lookup?journal=Trop+Med+Int+Health&amp;title=Household+water+management:+refining+the+dominant+paradigm.&amp;volume=9&amp;publication_year=2004&amp;pages=187-91&amp;pmid=15040554&amp;doi=10.1046/j.1365-3156.2003.01191.x&amp;"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Google Scholar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10.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 xml:space="preserve">Crump JA, Otieno PO, Slutsker L, Keswick BH, Rosen DH, Hoekstra RM, et al. Household based treatment of drinking water with flocculant-disinfectant for preventing diarrhea in areas with turbid source water in rural western Kenya: cluster randomized controlled trial. BMJ Online, published 26 July, 2005. Available from </w:t>
      </w:r>
      <w:r>
        <w:fldChar w:fldCharType="begin"/>
      </w:r>
      <w:r>
        <w:instrText xml:space="preserve"> HYPERLINK "http://bmj.bmjjournals.com/cgi/rapidpdf/bmj.38512.618681.E0v1"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http://bmj.bmjjournals.com/cgi/rapidpdf/bmj.38512.618681.E0v1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 xml:space="preserve"> [</w:t>
      </w:r>
      <w:r>
        <w:fldChar w:fldCharType="begin"/>
      </w:r>
      <w:r>
        <w:instrText xml:space="preserve"> HYPERLINK "https://www.ncbi.nlm.nih.gov/pmc/articles/PMC1199021/"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PMC free article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"https://www.ncbi.nlm.nih.gov/pubmed/16046440"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PubMed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11.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>Peterson EA, Roberts L, Toole MJ, Peterson DE The effect of soap distribution on diarrhoea: Nyamithuthu Refugee Camp. Int J Epidemiol. 1998;27:520–4 10.1093/ije/27.3.520 [</w:t>
      </w:r>
      <w:r>
        <w:fldChar w:fldCharType="begin"/>
      </w:r>
      <w:r>
        <w:instrText xml:space="preserve"> HYPERLINK "https://www.ncbi.nlm.nih.gov/pubmed/9698146"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PubMed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"https://dx.doi.org/10.1093%2Fije%2F27.3.520"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CrossRef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"https://scholar.google.com/scholar_lookup?journal=Int+J+Epidemiol&amp;title=The+effect+of+soap+distribution+on+diarrhoea:+Nyamithuthu+Refugee+Camp.&amp;volume=27&amp;publication_year=1998&amp;pages=520-4&amp;pmid=9698146&amp;doi=10.1093/ije/27.3.520&amp;"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Google Scholar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12.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>Luby SP, Agboatwalla M, Feikin DR, Painter J, Billhimer W, Altaf A, et al. Effect of handwashing on child health: a randomised controlled trial. Lancet. 2005;366:225–33 10.1016/S0140-6736(05)66912-7 [</w:t>
      </w:r>
      <w:r>
        <w:fldChar w:fldCharType="begin"/>
      </w:r>
      <w:r>
        <w:instrText xml:space="preserve"> HYPERLINK "https://www.ncbi.nlm.nih.gov/pubmed/16023513"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PubMed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"https://dx.doi.org/10.1016%2FS0140-6736(05)66912-7"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CrossRef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"https://scholar.google.com/scholar_lookup?journal=Lancet&amp;title=Effect+of+handwashing+on+child+health:+a+randomised+controlled+trial.&amp;volume=366&amp;publication_year=2005&amp;pages=225-33&amp;pmid=16023513&amp;doi=10.1016/S0140-6736(05)66912-7&amp;"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Google Scholar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13.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>Sachs JD The development challenge. Foreign Aff. 2005;84:78–90 10.2307/20034277 [</w:t>
      </w:r>
      <w:r>
        <w:fldChar w:fldCharType="begin"/>
      </w:r>
      <w:r>
        <w:instrText xml:space="preserve"> HYPERLINK "https://dx.doi.org/10.2307%2F20034277"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CrossRef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"https://scholar.google.com/scholar_lookup?journal=Foreign+Aff&amp;title=The+development+challenge.&amp;volume=84&amp;publication_year=2005&amp;pages=78-90&amp;doi=10.2307/20034277&amp;"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Google Scholar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times new roman"/>
          <w:color w:val="000000"/>
          <w:sz w:val="24"/>
          <w:lang w:val="en-US"/>
        </w:rPr>
      </w:pPr>
      <w:r>
        <w:rPr>
          <w:rFonts w:ascii="times new roman"/>
          <w:color w:val="000000"/>
          <w:sz w:val="24"/>
          <w:rtl w:val="off"/>
          <w:lang w:val="en-US"/>
        </w:rPr>
        <w:t>14.</w:t>
      </w:r>
      <w:r>
        <w:rPr>
          <w:rFonts w:ascii="times new roman"/>
          <w:color w:val="000000"/>
          <w:sz w:val="24"/>
          <w:rtl w:val="off"/>
          <w:lang w:val="en-US"/>
        </w:rPr>
        <w:t xml:space="preserve"> </w:t>
      </w:r>
      <w:r>
        <w:rPr>
          <w:rFonts w:ascii="times new roman"/>
          <w:color w:val="000000"/>
          <w:sz w:val="24"/>
          <w:rtl w:val="off"/>
          <w:lang w:val="en-US"/>
        </w:rPr>
        <w:t>Bloom BR Lessons from SARS. Science. 2003;300:701 10.1126/science.300.5620.701 [</w:t>
      </w:r>
      <w:r>
        <w:fldChar w:fldCharType="begin"/>
      </w:r>
      <w:r>
        <w:instrText xml:space="preserve"> HYPERLINK "https://www.ncbi.nlm.nih.gov/pubmed/12730561"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PubMed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"https://dx.doi.org/10.1126%2Fscience.300.5620.701"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CrossRef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 [</w:t>
      </w:r>
      <w:r>
        <w:fldChar w:fldCharType="begin"/>
      </w:r>
      <w:r>
        <w:instrText xml:space="preserve"> HYPERLINK "https://scholar.google.com/scholar_lookup?journal=Science&amp;title=Lessons+from+SARS.&amp;volume=300&amp;publication_year=2003&amp;pages=701&amp;pmid=12730561&amp;doi=10.1126/science.300.5620.701&amp;" </w:instrText>
      </w:r>
      <w:r>
        <w:fldChar w:fldCharType="separate"/>
      </w:r>
      <w:r>
        <w:rPr>
          <w:rFonts w:ascii="times new roman"/>
          <w:color w:val="6d6d6d"/>
          <w:sz w:val="24"/>
          <w:u w:val="single"/>
          <w:rtl w:val="off"/>
          <w:lang w:val="en-US"/>
        </w:rPr>
        <w:t>Google Scholar</w:t>
      </w:r>
      <w:r>
        <w:fldChar w:fldCharType="end"/>
      </w:r>
      <w:r>
        <w:rPr>
          <w:rFonts w:ascii="times new roman"/>
          <w:color w:val="000000"/>
          <w:sz w:val="24"/>
          <w:rtl w:val="off"/>
          <w:lang w:val="en-US"/>
        </w:rPr>
        <w:t>]</w:t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0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2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4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2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30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30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2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Segoe UI"/>
          <w:color w:val="000000"/>
          <w:sz w:val="18"/>
          <w:lang w:val="en-US"/>
        </w:rPr>
        <w:br w:type="textWrapping"/>
      </w: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ffffff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6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open sans"/>
          <w:color w:val="000000"/>
          <w:sz w:val="24"/>
          <w:lang w:val="en-US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30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30"/>
        </w:rPr>
      </w:pPr>
    </w:p>
    <w:p>
      <w:pPr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Bahnschrift Light" w:cs="Bahnschrift Light" w:hAnsi="Bahnschrift Light"/>
          <w:sz w:val="18"/>
        </w:rPr>
      </w:pPr>
    </w:p>
    <w:sectPr/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roman"/>
    <w:pitch w:val="variable"/>
    <w:sig w:usb0="61002a87" w:usb1="80000000" w:usb2="00000008" w:usb3="00000000" w:csb0="000001ff" w:csb1="00000000"/>
  </w:font>
  <w:font w:name="Verdana">
    <w:panose1 w:val="020b0604030504040204"/>
    <w:charset w:val="00"/>
    <w:family w:val="roman"/>
    <w:pitch w:val="variable"/>
    <w:sig w:usb0="a10006ff" w:usb1="4000205b" w:usb2="00000010" w:usb3="00000000" w:csb0="0000019f" w:csb1="00000000"/>
  </w:font>
  <w:font w:name="Symbol">
    <w:panose1 w:val="05050102010706020507"/>
    <w:charset w:val="02"/>
    <w:family w:val="roman"/>
    <w:notTrueType w:val="on"/>
    <w:pitch w:val="variable"/>
  </w:font>
  <w:font w:name="Wingdings">
    <w:panose1 w:val="05000000000000000000"/>
    <w:charset w:val="02"/>
    <w:family w:val="auto"/>
    <w:notTrueType w:val="on"/>
    <w:pitch w:val="variable"/>
  </w:font>
  <w:font w:name="Helvetica Neue">
    <w:charset w:val="00"/>
    <w:family w:val="swiss"/>
    <w:pitch w:val="variable"/>
  </w:font>
  <w:font w:name="expert sans b14 light">
    <w:charset w:val="00"/>
  </w:font>
  <w:font w:name="Segoe UI">
    <w:charset w:val="00"/>
  </w:font>
  <w:font w:name="Bahnschrift Light"/>
  <w:font w:name="-apple-system">
    <w:charset w:val="00"/>
  </w:font>
  <w:font w:name="Verdana-Bold">
    <w:panose1 w:val="00000000000000000000"/>
    <w:charset w:val="00"/>
    <w:family w:val="swiss"/>
    <w:notTrueType w:val="on"/>
    <w:pitch w:val="default"/>
    <w:sig w:usb0="00000003" w:usb1="00000000" w:usb2="00000000" w:usb3="00000000" w:csb0="00000001" w:csb1="00000000"/>
  </w:font>
  <w:font w:name="lato">
    <w:charset w:val="00"/>
  </w:font>
  <w:font w:name="open sans">
    <w:charset w:val="00"/>
  </w:font>
  <w:font w:name="arial">
    <w:charset w:val="00"/>
  </w:font>
  <w:font w:name="times new roman">
    <w:charset w:val="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08"/>
  <w:footnotePr/>
  <w:endnotePr/>
  <w:compat>
    <w:compatSetting w:name="compatibilityMode" w:uri="http://schemas.microsoft.com/office/word" w:val="14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HAnsi" w:eastAsiaTheme="minorHAnsi" w:hAnsiTheme="minorHAnsi"/>
        <w:sz w:val="22"/>
      </w:rPr>
    </w:rPrDefault>
    <w:pPrDefault>
      <w:pPr>
        <w:spacing w:after="200" w:line="276" w:lineRule="auto"/>
      </w:pPr>
    </w:pPrDefault>
  </w:docDefaults>
  <w:style w:type="paragraph" w:default="1" w:styleId="Normal">
    <w:name w:val="Normal"/>
    <w:uiPriority w:val="0"/>
    <w:qFormat w:val="on"/>
  </w:style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480" w:after="0"/>
    </w:pPr>
    <w:rPr>
      <w:rFonts w:asciiTheme="majorHAnsi" w:cstheme="majorBidi" w:eastAsiaTheme="majorEastAsia" w:hAnsiTheme="majorHAnsi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i/>
      <w:iCs/>
      <w:color w:val="4f81bd"/>
    </w:rPr>
  </w:style>
  <w:style w:type="paragraph" w:styleId="Heading5">
    <w:name w:val="Heading 5"/>
    <w:basedOn w:val="Normal"/>
    <w:next w:val="Normal"/>
    <w:link w:val="Heading5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243f60"/>
    </w:rPr>
  </w:style>
  <w:style w:type="paragraph" w:styleId="Heading6">
    <w:name w:val="Heading 6"/>
    <w:basedOn w:val="Normal"/>
    <w:next w:val="Normal"/>
    <w:link w:val="Heading6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40404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 w:val="on"/>
    <w:unhideWhenUsed w:val="on"/>
    <w:qFormat w:val="on"/>
    <w:unhideWhenUsed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/>
      <w:sz w:val="20"/>
      <w:szCs w:val="20"/>
    </w:rPr>
  </w:style>
  <w:style w:type="character" w:default="1" w:styleId="DefaultParagraphFont">
    <w:name w:val="Default Paragraph Font"/>
    <w:uiPriority w:val="1"/>
    <w:semiHidden w:val="on"/>
    <w:unhideWhenUsed w:val="on"/>
    <w:unhideWhenUsed w:val="on"/>
  </w:style>
  <w:style w:type="table" w:default="1" w:styleId="NormalTable">
    <w:name w:val="Normal Table"/>
    <w:uiPriority w:val="99"/>
    <w:semiHidden w:val="on"/>
    <w:unhideWhenUsed w:val="on"/>
    <w:qFormat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  <w:unhideWhenUsed w:val="on"/>
  </w:style>
  <w:style w:type="paragraph" w:styleId="NoSpacing">
    <w:name w:val="No Spacing"/>
    <w:uiPriority w:val="1"/>
    <w:qFormat w:val="on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b/>
      <w:bCs/>
      <w:color w:val="365f9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b/>
      <w:bCs/>
      <w:color w:val="4f81bd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cstheme="majorBidi" w:eastAsiaTheme="majorEastAsia" w:hAnsiTheme="majorHAnsi"/>
      <w:b/>
      <w:bCs/>
      <w:color w:val="4f81bd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cstheme="majorBidi" w:eastAsiaTheme="majorEastAsia" w:hAnsiTheme="majorHAnsi"/>
      <w:b/>
      <w:bCs/>
      <w:i/>
      <w:iCs/>
      <w:color w:val="4f81bd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cstheme="majorBidi" w:eastAsiaTheme="majorEastAsia" w:hAnsiTheme="majorHAnsi"/>
      <w:color w:val="243f6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cstheme="majorBidi" w:eastAsiaTheme="majorEastAsia" w:hAnsiTheme="majorHAnsi"/>
      <w:i/>
      <w:iCs/>
      <w:color w:val="243f60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cstheme="majorBidi" w:eastAsiaTheme="majorEastAsia" w:hAnsiTheme="majorHAnsi"/>
      <w:i/>
      <w:iCs/>
      <w:color w:val="404040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cstheme="majorBidi" w:eastAsiaTheme="majorEastAsia" w:hAnsiTheme="majorHAnsi"/>
      <w:color w:val="40404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cstheme="majorBidi" w:eastAsiaTheme="majorEastAsia" w:hAnsiTheme="majorHAnsi"/>
      <w:i/>
      <w:iCs/>
      <w:color w:val="40404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pBdr>
        <w:bottom w:val="single" w:color="4f81bd" w:sz="8" w:space="4"/>
      </w:pBdr>
      <w:spacing w:after="300" w:line="240" w:lineRule="auto"/>
      <w:contextualSpacing w:val="on"/>
    </w:pPr>
    <w:rPr>
      <w:rFonts w:asciiTheme="majorHAnsi" w:cstheme="majorBidi" w:eastAsiaTheme="majorEastAsia" w:hAnsiTheme="majorHAnsi"/>
      <w:color w:val="17365d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color w:val="17365d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 w:val="on"/>
    <w:pPr/>
    <w:rPr>
      <w:rFonts w:asciiTheme="majorHAnsi" w:cstheme="majorBidi" w:eastAsiaTheme="majorEastAsia" w:hAnsiTheme="majorHAnsi"/>
      <w:i/>
      <w:iCs/>
      <w:color w:val="4f81bd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cstheme="majorBidi" w:eastAsiaTheme="majorEastAsia" w:hAnsiTheme="majorHAnsi"/>
      <w:i/>
      <w:iCs/>
      <w:color w:val="4f81bd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IntenseEmphasis">
    <w:name w:val="Intense Emphasis"/>
    <w:basedOn w:val="DefaultParagraphFont"/>
    <w:uiPriority w:val="21"/>
    <w:qFormat w:val="on"/>
    <w:rPr>
      <w:b/>
      <w:bCs/>
      <w:i/>
      <w:iCs/>
      <w:color w:val="4f81bd"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 w:val="on"/>
    <w:rPr>
      <w:i/>
      <w:iCs/>
      <w:color w:val="000000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bottom w:val="single" w:color="4f81bd" w:sz="4" w:space="4"/>
      </w:pBdr>
      <w:spacing w:before="200" w:after="280"/>
      <w:ind w:left="936" w:right="936"/>
    </w:pPr>
    <w:rPr>
      <w:b/>
      <w:bCs/>
      <w:i/>
      <w:iCs/>
      <w:color w:val="4f81bd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f81bd"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c0504d"/>
      <w:u w:val="single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c0504d"/>
      <w:spacing w:val="5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unhideWhenUsed w:val="on"/>
    <w:rPr>
      <w:vertAlign w:val="superscript"/>
    </w:rPr>
  </w:style>
  <w:style w:type="character" w:styleId="Hyperlink">
    <w:name w:val="Hyperlink"/>
    <w:basedOn w:val="DefaultParagraphFont"/>
    <w:uiPriority w:val="99"/>
    <w:unhideWhenUsed w:val="on"/>
    <w:unhideWhenUsed w:val="on"/>
    <w:rPr>
      <w:color w:val="0000ff"/>
      <w:u w:val="single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unhideWhenUsed w:val="on"/>
    <w:pPr>
      <w:spacing w:after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 w:val="on"/>
    <w:unhideWhenUsed w:val="on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 w:val="on"/>
    <w:unhideWhenUsed w:val="on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6" Type="http://schemas.openxmlformats.org/officeDocument/2006/relationships/settings" Target="settings.xml"/><Relationship Id="rId7" Type="http://schemas.openxmlformats.org/officeDocument/2006/relationships/image" Target="media/image1.png"/><Relationship Id="rId4" Type="http://schemas.openxmlformats.org/officeDocument/2006/relationships/image" Target="media/image1.jpeg"/><Relationship Id="rId5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S Office Theme">
  <a:themeElements>
    <a:clrScheme name="MS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MSOffice">
      <a:majorFont>
        <a:latin typeface="Cambria"/>
        <a:ea typeface=""/>
        <a:cs typeface=""/>
        <a:font script="Jpan" typeface="ＭＳ ゴシック"/>
        <a:font script="Arab" typeface="Times New Roman"/>
        <a:font script="Hebr" typeface="Times New Roman"/>
        <a:font script="Thai" typeface="Angsana New"/>
        <a:font script="Viet" typeface="Times New Roman"/>
      </a:majorFont>
      <a:minorFont>
        <a:latin typeface="Calibri"/>
        <a:ea typeface=""/>
        <a:cs typeface=""/>
        <a:font script="Jpan" typeface="ＭＳ 明朝"/>
        <a:font script="Arab" typeface="Arial"/>
        <a:font script="Hebr" typeface="Arial"/>
        <a:font script="Thai" typeface="Cordia New"/>
        <a:font script="Viet" typeface="Arial"/>
      </a:minorFont>
    </a:fontScheme>
    <a:fmtScheme name="MS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Application>Microsoft Office Word</Application>
  <AppVersion>14.000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vivacom</dc:creator>
  <cp:lastModifiedBy>Petar Yanakiev</cp:lastModifiedBy>
</cp:coreProperties>
</file>