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9886421"/>
        <w:docPartObj>
          <w:docPartGallery w:val="Cover Pages"/>
          <w:docPartUnique/>
        </w:docPartObj>
      </w:sdtPr>
      <w:sdtEndPr>
        <w:rPr>
          <w:rFonts w:cs="Times New Roman"/>
        </w:rPr>
      </w:sdtEndPr>
      <w:sdtContent>
        <w:p w14:paraId="7EF35477" w14:textId="067414B0" w:rsidR="001F20D7" w:rsidRDefault="001F20D7">
          <w:r>
            <w:rPr>
              <w:noProof/>
            </w:rPr>
            <mc:AlternateContent>
              <mc:Choice Requires="wpg">
                <w:drawing>
                  <wp:anchor distT="0" distB="0" distL="114300" distR="114300" simplePos="0" relativeHeight="251662336" behindDoc="0" locked="0" layoutInCell="1" allowOverlap="1" wp14:anchorId="57FC498C" wp14:editId="14476C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4000500"/>
                    <wp:effectExtent l="0" t="0" r="0" b="0"/>
                    <wp:wrapNone/>
                    <wp:docPr id="149" name="Group 51"/>
                    <wp:cNvGraphicFramePr/>
                    <a:graphic xmlns:a="http://schemas.openxmlformats.org/drawingml/2006/main">
                      <a:graphicData uri="http://schemas.microsoft.com/office/word/2010/wordprocessingGroup">
                        <wpg:wgp>
                          <wpg:cNvGrpSpPr/>
                          <wpg:grpSpPr>
                            <a:xfrm>
                              <a:off x="0" y="0"/>
                              <a:ext cx="7315200" cy="40005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6261261" id="Group 51" o:spid="_x0000_s1026" style="position:absolute;margin-left:0;margin-top:0;width:8in;height:31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ekbf02AAAAAYBAAAPAAAAZHJz&#10;L2Rvd25yZXYueG1sTI/BTsMwEETvSP0Haytxo3aKqKoQp6KVuEOJet7ESxIRryPbbVK+HpcLXEYa&#10;zWrmbbGb7SAu5EPvWEO2UiCIG2d6bjVUH68PWxAhIhscHJOGKwXYlYu7AnPjJn6nyzG2IpVwyFFD&#10;F+OYSxmajiyGlRuJU/bpvMWYrG+l8TilcjvItVIbabHntNDhSIeOmq/j2WrYO85k8MZndUXV9Xs6&#10;vW3Zan2/nF+eQUSa498x3PATOpSJqXZnNkEMGtIj8VdvWfa0Tr7WsHlUCmRZyP/45Q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Z9+x0IcFAAB+GwAADgAAAAAA&#10;AAAAAAAAAAA6AgAAZHJzL2Uyb0RvYy54bWxQSwECLQAKAAAAAAAAACEAmxsUEWhkAABoZAAAFAAA&#10;AAAAAAAAAAAAAADtBwAAZHJzL21lZGlhL2ltYWdlMS5wbmdQSwECLQAUAAYACAAAACEAnpG39NgA&#10;AAAGAQAADwAAAAAAAAAAAAAAAACH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2041640" wp14:editId="1387A52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DE549" w14:textId="30697B90" w:rsidR="001F20D7" w:rsidRPr="007F40FA" w:rsidRDefault="001F20D7" w:rsidP="001F20D7">
                                <w:pPr>
                                  <w:contextualSpacing/>
                                  <w:jc w:val="center"/>
                                  <w:rPr>
                                    <w:b/>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     </w:t>
                                    </w:r>
                                  </w:sdtContent>
                                </w:sdt>
                                <w:r w:rsidRPr="001F20D7">
                                  <w:rPr>
                                    <w:b/>
                                  </w:rPr>
                                  <w:t xml:space="preserve"> </w:t>
                                </w:r>
                                <w:r w:rsidRPr="00430FB7">
                                  <w:rPr>
                                    <w:rStyle w:val="IntenseReference"/>
                                    <w:bCs w:val="0"/>
                                    <w:smallCaps w:val="0"/>
                                    <w:spacing w:val="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Gasoline Product by BP Plc</w:t>
                                </w:r>
                              </w:p>
                              <w:p w14:paraId="0D321CA1" w14:textId="77777777" w:rsidR="001F20D7" w:rsidRPr="00CA5F54" w:rsidRDefault="001F20D7" w:rsidP="001F20D7">
                                <w:pPr>
                                  <w:contextualSpacing/>
                                  <w:rPr>
                                    <w:rFonts w:cs="Times New Roman"/>
                                    <w:b/>
                                    <w:szCs w:val="24"/>
                                  </w:rPr>
                                </w:pPr>
                              </w:p>
                              <w:p w14:paraId="1BB6CC8D" w14:textId="568110AC" w:rsidR="001F20D7" w:rsidRDefault="001F20D7">
                                <w:pPr>
                                  <w:jc w:val="right"/>
                                  <w:rPr>
                                    <w:color w:val="5B9BD5" w:themeColor="accent1"/>
                                    <w:sz w:val="64"/>
                                    <w:szCs w:val="64"/>
                                  </w:rPr>
                                </w:pPr>
                              </w:p>
                              <w:sdt>
                                <w:sdtPr>
                                  <w:rPr>
                                    <w:rStyle w:val="IntenseReference"/>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D1F784" w14:textId="1003EF40" w:rsidR="001F20D7" w:rsidRDefault="001F20D7">
                                    <w:pPr>
                                      <w:jc w:val="right"/>
                                      <w:rPr>
                                        <w:smallCaps/>
                                        <w:color w:val="404040" w:themeColor="text1" w:themeTint="BF"/>
                                        <w:sz w:val="36"/>
                                        <w:szCs w:val="36"/>
                                      </w:rPr>
                                    </w:pPr>
                                    <w:r w:rsidRPr="00430FB7">
                                      <w:rPr>
                                        <w:rStyle w:val="IntenseReference"/>
                                        <w:sz w:val="36"/>
                                        <w:szCs w:val="36"/>
                                      </w:rPr>
                                      <w:t>Management Economics-LCBB50008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2041640"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605DE549" w14:textId="30697B90" w:rsidR="001F20D7" w:rsidRPr="007F40FA" w:rsidRDefault="001F20D7" w:rsidP="001F20D7">
                          <w:pPr>
                            <w:contextualSpacing/>
                            <w:jc w:val="center"/>
                            <w:rPr>
                              <w:b/>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     </w:t>
                              </w:r>
                            </w:sdtContent>
                          </w:sdt>
                          <w:r w:rsidRPr="001F20D7">
                            <w:rPr>
                              <w:b/>
                            </w:rPr>
                            <w:t xml:space="preserve"> </w:t>
                          </w:r>
                          <w:r w:rsidRPr="00430FB7">
                            <w:rPr>
                              <w:rStyle w:val="IntenseReference"/>
                              <w:bCs w:val="0"/>
                              <w:smallCaps w:val="0"/>
                              <w:spacing w:val="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Gasoline Product by BP Plc</w:t>
                          </w:r>
                        </w:p>
                        <w:p w14:paraId="0D321CA1" w14:textId="77777777" w:rsidR="001F20D7" w:rsidRPr="00CA5F54" w:rsidRDefault="001F20D7" w:rsidP="001F20D7">
                          <w:pPr>
                            <w:contextualSpacing/>
                            <w:rPr>
                              <w:rFonts w:cs="Times New Roman"/>
                              <w:b/>
                              <w:szCs w:val="24"/>
                            </w:rPr>
                          </w:pPr>
                        </w:p>
                        <w:p w14:paraId="1BB6CC8D" w14:textId="568110AC" w:rsidR="001F20D7" w:rsidRDefault="001F20D7">
                          <w:pPr>
                            <w:jc w:val="right"/>
                            <w:rPr>
                              <w:color w:val="5B9BD5" w:themeColor="accent1"/>
                              <w:sz w:val="64"/>
                              <w:szCs w:val="64"/>
                            </w:rPr>
                          </w:pPr>
                        </w:p>
                        <w:sdt>
                          <w:sdtPr>
                            <w:rPr>
                              <w:rStyle w:val="IntenseReference"/>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D1F784" w14:textId="1003EF40" w:rsidR="001F20D7" w:rsidRDefault="001F20D7">
                              <w:pPr>
                                <w:jc w:val="right"/>
                                <w:rPr>
                                  <w:smallCaps/>
                                  <w:color w:val="404040" w:themeColor="text1" w:themeTint="BF"/>
                                  <w:sz w:val="36"/>
                                  <w:szCs w:val="36"/>
                                </w:rPr>
                              </w:pPr>
                              <w:r w:rsidRPr="00430FB7">
                                <w:rPr>
                                  <w:rStyle w:val="IntenseReference"/>
                                  <w:sz w:val="36"/>
                                  <w:szCs w:val="36"/>
                                </w:rPr>
                                <w:t>Management Economics-LCBB50008</w:t>
                              </w:r>
                            </w:p>
                          </w:sdtContent>
                        </w:sdt>
                      </w:txbxContent>
                    </v:textbox>
                    <w10:wrap type="square" anchorx="page" anchory="page"/>
                  </v:shape>
                </w:pict>
              </mc:Fallback>
            </mc:AlternateContent>
          </w:r>
        </w:p>
        <w:p w14:paraId="3666621D" w14:textId="23EDAD20" w:rsidR="001F20D7" w:rsidRDefault="00430FB7">
          <w:pPr>
            <w:spacing w:line="259" w:lineRule="auto"/>
            <w:rPr>
              <w:rFonts w:eastAsiaTheme="majorEastAsia" w:cs="Times New Roman"/>
              <w:color w:val="2E74B5" w:themeColor="accent1" w:themeShade="BF"/>
              <w:sz w:val="32"/>
              <w:szCs w:val="32"/>
              <w:lang w:val="en-US"/>
            </w:rPr>
          </w:pPr>
          <w:r>
            <w:rPr>
              <w:noProof/>
            </w:rPr>
            <mc:AlternateContent>
              <mc:Choice Requires="wps">
                <w:drawing>
                  <wp:anchor distT="0" distB="0" distL="114300" distR="114300" simplePos="0" relativeHeight="251661312" behindDoc="0" locked="0" layoutInCell="1" allowOverlap="1" wp14:anchorId="50CEF14B" wp14:editId="5F8E38B7">
                    <wp:simplePos x="0" y="0"/>
                    <wp:positionH relativeFrom="page">
                      <wp:posOffset>220980</wp:posOffset>
                    </wp:positionH>
                    <wp:positionV relativeFrom="page">
                      <wp:posOffset>6766560</wp:posOffset>
                    </wp:positionV>
                    <wp:extent cx="7315200" cy="2735580"/>
                    <wp:effectExtent l="0" t="0" r="0" b="762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735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0B60B" w14:textId="28EEEBBB" w:rsidR="001F20D7" w:rsidRPr="00430FB7" w:rsidRDefault="00E126B9" w:rsidP="00430FB7">
                                <w:pPr>
                                  <w:pStyle w:val="IntenseQuote"/>
                                  <w:rPr>
                                    <w:b/>
                                    <w:bCs/>
                                    <w:szCs w:val="24"/>
                                  </w:rPr>
                                </w:pPr>
                                <w:r w:rsidRPr="00430FB7">
                                  <w:rPr>
                                    <w:b/>
                                    <w:bCs/>
                                    <w:szCs w:val="24"/>
                                  </w:rPr>
                                  <w:t>Student: Bianca Mariana Constandachi</w:t>
                                </w:r>
                              </w:p>
                              <w:p w14:paraId="1A28ED94" w14:textId="77777777" w:rsidR="00430FB7" w:rsidRPr="00430FB7" w:rsidRDefault="00E126B9" w:rsidP="00430FB7">
                                <w:pPr>
                                  <w:pStyle w:val="IntenseQuote"/>
                                  <w:rPr>
                                    <w:b/>
                                    <w:bCs/>
                                    <w:szCs w:val="24"/>
                                  </w:rPr>
                                </w:pPr>
                                <w:r w:rsidRPr="00430FB7">
                                  <w:rPr>
                                    <w:b/>
                                    <w:bCs/>
                                    <w:szCs w:val="24"/>
                                  </w:rPr>
                                  <w:t>ID: 2030582</w:t>
                                </w:r>
                              </w:p>
                              <w:p w14:paraId="7452B761" w14:textId="4C6D5A2A" w:rsidR="00E126B9" w:rsidRPr="00430FB7" w:rsidRDefault="00E126B9" w:rsidP="00430FB7">
                                <w:pPr>
                                  <w:pStyle w:val="IntenseQuote"/>
                                  <w:rPr>
                                    <w:b/>
                                    <w:bCs/>
                                    <w:szCs w:val="24"/>
                                  </w:rPr>
                                </w:pPr>
                                <w:r w:rsidRPr="00430FB7">
                                  <w:rPr>
                                    <w:b/>
                                    <w:bCs/>
                                    <w:szCs w:val="24"/>
                                  </w:rPr>
                                  <w:t xml:space="preserve">Professor: Taye </w:t>
                                </w:r>
                                <w:proofErr w:type="spellStart"/>
                                <w:r w:rsidRPr="00430FB7">
                                  <w:rPr>
                                    <w:b/>
                                    <w:bCs/>
                                    <w:szCs w:val="24"/>
                                  </w:rPr>
                                  <w:t>Osadiya</w:t>
                                </w:r>
                                <w:proofErr w:type="spellEnd"/>
                              </w:p>
                              <w:p w14:paraId="11734C6C" w14:textId="1D3CBC42" w:rsidR="00430FB7" w:rsidRPr="00430FB7" w:rsidRDefault="00430FB7" w:rsidP="00430FB7">
                                <w:pPr>
                                  <w:pStyle w:val="IntenseQuote"/>
                                  <w:rPr>
                                    <w:b/>
                                    <w:bCs/>
                                    <w:szCs w:val="24"/>
                                  </w:rPr>
                                </w:pPr>
                                <w:r w:rsidRPr="00430FB7">
                                  <w:rPr>
                                    <w:b/>
                                    <w:bCs/>
                                    <w:szCs w:val="24"/>
                                  </w:rPr>
                                  <w:t>University: Trinity Saint David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CEF14B" id="Text Box 53" o:spid="_x0000_s1027" type="#_x0000_t202" style="position:absolute;margin-left:17.4pt;margin-top:532.8pt;width:8in;height:215.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" filled="f" stroked="f" strokeweight=".5pt">
                    <v:textbox inset="126pt,0,54pt,0">
                      <w:txbxContent>
                        <w:p w14:paraId="6F70B60B" w14:textId="28EEEBBB" w:rsidR="001F20D7" w:rsidRPr="00430FB7" w:rsidRDefault="00E126B9" w:rsidP="00430FB7">
                          <w:pPr>
                            <w:pStyle w:val="IntenseQuote"/>
                            <w:rPr>
                              <w:b/>
                              <w:bCs/>
                              <w:szCs w:val="24"/>
                            </w:rPr>
                          </w:pPr>
                          <w:r w:rsidRPr="00430FB7">
                            <w:rPr>
                              <w:b/>
                              <w:bCs/>
                              <w:szCs w:val="24"/>
                            </w:rPr>
                            <w:t>Student: Bianca Mariana Constandachi</w:t>
                          </w:r>
                        </w:p>
                        <w:p w14:paraId="1A28ED94" w14:textId="77777777" w:rsidR="00430FB7" w:rsidRPr="00430FB7" w:rsidRDefault="00E126B9" w:rsidP="00430FB7">
                          <w:pPr>
                            <w:pStyle w:val="IntenseQuote"/>
                            <w:rPr>
                              <w:b/>
                              <w:bCs/>
                              <w:szCs w:val="24"/>
                            </w:rPr>
                          </w:pPr>
                          <w:r w:rsidRPr="00430FB7">
                            <w:rPr>
                              <w:b/>
                              <w:bCs/>
                              <w:szCs w:val="24"/>
                            </w:rPr>
                            <w:t>ID: 2030582</w:t>
                          </w:r>
                        </w:p>
                        <w:p w14:paraId="7452B761" w14:textId="4C6D5A2A" w:rsidR="00E126B9" w:rsidRPr="00430FB7" w:rsidRDefault="00E126B9" w:rsidP="00430FB7">
                          <w:pPr>
                            <w:pStyle w:val="IntenseQuote"/>
                            <w:rPr>
                              <w:b/>
                              <w:bCs/>
                              <w:szCs w:val="24"/>
                            </w:rPr>
                          </w:pPr>
                          <w:r w:rsidRPr="00430FB7">
                            <w:rPr>
                              <w:b/>
                              <w:bCs/>
                              <w:szCs w:val="24"/>
                            </w:rPr>
                            <w:t xml:space="preserve">Professor: Taye </w:t>
                          </w:r>
                          <w:proofErr w:type="spellStart"/>
                          <w:r w:rsidRPr="00430FB7">
                            <w:rPr>
                              <w:b/>
                              <w:bCs/>
                              <w:szCs w:val="24"/>
                            </w:rPr>
                            <w:t>Osadiya</w:t>
                          </w:r>
                          <w:proofErr w:type="spellEnd"/>
                        </w:p>
                        <w:p w14:paraId="11734C6C" w14:textId="1D3CBC42" w:rsidR="00430FB7" w:rsidRPr="00430FB7" w:rsidRDefault="00430FB7" w:rsidP="00430FB7">
                          <w:pPr>
                            <w:pStyle w:val="IntenseQuote"/>
                            <w:rPr>
                              <w:b/>
                              <w:bCs/>
                              <w:szCs w:val="24"/>
                            </w:rPr>
                          </w:pPr>
                          <w:r w:rsidRPr="00430FB7">
                            <w:rPr>
                              <w:b/>
                              <w:bCs/>
                              <w:szCs w:val="24"/>
                            </w:rPr>
                            <w:t>University: Trinity Saint David</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B81E713" wp14:editId="6FBEB52C">
                    <wp:simplePos x="0" y="0"/>
                    <wp:positionH relativeFrom="page">
                      <wp:posOffset>220980</wp:posOffset>
                    </wp:positionH>
                    <wp:positionV relativeFrom="page">
                      <wp:posOffset>10043160</wp:posOffset>
                    </wp:positionV>
                    <wp:extent cx="7315200" cy="556260"/>
                    <wp:effectExtent l="0" t="0" r="0" b="1524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556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94E6CA" w14:textId="50CF2884" w:rsidR="001F20D7" w:rsidRDefault="001F20D7">
                                    <w:pPr>
                                      <w:pStyle w:val="NoSpacing"/>
                                      <w:jc w:val="right"/>
                                      <w:rPr>
                                        <w:color w:val="595959" w:themeColor="text1" w:themeTint="A6"/>
                                        <w:sz w:val="28"/>
                                        <w:szCs w:val="28"/>
                                      </w:rPr>
                                    </w:pPr>
                                    <w:r>
                                      <w:rPr>
                                        <w:color w:val="595959" w:themeColor="text1" w:themeTint="A6"/>
                                        <w:sz w:val="28"/>
                                        <w:szCs w:val="28"/>
                                      </w:rPr>
                                      <w:t>2030582@student.uwtsd.ac.uk</w:t>
                                    </w:r>
                                  </w:p>
                                </w:sdtContent>
                              </w:sdt>
                              <w:p w14:paraId="7966BF0D" w14:textId="6160972E" w:rsidR="001F20D7" w:rsidRDefault="001F20D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30FB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B81E713" id="Text Box 52" o:spid="_x0000_s1028" type="#_x0000_t202" style="position:absolute;margin-left:17.4pt;margin-top:790.8pt;width:8in;height:43.8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94E6CA" w14:textId="50CF2884" w:rsidR="001F20D7" w:rsidRDefault="001F20D7">
                              <w:pPr>
                                <w:pStyle w:val="NoSpacing"/>
                                <w:jc w:val="right"/>
                                <w:rPr>
                                  <w:color w:val="595959" w:themeColor="text1" w:themeTint="A6"/>
                                  <w:sz w:val="28"/>
                                  <w:szCs w:val="28"/>
                                </w:rPr>
                              </w:pPr>
                              <w:r>
                                <w:rPr>
                                  <w:color w:val="595959" w:themeColor="text1" w:themeTint="A6"/>
                                  <w:sz w:val="28"/>
                                  <w:szCs w:val="28"/>
                                </w:rPr>
                                <w:t>2030582@student.uwtsd.ac.uk</w:t>
                              </w:r>
                            </w:p>
                          </w:sdtContent>
                        </w:sdt>
                        <w:p w14:paraId="7966BF0D" w14:textId="6160972E" w:rsidR="001F20D7" w:rsidRDefault="001F20D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30FB7">
                                <w:rPr>
                                  <w:color w:val="595959" w:themeColor="text1" w:themeTint="A6"/>
                                  <w:sz w:val="18"/>
                                  <w:szCs w:val="18"/>
                                </w:rPr>
                                <w:t xml:space="preserve">     </w:t>
                              </w:r>
                            </w:sdtContent>
                          </w:sdt>
                        </w:p>
                      </w:txbxContent>
                    </v:textbox>
                    <w10:wrap type="square" anchorx="page" anchory="page"/>
                  </v:shape>
                </w:pict>
              </mc:Fallback>
            </mc:AlternateContent>
          </w:r>
          <w:r w:rsidR="001F20D7">
            <w:rPr>
              <w:rFonts w:cs="Times New Roman"/>
            </w:rPr>
            <w:br w:type="page"/>
          </w:r>
        </w:p>
      </w:sdtContent>
    </w:sdt>
    <w:sdt>
      <w:sdtPr>
        <w:rPr>
          <w:rFonts w:ascii="Times New Roman" w:eastAsiaTheme="minorHAnsi" w:hAnsi="Times New Roman" w:cstheme="minorBidi"/>
          <w:color w:val="auto"/>
          <w:sz w:val="24"/>
          <w:szCs w:val="22"/>
          <w:lang w:val="en-GB"/>
        </w:rPr>
        <w:id w:val="1813826731"/>
        <w:docPartObj>
          <w:docPartGallery w:val="Table of Contents"/>
          <w:docPartUnique/>
        </w:docPartObj>
      </w:sdtPr>
      <w:sdtEndPr>
        <w:rPr>
          <w:b/>
          <w:bCs/>
          <w:noProof/>
        </w:rPr>
      </w:sdtEndPr>
      <w:sdtContent>
        <w:p w14:paraId="3F0AB3B3" w14:textId="47878E2E" w:rsidR="00E23D4D" w:rsidRPr="00E23D4D" w:rsidRDefault="00E23D4D" w:rsidP="008C2C8E">
          <w:pPr>
            <w:pStyle w:val="TOCHeading"/>
            <w:spacing w:line="360" w:lineRule="auto"/>
            <w:rPr>
              <w:rFonts w:ascii="Times New Roman" w:hAnsi="Times New Roman" w:cs="Times New Roman"/>
            </w:rPr>
          </w:pPr>
          <w:r w:rsidRPr="00E23D4D">
            <w:rPr>
              <w:rFonts w:ascii="Times New Roman" w:hAnsi="Times New Roman" w:cs="Times New Roman"/>
            </w:rPr>
            <w:t>Table of Contents</w:t>
          </w:r>
        </w:p>
        <w:p w14:paraId="189CA123" w14:textId="77777777" w:rsidR="008C2C8E" w:rsidRDefault="00E23D4D" w:rsidP="008C2C8E">
          <w:pPr>
            <w:pStyle w:val="TOC1"/>
            <w:tabs>
              <w:tab w:val="right" w:leader="dot" w:pos="9016"/>
            </w:tabs>
            <w:spacing w:line="360" w:lineRule="auto"/>
            <w:rPr>
              <w:rFonts w:asciiTheme="minorHAnsi" w:eastAsiaTheme="minorEastAsia" w:hAnsiTheme="minorHAnsi"/>
              <w:noProof/>
              <w:sz w:val="22"/>
              <w:lang w:eastAsia="en-GB"/>
            </w:rPr>
          </w:pPr>
          <w:r w:rsidRPr="00E23D4D">
            <w:rPr>
              <w:rFonts w:cs="Times New Roman"/>
            </w:rPr>
            <w:fldChar w:fldCharType="begin"/>
          </w:r>
          <w:r w:rsidRPr="00E23D4D">
            <w:rPr>
              <w:rFonts w:cs="Times New Roman"/>
            </w:rPr>
            <w:instrText xml:space="preserve"> TOC \o "1-3" \h \z \u </w:instrText>
          </w:r>
          <w:r w:rsidRPr="00E23D4D">
            <w:rPr>
              <w:rFonts w:cs="Times New Roman"/>
            </w:rPr>
            <w:fldChar w:fldCharType="separate"/>
          </w:r>
          <w:hyperlink w:anchor="_Toc134283698" w:history="1">
            <w:r w:rsidR="008C2C8E" w:rsidRPr="00D5064B">
              <w:rPr>
                <w:rStyle w:val="Hyperlink"/>
                <w:noProof/>
              </w:rPr>
              <w:t>Introduction Description of the Business</w:t>
            </w:r>
            <w:r w:rsidR="008C2C8E">
              <w:rPr>
                <w:noProof/>
                <w:webHidden/>
              </w:rPr>
              <w:tab/>
            </w:r>
            <w:r w:rsidR="008C2C8E">
              <w:rPr>
                <w:noProof/>
                <w:webHidden/>
              </w:rPr>
              <w:fldChar w:fldCharType="begin"/>
            </w:r>
            <w:r w:rsidR="008C2C8E">
              <w:rPr>
                <w:noProof/>
                <w:webHidden/>
              </w:rPr>
              <w:instrText xml:space="preserve"> PAGEREF _Toc134283698 \h </w:instrText>
            </w:r>
            <w:r w:rsidR="008C2C8E">
              <w:rPr>
                <w:noProof/>
                <w:webHidden/>
              </w:rPr>
            </w:r>
            <w:r w:rsidR="008C2C8E">
              <w:rPr>
                <w:noProof/>
                <w:webHidden/>
              </w:rPr>
              <w:fldChar w:fldCharType="separate"/>
            </w:r>
            <w:r w:rsidR="008C33D7">
              <w:rPr>
                <w:noProof/>
                <w:webHidden/>
              </w:rPr>
              <w:t>3</w:t>
            </w:r>
            <w:r w:rsidR="008C2C8E">
              <w:rPr>
                <w:noProof/>
                <w:webHidden/>
              </w:rPr>
              <w:fldChar w:fldCharType="end"/>
            </w:r>
          </w:hyperlink>
        </w:p>
        <w:p w14:paraId="4BDE7DA7" w14:textId="77777777" w:rsidR="008C2C8E" w:rsidRDefault="00000000" w:rsidP="008C2C8E">
          <w:pPr>
            <w:pStyle w:val="TOC1"/>
            <w:tabs>
              <w:tab w:val="right" w:leader="dot" w:pos="9016"/>
            </w:tabs>
            <w:spacing w:line="360" w:lineRule="auto"/>
            <w:rPr>
              <w:rFonts w:asciiTheme="minorHAnsi" w:eastAsiaTheme="minorEastAsia" w:hAnsiTheme="minorHAnsi"/>
              <w:noProof/>
              <w:sz w:val="22"/>
              <w:lang w:eastAsia="en-GB"/>
            </w:rPr>
          </w:pPr>
          <w:hyperlink w:anchor="_Toc134283699" w:history="1">
            <w:r w:rsidR="008C2C8E" w:rsidRPr="00D5064B">
              <w:rPr>
                <w:rStyle w:val="Hyperlink"/>
                <w:noProof/>
              </w:rPr>
              <w:t>Demand and Market Equilibrium</w:t>
            </w:r>
            <w:r w:rsidR="008C2C8E">
              <w:rPr>
                <w:noProof/>
                <w:webHidden/>
              </w:rPr>
              <w:tab/>
            </w:r>
            <w:r w:rsidR="008C2C8E">
              <w:rPr>
                <w:noProof/>
                <w:webHidden/>
              </w:rPr>
              <w:fldChar w:fldCharType="begin"/>
            </w:r>
            <w:r w:rsidR="008C2C8E">
              <w:rPr>
                <w:noProof/>
                <w:webHidden/>
              </w:rPr>
              <w:instrText xml:space="preserve"> PAGEREF _Toc134283699 \h </w:instrText>
            </w:r>
            <w:r w:rsidR="008C2C8E">
              <w:rPr>
                <w:noProof/>
                <w:webHidden/>
              </w:rPr>
            </w:r>
            <w:r w:rsidR="008C2C8E">
              <w:rPr>
                <w:noProof/>
                <w:webHidden/>
              </w:rPr>
              <w:fldChar w:fldCharType="separate"/>
            </w:r>
            <w:r w:rsidR="008C33D7">
              <w:rPr>
                <w:noProof/>
                <w:webHidden/>
              </w:rPr>
              <w:t>4</w:t>
            </w:r>
            <w:r w:rsidR="008C2C8E">
              <w:rPr>
                <w:noProof/>
                <w:webHidden/>
              </w:rPr>
              <w:fldChar w:fldCharType="end"/>
            </w:r>
          </w:hyperlink>
        </w:p>
        <w:p w14:paraId="31874384"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0" w:history="1">
            <w:r w:rsidR="008C2C8E" w:rsidRPr="00D5064B">
              <w:rPr>
                <w:rStyle w:val="Hyperlink"/>
                <w:noProof/>
              </w:rPr>
              <w:t>Price of Substitutes</w:t>
            </w:r>
            <w:r w:rsidR="008C2C8E">
              <w:rPr>
                <w:noProof/>
                <w:webHidden/>
              </w:rPr>
              <w:tab/>
            </w:r>
            <w:r w:rsidR="008C2C8E">
              <w:rPr>
                <w:noProof/>
                <w:webHidden/>
              </w:rPr>
              <w:fldChar w:fldCharType="begin"/>
            </w:r>
            <w:r w:rsidR="008C2C8E">
              <w:rPr>
                <w:noProof/>
                <w:webHidden/>
              </w:rPr>
              <w:instrText xml:space="preserve"> PAGEREF _Toc134283700 \h </w:instrText>
            </w:r>
            <w:r w:rsidR="008C2C8E">
              <w:rPr>
                <w:noProof/>
                <w:webHidden/>
              </w:rPr>
            </w:r>
            <w:r w:rsidR="008C2C8E">
              <w:rPr>
                <w:noProof/>
                <w:webHidden/>
              </w:rPr>
              <w:fldChar w:fldCharType="separate"/>
            </w:r>
            <w:r w:rsidR="008C33D7">
              <w:rPr>
                <w:noProof/>
                <w:webHidden/>
              </w:rPr>
              <w:t>4</w:t>
            </w:r>
            <w:r w:rsidR="008C2C8E">
              <w:rPr>
                <w:noProof/>
                <w:webHidden/>
              </w:rPr>
              <w:fldChar w:fldCharType="end"/>
            </w:r>
          </w:hyperlink>
        </w:p>
        <w:p w14:paraId="2D35DC3F"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1" w:history="1">
            <w:r w:rsidR="008C2C8E" w:rsidRPr="00D5064B">
              <w:rPr>
                <w:rStyle w:val="Hyperlink"/>
                <w:noProof/>
              </w:rPr>
              <w:t>Prices of Complements</w:t>
            </w:r>
            <w:r w:rsidR="008C2C8E">
              <w:rPr>
                <w:noProof/>
                <w:webHidden/>
              </w:rPr>
              <w:tab/>
            </w:r>
            <w:r w:rsidR="008C2C8E">
              <w:rPr>
                <w:noProof/>
                <w:webHidden/>
              </w:rPr>
              <w:fldChar w:fldCharType="begin"/>
            </w:r>
            <w:r w:rsidR="008C2C8E">
              <w:rPr>
                <w:noProof/>
                <w:webHidden/>
              </w:rPr>
              <w:instrText xml:space="preserve"> PAGEREF _Toc134283701 \h </w:instrText>
            </w:r>
            <w:r w:rsidR="008C2C8E">
              <w:rPr>
                <w:noProof/>
                <w:webHidden/>
              </w:rPr>
            </w:r>
            <w:r w:rsidR="008C2C8E">
              <w:rPr>
                <w:noProof/>
                <w:webHidden/>
              </w:rPr>
              <w:fldChar w:fldCharType="separate"/>
            </w:r>
            <w:r w:rsidR="008C33D7">
              <w:rPr>
                <w:noProof/>
                <w:webHidden/>
              </w:rPr>
              <w:t>5</w:t>
            </w:r>
            <w:r w:rsidR="008C2C8E">
              <w:rPr>
                <w:noProof/>
                <w:webHidden/>
              </w:rPr>
              <w:fldChar w:fldCharType="end"/>
            </w:r>
          </w:hyperlink>
        </w:p>
        <w:p w14:paraId="064F26B2"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2" w:history="1">
            <w:r w:rsidR="008C2C8E" w:rsidRPr="00D5064B">
              <w:rPr>
                <w:rStyle w:val="Hyperlink"/>
                <w:noProof/>
              </w:rPr>
              <w:t>Consumer Income</w:t>
            </w:r>
            <w:r w:rsidR="008C2C8E">
              <w:rPr>
                <w:noProof/>
                <w:webHidden/>
              </w:rPr>
              <w:tab/>
            </w:r>
            <w:r w:rsidR="008C2C8E">
              <w:rPr>
                <w:noProof/>
                <w:webHidden/>
              </w:rPr>
              <w:fldChar w:fldCharType="begin"/>
            </w:r>
            <w:r w:rsidR="008C2C8E">
              <w:rPr>
                <w:noProof/>
                <w:webHidden/>
              </w:rPr>
              <w:instrText xml:space="preserve"> PAGEREF _Toc134283702 \h </w:instrText>
            </w:r>
            <w:r w:rsidR="008C2C8E">
              <w:rPr>
                <w:noProof/>
                <w:webHidden/>
              </w:rPr>
            </w:r>
            <w:r w:rsidR="008C2C8E">
              <w:rPr>
                <w:noProof/>
                <w:webHidden/>
              </w:rPr>
              <w:fldChar w:fldCharType="separate"/>
            </w:r>
            <w:r w:rsidR="008C33D7">
              <w:rPr>
                <w:noProof/>
                <w:webHidden/>
              </w:rPr>
              <w:t>7</w:t>
            </w:r>
            <w:r w:rsidR="008C2C8E">
              <w:rPr>
                <w:noProof/>
                <w:webHidden/>
              </w:rPr>
              <w:fldChar w:fldCharType="end"/>
            </w:r>
          </w:hyperlink>
        </w:p>
        <w:p w14:paraId="258C2AEB"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3" w:history="1">
            <w:r w:rsidR="008C2C8E" w:rsidRPr="00D5064B">
              <w:rPr>
                <w:rStyle w:val="Hyperlink"/>
                <w:noProof/>
              </w:rPr>
              <w:t>Consumer Tastes and Preferences</w:t>
            </w:r>
            <w:r w:rsidR="008C2C8E">
              <w:rPr>
                <w:noProof/>
                <w:webHidden/>
              </w:rPr>
              <w:tab/>
            </w:r>
            <w:r w:rsidR="008C2C8E">
              <w:rPr>
                <w:noProof/>
                <w:webHidden/>
              </w:rPr>
              <w:fldChar w:fldCharType="begin"/>
            </w:r>
            <w:r w:rsidR="008C2C8E">
              <w:rPr>
                <w:noProof/>
                <w:webHidden/>
              </w:rPr>
              <w:instrText xml:space="preserve"> PAGEREF _Toc134283703 \h </w:instrText>
            </w:r>
            <w:r w:rsidR="008C2C8E">
              <w:rPr>
                <w:noProof/>
                <w:webHidden/>
              </w:rPr>
            </w:r>
            <w:r w:rsidR="008C2C8E">
              <w:rPr>
                <w:noProof/>
                <w:webHidden/>
              </w:rPr>
              <w:fldChar w:fldCharType="separate"/>
            </w:r>
            <w:r w:rsidR="008C33D7">
              <w:rPr>
                <w:noProof/>
                <w:webHidden/>
              </w:rPr>
              <w:t>8</w:t>
            </w:r>
            <w:r w:rsidR="008C2C8E">
              <w:rPr>
                <w:noProof/>
                <w:webHidden/>
              </w:rPr>
              <w:fldChar w:fldCharType="end"/>
            </w:r>
          </w:hyperlink>
        </w:p>
        <w:p w14:paraId="0D575250"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4" w:history="1">
            <w:r w:rsidR="008C2C8E" w:rsidRPr="00D5064B">
              <w:rPr>
                <w:rStyle w:val="Hyperlink"/>
                <w:noProof/>
              </w:rPr>
              <w:t>Consumer Expectations of Price of Petrol</w:t>
            </w:r>
            <w:r w:rsidR="008C2C8E">
              <w:rPr>
                <w:noProof/>
                <w:webHidden/>
              </w:rPr>
              <w:tab/>
            </w:r>
            <w:r w:rsidR="008C2C8E">
              <w:rPr>
                <w:noProof/>
                <w:webHidden/>
              </w:rPr>
              <w:fldChar w:fldCharType="begin"/>
            </w:r>
            <w:r w:rsidR="008C2C8E">
              <w:rPr>
                <w:noProof/>
                <w:webHidden/>
              </w:rPr>
              <w:instrText xml:space="preserve"> PAGEREF _Toc134283704 \h </w:instrText>
            </w:r>
            <w:r w:rsidR="008C2C8E">
              <w:rPr>
                <w:noProof/>
                <w:webHidden/>
              </w:rPr>
            </w:r>
            <w:r w:rsidR="008C2C8E">
              <w:rPr>
                <w:noProof/>
                <w:webHidden/>
              </w:rPr>
              <w:fldChar w:fldCharType="separate"/>
            </w:r>
            <w:r w:rsidR="008C33D7">
              <w:rPr>
                <w:noProof/>
                <w:webHidden/>
              </w:rPr>
              <w:t>9</w:t>
            </w:r>
            <w:r w:rsidR="008C2C8E">
              <w:rPr>
                <w:noProof/>
                <w:webHidden/>
              </w:rPr>
              <w:fldChar w:fldCharType="end"/>
            </w:r>
          </w:hyperlink>
        </w:p>
        <w:p w14:paraId="69FD91D7"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5" w:history="1">
            <w:r w:rsidR="008C2C8E" w:rsidRPr="00D5064B">
              <w:rPr>
                <w:rStyle w:val="Hyperlink"/>
                <w:noProof/>
              </w:rPr>
              <w:t>Demographics</w:t>
            </w:r>
            <w:r w:rsidR="008C2C8E">
              <w:rPr>
                <w:noProof/>
                <w:webHidden/>
              </w:rPr>
              <w:tab/>
            </w:r>
            <w:r w:rsidR="008C2C8E">
              <w:rPr>
                <w:noProof/>
                <w:webHidden/>
              </w:rPr>
              <w:fldChar w:fldCharType="begin"/>
            </w:r>
            <w:r w:rsidR="008C2C8E">
              <w:rPr>
                <w:noProof/>
                <w:webHidden/>
              </w:rPr>
              <w:instrText xml:space="preserve"> PAGEREF _Toc134283705 \h </w:instrText>
            </w:r>
            <w:r w:rsidR="008C2C8E">
              <w:rPr>
                <w:noProof/>
                <w:webHidden/>
              </w:rPr>
            </w:r>
            <w:r w:rsidR="008C2C8E">
              <w:rPr>
                <w:noProof/>
                <w:webHidden/>
              </w:rPr>
              <w:fldChar w:fldCharType="separate"/>
            </w:r>
            <w:r w:rsidR="008C33D7">
              <w:rPr>
                <w:noProof/>
                <w:webHidden/>
              </w:rPr>
              <w:t>9</w:t>
            </w:r>
            <w:r w:rsidR="008C2C8E">
              <w:rPr>
                <w:noProof/>
                <w:webHidden/>
              </w:rPr>
              <w:fldChar w:fldCharType="end"/>
            </w:r>
          </w:hyperlink>
        </w:p>
        <w:p w14:paraId="3FD0C996" w14:textId="77777777" w:rsidR="008C2C8E" w:rsidRDefault="00000000" w:rsidP="008C2C8E">
          <w:pPr>
            <w:pStyle w:val="TOC1"/>
            <w:tabs>
              <w:tab w:val="right" w:leader="dot" w:pos="9016"/>
            </w:tabs>
            <w:spacing w:line="360" w:lineRule="auto"/>
            <w:rPr>
              <w:rFonts w:asciiTheme="minorHAnsi" w:eastAsiaTheme="minorEastAsia" w:hAnsiTheme="minorHAnsi"/>
              <w:noProof/>
              <w:sz w:val="22"/>
              <w:lang w:eastAsia="en-GB"/>
            </w:rPr>
          </w:pPr>
          <w:hyperlink w:anchor="_Toc134283706" w:history="1">
            <w:r w:rsidR="008C2C8E" w:rsidRPr="00D5064B">
              <w:rPr>
                <w:rStyle w:val="Hyperlink"/>
                <w:noProof/>
              </w:rPr>
              <w:t>Price Elasticity of Demand for Gasoline</w:t>
            </w:r>
            <w:r w:rsidR="008C2C8E">
              <w:rPr>
                <w:noProof/>
                <w:webHidden/>
              </w:rPr>
              <w:tab/>
            </w:r>
            <w:r w:rsidR="008C2C8E">
              <w:rPr>
                <w:noProof/>
                <w:webHidden/>
              </w:rPr>
              <w:fldChar w:fldCharType="begin"/>
            </w:r>
            <w:r w:rsidR="008C2C8E">
              <w:rPr>
                <w:noProof/>
                <w:webHidden/>
              </w:rPr>
              <w:instrText xml:space="preserve"> PAGEREF _Toc134283706 \h </w:instrText>
            </w:r>
            <w:r w:rsidR="008C2C8E">
              <w:rPr>
                <w:noProof/>
                <w:webHidden/>
              </w:rPr>
            </w:r>
            <w:r w:rsidR="008C2C8E">
              <w:rPr>
                <w:noProof/>
                <w:webHidden/>
              </w:rPr>
              <w:fldChar w:fldCharType="separate"/>
            </w:r>
            <w:r w:rsidR="008C33D7">
              <w:rPr>
                <w:noProof/>
                <w:webHidden/>
              </w:rPr>
              <w:t>10</w:t>
            </w:r>
            <w:r w:rsidR="008C2C8E">
              <w:rPr>
                <w:noProof/>
                <w:webHidden/>
              </w:rPr>
              <w:fldChar w:fldCharType="end"/>
            </w:r>
          </w:hyperlink>
        </w:p>
        <w:p w14:paraId="47D24939"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7" w:history="1">
            <w:r w:rsidR="008C2C8E" w:rsidRPr="00D5064B">
              <w:rPr>
                <w:rStyle w:val="Hyperlink"/>
                <w:noProof/>
              </w:rPr>
              <w:t>The Substitution Effect</w:t>
            </w:r>
            <w:r w:rsidR="008C2C8E">
              <w:rPr>
                <w:noProof/>
                <w:webHidden/>
              </w:rPr>
              <w:tab/>
            </w:r>
            <w:r w:rsidR="008C2C8E">
              <w:rPr>
                <w:noProof/>
                <w:webHidden/>
              </w:rPr>
              <w:fldChar w:fldCharType="begin"/>
            </w:r>
            <w:r w:rsidR="008C2C8E">
              <w:rPr>
                <w:noProof/>
                <w:webHidden/>
              </w:rPr>
              <w:instrText xml:space="preserve"> PAGEREF _Toc134283707 \h </w:instrText>
            </w:r>
            <w:r w:rsidR="008C2C8E">
              <w:rPr>
                <w:noProof/>
                <w:webHidden/>
              </w:rPr>
            </w:r>
            <w:r w:rsidR="008C2C8E">
              <w:rPr>
                <w:noProof/>
                <w:webHidden/>
              </w:rPr>
              <w:fldChar w:fldCharType="separate"/>
            </w:r>
            <w:r w:rsidR="008C33D7">
              <w:rPr>
                <w:noProof/>
                <w:webHidden/>
              </w:rPr>
              <w:t>10</w:t>
            </w:r>
            <w:r w:rsidR="008C2C8E">
              <w:rPr>
                <w:noProof/>
                <w:webHidden/>
              </w:rPr>
              <w:fldChar w:fldCharType="end"/>
            </w:r>
          </w:hyperlink>
        </w:p>
        <w:p w14:paraId="694FDF5B"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8" w:history="1">
            <w:r w:rsidR="008C2C8E" w:rsidRPr="00D5064B">
              <w:rPr>
                <w:rStyle w:val="Hyperlink"/>
                <w:noProof/>
              </w:rPr>
              <w:t>The Income Effect</w:t>
            </w:r>
            <w:r w:rsidR="008C2C8E">
              <w:rPr>
                <w:noProof/>
                <w:webHidden/>
              </w:rPr>
              <w:tab/>
            </w:r>
            <w:r w:rsidR="008C2C8E">
              <w:rPr>
                <w:noProof/>
                <w:webHidden/>
              </w:rPr>
              <w:fldChar w:fldCharType="begin"/>
            </w:r>
            <w:r w:rsidR="008C2C8E">
              <w:rPr>
                <w:noProof/>
                <w:webHidden/>
              </w:rPr>
              <w:instrText xml:space="preserve"> PAGEREF _Toc134283708 \h </w:instrText>
            </w:r>
            <w:r w:rsidR="008C2C8E">
              <w:rPr>
                <w:noProof/>
                <w:webHidden/>
              </w:rPr>
            </w:r>
            <w:r w:rsidR="008C2C8E">
              <w:rPr>
                <w:noProof/>
                <w:webHidden/>
              </w:rPr>
              <w:fldChar w:fldCharType="separate"/>
            </w:r>
            <w:r w:rsidR="008C33D7">
              <w:rPr>
                <w:noProof/>
                <w:webHidden/>
              </w:rPr>
              <w:t>12</w:t>
            </w:r>
            <w:r w:rsidR="008C2C8E">
              <w:rPr>
                <w:noProof/>
                <w:webHidden/>
              </w:rPr>
              <w:fldChar w:fldCharType="end"/>
            </w:r>
          </w:hyperlink>
        </w:p>
        <w:p w14:paraId="3838831F" w14:textId="77777777" w:rsidR="008C2C8E" w:rsidRDefault="00000000" w:rsidP="008C2C8E">
          <w:pPr>
            <w:pStyle w:val="TOC2"/>
            <w:tabs>
              <w:tab w:val="right" w:leader="dot" w:pos="9016"/>
            </w:tabs>
            <w:spacing w:line="360" w:lineRule="auto"/>
            <w:rPr>
              <w:rFonts w:asciiTheme="minorHAnsi" w:eastAsiaTheme="minorEastAsia" w:hAnsiTheme="minorHAnsi"/>
              <w:noProof/>
              <w:sz w:val="22"/>
              <w:lang w:eastAsia="en-GB"/>
            </w:rPr>
          </w:pPr>
          <w:hyperlink w:anchor="_Toc134283709" w:history="1">
            <w:r w:rsidR="008C2C8E" w:rsidRPr="00D5064B">
              <w:rPr>
                <w:rStyle w:val="Hyperlink"/>
                <w:noProof/>
              </w:rPr>
              <w:t>Gasoline Pricing Policy for BP Plc</w:t>
            </w:r>
            <w:r w:rsidR="008C2C8E">
              <w:rPr>
                <w:noProof/>
                <w:webHidden/>
              </w:rPr>
              <w:tab/>
            </w:r>
            <w:r w:rsidR="008C2C8E">
              <w:rPr>
                <w:noProof/>
                <w:webHidden/>
              </w:rPr>
              <w:fldChar w:fldCharType="begin"/>
            </w:r>
            <w:r w:rsidR="008C2C8E">
              <w:rPr>
                <w:noProof/>
                <w:webHidden/>
              </w:rPr>
              <w:instrText xml:space="preserve"> PAGEREF _Toc134283709 \h </w:instrText>
            </w:r>
            <w:r w:rsidR="008C2C8E">
              <w:rPr>
                <w:noProof/>
                <w:webHidden/>
              </w:rPr>
            </w:r>
            <w:r w:rsidR="008C2C8E">
              <w:rPr>
                <w:noProof/>
                <w:webHidden/>
              </w:rPr>
              <w:fldChar w:fldCharType="separate"/>
            </w:r>
            <w:r w:rsidR="008C33D7">
              <w:rPr>
                <w:noProof/>
                <w:webHidden/>
              </w:rPr>
              <w:t>13</w:t>
            </w:r>
            <w:r w:rsidR="008C2C8E">
              <w:rPr>
                <w:noProof/>
                <w:webHidden/>
              </w:rPr>
              <w:fldChar w:fldCharType="end"/>
            </w:r>
          </w:hyperlink>
        </w:p>
        <w:p w14:paraId="6B0B06AA" w14:textId="77777777" w:rsidR="008C2C8E" w:rsidRDefault="00000000" w:rsidP="008C2C8E">
          <w:pPr>
            <w:pStyle w:val="TOC1"/>
            <w:tabs>
              <w:tab w:val="right" w:leader="dot" w:pos="9016"/>
            </w:tabs>
            <w:spacing w:line="360" w:lineRule="auto"/>
            <w:rPr>
              <w:rFonts w:asciiTheme="minorHAnsi" w:eastAsiaTheme="minorEastAsia" w:hAnsiTheme="minorHAnsi"/>
              <w:noProof/>
              <w:sz w:val="22"/>
              <w:lang w:eastAsia="en-GB"/>
            </w:rPr>
          </w:pPr>
          <w:hyperlink w:anchor="_Toc134283710" w:history="1">
            <w:r w:rsidR="008C2C8E" w:rsidRPr="00D5064B">
              <w:rPr>
                <w:rStyle w:val="Hyperlink"/>
                <w:noProof/>
              </w:rPr>
              <w:t>Conclusion</w:t>
            </w:r>
            <w:r w:rsidR="008C2C8E">
              <w:rPr>
                <w:noProof/>
                <w:webHidden/>
              </w:rPr>
              <w:tab/>
            </w:r>
            <w:r w:rsidR="008C2C8E">
              <w:rPr>
                <w:noProof/>
                <w:webHidden/>
              </w:rPr>
              <w:fldChar w:fldCharType="begin"/>
            </w:r>
            <w:r w:rsidR="008C2C8E">
              <w:rPr>
                <w:noProof/>
                <w:webHidden/>
              </w:rPr>
              <w:instrText xml:space="preserve"> PAGEREF _Toc134283710 \h </w:instrText>
            </w:r>
            <w:r w:rsidR="008C2C8E">
              <w:rPr>
                <w:noProof/>
                <w:webHidden/>
              </w:rPr>
            </w:r>
            <w:r w:rsidR="008C2C8E">
              <w:rPr>
                <w:noProof/>
                <w:webHidden/>
              </w:rPr>
              <w:fldChar w:fldCharType="separate"/>
            </w:r>
            <w:r w:rsidR="008C33D7">
              <w:rPr>
                <w:noProof/>
                <w:webHidden/>
              </w:rPr>
              <w:t>13</w:t>
            </w:r>
            <w:r w:rsidR="008C2C8E">
              <w:rPr>
                <w:noProof/>
                <w:webHidden/>
              </w:rPr>
              <w:fldChar w:fldCharType="end"/>
            </w:r>
          </w:hyperlink>
        </w:p>
        <w:p w14:paraId="210B8FC3" w14:textId="77777777" w:rsidR="008C2C8E" w:rsidRDefault="00000000" w:rsidP="008C2C8E">
          <w:pPr>
            <w:pStyle w:val="TOC1"/>
            <w:tabs>
              <w:tab w:val="right" w:leader="dot" w:pos="9016"/>
            </w:tabs>
            <w:spacing w:line="360" w:lineRule="auto"/>
            <w:rPr>
              <w:rFonts w:asciiTheme="minorHAnsi" w:eastAsiaTheme="minorEastAsia" w:hAnsiTheme="minorHAnsi"/>
              <w:noProof/>
              <w:sz w:val="22"/>
              <w:lang w:eastAsia="en-GB"/>
            </w:rPr>
          </w:pPr>
          <w:hyperlink w:anchor="_Toc134283711" w:history="1">
            <w:r w:rsidR="008C2C8E" w:rsidRPr="00D5064B">
              <w:rPr>
                <w:rStyle w:val="Hyperlink"/>
                <w:noProof/>
              </w:rPr>
              <w:t>References List</w:t>
            </w:r>
            <w:r w:rsidR="008C2C8E">
              <w:rPr>
                <w:noProof/>
                <w:webHidden/>
              </w:rPr>
              <w:tab/>
            </w:r>
            <w:r w:rsidR="008C2C8E">
              <w:rPr>
                <w:noProof/>
                <w:webHidden/>
              </w:rPr>
              <w:fldChar w:fldCharType="begin"/>
            </w:r>
            <w:r w:rsidR="008C2C8E">
              <w:rPr>
                <w:noProof/>
                <w:webHidden/>
              </w:rPr>
              <w:instrText xml:space="preserve"> PAGEREF _Toc134283711 \h </w:instrText>
            </w:r>
            <w:r w:rsidR="008C2C8E">
              <w:rPr>
                <w:noProof/>
                <w:webHidden/>
              </w:rPr>
            </w:r>
            <w:r w:rsidR="008C2C8E">
              <w:rPr>
                <w:noProof/>
                <w:webHidden/>
              </w:rPr>
              <w:fldChar w:fldCharType="separate"/>
            </w:r>
            <w:r w:rsidR="008C33D7">
              <w:rPr>
                <w:noProof/>
                <w:webHidden/>
              </w:rPr>
              <w:t>14</w:t>
            </w:r>
            <w:r w:rsidR="008C2C8E">
              <w:rPr>
                <w:noProof/>
                <w:webHidden/>
              </w:rPr>
              <w:fldChar w:fldCharType="end"/>
            </w:r>
          </w:hyperlink>
        </w:p>
        <w:p w14:paraId="5396E3CF" w14:textId="77777777" w:rsidR="00E23D4D" w:rsidRDefault="00E23D4D" w:rsidP="008C2C8E">
          <w:pPr>
            <w:spacing w:line="360" w:lineRule="auto"/>
          </w:pPr>
          <w:r w:rsidRPr="00E23D4D">
            <w:rPr>
              <w:rFonts w:cs="Times New Roman"/>
              <w:b/>
              <w:bCs/>
              <w:noProof/>
            </w:rPr>
            <w:fldChar w:fldCharType="end"/>
          </w:r>
        </w:p>
      </w:sdtContent>
    </w:sdt>
    <w:p w14:paraId="5EAE7056" w14:textId="77777777" w:rsidR="00061427" w:rsidRPr="00CA5F54" w:rsidRDefault="00061427" w:rsidP="0039592A">
      <w:pPr>
        <w:spacing w:line="360" w:lineRule="auto"/>
        <w:contextualSpacing/>
        <w:rPr>
          <w:rFonts w:cs="Times New Roman"/>
          <w:szCs w:val="24"/>
        </w:rPr>
      </w:pPr>
    </w:p>
    <w:p w14:paraId="651881E9" w14:textId="77777777" w:rsidR="00B60D0C" w:rsidRPr="007F40FA" w:rsidRDefault="00B60D0C" w:rsidP="003E0520">
      <w:pPr>
        <w:contextualSpacing/>
        <w:rPr>
          <w:b/>
        </w:rPr>
      </w:pPr>
    </w:p>
    <w:p w14:paraId="783CAC58" w14:textId="77777777" w:rsidR="00243DFE" w:rsidRPr="007F40FA" w:rsidRDefault="00243DFE" w:rsidP="003E0520">
      <w:pPr>
        <w:contextualSpacing/>
        <w:rPr>
          <w:b/>
        </w:rPr>
      </w:pPr>
      <w:r w:rsidRPr="007F40FA">
        <w:rPr>
          <w:b/>
        </w:rPr>
        <w:br w:type="page"/>
      </w:r>
    </w:p>
    <w:p w14:paraId="4AACB0F7" w14:textId="77777777" w:rsidR="006F4857" w:rsidRPr="007F40FA" w:rsidRDefault="002F15BF" w:rsidP="003E0520">
      <w:pPr>
        <w:pStyle w:val="Heading1"/>
        <w:contextualSpacing/>
      </w:pPr>
      <w:bookmarkStart w:id="0" w:name="_Toc134283698"/>
      <w:r w:rsidRPr="007F40FA">
        <w:t>Introduction Description of the Business</w:t>
      </w:r>
      <w:bookmarkEnd w:id="0"/>
    </w:p>
    <w:p w14:paraId="5E0DDD74" w14:textId="77777777" w:rsidR="00A25B5B" w:rsidRDefault="00B60D0C" w:rsidP="003E0520">
      <w:pPr>
        <w:ind w:firstLine="720"/>
        <w:contextualSpacing/>
      </w:pPr>
      <w:r w:rsidRPr="007F40FA">
        <w:t xml:space="preserve">BP is a multinational </w:t>
      </w:r>
      <w:r w:rsidR="00A839C1" w:rsidRPr="007F40FA">
        <w:t xml:space="preserve">oil and gas company domiciled in the United Kingdom and headquartered in London. </w:t>
      </w:r>
      <w:r w:rsidR="007F40FA" w:rsidRPr="007F40FA">
        <w:t>The company has three categories of operations. The first category is the exploration of oil and natural gas in various parts of the world. A clas</w:t>
      </w:r>
      <w:r w:rsidR="007F40FA">
        <w:t>sic example of the operationalisation of this business segment is the current exploration of oil and natural gas in the offshore Nile Delta region of Egypt</w:t>
      </w:r>
      <w:r w:rsidR="00572857">
        <w:t xml:space="preserve"> (GlobalData, 2023)</w:t>
      </w:r>
      <w:r w:rsidR="007F40FA">
        <w:t xml:space="preserve">. The second category of operations is the transportation of natural gas. In this case, the company transports two primary products namely liquefied gas and natural gas liquids. The third category of business for BP Plc is supple or crude oil, oil refining, transportation of oil, manufacturing, and sale of lubricants, and the sale of petrochemicals. Notably, in the three categories of business, the company has operations across the globe. However, the firm does not operate under the </w:t>
      </w:r>
      <w:r w:rsidR="001E6395">
        <w:t xml:space="preserve">brand BP Plc across all market segments. </w:t>
      </w:r>
      <w:r w:rsidR="00463FC5">
        <w:t>For example, Aral is the company’s subsidiary in Europe and Ampm is the subsidiary in the United States market</w:t>
      </w:r>
      <w:r w:rsidR="00572857">
        <w:t xml:space="preserve"> (BP, 2023)</w:t>
      </w:r>
      <w:r w:rsidR="00463FC5">
        <w:t xml:space="preserve">. </w:t>
      </w:r>
      <w:r w:rsidR="002E7CFD">
        <w:t>The company operates in other regions such as Mexico, Canada, Senegal, Kuwait</w:t>
      </w:r>
      <w:r w:rsidR="00F40BCE">
        <w:t>,</w:t>
      </w:r>
      <w:r w:rsidR="002E7CFD">
        <w:t xml:space="preserve"> and Singapore. </w:t>
      </w:r>
    </w:p>
    <w:p w14:paraId="54F5904B" w14:textId="77777777" w:rsidR="008776C9" w:rsidRDefault="007A2DE6" w:rsidP="003E0520">
      <w:pPr>
        <w:ind w:firstLine="720"/>
        <w:contextualSpacing/>
      </w:pPr>
      <w:r>
        <w:t>Petroleum products</w:t>
      </w:r>
      <w:r w:rsidR="00FC2FAB">
        <w:t>, specifically gasoline, are</w:t>
      </w:r>
      <w:r>
        <w:t xml:space="preserve"> the core retail product range for </w:t>
      </w:r>
      <w:r w:rsidR="008776C9">
        <w:t>BP Plc. The selection of this product for the following critical analysis and discussion is premised on the need to understand how the demand for the product responds to changes in specific factors such as price, income, price of substitutes, price of complements, tastes, and preferences, expectations of price changes, and demographics</w:t>
      </w:r>
      <w:r w:rsidR="0060009A" w:rsidRPr="0060009A">
        <w:t xml:space="preserve"> </w:t>
      </w:r>
      <w:r w:rsidR="0060009A">
        <w:t>(Frank &amp; Bernanke, 2022)</w:t>
      </w:r>
      <w:r w:rsidR="008776C9">
        <w:t xml:space="preserve">. The analysis is important because, for some households or individuals in society, gasoline is a necessity for running daily operations or meeting personal needs of mobility. On the other hand, for other households, gasoline and other petroleum products are a luxury and an increase in price would force them to significantly reduce the demand for these products. Therefore, it is important to understand the aggregate response in the demand for petroleum products or gasoline as a result of changes in other exogenous factors. </w:t>
      </w:r>
    </w:p>
    <w:p w14:paraId="6BAD6F53" w14:textId="77777777" w:rsidR="00F27017" w:rsidRDefault="008776C9" w:rsidP="003E0520">
      <w:pPr>
        <w:pStyle w:val="Heading1"/>
        <w:contextualSpacing/>
      </w:pPr>
      <w:r>
        <w:t xml:space="preserve"> </w:t>
      </w:r>
      <w:bookmarkStart w:id="1" w:name="_Toc134283699"/>
      <w:r w:rsidR="005D0DA6">
        <w:t>Demand and Market Equilibrium</w:t>
      </w:r>
      <w:bookmarkEnd w:id="1"/>
      <w:r w:rsidR="005D0DA6">
        <w:t xml:space="preserve"> </w:t>
      </w:r>
    </w:p>
    <w:p w14:paraId="7794BA6F" w14:textId="77777777" w:rsidR="005D0DA6" w:rsidRDefault="00C34DC3" w:rsidP="003E0520">
      <w:pPr>
        <w:ind w:firstLine="720"/>
        <w:contextualSpacing/>
      </w:pPr>
      <w:r>
        <w:t xml:space="preserve">The market </w:t>
      </w:r>
      <w:r w:rsidR="005F5BA6">
        <w:t xml:space="preserve">equilibrium for gasoline is achieved at the point the demand for the product is equal to the supply. This equilibrium is </w:t>
      </w:r>
      <w:r w:rsidR="00FB3F13">
        <w:t>dynamic and is contingent on several factors that affect demand and supply for the product. The demand curve for gasoline is downward sloping because the demand follows the law of demand such that as the price increases, the quantity demanded will decrease</w:t>
      </w:r>
      <w:r w:rsidR="0060009A" w:rsidRPr="0060009A">
        <w:t xml:space="preserve"> </w:t>
      </w:r>
      <w:r w:rsidR="0060009A">
        <w:t>(Frank &amp; Bernanke, 2022)</w:t>
      </w:r>
      <w:r w:rsidR="00FB3F13">
        <w:t>. However, the demand curve is relatively steep implying that the change in demand as a result of a change in price, is inelastic to the effect that a change in price does not cause a proportionate change in demand</w:t>
      </w:r>
      <w:r w:rsidR="0060009A" w:rsidRPr="0060009A">
        <w:t xml:space="preserve"> </w:t>
      </w:r>
      <w:r w:rsidR="0060009A">
        <w:t>(Frank &amp; Bernanke, 2022)</w:t>
      </w:r>
      <w:r w:rsidR="00FB3F13">
        <w:t xml:space="preserve">. </w:t>
      </w:r>
      <w:r w:rsidR="005C0A0C">
        <w:t xml:space="preserve">The equilibrium point, therefore, changes in response to changes in price as well as other factors as discussed below. </w:t>
      </w:r>
    </w:p>
    <w:p w14:paraId="1FC13B1F" w14:textId="77777777" w:rsidR="005C0A0C" w:rsidRDefault="0032249B" w:rsidP="003E0520">
      <w:pPr>
        <w:pStyle w:val="Heading2"/>
        <w:contextualSpacing/>
      </w:pPr>
      <w:bookmarkStart w:id="2" w:name="_Toc134283700"/>
      <w:r>
        <w:t>Price of Substitutes</w:t>
      </w:r>
      <w:bookmarkEnd w:id="2"/>
    </w:p>
    <w:p w14:paraId="5305E569" w14:textId="77777777" w:rsidR="0032249B" w:rsidRDefault="00B8479D" w:rsidP="003E0520">
      <w:pPr>
        <w:ind w:firstLine="720"/>
        <w:contextualSpacing/>
      </w:pPr>
      <w:r>
        <w:t xml:space="preserve">At the onset, it is critical to note that petrol does not have close substitutes. </w:t>
      </w:r>
      <w:r w:rsidR="003E074A">
        <w:t xml:space="preserve">Further, the cost of switching from petrol to the substitutes is prohibitive because it involves capital investments to change plants and equipment or even automobiles. The most viable substitutes for gasoline are electricity, ethanol, and diesel.  </w:t>
      </w:r>
      <w:r w:rsidR="000F5684">
        <w:t xml:space="preserve">The following table shows </w:t>
      </w:r>
      <w:r w:rsidR="006E4338">
        <w:t>the</w:t>
      </w:r>
      <w:r w:rsidR="000F5684">
        <w:t xml:space="preserve"> data for the changes in the price of the three core substitutes for petrol for the last five years. </w:t>
      </w:r>
    </w:p>
    <w:tbl>
      <w:tblPr>
        <w:tblW w:w="4691" w:type="pct"/>
        <w:tblLayout w:type="fixed"/>
        <w:tblLook w:val="04A0" w:firstRow="1" w:lastRow="0" w:firstColumn="1" w:lastColumn="0" w:noHBand="0" w:noVBand="1"/>
      </w:tblPr>
      <w:tblGrid>
        <w:gridCol w:w="799"/>
        <w:gridCol w:w="1710"/>
        <w:gridCol w:w="2790"/>
        <w:gridCol w:w="3150"/>
      </w:tblGrid>
      <w:tr w:rsidR="00FE1A3B" w:rsidRPr="00FE1A3B" w14:paraId="360A29EE" w14:textId="77777777" w:rsidTr="00FE1A3B">
        <w:trPr>
          <w:trHeight w:val="330"/>
        </w:trPr>
        <w:tc>
          <w:tcPr>
            <w:tcW w:w="47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43EBC1F" w14:textId="77777777" w:rsidR="0060147E" w:rsidRPr="0060147E" w:rsidRDefault="0060147E" w:rsidP="003E0520">
            <w:pPr>
              <w:spacing w:after="0" w:line="240" w:lineRule="auto"/>
              <w:contextualSpacing/>
              <w:rPr>
                <w:rFonts w:eastAsia="Times New Roman" w:cs="Times New Roman"/>
                <w:b/>
                <w:bCs/>
                <w:color w:val="000000"/>
                <w:szCs w:val="24"/>
                <w:lang w:eastAsia="en-GB"/>
              </w:rPr>
            </w:pPr>
            <w:r w:rsidRPr="0060147E">
              <w:rPr>
                <w:rFonts w:eastAsia="Times New Roman" w:cs="Times New Roman"/>
                <w:b/>
                <w:bCs/>
                <w:color w:val="000000"/>
                <w:szCs w:val="24"/>
                <w:lang w:eastAsia="en-GB"/>
              </w:rPr>
              <w:t>Year</w:t>
            </w:r>
          </w:p>
        </w:tc>
        <w:tc>
          <w:tcPr>
            <w:tcW w:w="1012" w:type="pct"/>
            <w:tcBorders>
              <w:top w:val="single" w:sz="8" w:space="0" w:color="auto"/>
              <w:left w:val="nil"/>
              <w:bottom w:val="single" w:sz="8" w:space="0" w:color="auto"/>
              <w:right w:val="single" w:sz="8" w:space="0" w:color="auto"/>
            </w:tcBorders>
            <w:shd w:val="clear" w:color="auto" w:fill="auto"/>
            <w:noWrap/>
            <w:vAlign w:val="center"/>
            <w:hideMark/>
          </w:tcPr>
          <w:p w14:paraId="15C3B5F9" w14:textId="77777777" w:rsidR="0060147E" w:rsidRPr="0060147E" w:rsidRDefault="0060147E" w:rsidP="003E0520">
            <w:pPr>
              <w:spacing w:after="0" w:line="240" w:lineRule="auto"/>
              <w:contextualSpacing/>
              <w:rPr>
                <w:rFonts w:eastAsia="Times New Roman" w:cs="Times New Roman"/>
                <w:b/>
                <w:bCs/>
                <w:color w:val="000000"/>
                <w:szCs w:val="24"/>
                <w:lang w:eastAsia="en-GB"/>
              </w:rPr>
            </w:pPr>
            <w:r w:rsidRPr="0060147E">
              <w:rPr>
                <w:rFonts w:eastAsia="Times New Roman" w:cs="Times New Roman"/>
                <w:b/>
                <w:bCs/>
                <w:color w:val="000000"/>
                <w:szCs w:val="24"/>
                <w:lang w:eastAsia="en-GB"/>
              </w:rPr>
              <w:t>Historical Electricity Price Index</w:t>
            </w:r>
          </w:p>
        </w:tc>
        <w:tc>
          <w:tcPr>
            <w:tcW w:w="1651" w:type="pct"/>
            <w:tcBorders>
              <w:top w:val="single" w:sz="8" w:space="0" w:color="auto"/>
              <w:left w:val="nil"/>
              <w:bottom w:val="single" w:sz="8" w:space="0" w:color="auto"/>
              <w:right w:val="single" w:sz="8" w:space="0" w:color="auto"/>
            </w:tcBorders>
            <w:shd w:val="clear" w:color="auto" w:fill="auto"/>
            <w:noWrap/>
            <w:vAlign w:val="center"/>
            <w:hideMark/>
          </w:tcPr>
          <w:p w14:paraId="1028DA97" w14:textId="77777777" w:rsidR="0060147E" w:rsidRPr="0060147E" w:rsidRDefault="0060147E" w:rsidP="003E0520">
            <w:pPr>
              <w:spacing w:after="0" w:line="240" w:lineRule="auto"/>
              <w:contextualSpacing/>
              <w:rPr>
                <w:rFonts w:eastAsia="Times New Roman" w:cs="Times New Roman"/>
                <w:b/>
                <w:bCs/>
                <w:color w:val="000000"/>
                <w:szCs w:val="24"/>
                <w:lang w:eastAsia="en-GB"/>
              </w:rPr>
            </w:pPr>
            <w:r w:rsidRPr="0060147E">
              <w:rPr>
                <w:rFonts w:eastAsia="Times New Roman" w:cs="Times New Roman"/>
                <w:b/>
                <w:bCs/>
                <w:color w:val="000000"/>
                <w:szCs w:val="24"/>
                <w:lang w:eastAsia="en-GB"/>
              </w:rPr>
              <w:t>Historical price of Ethanol (£/Gal)</w:t>
            </w:r>
          </w:p>
        </w:tc>
        <w:tc>
          <w:tcPr>
            <w:tcW w:w="1864" w:type="pct"/>
            <w:tcBorders>
              <w:top w:val="single" w:sz="8" w:space="0" w:color="auto"/>
              <w:left w:val="nil"/>
              <w:bottom w:val="single" w:sz="8" w:space="0" w:color="auto"/>
              <w:right w:val="single" w:sz="8" w:space="0" w:color="auto"/>
            </w:tcBorders>
            <w:shd w:val="clear" w:color="auto" w:fill="auto"/>
            <w:noWrap/>
            <w:vAlign w:val="center"/>
            <w:hideMark/>
          </w:tcPr>
          <w:p w14:paraId="0A569120" w14:textId="77777777" w:rsidR="0060147E" w:rsidRPr="0060147E" w:rsidRDefault="0060147E" w:rsidP="003E0520">
            <w:pPr>
              <w:spacing w:after="0" w:line="240" w:lineRule="auto"/>
              <w:contextualSpacing/>
              <w:rPr>
                <w:rFonts w:eastAsia="Times New Roman" w:cs="Times New Roman"/>
                <w:b/>
                <w:bCs/>
                <w:color w:val="000000"/>
                <w:szCs w:val="24"/>
                <w:lang w:eastAsia="en-GB"/>
              </w:rPr>
            </w:pPr>
            <w:r w:rsidRPr="0060147E">
              <w:rPr>
                <w:rFonts w:eastAsia="Times New Roman" w:cs="Times New Roman"/>
                <w:b/>
                <w:bCs/>
                <w:color w:val="000000"/>
                <w:szCs w:val="24"/>
                <w:lang w:eastAsia="en-GB"/>
              </w:rPr>
              <w:t>Historical Price for Diesel (Pence/Litre)</w:t>
            </w:r>
          </w:p>
        </w:tc>
      </w:tr>
      <w:tr w:rsidR="00FE1A3B" w:rsidRPr="00FE1A3B" w14:paraId="3D404CCA" w14:textId="77777777" w:rsidTr="00FE1A3B">
        <w:trPr>
          <w:trHeight w:val="330"/>
        </w:trPr>
        <w:tc>
          <w:tcPr>
            <w:tcW w:w="473" w:type="pct"/>
            <w:tcBorders>
              <w:top w:val="nil"/>
              <w:left w:val="single" w:sz="8" w:space="0" w:color="auto"/>
              <w:bottom w:val="single" w:sz="8" w:space="0" w:color="auto"/>
              <w:right w:val="single" w:sz="8" w:space="0" w:color="auto"/>
            </w:tcBorders>
            <w:shd w:val="clear" w:color="auto" w:fill="auto"/>
            <w:noWrap/>
            <w:vAlign w:val="center"/>
            <w:hideMark/>
          </w:tcPr>
          <w:p w14:paraId="3EF756DE"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2018</w:t>
            </w:r>
          </w:p>
        </w:tc>
        <w:tc>
          <w:tcPr>
            <w:tcW w:w="1012" w:type="pct"/>
            <w:tcBorders>
              <w:top w:val="nil"/>
              <w:left w:val="nil"/>
              <w:bottom w:val="single" w:sz="8" w:space="0" w:color="auto"/>
              <w:right w:val="single" w:sz="8" w:space="0" w:color="auto"/>
            </w:tcBorders>
            <w:shd w:val="clear" w:color="auto" w:fill="auto"/>
            <w:noWrap/>
            <w:vAlign w:val="center"/>
            <w:hideMark/>
          </w:tcPr>
          <w:p w14:paraId="31CC6076"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115.6</w:t>
            </w:r>
          </w:p>
        </w:tc>
        <w:tc>
          <w:tcPr>
            <w:tcW w:w="1651" w:type="pct"/>
            <w:tcBorders>
              <w:top w:val="nil"/>
              <w:left w:val="nil"/>
              <w:bottom w:val="single" w:sz="8" w:space="0" w:color="auto"/>
              <w:right w:val="single" w:sz="8" w:space="0" w:color="auto"/>
            </w:tcBorders>
            <w:shd w:val="clear" w:color="auto" w:fill="auto"/>
            <w:noWrap/>
            <w:vAlign w:val="center"/>
            <w:hideMark/>
          </w:tcPr>
          <w:p w14:paraId="089D523B"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98</w:t>
            </w:r>
          </w:p>
        </w:tc>
        <w:tc>
          <w:tcPr>
            <w:tcW w:w="1864" w:type="pct"/>
            <w:tcBorders>
              <w:top w:val="nil"/>
              <w:left w:val="nil"/>
              <w:bottom w:val="single" w:sz="8" w:space="0" w:color="auto"/>
              <w:right w:val="single" w:sz="8" w:space="0" w:color="auto"/>
            </w:tcBorders>
            <w:shd w:val="clear" w:color="auto" w:fill="auto"/>
            <w:noWrap/>
            <w:vAlign w:val="center"/>
            <w:hideMark/>
          </w:tcPr>
          <w:p w14:paraId="1668603A"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130.93</w:t>
            </w:r>
          </w:p>
        </w:tc>
      </w:tr>
      <w:tr w:rsidR="00FE1A3B" w:rsidRPr="00FE1A3B" w14:paraId="034AFA54" w14:textId="77777777" w:rsidTr="00FE1A3B">
        <w:trPr>
          <w:trHeight w:val="330"/>
        </w:trPr>
        <w:tc>
          <w:tcPr>
            <w:tcW w:w="473" w:type="pct"/>
            <w:tcBorders>
              <w:top w:val="nil"/>
              <w:left w:val="single" w:sz="8" w:space="0" w:color="auto"/>
              <w:bottom w:val="single" w:sz="8" w:space="0" w:color="auto"/>
              <w:right w:val="single" w:sz="8" w:space="0" w:color="auto"/>
            </w:tcBorders>
            <w:shd w:val="clear" w:color="auto" w:fill="auto"/>
            <w:noWrap/>
            <w:vAlign w:val="center"/>
            <w:hideMark/>
          </w:tcPr>
          <w:p w14:paraId="66CEB24E"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2019</w:t>
            </w:r>
          </w:p>
        </w:tc>
        <w:tc>
          <w:tcPr>
            <w:tcW w:w="1012" w:type="pct"/>
            <w:tcBorders>
              <w:top w:val="nil"/>
              <w:left w:val="nil"/>
              <w:bottom w:val="single" w:sz="8" w:space="0" w:color="auto"/>
              <w:right w:val="single" w:sz="8" w:space="0" w:color="auto"/>
            </w:tcBorders>
            <w:shd w:val="clear" w:color="auto" w:fill="auto"/>
            <w:noWrap/>
            <w:vAlign w:val="center"/>
            <w:hideMark/>
          </w:tcPr>
          <w:p w14:paraId="229B3AC5"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127.4</w:t>
            </w:r>
          </w:p>
        </w:tc>
        <w:tc>
          <w:tcPr>
            <w:tcW w:w="1651" w:type="pct"/>
            <w:tcBorders>
              <w:top w:val="nil"/>
              <w:left w:val="nil"/>
              <w:bottom w:val="single" w:sz="8" w:space="0" w:color="auto"/>
              <w:right w:val="single" w:sz="8" w:space="0" w:color="auto"/>
            </w:tcBorders>
            <w:shd w:val="clear" w:color="auto" w:fill="auto"/>
            <w:noWrap/>
            <w:vAlign w:val="center"/>
            <w:hideMark/>
          </w:tcPr>
          <w:p w14:paraId="382A68A4"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112</w:t>
            </w:r>
          </w:p>
        </w:tc>
        <w:tc>
          <w:tcPr>
            <w:tcW w:w="1864" w:type="pct"/>
            <w:tcBorders>
              <w:top w:val="nil"/>
              <w:left w:val="nil"/>
              <w:bottom w:val="single" w:sz="8" w:space="0" w:color="auto"/>
              <w:right w:val="single" w:sz="8" w:space="0" w:color="auto"/>
            </w:tcBorders>
            <w:shd w:val="clear" w:color="auto" w:fill="auto"/>
            <w:noWrap/>
            <w:vAlign w:val="center"/>
            <w:hideMark/>
          </w:tcPr>
          <w:p w14:paraId="4DFD2395"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129.62</w:t>
            </w:r>
          </w:p>
        </w:tc>
      </w:tr>
      <w:tr w:rsidR="00FE1A3B" w:rsidRPr="00FE1A3B" w14:paraId="48F7F142" w14:textId="77777777" w:rsidTr="00FE1A3B">
        <w:trPr>
          <w:trHeight w:val="330"/>
        </w:trPr>
        <w:tc>
          <w:tcPr>
            <w:tcW w:w="473" w:type="pct"/>
            <w:tcBorders>
              <w:top w:val="nil"/>
              <w:left w:val="single" w:sz="8" w:space="0" w:color="auto"/>
              <w:bottom w:val="single" w:sz="8" w:space="0" w:color="auto"/>
              <w:right w:val="single" w:sz="8" w:space="0" w:color="auto"/>
            </w:tcBorders>
            <w:shd w:val="clear" w:color="auto" w:fill="auto"/>
            <w:noWrap/>
            <w:vAlign w:val="center"/>
            <w:hideMark/>
          </w:tcPr>
          <w:p w14:paraId="6E720AE8"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2020</w:t>
            </w:r>
          </w:p>
        </w:tc>
        <w:tc>
          <w:tcPr>
            <w:tcW w:w="1012" w:type="pct"/>
            <w:tcBorders>
              <w:top w:val="nil"/>
              <w:left w:val="nil"/>
              <w:bottom w:val="single" w:sz="8" w:space="0" w:color="auto"/>
              <w:right w:val="single" w:sz="8" w:space="0" w:color="auto"/>
            </w:tcBorders>
            <w:shd w:val="clear" w:color="auto" w:fill="auto"/>
            <w:noWrap/>
            <w:vAlign w:val="center"/>
            <w:hideMark/>
          </w:tcPr>
          <w:p w14:paraId="28194E70"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124.7</w:t>
            </w:r>
          </w:p>
        </w:tc>
        <w:tc>
          <w:tcPr>
            <w:tcW w:w="1651" w:type="pct"/>
            <w:tcBorders>
              <w:top w:val="nil"/>
              <w:left w:val="nil"/>
              <w:bottom w:val="single" w:sz="8" w:space="0" w:color="auto"/>
              <w:right w:val="single" w:sz="8" w:space="0" w:color="auto"/>
            </w:tcBorders>
            <w:shd w:val="clear" w:color="auto" w:fill="auto"/>
            <w:noWrap/>
            <w:vAlign w:val="center"/>
            <w:hideMark/>
          </w:tcPr>
          <w:p w14:paraId="6DE2D54F"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106</w:t>
            </w:r>
          </w:p>
        </w:tc>
        <w:tc>
          <w:tcPr>
            <w:tcW w:w="1864" w:type="pct"/>
            <w:tcBorders>
              <w:top w:val="nil"/>
              <w:left w:val="nil"/>
              <w:bottom w:val="single" w:sz="8" w:space="0" w:color="auto"/>
              <w:right w:val="single" w:sz="8" w:space="0" w:color="auto"/>
            </w:tcBorders>
            <w:shd w:val="clear" w:color="auto" w:fill="auto"/>
            <w:noWrap/>
            <w:vAlign w:val="center"/>
            <w:hideMark/>
          </w:tcPr>
          <w:p w14:paraId="321E2180"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120.12</w:t>
            </w:r>
          </w:p>
        </w:tc>
      </w:tr>
      <w:tr w:rsidR="00FE1A3B" w:rsidRPr="00FE1A3B" w14:paraId="6A420961" w14:textId="77777777" w:rsidTr="00FE1A3B">
        <w:trPr>
          <w:trHeight w:val="330"/>
        </w:trPr>
        <w:tc>
          <w:tcPr>
            <w:tcW w:w="473" w:type="pct"/>
            <w:tcBorders>
              <w:top w:val="nil"/>
              <w:left w:val="single" w:sz="8" w:space="0" w:color="auto"/>
              <w:bottom w:val="single" w:sz="8" w:space="0" w:color="auto"/>
              <w:right w:val="single" w:sz="8" w:space="0" w:color="auto"/>
            </w:tcBorders>
            <w:shd w:val="clear" w:color="auto" w:fill="auto"/>
            <w:noWrap/>
            <w:vAlign w:val="center"/>
            <w:hideMark/>
          </w:tcPr>
          <w:p w14:paraId="6AEF4EEF"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2021</w:t>
            </w:r>
          </w:p>
        </w:tc>
        <w:tc>
          <w:tcPr>
            <w:tcW w:w="1012" w:type="pct"/>
            <w:tcBorders>
              <w:top w:val="nil"/>
              <w:left w:val="nil"/>
              <w:bottom w:val="single" w:sz="8" w:space="0" w:color="auto"/>
              <w:right w:val="single" w:sz="8" w:space="0" w:color="auto"/>
            </w:tcBorders>
            <w:shd w:val="clear" w:color="auto" w:fill="auto"/>
            <w:noWrap/>
            <w:vAlign w:val="center"/>
            <w:hideMark/>
          </w:tcPr>
          <w:p w14:paraId="79B41E7B"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140.2</w:t>
            </w:r>
          </w:p>
        </w:tc>
        <w:tc>
          <w:tcPr>
            <w:tcW w:w="1651" w:type="pct"/>
            <w:tcBorders>
              <w:top w:val="nil"/>
              <w:left w:val="nil"/>
              <w:bottom w:val="single" w:sz="8" w:space="0" w:color="auto"/>
              <w:right w:val="single" w:sz="8" w:space="0" w:color="auto"/>
            </w:tcBorders>
            <w:shd w:val="clear" w:color="auto" w:fill="auto"/>
            <w:noWrap/>
            <w:vAlign w:val="center"/>
            <w:hideMark/>
          </w:tcPr>
          <w:p w14:paraId="0E025809"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240</w:t>
            </w:r>
          </w:p>
        </w:tc>
        <w:tc>
          <w:tcPr>
            <w:tcW w:w="1864" w:type="pct"/>
            <w:tcBorders>
              <w:top w:val="nil"/>
              <w:left w:val="nil"/>
              <w:bottom w:val="single" w:sz="8" w:space="0" w:color="auto"/>
              <w:right w:val="single" w:sz="8" w:space="0" w:color="auto"/>
            </w:tcBorders>
            <w:shd w:val="clear" w:color="auto" w:fill="auto"/>
            <w:noWrap/>
            <w:vAlign w:val="center"/>
            <w:hideMark/>
          </w:tcPr>
          <w:p w14:paraId="0AF814C9"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149.25</w:t>
            </w:r>
          </w:p>
        </w:tc>
      </w:tr>
      <w:tr w:rsidR="00FE1A3B" w:rsidRPr="00FE1A3B" w14:paraId="53ECC83F" w14:textId="77777777" w:rsidTr="00FE1A3B">
        <w:trPr>
          <w:trHeight w:val="330"/>
        </w:trPr>
        <w:tc>
          <w:tcPr>
            <w:tcW w:w="473" w:type="pct"/>
            <w:tcBorders>
              <w:top w:val="nil"/>
              <w:left w:val="single" w:sz="8" w:space="0" w:color="auto"/>
              <w:bottom w:val="single" w:sz="8" w:space="0" w:color="auto"/>
              <w:right w:val="single" w:sz="8" w:space="0" w:color="auto"/>
            </w:tcBorders>
            <w:shd w:val="clear" w:color="auto" w:fill="auto"/>
            <w:noWrap/>
            <w:vAlign w:val="center"/>
            <w:hideMark/>
          </w:tcPr>
          <w:p w14:paraId="026ECE72"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2022</w:t>
            </w:r>
          </w:p>
        </w:tc>
        <w:tc>
          <w:tcPr>
            <w:tcW w:w="1012" w:type="pct"/>
            <w:tcBorders>
              <w:top w:val="nil"/>
              <w:left w:val="nil"/>
              <w:bottom w:val="single" w:sz="8" w:space="0" w:color="auto"/>
              <w:right w:val="single" w:sz="8" w:space="0" w:color="auto"/>
            </w:tcBorders>
            <w:shd w:val="clear" w:color="auto" w:fill="auto"/>
            <w:noWrap/>
            <w:vAlign w:val="center"/>
            <w:hideMark/>
          </w:tcPr>
          <w:p w14:paraId="6FF296B8"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163.2</w:t>
            </w:r>
          </w:p>
        </w:tc>
        <w:tc>
          <w:tcPr>
            <w:tcW w:w="1651" w:type="pct"/>
            <w:tcBorders>
              <w:top w:val="nil"/>
              <w:left w:val="nil"/>
              <w:bottom w:val="single" w:sz="8" w:space="0" w:color="auto"/>
              <w:right w:val="single" w:sz="8" w:space="0" w:color="auto"/>
            </w:tcBorders>
            <w:shd w:val="clear" w:color="auto" w:fill="auto"/>
            <w:noWrap/>
            <w:vAlign w:val="center"/>
            <w:hideMark/>
          </w:tcPr>
          <w:p w14:paraId="488D1099"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180</w:t>
            </w:r>
          </w:p>
        </w:tc>
        <w:tc>
          <w:tcPr>
            <w:tcW w:w="1864" w:type="pct"/>
            <w:tcBorders>
              <w:top w:val="nil"/>
              <w:left w:val="nil"/>
              <w:bottom w:val="single" w:sz="8" w:space="0" w:color="auto"/>
              <w:right w:val="single" w:sz="8" w:space="0" w:color="auto"/>
            </w:tcBorders>
            <w:shd w:val="clear" w:color="auto" w:fill="auto"/>
            <w:noWrap/>
            <w:vAlign w:val="center"/>
            <w:hideMark/>
          </w:tcPr>
          <w:p w14:paraId="66C2A2CF" w14:textId="77777777" w:rsidR="0060147E" w:rsidRPr="0060147E" w:rsidRDefault="0060147E" w:rsidP="003E0520">
            <w:pPr>
              <w:spacing w:after="0" w:line="240" w:lineRule="auto"/>
              <w:contextualSpacing/>
              <w:jc w:val="right"/>
              <w:rPr>
                <w:rFonts w:eastAsia="Times New Roman" w:cs="Times New Roman"/>
                <w:color w:val="000000"/>
                <w:szCs w:val="24"/>
                <w:lang w:eastAsia="en-GB"/>
              </w:rPr>
            </w:pPr>
            <w:r w:rsidRPr="0060147E">
              <w:rPr>
                <w:rFonts w:eastAsia="Times New Roman" w:cs="Times New Roman"/>
                <w:color w:val="000000"/>
                <w:szCs w:val="24"/>
                <w:lang w:eastAsia="en-GB"/>
              </w:rPr>
              <w:t>176.78</w:t>
            </w:r>
          </w:p>
        </w:tc>
      </w:tr>
    </w:tbl>
    <w:p w14:paraId="3DCB0C0D" w14:textId="77777777" w:rsidR="000F5684" w:rsidRDefault="000F5684" w:rsidP="003E0520">
      <w:pPr>
        <w:ind w:firstLine="720"/>
        <w:contextualSpacing/>
      </w:pPr>
      <w:r>
        <w:t xml:space="preserve"> Source: </w:t>
      </w:r>
      <w:r w:rsidR="004A140F">
        <w:t>(Trading economics, 2023</w:t>
      </w:r>
      <w:r>
        <w:t xml:space="preserve">; </w:t>
      </w:r>
      <w:r w:rsidR="004A140F">
        <w:t>GOV.UK, 2022)</w:t>
      </w:r>
    </w:p>
    <w:p w14:paraId="319A2F88" w14:textId="77777777" w:rsidR="006E4338" w:rsidRDefault="006E4338" w:rsidP="003E0520">
      <w:pPr>
        <w:ind w:firstLine="720"/>
        <w:contextualSpacing/>
      </w:pPr>
      <w:r>
        <w:t xml:space="preserve">The </w:t>
      </w:r>
      <w:r w:rsidR="00EC72FB">
        <w:t>following graph is</w:t>
      </w:r>
      <w:r>
        <w:t xml:space="preserve"> extracted from the above data to show the trend </w:t>
      </w:r>
      <w:r w:rsidR="00E56480">
        <w:t>of</w:t>
      </w:r>
      <w:r>
        <w:t xml:space="preserve"> the changes in the prices of three substitutes for petrol. </w:t>
      </w:r>
    </w:p>
    <w:p w14:paraId="031E41F6" w14:textId="77777777" w:rsidR="0060147E" w:rsidRDefault="0060147E" w:rsidP="003E0520">
      <w:pPr>
        <w:ind w:firstLine="720"/>
        <w:contextualSpacing/>
      </w:pPr>
      <w:r>
        <w:rPr>
          <w:noProof/>
          <w:lang w:eastAsia="en-GB"/>
        </w:rPr>
        <w:drawing>
          <wp:inline distT="0" distB="0" distL="0" distR="0" wp14:anchorId="48F1A295" wp14:editId="78F70FC2">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D52DC5" w14:textId="77777777" w:rsidR="0056037E" w:rsidRDefault="00137320" w:rsidP="003E0520">
      <w:pPr>
        <w:ind w:firstLine="720"/>
        <w:contextualSpacing/>
      </w:pPr>
      <w:r>
        <w:t>The data shows that there is an upward trajectory for three substitutes for petrol. Ideally, a change in any of the factors that affect demand other than the own price causes a shift in the demand curve. Consequently, since the price of substitutes is increasing, the effect is an increase in demand for gasoline leading to a shift in the demand curve to the right</w:t>
      </w:r>
      <w:r w:rsidR="0060009A" w:rsidRPr="0060009A">
        <w:t xml:space="preserve"> </w:t>
      </w:r>
      <w:r w:rsidR="0060009A">
        <w:t>(Frank &amp; Bernanke, 2022)</w:t>
      </w:r>
      <w:r>
        <w:t xml:space="preserve">. Under the new demand curve, there is a new price-demand regime since increased demand for petrol will further cause an increase in price. Therefore, the hallmark observation is that since there has been a general increase in the price of substitutes for petrol, there is a rightward shift in the demand curve for gasoline. </w:t>
      </w:r>
    </w:p>
    <w:p w14:paraId="1F49A946" w14:textId="77777777" w:rsidR="00137320" w:rsidRDefault="00F22077" w:rsidP="003E0520">
      <w:pPr>
        <w:pStyle w:val="Heading2"/>
        <w:contextualSpacing/>
      </w:pPr>
      <w:bookmarkStart w:id="3" w:name="_Toc134283701"/>
      <w:r>
        <w:t>Prices of Complements</w:t>
      </w:r>
      <w:bookmarkEnd w:id="3"/>
    </w:p>
    <w:p w14:paraId="67EFB094" w14:textId="77777777" w:rsidR="00F22077" w:rsidRDefault="00C25F46" w:rsidP="003E0520">
      <w:pPr>
        <w:ind w:firstLine="720"/>
        <w:contextualSpacing/>
      </w:pPr>
      <w:r>
        <w:t xml:space="preserve">In microeconomics, complementary products refer to goods or services that are used jointly, such that a change in demand for one product leads to a change in demand for the other. </w:t>
      </w:r>
      <w:r w:rsidR="00337EED">
        <w:t xml:space="preserve">The primary for petrol of gasoline is cars. </w:t>
      </w:r>
      <w:r w:rsidR="00183097">
        <w:t xml:space="preserve">In this case, it implies that </w:t>
      </w:r>
      <w:r w:rsidR="007053F2">
        <w:t xml:space="preserve">as </w:t>
      </w:r>
      <w:r w:rsidR="00183097">
        <w:t>more peopl</w:t>
      </w:r>
      <w:r w:rsidR="007053F2">
        <w:t xml:space="preserve">e demand </w:t>
      </w:r>
      <w:r w:rsidR="00DD6880">
        <w:t>cars</w:t>
      </w:r>
      <w:r w:rsidR="007053F2">
        <w:t xml:space="preserve">, there is an increase in the demand for </w:t>
      </w:r>
      <w:r w:rsidR="00DD6880">
        <w:t>gasoline</w:t>
      </w:r>
      <w:r w:rsidR="0060009A" w:rsidRPr="0060009A">
        <w:t xml:space="preserve"> </w:t>
      </w:r>
      <w:r w:rsidR="0060009A">
        <w:t>(McGuigan et al., 2013)</w:t>
      </w:r>
      <w:r w:rsidR="00DD6880">
        <w:t xml:space="preserve">. </w:t>
      </w:r>
      <w:r w:rsidR="00214806">
        <w:t xml:space="preserve">As presented in the following data, there has been an increase in the overall price of cars for the last five years. However, in analysing the relationship between cars and gasoline, it is critical to note that the two products are essential goods in the modern era. Essential goods imply that their price elasticity of demand is inelastic such that a change in price causes less than proportional change in demand. </w:t>
      </w:r>
      <w:r w:rsidR="002F56D5">
        <w:t xml:space="preserve">Consequently, even with an increase in the prices of cars, there has been an increase in the demand for cars, mainly because cars are essential products but also because of the availability of many types of cars that consumers can purchase at different budgets. </w:t>
      </w:r>
    </w:p>
    <w:tbl>
      <w:tblPr>
        <w:tblW w:w="45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3625"/>
      </w:tblGrid>
      <w:tr w:rsidR="0053400C" w:rsidRPr="0053400C" w14:paraId="0F4FF165" w14:textId="77777777" w:rsidTr="0053400C">
        <w:trPr>
          <w:trHeight w:val="315"/>
          <w:jc w:val="center"/>
        </w:trPr>
        <w:tc>
          <w:tcPr>
            <w:tcW w:w="960" w:type="dxa"/>
            <w:shd w:val="clear" w:color="auto" w:fill="auto"/>
            <w:noWrap/>
            <w:vAlign w:val="bottom"/>
            <w:hideMark/>
          </w:tcPr>
          <w:p w14:paraId="715608E9" w14:textId="77777777" w:rsidR="0053400C" w:rsidRPr="0053400C" w:rsidRDefault="0053400C" w:rsidP="003E0520">
            <w:pPr>
              <w:spacing w:after="0" w:line="240" w:lineRule="auto"/>
              <w:contextualSpacing/>
              <w:rPr>
                <w:rFonts w:eastAsia="Times New Roman" w:cs="Times New Roman"/>
                <w:b/>
                <w:color w:val="000000"/>
                <w:szCs w:val="24"/>
                <w:lang w:eastAsia="en-GB"/>
              </w:rPr>
            </w:pPr>
            <w:r w:rsidRPr="0053400C">
              <w:rPr>
                <w:rFonts w:eastAsia="Times New Roman" w:cs="Times New Roman"/>
                <w:b/>
                <w:color w:val="000000"/>
                <w:szCs w:val="24"/>
                <w:lang w:eastAsia="en-GB"/>
              </w:rPr>
              <w:t>Date</w:t>
            </w:r>
          </w:p>
        </w:tc>
        <w:tc>
          <w:tcPr>
            <w:tcW w:w="3625" w:type="dxa"/>
            <w:shd w:val="clear" w:color="auto" w:fill="auto"/>
            <w:noWrap/>
            <w:vAlign w:val="bottom"/>
            <w:hideMark/>
          </w:tcPr>
          <w:p w14:paraId="0CA0C91C" w14:textId="77777777" w:rsidR="0053400C" w:rsidRPr="0053400C" w:rsidRDefault="0053400C" w:rsidP="003E0520">
            <w:pPr>
              <w:spacing w:after="0" w:line="240" w:lineRule="auto"/>
              <w:contextualSpacing/>
              <w:rPr>
                <w:rFonts w:eastAsia="Times New Roman" w:cs="Times New Roman"/>
                <w:b/>
                <w:szCs w:val="24"/>
                <w:lang w:eastAsia="en-GB"/>
              </w:rPr>
            </w:pPr>
            <w:r w:rsidRPr="0053400C">
              <w:rPr>
                <w:rFonts w:eastAsia="Times New Roman" w:cs="Times New Roman"/>
                <w:b/>
                <w:szCs w:val="24"/>
                <w:lang w:eastAsia="en-GB"/>
              </w:rPr>
              <w:t>Consumer price index (CPI) of new car purchases annually</w:t>
            </w:r>
          </w:p>
        </w:tc>
      </w:tr>
      <w:tr w:rsidR="0053400C" w:rsidRPr="0053400C" w14:paraId="69B4B317" w14:textId="77777777" w:rsidTr="0053400C">
        <w:trPr>
          <w:trHeight w:val="315"/>
          <w:jc w:val="center"/>
        </w:trPr>
        <w:tc>
          <w:tcPr>
            <w:tcW w:w="960" w:type="dxa"/>
            <w:shd w:val="clear" w:color="auto" w:fill="auto"/>
            <w:noWrap/>
            <w:vAlign w:val="bottom"/>
            <w:hideMark/>
          </w:tcPr>
          <w:p w14:paraId="08EC6857"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2018</w:t>
            </w:r>
          </w:p>
        </w:tc>
        <w:tc>
          <w:tcPr>
            <w:tcW w:w="3625" w:type="dxa"/>
            <w:shd w:val="clear" w:color="auto" w:fill="auto"/>
            <w:noWrap/>
            <w:vAlign w:val="bottom"/>
            <w:hideMark/>
          </w:tcPr>
          <w:p w14:paraId="706B915E"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108.1</w:t>
            </w:r>
          </w:p>
        </w:tc>
      </w:tr>
      <w:tr w:rsidR="0053400C" w:rsidRPr="0053400C" w14:paraId="6B5E3423" w14:textId="77777777" w:rsidTr="0053400C">
        <w:trPr>
          <w:trHeight w:val="315"/>
          <w:jc w:val="center"/>
        </w:trPr>
        <w:tc>
          <w:tcPr>
            <w:tcW w:w="960" w:type="dxa"/>
            <w:shd w:val="clear" w:color="auto" w:fill="auto"/>
            <w:noWrap/>
            <w:vAlign w:val="bottom"/>
            <w:hideMark/>
          </w:tcPr>
          <w:p w14:paraId="54476194"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2019</w:t>
            </w:r>
          </w:p>
        </w:tc>
        <w:tc>
          <w:tcPr>
            <w:tcW w:w="3625" w:type="dxa"/>
            <w:shd w:val="clear" w:color="auto" w:fill="auto"/>
            <w:noWrap/>
            <w:vAlign w:val="bottom"/>
            <w:hideMark/>
          </w:tcPr>
          <w:p w14:paraId="51775E01"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112.2</w:t>
            </w:r>
          </w:p>
        </w:tc>
      </w:tr>
      <w:tr w:rsidR="0053400C" w:rsidRPr="0053400C" w14:paraId="4F2AE054" w14:textId="77777777" w:rsidTr="0053400C">
        <w:trPr>
          <w:trHeight w:val="315"/>
          <w:jc w:val="center"/>
        </w:trPr>
        <w:tc>
          <w:tcPr>
            <w:tcW w:w="960" w:type="dxa"/>
            <w:shd w:val="clear" w:color="auto" w:fill="auto"/>
            <w:noWrap/>
            <w:vAlign w:val="bottom"/>
            <w:hideMark/>
          </w:tcPr>
          <w:p w14:paraId="18031283"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2020</w:t>
            </w:r>
          </w:p>
        </w:tc>
        <w:tc>
          <w:tcPr>
            <w:tcW w:w="3625" w:type="dxa"/>
            <w:shd w:val="clear" w:color="auto" w:fill="auto"/>
            <w:noWrap/>
            <w:vAlign w:val="bottom"/>
            <w:hideMark/>
          </w:tcPr>
          <w:p w14:paraId="48E9DF5D"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115.4</w:t>
            </w:r>
          </w:p>
        </w:tc>
      </w:tr>
      <w:tr w:rsidR="0053400C" w:rsidRPr="0053400C" w14:paraId="5D26A00D" w14:textId="77777777" w:rsidTr="0053400C">
        <w:trPr>
          <w:trHeight w:val="315"/>
          <w:jc w:val="center"/>
        </w:trPr>
        <w:tc>
          <w:tcPr>
            <w:tcW w:w="960" w:type="dxa"/>
            <w:shd w:val="clear" w:color="auto" w:fill="auto"/>
            <w:noWrap/>
            <w:vAlign w:val="bottom"/>
            <w:hideMark/>
          </w:tcPr>
          <w:p w14:paraId="3AECE5C9"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2021</w:t>
            </w:r>
          </w:p>
        </w:tc>
        <w:tc>
          <w:tcPr>
            <w:tcW w:w="3625" w:type="dxa"/>
            <w:shd w:val="clear" w:color="auto" w:fill="auto"/>
            <w:noWrap/>
            <w:vAlign w:val="bottom"/>
            <w:hideMark/>
          </w:tcPr>
          <w:p w14:paraId="2D381FBF"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119.4</w:t>
            </w:r>
          </w:p>
        </w:tc>
      </w:tr>
      <w:tr w:rsidR="0053400C" w:rsidRPr="0053400C" w14:paraId="6EB46C7E" w14:textId="77777777" w:rsidTr="0053400C">
        <w:trPr>
          <w:trHeight w:val="315"/>
          <w:jc w:val="center"/>
        </w:trPr>
        <w:tc>
          <w:tcPr>
            <w:tcW w:w="960" w:type="dxa"/>
            <w:shd w:val="clear" w:color="auto" w:fill="auto"/>
            <w:noWrap/>
            <w:vAlign w:val="bottom"/>
            <w:hideMark/>
          </w:tcPr>
          <w:p w14:paraId="2DD6FF5F"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2022</w:t>
            </w:r>
          </w:p>
        </w:tc>
        <w:tc>
          <w:tcPr>
            <w:tcW w:w="3625" w:type="dxa"/>
            <w:shd w:val="clear" w:color="auto" w:fill="auto"/>
            <w:noWrap/>
            <w:vAlign w:val="bottom"/>
            <w:hideMark/>
          </w:tcPr>
          <w:p w14:paraId="2C0FA186" w14:textId="77777777" w:rsidR="0053400C" w:rsidRPr="0053400C" w:rsidRDefault="0053400C" w:rsidP="003E0520">
            <w:pPr>
              <w:spacing w:after="0" w:line="240" w:lineRule="auto"/>
              <w:contextualSpacing/>
              <w:jc w:val="right"/>
              <w:rPr>
                <w:rFonts w:eastAsia="Times New Roman" w:cs="Times New Roman"/>
                <w:color w:val="000000"/>
                <w:szCs w:val="24"/>
                <w:lang w:eastAsia="en-GB"/>
              </w:rPr>
            </w:pPr>
            <w:r w:rsidRPr="0053400C">
              <w:rPr>
                <w:rFonts w:eastAsia="Times New Roman" w:cs="Times New Roman"/>
                <w:color w:val="000000"/>
                <w:szCs w:val="24"/>
                <w:lang w:eastAsia="en-GB"/>
              </w:rPr>
              <w:t>126.5</w:t>
            </w:r>
          </w:p>
        </w:tc>
      </w:tr>
    </w:tbl>
    <w:p w14:paraId="1AB2FD4F" w14:textId="77777777" w:rsidR="003711C3" w:rsidRDefault="003711C3" w:rsidP="003E0520">
      <w:pPr>
        <w:ind w:left="2160" w:firstLine="720"/>
        <w:contextualSpacing/>
      </w:pPr>
      <w:r>
        <w:t>Source: (Statista, 2023)</w:t>
      </w:r>
    </w:p>
    <w:p w14:paraId="5FAC89F4" w14:textId="77777777" w:rsidR="00DE1E9F" w:rsidRDefault="00BC2B3A" w:rsidP="003E0520">
      <w:pPr>
        <w:ind w:firstLine="720"/>
        <w:contextualSpacing/>
      </w:pPr>
      <w:r>
        <w:t xml:space="preserve">The above data has been used to construct the </w:t>
      </w:r>
      <w:r w:rsidR="00DE1E9F">
        <w:t xml:space="preserve">graph below to show the trend for changes in automobile prices for the last five years. </w:t>
      </w:r>
    </w:p>
    <w:p w14:paraId="79352FB4" w14:textId="77777777" w:rsidR="00DE3F0C" w:rsidRDefault="0018208B" w:rsidP="003E0520">
      <w:pPr>
        <w:ind w:firstLine="720"/>
        <w:contextualSpacing/>
      </w:pPr>
      <w:r>
        <w:rPr>
          <w:noProof/>
          <w:lang w:eastAsia="en-GB"/>
        </w:rPr>
        <w:drawing>
          <wp:inline distT="0" distB="0" distL="0" distR="0" wp14:anchorId="39247951" wp14:editId="474EEB5F">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73F2F9" w14:textId="77777777" w:rsidR="00E71D48" w:rsidRDefault="00491493" w:rsidP="003E0520">
      <w:pPr>
        <w:ind w:firstLine="720"/>
        <w:contextualSpacing/>
      </w:pPr>
      <w:r>
        <w:t xml:space="preserve">The increase in the demand for cars </w:t>
      </w:r>
      <w:r w:rsidR="00FA2D2C">
        <w:t>over</w:t>
      </w:r>
      <w:r>
        <w:t xml:space="preserve"> the last few years has had the effect of shifting the demand curve to the right. </w:t>
      </w:r>
      <w:r w:rsidR="00395918">
        <w:t xml:space="preserve">This reflects a change in demand for gasoline in response to the increase in demand for the complementary product. </w:t>
      </w:r>
      <w:r w:rsidR="00445381">
        <w:t xml:space="preserve">Ultimately, this means that there is a higher equilibrium point in </w:t>
      </w:r>
      <w:r w:rsidR="001136C0">
        <w:t xml:space="preserve">the market for gasoline. </w:t>
      </w:r>
    </w:p>
    <w:p w14:paraId="633CE131" w14:textId="77777777" w:rsidR="00F670AA" w:rsidRDefault="00F670AA" w:rsidP="003E0520">
      <w:pPr>
        <w:pStyle w:val="Heading2"/>
        <w:contextualSpacing/>
      </w:pPr>
      <w:bookmarkStart w:id="4" w:name="_Toc134283702"/>
      <w:r>
        <w:t>Consumer Income</w:t>
      </w:r>
      <w:bookmarkEnd w:id="4"/>
    </w:p>
    <w:p w14:paraId="3198117C" w14:textId="77777777" w:rsidR="00F670AA" w:rsidRDefault="00BA54D6" w:rsidP="003E0520">
      <w:pPr>
        <w:ind w:firstLine="720"/>
        <w:contextualSpacing/>
      </w:pPr>
      <w:r>
        <w:t>There is a positive income effect on the demand for gasoline. Ideally, an increase in consumer income increases the purchasing power of households and companies within the United Kingdom</w:t>
      </w:r>
      <w:r w:rsidR="0060009A" w:rsidRPr="0060009A">
        <w:t xml:space="preserve"> </w:t>
      </w:r>
      <w:r w:rsidR="0060009A">
        <w:t>(McGuigan et al., 2013)</w:t>
      </w:r>
      <w:r>
        <w:t xml:space="preserve">. </w:t>
      </w:r>
      <w:r w:rsidR="0003645A">
        <w:t xml:space="preserve">Consequently, consumers will demand more gasoline to cater to the increased economic activities. It is also notable that an increase in income stimulates an increase in the aggregate demand in the economy prompting companies to make more capital investments. Therefore, for companies that use gasoline in the production processes, an increase in consumer income </w:t>
      </w:r>
      <w:r w:rsidR="00795D0B">
        <w:t>incentivises</w:t>
      </w:r>
      <w:r w:rsidR="0003645A">
        <w:t xml:space="preserve"> an increase </w:t>
      </w:r>
      <w:r w:rsidR="00795D0B">
        <w:t xml:space="preserve">in </w:t>
      </w:r>
      <w:r w:rsidR="0003645A">
        <w:t xml:space="preserve">demand </w:t>
      </w:r>
      <w:r w:rsidR="00795D0B">
        <w:t>for gasoline to enhance production needs and meet consumer needs</w:t>
      </w:r>
      <w:r w:rsidR="0060009A" w:rsidRPr="0060009A">
        <w:t xml:space="preserve"> </w:t>
      </w:r>
      <w:r w:rsidR="0060009A">
        <w:t>(McGuigan et al., 2013)</w:t>
      </w:r>
      <w:r w:rsidR="00795D0B">
        <w:t xml:space="preserve">. The following table and graph show the levels of aggregate consumer income and trends for the last five years. </w:t>
      </w:r>
    </w:p>
    <w:tbl>
      <w:tblPr>
        <w:tblW w:w="4410" w:type="dxa"/>
        <w:jc w:val="center"/>
        <w:tblLook w:val="04A0" w:firstRow="1" w:lastRow="0" w:firstColumn="1" w:lastColumn="0" w:noHBand="0" w:noVBand="1"/>
      </w:tblPr>
      <w:tblGrid>
        <w:gridCol w:w="960"/>
        <w:gridCol w:w="3450"/>
      </w:tblGrid>
      <w:tr w:rsidR="00600F01" w:rsidRPr="00600F01" w14:paraId="5F5EB317" w14:textId="77777777" w:rsidTr="00600F01">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E37F1D" w14:textId="77777777" w:rsidR="00600F01" w:rsidRPr="00600F01" w:rsidRDefault="00600F01" w:rsidP="003E0520">
            <w:pPr>
              <w:spacing w:after="0" w:line="240" w:lineRule="auto"/>
              <w:contextualSpacing/>
              <w:rPr>
                <w:rFonts w:eastAsia="Times New Roman" w:cs="Times New Roman"/>
                <w:b/>
                <w:bCs/>
                <w:color w:val="000000"/>
                <w:szCs w:val="24"/>
                <w:lang w:eastAsia="en-GB"/>
              </w:rPr>
            </w:pPr>
            <w:r w:rsidRPr="00600F01">
              <w:rPr>
                <w:rFonts w:eastAsia="Times New Roman" w:cs="Times New Roman"/>
                <w:b/>
                <w:bCs/>
                <w:color w:val="000000"/>
                <w:szCs w:val="24"/>
                <w:lang w:eastAsia="en-GB"/>
              </w:rPr>
              <w:t>Year</w:t>
            </w:r>
          </w:p>
        </w:tc>
        <w:tc>
          <w:tcPr>
            <w:tcW w:w="3450" w:type="dxa"/>
            <w:tcBorders>
              <w:top w:val="single" w:sz="4" w:space="0" w:color="auto"/>
              <w:left w:val="nil"/>
              <w:bottom w:val="single" w:sz="4" w:space="0" w:color="auto"/>
              <w:right w:val="single" w:sz="4" w:space="0" w:color="auto"/>
            </w:tcBorders>
            <w:shd w:val="clear" w:color="auto" w:fill="auto"/>
            <w:noWrap/>
            <w:vAlign w:val="bottom"/>
            <w:hideMark/>
          </w:tcPr>
          <w:p w14:paraId="7F9056CB" w14:textId="77777777" w:rsidR="00600F01" w:rsidRPr="00600F01" w:rsidRDefault="00600F01" w:rsidP="003E0520">
            <w:pPr>
              <w:spacing w:after="0" w:line="240" w:lineRule="auto"/>
              <w:contextualSpacing/>
              <w:rPr>
                <w:rFonts w:eastAsia="Times New Roman" w:cs="Times New Roman"/>
                <w:b/>
                <w:bCs/>
                <w:color w:val="000000"/>
                <w:szCs w:val="24"/>
                <w:lang w:eastAsia="en-GB"/>
              </w:rPr>
            </w:pPr>
            <w:r w:rsidRPr="00600F01">
              <w:rPr>
                <w:rFonts w:eastAsia="Times New Roman" w:cs="Times New Roman"/>
                <w:b/>
                <w:bCs/>
                <w:color w:val="000000"/>
                <w:szCs w:val="24"/>
                <w:lang w:eastAsia="en-GB"/>
              </w:rPr>
              <w:t xml:space="preserve"> Average Disposable Income Per Household </w:t>
            </w:r>
          </w:p>
        </w:tc>
      </w:tr>
      <w:tr w:rsidR="00600F01" w:rsidRPr="00600F01" w14:paraId="1FBA07FA" w14:textId="77777777" w:rsidTr="00600F01">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F09513F" w14:textId="77777777" w:rsidR="00600F01" w:rsidRPr="00600F01" w:rsidRDefault="00600F01" w:rsidP="003E0520">
            <w:pPr>
              <w:spacing w:after="0" w:line="240" w:lineRule="auto"/>
              <w:contextualSpacing/>
              <w:jc w:val="right"/>
              <w:rPr>
                <w:rFonts w:eastAsia="Times New Roman" w:cs="Times New Roman"/>
                <w:color w:val="000000"/>
                <w:szCs w:val="24"/>
                <w:lang w:eastAsia="en-GB"/>
              </w:rPr>
            </w:pPr>
            <w:r w:rsidRPr="00600F01">
              <w:rPr>
                <w:rFonts w:eastAsia="Times New Roman" w:cs="Times New Roman"/>
                <w:color w:val="000000"/>
                <w:szCs w:val="24"/>
                <w:lang w:eastAsia="en-GB"/>
              </w:rPr>
              <w:t>2018</w:t>
            </w:r>
          </w:p>
        </w:tc>
        <w:tc>
          <w:tcPr>
            <w:tcW w:w="3450" w:type="dxa"/>
            <w:tcBorders>
              <w:top w:val="nil"/>
              <w:left w:val="nil"/>
              <w:bottom w:val="single" w:sz="4" w:space="0" w:color="auto"/>
              <w:right w:val="single" w:sz="4" w:space="0" w:color="auto"/>
            </w:tcBorders>
            <w:shd w:val="clear" w:color="auto" w:fill="auto"/>
            <w:noWrap/>
            <w:vAlign w:val="bottom"/>
            <w:hideMark/>
          </w:tcPr>
          <w:p w14:paraId="337EBA33" w14:textId="77777777" w:rsidR="00600F01" w:rsidRPr="00600F01" w:rsidRDefault="00600F01" w:rsidP="003E0520">
            <w:pPr>
              <w:spacing w:after="0" w:line="240" w:lineRule="auto"/>
              <w:contextualSpacing/>
              <w:jc w:val="center"/>
              <w:rPr>
                <w:rFonts w:eastAsia="Times New Roman" w:cs="Times New Roman"/>
                <w:color w:val="000000"/>
                <w:szCs w:val="24"/>
                <w:lang w:eastAsia="en-GB"/>
              </w:rPr>
            </w:pPr>
            <w:r w:rsidRPr="00600F01">
              <w:rPr>
                <w:rFonts w:eastAsia="Times New Roman" w:cs="Times New Roman"/>
                <w:color w:val="000000"/>
                <w:szCs w:val="24"/>
                <w:lang w:eastAsia="en-GB"/>
              </w:rPr>
              <w:t>37,330</w:t>
            </w:r>
          </w:p>
        </w:tc>
      </w:tr>
      <w:tr w:rsidR="00600F01" w:rsidRPr="00600F01" w14:paraId="45AFE6BA" w14:textId="77777777" w:rsidTr="00600F01">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D0C64E" w14:textId="77777777" w:rsidR="00600F01" w:rsidRPr="00600F01" w:rsidRDefault="00600F01" w:rsidP="003E0520">
            <w:pPr>
              <w:spacing w:after="0" w:line="240" w:lineRule="auto"/>
              <w:contextualSpacing/>
              <w:jc w:val="right"/>
              <w:rPr>
                <w:rFonts w:eastAsia="Times New Roman" w:cs="Times New Roman"/>
                <w:color w:val="000000"/>
                <w:szCs w:val="24"/>
                <w:lang w:eastAsia="en-GB"/>
              </w:rPr>
            </w:pPr>
            <w:r w:rsidRPr="00600F01">
              <w:rPr>
                <w:rFonts w:eastAsia="Times New Roman" w:cs="Times New Roman"/>
                <w:color w:val="000000"/>
                <w:szCs w:val="24"/>
                <w:lang w:eastAsia="en-GB"/>
              </w:rPr>
              <w:t>2019</w:t>
            </w:r>
          </w:p>
        </w:tc>
        <w:tc>
          <w:tcPr>
            <w:tcW w:w="3450" w:type="dxa"/>
            <w:tcBorders>
              <w:top w:val="nil"/>
              <w:left w:val="nil"/>
              <w:bottom w:val="single" w:sz="4" w:space="0" w:color="auto"/>
              <w:right w:val="single" w:sz="4" w:space="0" w:color="auto"/>
            </w:tcBorders>
            <w:shd w:val="clear" w:color="auto" w:fill="auto"/>
            <w:noWrap/>
            <w:vAlign w:val="bottom"/>
            <w:hideMark/>
          </w:tcPr>
          <w:p w14:paraId="6A5478EC" w14:textId="77777777" w:rsidR="00600F01" w:rsidRPr="00600F01" w:rsidRDefault="00600F01" w:rsidP="003E0520">
            <w:pPr>
              <w:spacing w:after="0" w:line="240" w:lineRule="auto"/>
              <w:contextualSpacing/>
              <w:jc w:val="center"/>
              <w:rPr>
                <w:rFonts w:eastAsia="Times New Roman" w:cs="Times New Roman"/>
                <w:color w:val="000000"/>
                <w:szCs w:val="24"/>
                <w:lang w:eastAsia="en-GB"/>
              </w:rPr>
            </w:pPr>
            <w:r w:rsidRPr="00600F01">
              <w:rPr>
                <w:rFonts w:eastAsia="Times New Roman" w:cs="Times New Roman"/>
                <w:color w:val="000000"/>
                <w:szCs w:val="24"/>
                <w:lang w:eastAsia="en-GB"/>
              </w:rPr>
              <w:t>37,724</w:t>
            </w:r>
          </w:p>
        </w:tc>
      </w:tr>
      <w:tr w:rsidR="00600F01" w:rsidRPr="00600F01" w14:paraId="020CF021" w14:textId="77777777" w:rsidTr="00600F01">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33441E" w14:textId="77777777" w:rsidR="00600F01" w:rsidRPr="00600F01" w:rsidRDefault="00600F01" w:rsidP="003E0520">
            <w:pPr>
              <w:spacing w:after="0" w:line="240" w:lineRule="auto"/>
              <w:contextualSpacing/>
              <w:jc w:val="right"/>
              <w:rPr>
                <w:rFonts w:eastAsia="Times New Roman" w:cs="Times New Roman"/>
                <w:color w:val="000000"/>
                <w:szCs w:val="24"/>
                <w:lang w:eastAsia="en-GB"/>
              </w:rPr>
            </w:pPr>
            <w:r w:rsidRPr="00600F01">
              <w:rPr>
                <w:rFonts w:eastAsia="Times New Roman" w:cs="Times New Roman"/>
                <w:color w:val="000000"/>
                <w:szCs w:val="24"/>
                <w:lang w:eastAsia="en-GB"/>
              </w:rPr>
              <w:t>2020</w:t>
            </w:r>
          </w:p>
        </w:tc>
        <w:tc>
          <w:tcPr>
            <w:tcW w:w="3450" w:type="dxa"/>
            <w:tcBorders>
              <w:top w:val="nil"/>
              <w:left w:val="nil"/>
              <w:bottom w:val="single" w:sz="4" w:space="0" w:color="auto"/>
              <w:right w:val="single" w:sz="4" w:space="0" w:color="auto"/>
            </w:tcBorders>
            <w:shd w:val="clear" w:color="auto" w:fill="auto"/>
            <w:noWrap/>
            <w:vAlign w:val="bottom"/>
            <w:hideMark/>
          </w:tcPr>
          <w:p w14:paraId="31C8DE82" w14:textId="77777777" w:rsidR="00600F01" w:rsidRPr="00600F01" w:rsidRDefault="00600F01" w:rsidP="003E0520">
            <w:pPr>
              <w:spacing w:after="0" w:line="240" w:lineRule="auto"/>
              <w:contextualSpacing/>
              <w:jc w:val="center"/>
              <w:rPr>
                <w:rFonts w:eastAsia="Times New Roman" w:cs="Times New Roman"/>
                <w:color w:val="000000"/>
                <w:szCs w:val="24"/>
                <w:lang w:eastAsia="en-GB"/>
              </w:rPr>
            </w:pPr>
            <w:r w:rsidRPr="00600F01">
              <w:rPr>
                <w:rFonts w:eastAsia="Times New Roman" w:cs="Times New Roman"/>
                <w:color w:val="000000"/>
                <w:szCs w:val="24"/>
                <w:lang w:eastAsia="en-GB"/>
              </w:rPr>
              <w:t>39,218</w:t>
            </w:r>
          </w:p>
        </w:tc>
      </w:tr>
      <w:tr w:rsidR="00600F01" w:rsidRPr="00600F01" w14:paraId="5E10C454" w14:textId="77777777" w:rsidTr="00600F01">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64DFBB" w14:textId="77777777" w:rsidR="00600F01" w:rsidRPr="00600F01" w:rsidRDefault="00600F01" w:rsidP="003E0520">
            <w:pPr>
              <w:spacing w:after="0" w:line="240" w:lineRule="auto"/>
              <w:contextualSpacing/>
              <w:jc w:val="right"/>
              <w:rPr>
                <w:rFonts w:eastAsia="Times New Roman" w:cs="Times New Roman"/>
                <w:color w:val="000000"/>
                <w:szCs w:val="24"/>
                <w:lang w:eastAsia="en-GB"/>
              </w:rPr>
            </w:pPr>
            <w:r w:rsidRPr="00600F01">
              <w:rPr>
                <w:rFonts w:eastAsia="Times New Roman" w:cs="Times New Roman"/>
                <w:color w:val="000000"/>
                <w:szCs w:val="24"/>
                <w:lang w:eastAsia="en-GB"/>
              </w:rPr>
              <w:t>2021</w:t>
            </w:r>
          </w:p>
        </w:tc>
        <w:tc>
          <w:tcPr>
            <w:tcW w:w="3450" w:type="dxa"/>
            <w:tcBorders>
              <w:top w:val="nil"/>
              <w:left w:val="nil"/>
              <w:bottom w:val="single" w:sz="4" w:space="0" w:color="auto"/>
              <w:right w:val="single" w:sz="4" w:space="0" w:color="auto"/>
            </w:tcBorders>
            <w:shd w:val="clear" w:color="auto" w:fill="auto"/>
            <w:noWrap/>
            <w:vAlign w:val="bottom"/>
            <w:hideMark/>
          </w:tcPr>
          <w:p w14:paraId="49E7D630" w14:textId="77777777" w:rsidR="00600F01" w:rsidRPr="00600F01" w:rsidRDefault="00600F01" w:rsidP="003E0520">
            <w:pPr>
              <w:spacing w:after="0" w:line="240" w:lineRule="auto"/>
              <w:contextualSpacing/>
              <w:jc w:val="center"/>
              <w:rPr>
                <w:rFonts w:eastAsia="Times New Roman" w:cs="Times New Roman"/>
                <w:color w:val="000000"/>
                <w:szCs w:val="24"/>
                <w:lang w:eastAsia="en-GB"/>
              </w:rPr>
            </w:pPr>
            <w:r w:rsidRPr="00600F01">
              <w:rPr>
                <w:rFonts w:eastAsia="Times New Roman" w:cs="Times New Roman"/>
                <w:color w:val="000000"/>
                <w:szCs w:val="24"/>
                <w:lang w:eastAsia="en-GB"/>
              </w:rPr>
              <w:t>38,994</w:t>
            </w:r>
          </w:p>
        </w:tc>
      </w:tr>
      <w:tr w:rsidR="00600F01" w:rsidRPr="00600F01" w14:paraId="2998F49B" w14:textId="77777777" w:rsidTr="00600F01">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48C300" w14:textId="77777777" w:rsidR="00600F01" w:rsidRPr="00600F01" w:rsidRDefault="00600F01" w:rsidP="003E0520">
            <w:pPr>
              <w:spacing w:after="0" w:line="240" w:lineRule="auto"/>
              <w:contextualSpacing/>
              <w:jc w:val="right"/>
              <w:rPr>
                <w:rFonts w:eastAsia="Times New Roman" w:cs="Times New Roman"/>
                <w:color w:val="000000"/>
                <w:szCs w:val="24"/>
                <w:lang w:eastAsia="en-GB"/>
              </w:rPr>
            </w:pPr>
            <w:r w:rsidRPr="00600F01">
              <w:rPr>
                <w:rFonts w:eastAsia="Times New Roman" w:cs="Times New Roman"/>
                <w:color w:val="000000"/>
                <w:szCs w:val="24"/>
                <w:lang w:eastAsia="en-GB"/>
              </w:rPr>
              <w:t>2022</w:t>
            </w:r>
          </w:p>
        </w:tc>
        <w:tc>
          <w:tcPr>
            <w:tcW w:w="3450" w:type="dxa"/>
            <w:tcBorders>
              <w:top w:val="nil"/>
              <w:left w:val="nil"/>
              <w:bottom w:val="single" w:sz="4" w:space="0" w:color="auto"/>
              <w:right w:val="single" w:sz="4" w:space="0" w:color="auto"/>
            </w:tcBorders>
            <w:shd w:val="clear" w:color="auto" w:fill="auto"/>
            <w:noWrap/>
            <w:vAlign w:val="bottom"/>
            <w:hideMark/>
          </w:tcPr>
          <w:p w14:paraId="366DB3D6" w14:textId="77777777" w:rsidR="00600F01" w:rsidRPr="00600F01" w:rsidRDefault="00600F01" w:rsidP="003E0520">
            <w:pPr>
              <w:spacing w:after="0" w:line="240" w:lineRule="auto"/>
              <w:contextualSpacing/>
              <w:jc w:val="center"/>
              <w:rPr>
                <w:rFonts w:eastAsia="Times New Roman" w:cs="Times New Roman"/>
                <w:color w:val="000000"/>
                <w:szCs w:val="24"/>
                <w:lang w:eastAsia="en-GB"/>
              </w:rPr>
            </w:pPr>
            <w:r w:rsidRPr="00600F01">
              <w:rPr>
                <w:rFonts w:eastAsia="Times New Roman" w:cs="Times New Roman"/>
                <w:color w:val="000000"/>
                <w:szCs w:val="24"/>
                <w:lang w:eastAsia="en-GB"/>
              </w:rPr>
              <w:t>39,328</w:t>
            </w:r>
          </w:p>
        </w:tc>
      </w:tr>
    </w:tbl>
    <w:p w14:paraId="6BECAC4E" w14:textId="77777777" w:rsidR="00720F5B" w:rsidRDefault="00FF4014" w:rsidP="003E0520">
      <w:pPr>
        <w:ind w:firstLine="720"/>
        <w:contextualSpacing/>
        <w:jc w:val="center"/>
      </w:pPr>
      <w:r>
        <w:t>Source: (Office for National Statistics, 2023)</w:t>
      </w:r>
    </w:p>
    <w:p w14:paraId="719B2FE8" w14:textId="77777777" w:rsidR="00EC5212" w:rsidRDefault="00BC2B3A" w:rsidP="003E0520">
      <w:pPr>
        <w:ind w:firstLine="720"/>
        <w:contextualSpacing/>
      </w:pPr>
      <w:r>
        <w:t xml:space="preserve"> </w:t>
      </w:r>
      <w:r w:rsidR="00720F5B">
        <w:t xml:space="preserve">Translating the data into a graph yields the graph below. </w:t>
      </w:r>
    </w:p>
    <w:p w14:paraId="6989D5FC" w14:textId="77777777" w:rsidR="00214806" w:rsidRDefault="00C9416E" w:rsidP="003E0520">
      <w:pPr>
        <w:ind w:firstLine="720"/>
        <w:contextualSpacing/>
      </w:pPr>
      <w:r>
        <w:rPr>
          <w:noProof/>
          <w:lang w:eastAsia="en-GB"/>
        </w:rPr>
        <w:drawing>
          <wp:inline distT="0" distB="0" distL="0" distR="0" wp14:anchorId="39A87846" wp14:editId="0F1AEA54">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E30461" w14:textId="77777777" w:rsidR="00247AF6" w:rsidRDefault="006C10BD" w:rsidP="003E0520">
      <w:pPr>
        <w:ind w:firstLine="720"/>
        <w:contextualSpacing/>
      </w:pPr>
      <w:r>
        <w:t xml:space="preserve">The trend shows that there has been an increase in the level of disposable consumer income for people in the UK. </w:t>
      </w:r>
      <w:r w:rsidR="00DE16F2">
        <w:t xml:space="preserve">The effect is a shift in the demand curve to the right to represent a change in demand and a corresponding rise in the equilibrium demand for gasoline. </w:t>
      </w:r>
    </w:p>
    <w:p w14:paraId="0B2BE34B" w14:textId="77777777" w:rsidR="00DE16F2" w:rsidRDefault="00EA1E4C" w:rsidP="003E0520">
      <w:pPr>
        <w:pStyle w:val="Heading2"/>
        <w:contextualSpacing/>
      </w:pPr>
      <w:bookmarkStart w:id="5" w:name="_Toc134283703"/>
      <w:r>
        <w:t>Consumer Tastes and Preferences</w:t>
      </w:r>
      <w:bookmarkEnd w:id="5"/>
    </w:p>
    <w:p w14:paraId="2DBB76DC" w14:textId="77777777" w:rsidR="00EA1E4C" w:rsidRDefault="00210769" w:rsidP="003E0520">
      <w:pPr>
        <w:ind w:firstLine="720"/>
        <w:contextualSpacing/>
      </w:pPr>
      <w:r>
        <w:t>Consumer tastes and preferences refer to subjective assessments that affect the demand for a product</w:t>
      </w:r>
      <w:r w:rsidR="0060009A" w:rsidRPr="0060009A">
        <w:t xml:space="preserve"> </w:t>
      </w:r>
      <w:r w:rsidR="0060009A">
        <w:t>(McGuigan et al., 2013)</w:t>
      </w:r>
      <w:r>
        <w:t>. The current trend in consumer tastes and preferences in the UK concerning gasoline consumption is carbon emissions. The transport industry is one of the greatest carbon emitters in the UK. Over the recent decades, there has been an increased awareness of the environmental hazards of increased carbon emissions</w:t>
      </w:r>
      <w:r w:rsidR="009847C4">
        <w:t>, promoting consumers to change their tastes and preference towards hybrid and fully electric vehicles</w:t>
      </w:r>
      <w:r w:rsidR="0060009A" w:rsidRPr="0060009A">
        <w:t xml:space="preserve"> </w:t>
      </w:r>
      <w:r w:rsidR="0060009A">
        <w:t>(Osadume &amp; University, 2021)</w:t>
      </w:r>
      <w:r w:rsidR="009847C4">
        <w:t xml:space="preserve">. The following data and the subsequent graph show the trend in the sale of electric cars in the UK which is reflective of the change in consumer tastes and preferences. </w:t>
      </w:r>
    </w:p>
    <w:tbl>
      <w:tblPr>
        <w:tblW w:w="5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4525"/>
      </w:tblGrid>
      <w:tr w:rsidR="006D5BD6" w:rsidRPr="006D5BD6" w14:paraId="6791132C" w14:textId="77777777" w:rsidTr="006D5BD6">
        <w:trPr>
          <w:trHeight w:val="300"/>
          <w:jc w:val="center"/>
        </w:trPr>
        <w:tc>
          <w:tcPr>
            <w:tcW w:w="960" w:type="dxa"/>
            <w:shd w:val="clear" w:color="auto" w:fill="auto"/>
            <w:noWrap/>
            <w:vAlign w:val="bottom"/>
            <w:hideMark/>
          </w:tcPr>
          <w:p w14:paraId="0BCB9BC2" w14:textId="77777777" w:rsidR="006D5BD6" w:rsidRPr="006D5BD6" w:rsidRDefault="006D5BD6" w:rsidP="003E0520">
            <w:pPr>
              <w:spacing w:after="0" w:line="240" w:lineRule="auto"/>
              <w:contextualSpacing/>
              <w:rPr>
                <w:rFonts w:eastAsia="Times New Roman" w:cs="Times New Roman"/>
                <w:b/>
                <w:color w:val="000000"/>
                <w:szCs w:val="24"/>
                <w:lang w:eastAsia="en-GB"/>
              </w:rPr>
            </w:pPr>
            <w:r w:rsidRPr="006D5BD6">
              <w:rPr>
                <w:rFonts w:eastAsia="Times New Roman" w:cs="Times New Roman"/>
                <w:b/>
                <w:color w:val="000000"/>
                <w:szCs w:val="24"/>
                <w:lang w:eastAsia="en-GB"/>
              </w:rPr>
              <w:t>Year</w:t>
            </w:r>
          </w:p>
        </w:tc>
        <w:tc>
          <w:tcPr>
            <w:tcW w:w="4525" w:type="dxa"/>
            <w:shd w:val="clear" w:color="auto" w:fill="auto"/>
            <w:noWrap/>
            <w:vAlign w:val="bottom"/>
            <w:hideMark/>
          </w:tcPr>
          <w:p w14:paraId="1D23200B" w14:textId="77777777" w:rsidR="006D5BD6" w:rsidRPr="006D5BD6" w:rsidRDefault="006D5BD6" w:rsidP="003E0520">
            <w:pPr>
              <w:spacing w:after="0" w:line="240" w:lineRule="auto"/>
              <w:contextualSpacing/>
              <w:rPr>
                <w:rFonts w:eastAsia="Times New Roman" w:cs="Times New Roman"/>
                <w:b/>
                <w:color w:val="000000"/>
                <w:szCs w:val="24"/>
                <w:lang w:eastAsia="en-GB"/>
              </w:rPr>
            </w:pPr>
            <w:r w:rsidRPr="006D5BD6">
              <w:rPr>
                <w:rFonts w:eastAsia="Times New Roman" w:cs="Times New Roman"/>
                <w:b/>
                <w:color w:val="000000"/>
                <w:szCs w:val="24"/>
                <w:lang w:eastAsia="en-GB"/>
              </w:rPr>
              <w:t>Number of Sales for Electric Vehicles (Battery Electric and Plug-In Electric)</w:t>
            </w:r>
          </w:p>
        </w:tc>
      </w:tr>
      <w:tr w:rsidR="006D5BD6" w:rsidRPr="006D5BD6" w14:paraId="54E31883" w14:textId="77777777" w:rsidTr="006D5BD6">
        <w:trPr>
          <w:trHeight w:val="300"/>
          <w:jc w:val="center"/>
        </w:trPr>
        <w:tc>
          <w:tcPr>
            <w:tcW w:w="960" w:type="dxa"/>
            <w:shd w:val="clear" w:color="auto" w:fill="auto"/>
            <w:noWrap/>
            <w:vAlign w:val="bottom"/>
            <w:hideMark/>
          </w:tcPr>
          <w:p w14:paraId="43995C45"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2018</w:t>
            </w:r>
          </w:p>
        </w:tc>
        <w:tc>
          <w:tcPr>
            <w:tcW w:w="4525" w:type="dxa"/>
            <w:shd w:val="clear" w:color="auto" w:fill="auto"/>
            <w:noWrap/>
            <w:vAlign w:val="bottom"/>
            <w:hideMark/>
          </w:tcPr>
          <w:p w14:paraId="6D75A25F"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60,630</w:t>
            </w:r>
          </w:p>
        </w:tc>
      </w:tr>
      <w:tr w:rsidR="006D5BD6" w:rsidRPr="006D5BD6" w14:paraId="729E93EE" w14:textId="77777777" w:rsidTr="006D5BD6">
        <w:trPr>
          <w:trHeight w:val="300"/>
          <w:jc w:val="center"/>
        </w:trPr>
        <w:tc>
          <w:tcPr>
            <w:tcW w:w="960" w:type="dxa"/>
            <w:shd w:val="clear" w:color="auto" w:fill="auto"/>
            <w:noWrap/>
            <w:vAlign w:val="bottom"/>
            <w:hideMark/>
          </w:tcPr>
          <w:p w14:paraId="27303920"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2019</w:t>
            </w:r>
          </w:p>
        </w:tc>
        <w:tc>
          <w:tcPr>
            <w:tcW w:w="4525" w:type="dxa"/>
            <w:shd w:val="clear" w:color="auto" w:fill="auto"/>
            <w:noWrap/>
            <w:vAlign w:val="bottom"/>
            <w:hideMark/>
          </w:tcPr>
          <w:p w14:paraId="000C4ACF"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74,600</w:t>
            </w:r>
          </w:p>
        </w:tc>
      </w:tr>
      <w:tr w:rsidR="006D5BD6" w:rsidRPr="006D5BD6" w14:paraId="6DF11EEF" w14:textId="77777777" w:rsidTr="006D5BD6">
        <w:trPr>
          <w:trHeight w:val="300"/>
          <w:jc w:val="center"/>
        </w:trPr>
        <w:tc>
          <w:tcPr>
            <w:tcW w:w="960" w:type="dxa"/>
            <w:shd w:val="clear" w:color="auto" w:fill="auto"/>
            <w:noWrap/>
            <w:vAlign w:val="bottom"/>
            <w:hideMark/>
          </w:tcPr>
          <w:p w14:paraId="489DFC29"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2020</w:t>
            </w:r>
          </w:p>
        </w:tc>
        <w:tc>
          <w:tcPr>
            <w:tcW w:w="4525" w:type="dxa"/>
            <w:shd w:val="clear" w:color="auto" w:fill="auto"/>
            <w:noWrap/>
            <w:vAlign w:val="bottom"/>
            <w:hideMark/>
          </w:tcPr>
          <w:p w14:paraId="6FDF8B55"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174,740</w:t>
            </w:r>
          </w:p>
        </w:tc>
      </w:tr>
      <w:tr w:rsidR="006D5BD6" w:rsidRPr="006D5BD6" w14:paraId="4DBCA4C9" w14:textId="77777777" w:rsidTr="006D5BD6">
        <w:trPr>
          <w:trHeight w:val="300"/>
          <w:jc w:val="center"/>
        </w:trPr>
        <w:tc>
          <w:tcPr>
            <w:tcW w:w="960" w:type="dxa"/>
            <w:shd w:val="clear" w:color="auto" w:fill="auto"/>
            <w:noWrap/>
            <w:vAlign w:val="bottom"/>
            <w:hideMark/>
          </w:tcPr>
          <w:p w14:paraId="563C95C2"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2021</w:t>
            </w:r>
          </w:p>
        </w:tc>
        <w:tc>
          <w:tcPr>
            <w:tcW w:w="4525" w:type="dxa"/>
            <w:shd w:val="clear" w:color="auto" w:fill="auto"/>
            <w:noWrap/>
            <w:vAlign w:val="bottom"/>
            <w:hideMark/>
          </w:tcPr>
          <w:p w14:paraId="6D4A12B5"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311,500</w:t>
            </w:r>
          </w:p>
        </w:tc>
      </w:tr>
      <w:tr w:rsidR="006D5BD6" w:rsidRPr="006D5BD6" w14:paraId="498E2B2D" w14:textId="77777777" w:rsidTr="006D5BD6">
        <w:trPr>
          <w:trHeight w:val="300"/>
          <w:jc w:val="center"/>
        </w:trPr>
        <w:tc>
          <w:tcPr>
            <w:tcW w:w="960" w:type="dxa"/>
            <w:shd w:val="clear" w:color="auto" w:fill="auto"/>
            <w:noWrap/>
            <w:vAlign w:val="bottom"/>
            <w:hideMark/>
          </w:tcPr>
          <w:p w14:paraId="590A96BF"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2022</w:t>
            </w:r>
          </w:p>
        </w:tc>
        <w:tc>
          <w:tcPr>
            <w:tcW w:w="4525" w:type="dxa"/>
            <w:shd w:val="clear" w:color="auto" w:fill="auto"/>
            <w:noWrap/>
            <w:vAlign w:val="bottom"/>
            <w:hideMark/>
          </w:tcPr>
          <w:p w14:paraId="06461487" w14:textId="77777777" w:rsidR="006D5BD6" w:rsidRPr="006D5BD6" w:rsidRDefault="006D5BD6" w:rsidP="003E0520">
            <w:pPr>
              <w:spacing w:after="0" w:line="240" w:lineRule="auto"/>
              <w:contextualSpacing/>
              <w:jc w:val="right"/>
              <w:rPr>
                <w:rFonts w:eastAsia="Times New Roman" w:cs="Times New Roman"/>
                <w:color w:val="000000"/>
                <w:szCs w:val="24"/>
                <w:lang w:eastAsia="en-GB"/>
              </w:rPr>
            </w:pPr>
            <w:r w:rsidRPr="006D5BD6">
              <w:rPr>
                <w:rFonts w:eastAsia="Times New Roman" w:cs="Times New Roman"/>
                <w:color w:val="000000"/>
                <w:szCs w:val="24"/>
                <w:lang w:eastAsia="en-GB"/>
              </w:rPr>
              <w:t>317,700</w:t>
            </w:r>
          </w:p>
        </w:tc>
      </w:tr>
    </w:tbl>
    <w:p w14:paraId="6E1B36A9" w14:textId="77777777" w:rsidR="009847C4" w:rsidRDefault="00C47EB1" w:rsidP="003E0520">
      <w:pPr>
        <w:ind w:firstLine="720"/>
        <w:contextualSpacing/>
        <w:jc w:val="center"/>
      </w:pPr>
      <w:r>
        <w:t>Source: (Statista, 2023)</w:t>
      </w:r>
    </w:p>
    <w:p w14:paraId="250CDF04" w14:textId="77777777" w:rsidR="00C47EB1" w:rsidRDefault="00507D27" w:rsidP="003E0520">
      <w:pPr>
        <w:ind w:firstLine="720"/>
        <w:contextualSpacing/>
      </w:pPr>
      <w:r>
        <w:t>The graph below is extracted f</w:t>
      </w:r>
      <w:r w:rsidR="009D34FA">
        <w:t xml:space="preserve">rom the data to show the trend in change in tastes and preferences. </w:t>
      </w:r>
    </w:p>
    <w:p w14:paraId="79D46C66" w14:textId="77777777" w:rsidR="009D34FA" w:rsidRDefault="00EE49A8" w:rsidP="003E0520">
      <w:pPr>
        <w:ind w:firstLine="720"/>
        <w:contextualSpacing/>
      </w:pPr>
      <w:r>
        <w:rPr>
          <w:noProof/>
          <w:lang w:eastAsia="en-GB"/>
        </w:rPr>
        <w:drawing>
          <wp:inline distT="0" distB="0" distL="0" distR="0" wp14:anchorId="169C4447" wp14:editId="03F40E45">
            <wp:extent cx="5210175" cy="16192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4F7DFD" w14:textId="77777777" w:rsidR="00EE49A8" w:rsidRDefault="007668B7" w:rsidP="003E0520">
      <w:pPr>
        <w:ind w:firstLine="720"/>
        <w:contextualSpacing/>
      </w:pPr>
      <w:r>
        <w:t xml:space="preserve">The prominent trend is that there is an increase in tastes and preferences toward the purchase of electric vehicles. The net effect is a decline in demand for petrol, thereby shifting the demand curve to the left. Consequently, there will be a shift in the equilibrium in the gasoline market characterised by </w:t>
      </w:r>
      <w:r w:rsidR="005C5899">
        <w:t xml:space="preserve">a decline in the demand for gasoline. </w:t>
      </w:r>
    </w:p>
    <w:p w14:paraId="35A13358" w14:textId="77777777" w:rsidR="005C5899" w:rsidRDefault="00187BAE" w:rsidP="003E0520">
      <w:pPr>
        <w:pStyle w:val="Heading2"/>
        <w:contextualSpacing/>
      </w:pPr>
      <w:bookmarkStart w:id="6" w:name="_Toc134283704"/>
      <w:r>
        <w:t>Consumer Expectations of Price of Petrol</w:t>
      </w:r>
      <w:bookmarkEnd w:id="6"/>
    </w:p>
    <w:p w14:paraId="043B880C" w14:textId="77777777" w:rsidR="00187BAE" w:rsidRDefault="00651737" w:rsidP="003E0520">
      <w:pPr>
        <w:ind w:firstLine="720"/>
        <w:contextualSpacing/>
      </w:pPr>
      <w:r>
        <w:t xml:space="preserve">Expectations about future prices of petrol have an effect on the demand for petrol. Currently, there is an expectation of a decline in future decline in the price of petrol premised on two factors. First, the UK economy is recovering from the adverse effects of the COVID-19 pandemic and the associated supply chain disruptions. The prospect of the end of the war in Ukraine is that it will improve the global supply of oil, thereby reducing the price. The effect of this expectation is that consumers will hesitate from purchasing gasoline in bulk, thereby reducing demand. Also, some consumers might postpone the purchase of motor vehicles, effectively reducing the demand. The combined effect of these two factors is shifting the demand curve to the left, and lowering the equilibrium price and quantity in the market for gasoline. </w:t>
      </w:r>
    </w:p>
    <w:p w14:paraId="7ADED600" w14:textId="77777777" w:rsidR="00651737" w:rsidRDefault="00B0373B" w:rsidP="003E0520">
      <w:pPr>
        <w:pStyle w:val="Heading2"/>
        <w:contextualSpacing/>
      </w:pPr>
      <w:bookmarkStart w:id="7" w:name="_Toc134283705"/>
      <w:r>
        <w:t>Demographics</w:t>
      </w:r>
      <w:bookmarkEnd w:id="7"/>
    </w:p>
    <w:p w14:paraId="51C4AD31" w14:textId="77777777" w:rsidR="00B0373B" w:rsidRDefault="00870CC5" w:rsidP="003E0520">
      <w:pPr>
        <w:ind w:firstLine="720"/>
        <w:contextualSpacing/>
      </w:pPr>
      <w:r>
        <w:t>Population growth rate is one of the primary factors that influence demand. An increase in population has a positive effect on the demand for gasoline, whereas a decline in population has a negative effect on the demand for gasoline</w:t>
      </w:r>
      <w:r w:rsidR="006E3753" w:rsidRPr="006E3753">
        <w:t xml:space="preserve"> </w:t>
      </w:r>
      <w:r w:rsidR="006E3753">
        <w:t>(Aigner-Walder, 2015)</w:t>
      </w:r>
      <w:r>
        <w:t xml:space="preserve">. </w:t>
      </w:r>
    </w:p>
    <w:p w14:paraId="01351FEC" w14:textId="77777777" w:rsidR="00870CC5" w:rsidRDefault="008B7EF9" w:rsidP="003E0520">
      <w:pPr>
        <w:ind w:firstLine="720"/>
        <w:contextualSpacing/>
      </w:pPr>
      <w:r>
        <w:rPr>
          <w:noProof/>
          <w:lang w:eastAsia="en-GB"/>
        </w:rPr>
        <w:drawing>
          <wp:inline distT="0" distB="0" distL="0" distR="0" wp14:anchorId="44D42291" wp14:editId="193EE2AE">
            <wp:extent cx="4991100" cy="22479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E166285" w14:textId="77777777" w:rsidR="003D71F8" w:rsidRDefault="003D71F8" w:rsidP="003E0520">
      <w:pPr>
        <w:ind w:firstLine="720"/>
        <w:contextualSpacing/>
        <w:jc w:val="center"/>
      </w:pPr>
      <w:r>
        <w:t>Source: (Office for National Statistics, 2022)</w:t>
      </w:r>
    </w:p>
    <w:p w14:paraId="6BCE7496" w14:textId="77777777" w:rsidR="008B7EF9" w:rsidRDefault="003D71F8" w:rsidP="003E0520">
      <w:pPr>
        <w:ind w:firstLine="720"/>
        <w:contextualSpacing/>
      </w:pPr>
      <w:r>
        <w:t xml:space="preserve">Drawing from the graph, it is notable that although there was a marginal decline in population between 2020 and 2021, there is a </w:t>
      </w:r>
      <w:r w:rsidR="006E3753">
        <w:t>generally</w:t>
      </w:r>
      <w:r>
        <w:t xml:space="preserve"> upward trajectory in population growth. The increase in population has a positive impact on the demand for gasoline, hence will shift the demand curve rightward and lead to a higher equilibrium quantity and price in the gasoline market</w:t>
      </w:r>
      <w:r w:rsidR="00C2270A" w:rsidRPr="00C2270A">
        <w:t xml:space="preserve"> </w:t>
      </w:r>
      <w:r w:rsidR="00C2270A">
        <w:t>(Aigner-Walder, 2015)</w:t>
      </w:r>
      <w:r>
        <w:t xml:space="preserve">. </w:t>
      </w:r>
    </w:p>
    <w:p w14:paraId="6A5B9600" w14:textId="77777777" w:rsidR="00E41582" w:rsidRDefault="00A35CCA" w:rsidP="003E0520">
      <w:pPr>
        <w:pStyle w:val="Heading1"/>
        <w:contextualSpacing/>
      </w:pPr>
      <w:bookmarkStart w:id="8" w:name="_Toc134283706"/>
      <w:r>
        <w:t>Price Elasticity of Demand for Gasoline</w:t>
      </w:r>
      <w:bookmarkEnd w:id="8"/>
    </w:p>
    <w:p w14:paraId="56967369" w14:textId="77777777" w:rsidR="00A35CCA" w:rsidRDefault="00D350EE" w:rsidP="003E0520">
      <w:pPr>
        <w:ind w:firstLine="720"/>
        <w:contextualSpacing/>
      </w:pPr>
      <w:r>
        <w:t xml:space="preserve">Price elasticity of demand refers to the responsiveness of demand for a product as a result of changes in the price of that product. The degree of elasticity causes movement along the demand curve without causing a shift. </w:t>
      </w:r>
      <w:r w:rsidR="000E1221">
        <w:t>There are several factors that affect the price elasticity of demand for gasoline including the availability of substitutes,</w:t>
      </w:r>
      <w:r w:rsidR="00741688">
        <w:t xml:space="preserve"> as well as</w:t>
      </w:r>
      <w:r w:rsidR="000E1221">
        <w:t xml:space="preserve"> </w:t>
      </w:r>
      <w:r w:rsidR="00E8444A">
        <w:t>the proportion of income consumers spend on the product</w:t>
      </w:r>
      <w:r w:rsidR="00741688">
        <w:t xml:space="preserve">. The impact of these two factors can be classified into the substitution effect in the case of availability of substitutes, and the income effect in the case of the fraction of income spent on the product. </w:t>
      </w:r>
    </w:p>
    <w:p w14:paraId="64D6752F" w14:textId="77777777" w:rsidR="00741688" w:rsidRDefault="00496769" w:rsidP="003E0520">
      <w:pPr>
        <w:pStyle w:val="Heading2"/>
        <w:contextualSpacing/>
      </w:pPr>
      <w:bookmarkStart w:id="9" w:name="_Toc134283707"/>
      <w:r>
        <w:t xml:space="preserve">The </w:t>
      </w:r>
      <w:r w:rsidR="00C414DD">
        <w:t>Substitution Effect</w:t>
      </w:r>
      <w:bookmarkEnd w:id="9"/>
    </w:p>
    <w:p w14:paraId="125A7773" w14:textId="77777777" w:rsidR="00C414DD" w:rsidRDefault="00BD404B" w:rsidP="003E0520">
      <w:pPr>
        <w:ind w:firstLine="720"/>
        <w:contextualSpacing/>
      </w:pPr>
      <w:r>
        <w:t xml:space="preserve">Gasoline does not have any close substitutes. Additionally, the cost of switching from gasoline is prohibitive such that even with an increase in price, consumers are likely to continue purchasing the product, albeit at a declining rate. </w:t>
      </w:r>
      <w:r w:rsidR="00D65076">
        <w:t xml:space="preserve">Another factor that contributes to the substitution effect is whether a product is a luxury or a necessity. In the case of Gasoline, the product is a necessity because mobility is essential in running daily operations for households as good companies within the United Kingdom. For example, </w:t>
      </w:r>
      <w:r w:rsidR="000943DE">
        <w:t xml:space="preserve">although people can reduce their use of private cars when the cost of gasoline increases, they still have to support the demand for gasoline when using the public transport system. Additionally, for companies running their operations using gasoline, an increase in price for the product will not induce a decline in demand because the product is essential in the running of the company. </w:t>
      </w:r>
      <w:r w:rsidR="007B1258">
        <w:t xml:space="preserve">Using the data below for the Price of gasoline against consumption, it is possible to draft the demand curve. </w:t>
      </w:r>
    </w:p>
    <w:tbl>
      <w:tblPr>
        <w:tblW w:w="62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0"/>
        <w:gridCol w:w="4720"/>
      </w:tblGrid>
      <w:tr w:rsidR="00424EA2" w:rsidRPr="00424EA2" w14:paraId="4D2F589E" w14:textId="77777777" w:rsidTr="00424EA2">
        <w:trPr>
          <w:trHeight w:val="300"/>
          <w:jc w:val="center"/>
        </w:trPr>
        <w:tc>
          <w:tcPr>
            <w:tcW w:w="1500" w:type="dxa"/>
            <w:shd w:val="clear" w:color="auto" w:fill="auto"/>
            <w:noWrap/>
            <w:vAlign w:val="bottom"/>
            <w:hideMark/>
          </w:tcPr>
          <w:p w14:paraId="33A5356B" w14:textId="77777777" w:rsidR="00424EA2" w:rsidRPr="00424EA2" w:rsidRDefault="00424EA2" w:rsidP="003E0520">
            <w:pPr>
              <w:spacing w:after="0" w:line="240" w:lineRule="auto"/>
              <w:contextualSpacing/>
              <w:rPr>
                <w:rFonts w:eastAsia="Times New Roman" w:cs="Times New Roman"/>
                <w:color w:val="000000"/>
                <w:szCs w:val="24"/>
                <w:lang w:eastAsia="en-GB"/>
              </w:rPr>
            </w:pPr>
            <w:r w:rsidRPr="00424EA2">
              <w:rPr>
                <w:rFonts w:eastAsia="Times New Roman" w:cs="Times New Roman"/>
                <w:color w:val="000000"/>
                <w:szCs w:val="24"/>
                <w:lang w:eastAsia="en-GB"/>
              </w:rPr>
              <w:t>Price (£/Them)</w:t>
            </w:r>
          </w:p>
        </w:tc>
        <w:tc>
          <w:tcPr>
            <w:tcW w:w="4720" w:type="dxa"/>
            <w:shd w:val="clear" w:color="auto" w:fill="auto"/>
            <w:noWrap/>
            <w:vAlign w:val="bottom"/>
            <w:hideMark/>
          </w:tcPr>
          <w:p w14:paraId="63FF1E04" w14:textId="77777777" w:rsidR="00424EA2" w:rsidRPr="00424EA2" w:rsidRDefault="00424EA2" w:rsidP="003E0520">
            <w:pPr>
              <w:spacing w:after="0" w:line="240" w:lineRule="auto"/>
              <w:contextualSpacing/>
              <w:rPr>
                <w:rFonts w:eastAsia="Times New Roman" w:cs="Times New Roman"/>
                <w:b/>
                <w:bCs/>
                <w:color w:val="000000"/>
                <w:szCs w:val="24"/>
                <w:lang w:eastAsia="en-GB"/>
              </w:rPr>
            </w:pPr>
            <w:r w:rsidRPr="00424EA2">
              <w:rPr>
                <w:rFonts w:eastAsia="Times New Roman" w:cs="Times New Roman"/>
                <w:b/>
                <w:bCs/>
                <w:color w:val="000000"/>
                <w:szCs w:val="24"/>
                <w:lang w:eastAsia="en-GB"/>
              </w:rPr>
              <w:t>Gasoline consumption, thousand barrels per day</w:t>
            </w:r>
          </w:p>
        </w:tc>
      </w:tr>
      <w:tr w:rsidR="00424EA2" w:rsidRPr="00424EA2" w14:paraId="54FEC03D" w14:textId="77777777" w:rsidTr="00424EA2">
        <w:trPr>
          <w:trHeight w:val="300"/>
          <w:jc w:val="center"/>
        </w:trPr>
        <w:tc>
          <w:tcPr>
            <w:tcW w:w="1500" w:type="dxa"/>
            <w:shd w:val="clear" w:color="auto" w:fill="auto"/>
            <w:noWrap/>
            <w:vAlign w:val="bottom"/>
            <w:hideMark/>
          </w:tcPr>
          <w:p w14:paraId="2C678515"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66.53</w:t>
            </w:r>
          </w:p>
        </w:tc>
        <w:tc>
          <w:tcPr>
            <w:tcW w:w="4720" w:type="dxa"/>
            <w:shd w:val="clear" w:color="auto" w:fill="auto"/>
            <w:noWrap/>
            <w:vAlign w:val="bottom"/>
            <w:hideMark/>
          </w:tcPr>
          <w:p w14:paraId="1A694EBF"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282.2</w:t>
            </w:r>
          </w:p>
        </w:tc>
      </w:tr>
      <w:tr w:rsidR="00424EA2" w:rsidRPr="00424EA2" w14:paraId="023BEF2F" w14:textId="77777777" w:rsidTr="00424EA2">
        <w:trPr>
          <w:trHeight w:val="300"/>
          <w:jc w:val="center"/>
        </w:trPr>
        <w:tc>
          <w:tcPr>
            <w:tcW w:w="1500" w:type="dxa"/>
            <w:shd w:val="clear" w:color="auto" w:fill="auto"/>
            <w:noWrap/>
            <w:vAlign w:val="bottom"/>
            <w:hideMark/>
          </w:tcPr>
          <w:p w14:paraId="4C21CF9B"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38.04</w:t>
            </w:r>
          </w:p>
        </w:tc>
        <w:tc>
          <w:tcPr>
            <w:tcW w:w="4720" w:type="dxa"/>
            <w:shd w:val="clear" w:color="auto" w:fill="auto"/>
            <w:noWrap/>
            <w:vAlign w:val="bottom"/>
            <w:hideMark/>
          </w:tcPr>
          <w:p w14:paraId="48265948"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285</w:t>
            </w:r>
          </w:p>
        </w:tc>
      </w:tr>
      <w:tr w:rsidR="00424EA2" w:rsidRPr="00424EA2" w14:paraId="3A005D06" w14:textId="77777777" w:rsidTr="00424EA2">
        <w:trPr>
          <w:trHeight w:val="300"/>
          <w:jc w:val="center"/>
        </w:trPr>
        <w:tc>
          <w:tcPr>
            <w:tcW w:w="1500" w:type="dxa"/>
            <w:shd w:val="clear" w:color="auto" w:fill="auto"/>
            <w:noWrap/>
            <w:vAlign w:val="bottom"/>
            <w:hideMark/>
          </w:tcPr>
          <w:p w14:paraId="50539140" w14:textId="77777777" w:rsidR="00424EA2" w:rsidRPr="00424EA2" w:rsidRDefault="00B0677B" w:rsidP="003E0520">
            <w:pPr>
              <w:spacing w:after="0" w:line="240" w:lineRule="auto"/>
              <w:contextualSpacing/>
              <w:jc w:val="right"/>
              <w:rPr>
                <w:rFonts w:eastAsia="Times New Roman" w:cs="Times New Roman"/>
                <w:color w:val="000000"/>
                <w:szCs w:val="24"/>
                <w:lang w:eastAsia="en-GB"/>
              </w:rPr>
            </w:pPr>
            <w:r>
              <w:rPr>
                <w:rFonts w:eastAsia="Times New Roman" w:cs="Times New Roman"/>
                <w:color w:val="000000"/>
                <w:szCs w:val="24"/>
                <w:lang w:eastAsia="en-GB"/>
              </w:rPr>
              <w:t>65.23</w:t>
            </w:r>
          </w:p>
        </w:tc>
        <w:tc>
          <w:tcPr>
            <w:tcW w:w="4720" w:type="dxa"/>
            <w:shd w:val="clear" w:color="auto" w:fill="auto"/>
            <w:noWrap/>
            <w:vAlign w:val="bottom"/>
            <w:hideMark/>
          </w:tcPr>
          <w:p w14:paraId="30F8206A"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221.8</w:t>
            </w:r>
          </w:p>
        </w:tc>
      </w:tr>
      <w:tr w:rsidR="00424EA2" w:rsidRPr="00424EA2" w14:paraId="275E632A" w14:textId="77777777" w:rsidTr="00424EA2">
        <w:trPr>
          <w:trHeight w:val="300"/>
          <w:jc w:val="center"/>
        </w:trPr>
        <w:tc>
          <w:tcPr>
            <w:tcW w:w="1500" w:type="dxa"/>
            <w:shd w:val="clear" w:color="auto" w:fill="auto"/>
            <w:noWrap/>
            <w:vAlign w:val="bottom"/>
            <w:hideMark/>
          </w:tcPr>
          <w:p w14:paraId="3AFD72D7"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162.1</w:t>
            </w:r>
          </w:p>
        </w:tc>
        <w:tc>
          <w:tcPr>
            <w:tcW w:w="4720" w:type="dxa"/>
            <w:shd w:val="clear" w:color="auto" w:fill="auto"/>
            <w:noWrap/>
            <w:vAlign w:val="bottom"/>
            <w:hideMark/>
          </w:tcPr>
          <w:p w14:paraId="282B7CC5"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254.2</w:t>
            </w:r>
          </w:p>
        </w:tc>
      </w:tr>
      <w:tr w:rsidR="00424EA2" w:rsidRPr="00424EA2" w14:paraId="5ADC1E67" w14:textId="77777777" w:rsidTr="00424EA2">
        <w:trPr>
          <w:trHeight w:val="300"/>
          <w:jc w:val="center"/>
        </w:trPr>
        <w:tc>
          <w:tcPr>
            <w:tcW w:w="1500" w:type="dxa"/>
            <w:shd w:val="clear" w:color="auto" w:fill="auto"/>
            <w:noWrap/>
            <w:vAlign w:val="bottom"/>
            <w:hideMark/>
          </w:tcPr>
          <w:p w14:paraId="6B0F14AD"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105.31</w:t>
            </w:r>
          </w:p>
        </w:tc>
        <w:tc>
          <w:tcPr>
            <w:tcW w:w="4720" w:type="dxa"/>
            <w:shd w:val="clear" w:color="auto" w:fill="auto"/>
            <w:noWrap/>
            <w:vAlign w:val="bottom"/>
            <w:hideMark/>
          </w:tcPr>
          <w:p w14:paraId="3C99298F" w14:textId="77777777" w:rsidR="00424EA2" w:rsidRPr="00424EA2" w:rsidRDefault="00424EA2" w:rsidP="003E0520">
            <w:pPr>
              <w:spacing w:after="0" w:line="240" w:lineRule="auto"/>
              <w:contextualSpacing/>
              <w:jc w:val="right"/>
              <w:rPr>
                <w:rFonts w:eastAsia="Times New Roman" w:cs="Times New Roman"/>
                <w:color w:val="000000"/>
                <w:szCs w:val="24"/>
                <w:lang w:eastAsia="en-GB"/>
              </w:rPr>
            </w:pPr>
            <w:r w:rsidRPr="00424EA2">
              <w:rPr>
                <w:rFonts w:eastAsia="Times New Roman" w:cs="Times New Roman"/>
                <w:color w:val="000000"/>
                <w:szCs w:val="24"/>
                <w:lang w:eastAsia="en-GB"/>
              </w:rPr>
              <w:t>258.6</w:t>
            </w:r>
          </w:p>
        </w:tc>
      </w:tr>
    </w:tbl>
    <w:p w14:paraId="49872BE3" w14:textId="77777777" w:rsidR="003E0520" w:rsidRDefault="003E0520" w:rsidP="003E0520">
      <w:pPr>
        <w:ind w:firstLine="720"/>
        <w:contextualSpacing/>
      </w:pPr>
    </w:p>
    <w:p w14:paraId="61AB6E77" w14:textId="77777777" w:rsidR="007B1258" w:rsidRDefault="003E0520" w:rsidP="003E0520">
      <w:pPr>
        <w:ind w:firstLine="720"/>
        <w:contextualSpacing/>
      </w:pPr>
      <w:r>
        <w:t xml:space="preserve">Consequently, the demand curve for gasoline can be drafted as follows. </w:t>
      </w:r>
    </w:p>
    <w:p w14:paraId="08B9C49E" w14:textId="77777777" w:rsidR="003E0520" w:rsidRDefault="00F76CF6" w:rsidP="003E0520">
      <w:pPr>
        <w:ind w:firstLine="720"/>
        <w:contextualSpacing/>
      </w:pPr>
      <w:r>
        <w:rPr>
          <w:noProof/>
          <w:lang w:eastAsia="en-GB"/>
        </w:rPr>
        <w:drawing>
          <wp:inline distT="0" distB="0" distL="0" distR="0" wp14:anchorId="1C8AE410" wp14:editId="175BEBCB">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B89EC3" w14:textId="77777777" w:rsidR="00F76CF6" w:rsidRDefault="003C1456" w:rsidP="003E0520">
      <w:pPr>
        <w:ind w:firstLine="720"/>
        <w:contextualSpacing/>
      </w:pPr>
      <w:r>
        <w:t xml:space="preserve">The observation from the graph is that the demand curve is downward sloping, but with a steeper slope. </w:t>
      </w:r>
      <w:r w:rsidR="00B0677B">
        <w:t xml:space="preserve">The steep gradient means that a change in price causes less than a proportionate change in demand. For example, in 2019, the price was </w:t>
      </w:r>
      <w:r w:rsidR="00B0677B" w:rsidRPr="00B0677B">
        <w:t>£</w:t>
      </w:r>
      <w:r w:rsidR="00B0677B">
        <w:t xml:space="preserve">38.04 with a corresponding demand of </w:t>
      </w:r>
      <w:r w:rsidR="00B0677B" w:rsidRPr="00B0677B">
        <w:t>£</w:t>
      </w:r>
      <w:r w:rsidR="00B0677B">
        <w:t xml:space="preserve">285. In 2020, the price increased by 71.48% to </w:t>
      </w:r>
      <w:r w:rsidR="00B0677B" w:rsidRPr="00B0677B">
        <w:t>£</w:t>
      </w:r>
      <w:r w:rsidR="00B0677B">
        <w:t xml:space="preserve">65.23. However, the demand for gasoline declined by only 22.18% from 285 to 221.8 (1,000 barrels per day). The implication is that gasoline has an inelastic demand curve that is not critically responsive to changes in price. </w:t>
      </w:r>
      <w:r w:rsidR="00936B02">
        <w:t xml:space="preserve">Therefore, even with an increase in price, consumers will not switch consumption to substitutes. </w:t>
      </w:r>
    </w:p>
    <w:p w14:paraId="1AAF95FA" w14:textId="77777777" w:rsidR="00936B02" w:rsidRDefault="008A1879" w:rsidP="008A1879">
      <w:pPr>
        <w:pStyle w:val="Heading2"/>
      </w:pPr>
      <w:bookmarkStart w:id="10" w:name="_Toc134283708"/>
      <w:r>
        <w:t>The Income Effect</w:t>
      </w:r>
      <w:bookmarkEnd w:id="10"/>
    </w:p>
    <w:p w14:paraId="5D196A51" w14:textId="77777777" w:rsidR="008A1879" w:rsidRDefault="00FC0A11" w:rsidP="003E0520">
      <w:pPr>
        <w:ind w:firstLine="720"/>
        <w:contextualSpacing/>
      </w:pPr>
      <w:r>
        <w:t xml:space="preserve">The income effect contends that an increase in income for a normal good will have a positive effect on the demand. Although gasoline is an essential good with a limited number of substitutes, it adheres to the law of demand as relates to a normal good. The following shows the relationship between income and demand for gasoline, which is notable that there is a positive relationship between income and demand for gasoline such that the graph is </w:t>
      </w:r>
      <w:r w:rsidR="005975F6">
        <w:t>upward-sloping</w:t>
      </w:r>
      <w:r>
        <w:t xml:space="preserve">. </w:t>
      </w:r>
    </w:p>
    <w:p w14:paraId="33107EBE" w14:textId="77777777" w:rsidR="00FC0A11" w:rsidRDefault="0028031B" w:rsidP="003E0520">
      <w:pPr>
        <w:ind w:firstLine="720"/>
        <w:contextualSpacing/>
      </w:pPr>
      <w:r>
        <w:rPr>
          <w:noProof/>
          <w:lang w:eastAsia="en-GB"/>
        </w:rPr>
        <w:drawing>
          <wp:inline distT="0" distB="0" distL="0" distR="0" wp14:anchorId="3C718424" wp14:editId="69E73829">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ADB0648" w14:textId="77777777" w:rsidR="003D71F8" w:rsidRDefault="0028031B" w:rsidP="003E0520">
      <w:pPr>
        <w:ind w:firstLine="720"/>
        <w:contextualSpacing/>
      </w:pPr>
      <w:r>
        <w:t xml:space="preserve">An increase in income leads to an increase in the demand for gasoline. This can be justified by the fact that consumers spend only a small fraction of their income on gasoline. For example, </w:t>
      </w:r>
      <w:r w:rsidR="00387B33">
        <w:t xml:space="preserve">for consumers who use the public transport system, </w:t>
      </w:r>
      <w:r w:rsidR="00005EE9">
        <w:t xml:space="preserve">they </w:t>
      </w:r>
      <w:r w:rsidR="00387B33">
        <w:t xml:space="preserve">only apportion a small percentage of </w:t>
      </w:r>
      <w:r w:rsidR="00005EE9">
        <w:t xml:space="preserve">their </w:t>
      </w:r>
      <w:r w:rsidR="00387B33">
        <w:t xml:space="preserve">income on </w:t>
      </w:r>
      <w:r w:rsidR="00005EE9">
        <w:t xml:space="preserve">gasoline. Therefore, when income increases, they are likely to increase their travel plans, thereby incentivising an increase in demand for gasoline. </w:t>
      </w:r>
      <w:r w:rsidR="00DA3FAD">
        <w:t xml:space="preserve">Overall, this trend shows that the income elasticity of demand for gasoline is more </w:t>
      </w:r>
      <w:r w:rsidR="005975F6">
        <w:t>elastic.</w:t>
      </w:r>
    </w:p>
    <w:p w14:paraId="5F8CC807" w14:textId="77777777" w:rsidR="00507D27" w:rsidRDefault="00032F0A" w:rsidP="00032F0A">
      <w:pPr>
        <w:pStyle w:val="Heading2"/>
      </w:pPr>
      <w:bookmarkStart w:id="11" w:name="_Toc134283709"/>
      <w:r>
        <w:t>Gasoline Pricing Policy for BP Plc</w:t>
      </w:r>
      <w:bookmarkEnd w:id="11"/>
    </w:p>
    <w:p w14:paraId="36E2A683" w14:textId="77777777" w:rsidR="0060009A" w:rsidRDefault="001C4E0B" w:rsidP="003E0520">
      <w:pPr>
        <w:ind w:firstLine="720"/>
        <w:contextualSpacing/>
      </w:pPr>
      <w:r>
        <w:t xml:space="preserve">The price elasticity of demand, the income effect, and the substitution effects are key tools in product pricing.  The fundamental principle is that the revenue of a company whose product is price inelastic is not adversely affected by changes in prices. Additionally, the revenue of a company whose demand is income elastic </w:t>
      </w:r>
      <w:r w:rsidR="00457E53">
        <w:t>is</w:t>
      </w:r>
      <w:r>
        <w:t xml:space="preserve"> positively affected by changes in income. </w:t>
      </w:r>
      <w:r w:rsidR="00457E53">
        <w:t>Based on this argument, therefore, the recommended pricing structure is that of an oligopoly market, whereby the profit maximising output is determined by equating the marginal revenue to the marginal cost</w:t>
      </w:r>
      <w:r w:rsidR="002F2BDF" w:rsidRPr="002F2BDF">
        <w:t xml:space="preserve"> </w:t>
      </w:r>
      <w:r w:rsidR="002F2BDF">
        <w:t>(Ellickson, 2015)</w:t>
      </w:r>
      <w:r w:rsidR="00457E53">
        <w:t xml:space="preserve">.  </w:t>
      </w:r>
      <w:r w:rsidR="00DD2DEB">
        <w:t xml:space="preserve">This strategy would maximise the company’s profit because an increase in cost would not impair the firm’s profitability. </w:t>
      </w:r>
      <w:r w:rsidR="00472418">
        <w:t>The pricing structure should be supplemented by product differentiation to create real and perceived differences in the product</w:t>
      </w:r>
      <w:r w:rsidR="002F2BDF" w:rsidRPr="002F2BDF">
        <w:t xml:space="preserve"> </w:t>
      </w:r>
      <w:r w:rsidR="002F2BDF">
        <w:t>(Ellickson, 2015)</w:t>
      </w:r>
      <w:r w:rsidR="00472418">
        <w:t xml:space="preserve">. </w:t>
      </w:r>
      <w:r w:rsidR="008C69DB">
        <w:t xml:space="preserve">The choice of the pricing structure is also justified by the fact that with an increase in income, the demand for gasoline is elastic, hence would lead to an increase in demand. </w:t>
      </w:r>
    </w:p>
    <w:p w14:paraId="301AADA2" w14:textId="77777777" w:rsidR="0039592A" w:rsidRDefault="0039592A" w:rsidP="0039592A">
      <w:pPr>
        <w:pStyle w:val="Heading1"/>
      </w:pPr>
      <w:bookmarkStart w:id="12" w:name="_Toc134283710"/>
      <w:r>
        <w:t>Conclusion</w:t>
      </w:r>
      <w:bookmarkEnd w:id="12"/>
    </w:p>
    <w:p w14:paraId="0A83E29E" w14:textId="77777777" w:rsidR="0060009A" w:rsidRDefault="0039592A" w:rsidP="00474393">
      <w:pPr>
        <w:ind w:firstLine="720"/>
        <w:contextualSpacing/>
      </w:pPr>
      <w:r>
        <w:t xml:space="preserve">The preceding discussion shows that demand for gasoline is price inelastic, such that a unit increase causes less than a proportional decline in demand for gasoline. Further, it is evident that the trend of the factors affecting equilibrium price and quantity for gasoline is causing a rightward shift in demand. This implies that there is a rise in price of gasoline as well as demand. Concerning the price elasticity of demand, gasoline does not have close substitutes, hence an increase in prices does not lead to a decline in demand. Similarly, since only a small fraction of consumer income is spent on gasoline, an increase in price is not critically effective in reducing demand. Ultimately, therefore, the recommended pricing strategy is that of an oligopoly market to help the company in maximising profitability. </w:t>
      </w:r>
    </w:p>
    <w:p w14:paraId="009974CF" w14:textId="77777777" w:rsidR="00032F0A" w:rsidRDefault="0060009A" w:rsidP="0060009A">
      <w:pPr>
        <w:pStyle w:val="Heading1"/>
      </w:pPr>
      <w:bookmarkStart w:id="13" w:name="_Toc134283711"/>
      <w:r>
        <w:t>References List</w:t>
      </w:r>
      <w:bookmarkEnd w:id="13"/>
    </w:p>
    <w:p w14:paraId="1A22DF86" w14:textId="77777777" w:rsidR="0060009A" w:rsidRDefault="0060009A" w:rsidP="0060009A">
      <w:pPr>
        <w:pStyle w:val="NormalWeb"/>
        <w:spacing w:line="480" w:lineRule="auto"/>
        <w:ind w:left="567" w:hanging="567"/>
        <w:contextualSpacing/>
      </w:pPr>
      <w:r>
        <w:t>Aigner-</w:t>
      </w:r>
      <w:proofErr w:type="spellStart"/>
      <w:r>
        <w:t>Walder</w:t>
      </w:r>
      <w:proofErr w:type="spellEnd"/>
      <w:r>
        <w:t xml:space="preserve">, B. (2015) “Effects of the demographic changes on private consumption: An almost ideal demand system analysis for Austria,” </w:t>
      </w:r>
      <w:r>
        <w:rPr>
          <w:i/>
          <w:iCs/>
        </w:rPr>
        <w:t>Journal of Economic and Social Studies</w:t>
      </w:r>
      <w:r>
        <w:t xml:space="preserve">, 5(1), pp. 50–70. Available at: https://doi.org/10.14706/jeocss11515. </w:t>
      </w:r>
    </w:p>
    <w:p w14:paraId="46E5E59B" w14:textId="77777777" w:rsidR="0060009A" w:rsidRDefault="0060009A" w:rsidP="0060009A">
      <w:pPr>
        <w:pStyle w:val="NormalWeb"/>
        <w:spacing w:line="480" w:lineRule="auto"/>
        <w:ind w:left="567" w:hanging="567"/>
        <w:contextualSpacing/>
      </w:pPr>
      <w:r>
        <w:t xml:space="preserve">BP (2023) </w:t>
      </w:r>
      <w:r>
        <w:rPr>
          <w:i/>
          <w:iCs/>
        </w:rPr>
        <w:t>Global Products and services: Home</w:t>
      </w:r>
      <w:r>
        <w:t xml:space="preserve">, </w:t>
      </w:r>
      <w:r>
        <w:rPr>
          <w:i/>
          <w:iCs/>
        </w:rPr>
        <w:t>bp global</w:t>
      </w:r>
      <w:r>
        <w:t xml:space="preserve">. bp global. Available at: https://www.bp.com/en/global/corporate/products-and-services.html (Accessed: May 4, 2023). </w:t>
      </w:r>
    </w:p>
    <w:p w14:paraId="7CA64D0D" w14:textId="77777777" w:rsidR="0060009A" w:rsidRDefault="0060009A" w:rsidP="0060009A">
      <w:pPr>
        <w:pStyle w:val="NormalWeb"/>
        <w:spacing w:line="480" w:lineRule="auto"/>
        <w:ind w:left="567" w:hanging="567"/>
        <w:contextualSpacing/>
      </w:pPr>
      <w:r>
        <w:t xml:space="preserve">Ellickson, P.B. (2015) “Market structure and performance,” </w:t>
      </w:r>
      <w:r>
        <w:rPr>
          <w:i/>
          <w:iCs/>
        </w:rPr>
        <w:t xml:space="preserve">International </w:t>
      </w:r>
      <w:proofErr w:type="spellStart"/>
      <w:r>
        <w:rPr>
          <w:i/>
          <w:iCs/>
        </w:rPr>
        <w:t>Encyclopedia</w:t>
      </w:r>
      <w:proofErr w:type="spellEnd"/>
      <w:r>
        <w:rPr>
          <w:i/>
          <w:iCs/>
        </w:rPr>
        <w:t xml:space="preserve"> of the Social &amp; </w:t>
      </w:r>
      <w:proofErr w:type="spellStart"/>
      <w:r>
        <w:rPr>
          <w:i/>
          <w:iCs/>
        </w:rPr>
        <w:t>Behavioral</w:t>
      </w:r>
      <w:proofErr w:type="spellEnd"/>
      <w:r>
        <w:rPr>
          <w:i/>
          <w:iCs/>
        </w:rPr>
        <w:t xml:space="preserve"> Sciences</w:t>
      </w:r>
      <w:r>
        <w:t xml:space="preserve">, pp. 549–554. Available at: https://doi.org/10.1016/b978-0-08-097086-8.71030-0. </w:t>
      </w:r>
    </w:p>
    <w:p w14:paraId="12E6D6E0" w14:textId="77777777" w:rsidR="0060009A" w:rsidRDefault="0060009A" w:rsidP="0060009A">
      <w:pPr>
        <w:pStyle w:val="NormalWeb"/>
        <w:spacing w:line="480" w:lineRule="auto"/>
        <w:ind w:left="567" w:hanging="567"/>
        <w:contextualSpacing/>
      </w:pPr>
      <w:r>
        <w:t xml:space="preserve">Frank, R.H. and Bernanke, B. (2022) </w:t>
      </w:r>
      <w:r>
        <w:rPr>
          <w:i/>
          <w:iCs/>
        </w:rPr>
        <w:t>Principles of microeconomics</w:t>
      </w:r>
      <w:r>
        <w:t xml:space="preserve">. Boston, Mass. </w:t>
      </w:r>
      <w:proofErr w:type="spellStart"/>
      <w:r>
        <w:t>u.a</w:t>
      </w:r>
      <w:proofErr w:type="spellEnd"/>
      <w:r>
        <w:t xml:space="preserve">: McGraw-Hill. </w:t>
      </w:r>
    </w:p>
    <w:p w14:paraId="3CCDF943" w14:textId="77777777" w:rsidR="0060009A" w:rsidRDefault="0060009A" w:rsidP="0060009A">
      <w:pPr>
        <w:pStyle w:val="NormalWeb"/>
        <w:spacing w:line="480" w:lineRule="auto"/>
        <w:ind w:left="567" w:hanging="567"/>
        <w:contextualSpacing/>
      </w:pPr>
      <w:r>
        <w:t xml:space="preserve">GlobalData (2023) </w:t>
      </w:r>
      <w:r>
        <w:rPr>
          <w:i/>
          <w:iCs/>
        </w:rPr>
        <w:t>BP Plc Company Profile - Overview</w:t>
      </w:r>
      <w:r>
        <w:t xml:space="preserve">, </w:t>
      </w:r>
      <w:r>
        <w:rPr>
          <w:i/>
          <w:iCs/>
        </w:rPr>
        <w:t>GlobalData</w:t>
      </w:r>
      <w:r>
        <w:t xml:space="preserve">. Available at: https://www.globaldata.com/company-profile/bp-plc/ (Accessed: May 4, 2023). </w:t>
      </w:r>
    </w:p>
    <w:p w14:paraId="44E0476C" w14:textId="77777777" w:rsidR="0060009A" w:rsidRDefault="0060009A" w:rsidP="0060009A">
      <w:pPr>
        <w:pStyle w:val="NormalWeb"/>
        <w:spacing w:line="480" w:lineRule="auto"/>
        <w:ind w:left="567" w:hanging="567"/>
        <w:contextualSpacing/>
      </w:pPr>
      <w:r>
        <w:t xml:space="preserve">GOV.UK (2022) </w:t>
      </w:r>
      <w:r>
        <w:rPr>
          <w:i/>
          <w:iCs/>
        </w:rPr>
        <w:t>Historical Electricity Data</w:t>
      </w:r>
      <w:r>
        <w:t xml:space="preserve">, </w:t>
      </w:r>
      <w:r>
        <w:rPr>
          <w:i/>
          <w:iCs/>
        </w:rPr>
        <w:t>GOV.UK</w:t>
      </w:r>
      <w:r>
        <w:t xml:space="preserve">. GOV.UK. Available at: https://www.gov.uk/government/statistical-data-sets/historical-electricity-data (Accessed: May 4, 2023). </w:t>
      </w:r>
    </w:p>
    <w:p w14:paraId="6B20CA08" w14:textId="77777777" w:rsidR="0060009A" w:rsidRDefault="0060009A" w:rsidP="0060009A">
      <w:pPr>
        <w:pStyle w:val="NormalWeb"/>
        <w:spacing w:line="480" w:lineRule="auto"/>
        <w:ind w:left="567" w:hanging="567"/>
        <w:contextualSpacing/>
      </w:pPr>
      <w:r>
        <w:t xml:space="preserve">McGuigan, J.R., Moyer, R.C. and </w:t>
      </w:r>
      <w:proofErr w:type="spellStart"/>
      <w:r>
        <w:t>deB</w:t>
      </w:r>
      <w:proofErr w:type="spellEnd"/>
      <w:r>
        <w:t xml:space="preserve">, H.F.H. (2013) </w:t>
      </w:r>
      <w:r>
        <w:rPr>
          <w:i/>
          <w:iCs/>
        </w:rPr>
        <w:t>Managerial economics</w:t>
      </w:r>
      <w:r>
        <w:t xml:space="preserve">. Australia: South-Western. </w:t>
      </w:r>
    </w:p>
    <w:p w14:paraId="63F37FE7" w14:textId="77777777" w:rsidR="0060009A" w:rsidRDefault="0060009A" w:rsidP="0060009A">
      <w:pPr>
        <w:pStyle w:val="NormalWeb"/>
        <w:spacing w:line="480" w:lineRule="auto"/>
        <w:ind w:left="567" w:hanging="567"/>
        <w:contextualSpacing/>
      </w:pPr>
      <w:r>
        <w:t xml:space="preserve">Office for National Statistics (2022) </w:t>
      </w:r>
      <w:r>
        <w:rPr>
          <w:i/>
          <w:iCs/>
        </w:rPr>
        <w:t>Page not found - office for national statistics</w:t>
      </w:r>
      <w:r>
        <w:t xml:space="preserve">. Office for National Statistics. Available at: https://www.ons.gov.uk/peoplepopulationandcommunity/populationandmigration/populationestimates/timeseries/ukpop/pop (Accessed: May 4, 2023). </w:t>
      </w:r>
    </w:p>
    <w:p w14:paraId="0F7EA972" w14:textId="77777777" w:rsidR="0060009A" w:rsidRDefault="0060009A" w:rsidP="0060009A">
      <w:pPr>
        <w:pStyle w:val="NormalWeb"/>
        <w:spacing w:line="480" w:lineRule="auto"/>
        <w:ind w:left="567" w:hanging="567"/>
        <w:contextualSpacing/>
      </w:pPr>
      <w:r>
        <w:t xml:space="preserve">Office for National Statistics (2023) </w:t>
      </w:r>
      <w:r>
        <w:rPr>
          <w:i/>
          <w:iCs/>
        </w:rPr>
        <w:t>Average household income, UK: Financial year ending 2022</w:t>
      </w:r>
      <w:r>
        <w:t xml:space="preserve">, </w:t>
      </w:r>
      <w:r>
        <w:rPr>
          <w:i/>
          <w:iCs/>
        </w:rPr>
        <w:t>Average household income, UK - Office for National Statistics</w:t>
      </w:r>
      <w:r>
        <w:t xml:space="preserve">. Office for National Statistics. Available at: https://www.ons.gov.uk/peoplepopulationandcommunity/personalandhouseholdfinances/incomeandwealth/bulletins/householddisposableincomeandinequality/financialyearending2022#:~:text=Main%20points,(ONS)%20Household%20Finances%20Survey. (Accessed: May 4, 2023). </w:t>
      </w:r>
    </w:p>
    <w:p w14:paraId="09373CCE" w14:textId="77777777" w:rsidR="0060009A" w:rsidRDefault="0060009A" w:rsidP="0060009A">
      <w:pPr>
        <w:pStyle w:val="NormalWeb"/>
        <w:spacing w:line="480" w:lineRule="auto"/>
        <w:ind w:left="567" w:hanging="567"/>
        <w:contextualSpacing/>
      </w:pPr>
      <w:r>
        <w:t xml:space="preserve">Osadume, R. and University, E.O. (2021) “Impact of economic growth on carbon emissions in selected West African countries, 1980–2019,” </w:t>
      </w:r>
      <w:r>
        <w:rPr>
          <w:i/>
          <w:iCs/>
        </w:rPr>
        <w:t>Journal of Money and Business</w:t>
      </w:r>
      <w:r>
        <w:t xml:space="preserve">, 1(1), pp. 8–23. Available at: https://doi.org/10.1108/jmb-03-2021-0002. </w:t>
      </w:r>
    </w:p>
    <w:p w14:paraId="27245BC4" w14:textId="77777777" w:rsidR="0060009A" w:rsidRDefault="0060009A" w:rsidP="0060009A">
      <w:pPr>
        <w:pStyle w:val="NormalWeb"/>
        <w:spacing w:line="480" w:lineRule="auto"/>
        <w:ind w:left="567" w:hanging="567"/>
        <w:contextualSpacing/>
      </w:pPr>
      <w:r>
        <w:t xml:space="preserve">Statista (2023) </w:t>
      </w:r>
      <w:r>
        <w:rPr>
          <w:i/>
          <w:iCs/>
        </w:rPr>
        <w:t>Electric vehicles - UK: Statista market forecast</w:t>
      </w:r>
      <w:r>
        <w:t xml:space="preserve">, </w:t>
      </w:r>
      <w:r>
        <w:rPr>
          <w:i/>
          <w:iCs/>
        </w:rPr>
        <w:t>Statista</w:t>
      </w:r>
      <w:r>
        <w:t xml:space="preserve">. Available at: https://www.statista.com/outlook/mmo/electric-vehicles/united-kingdom#unit-sales (Accessed: May 4, 2023). </w:t>
      </w:r>
    </w:p>
    <w:p w14:paraId="38E13922" w14:textId="77777777" w:rsidR="0060009A" w:rsidRDefault="0060009A" w:rsidP="0060009A">
      <w:pPr>
        <w:pStyle w:val="NormalWeb"/>
        <w:spacing w:line="480" w:lineRule="auto"/>
        <w:ind w:left="567" w:hanging="567"/>
        <w:contextualSpacing/>
      </w:pPr>
      <w:r>
        <w:t xml:space="preserve">Statista (2023) </w:t>
      </w:r>
      <w:r>
        <w:rPr>
          <w:i/>
          <w:iCs/>
        </w:rPr>
        <w:t>New car purchases annual CPI trends 2022</w:t>
      </w:r>
      <w:r>
        <w:t xml:space="preserve">, </w:t>
      </w:r>
      <w:r>
        <w:rPr>
          <w:i/>
          <w:iCs/>
        </w:rPr>
        <w:t>Statista</w:t>
      </w:r>
      <w:r>
        <w:t xml:space="preserve">. Available at: https://www.statista.com/statistics/286563/consumer-price-index-cpi-of-new-car-purchases-annual-average-uk/ (Accessed: May 4, 2023). </w:t>
      </w:r>
    </w:p>
    <w:p w14:paraId="33599968" w14:textId="77777777" w:rsidR="0060009A" w:rsidRDefault="0060009A" w:rsidP="0060009A">
      <w:pPr>
        <w:pStyle w:val="NormalWeb"/>
        <w:spacing w:line="480" w:lineRule="auto"/>
        <w:ind w:left="567" w:hanging="567"/>
        <w:contextualSpacing/>
      </w:pPr>
      <w:proofErr w:type="spellStart"/>
      <w:r>
        <w:t>Tradingeconomics</w:t>
      </w:r>
      <w:proofErr w:type="spellEnd"/>
      <w:r>
        <w:t xml:space="preserve"> (2023) </w:t>
      </w:r>
      <w:r>
        <w:rPr>
          <w:i/>
          <w:iCs/>
        </w:rPr>
        <w:t>United Kingdom Electricity Price2023 Data - 2013-2022 historical - 2024 forecast</w:t>
      </w:r>
      <w:r>
        <w:t xml:space="preserve">, </w:t>
      </w:r>
      <w:r>
        <w:rPr>
          <w:i/>
          <w:iCs/>
        </w:rPr>
        <w:t>United Kingdom Electricity Price - 2023 Data - 2013-2022 Historical - 2024 Forecast</w:t>
      </w:r>
      <w:r>
        <w:t xml:space="preserve">. Available at: https://tradingeconomics.com/united-kingdom/electricity-price (Accessed: May 4, 2023). </w:t>
      </w:r>
    </w:p>
    <w:p w14:paraId="0F5EEC46" w14:textId="77777777" w:rsidR="0060009A" w:rsidRDefault="0060009A" w:rsidP="0060009A">
      <w:pPr>
        <w:ind w:firstLine="720"/>
        <w:contextualSpacing/>
      </w:pPr>
    </w:p>
    <w:p w14:paraId="479AE377" w14:textId="77777777" w:rsidR="003A3B8E" w:rsidRDefault="003A3B8E" w:rsidP="003E0520">
      <w:pPr>
        <w:ind w:firstLine="720"/>
        <w:contextualSpacing/>
      </w:pPr>
    </w:p>
    <w:p w14:paraId="1C152240" w14:textId="77777777" w:rsidR="006E4338" w:rsidRDefault="006E4338" w:rsidP="003E0520">
      <w:pPr>
        <w:ind w:firstLine="720"/>
        <w:contextualSpacing/>
      </w:pPr>
    </w:p>
    <w:p w14:paraId="71CFB8CE" w14:textId="77777777" w:rsidR="004A140F" w:rsidRPr="007F40FA" w:rsidRDefault="004A140F" w:rsidP="003E0520">
      <w:pPr>
        <w:ind w:firstLine="720"/>
        <w:contextualSpacing/>
      </w:pPr>
    </w:p>
    <w:sectPr w:rsidR="004A140F" w:rsidRPr="007F40FA" w:rsidSect="001F20D7">
      <w:head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35438" w14:textId="77777777" w:rsidR="00AF4B68" w:rsidRDefault="00AF4B68" w:rsidP="00061427">
      <w:pPr>
        <w:spacing w:after="0" w:line="240" w:lineRule="auto"/>
      </w:pPr>
      <w:r>
        <w:separator/>
      </w:r>
    </w:p>
  </w:endnote>
  <w:endnote w:type="continuationSeparator" w:id="0">
    <w:p w14:paraId="3EE797EE" w14:textId="77777777" w:rsidR="00AF4B68" w:rsidRDefault="00AF4B68" w:rsidP="00061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80198" w14:textId="77777777" w:rsidR="00AF4B68" w:rsidRDefault="00AF4B68" w:rsidP="00061427">
      <w:pPr>
        <w:spacing w:after="0" w:line="240" w:lineRule="auto"/>
      </w:pPr>
      <w:r>
        <w:separator/>
      </w:r>
    </w:p>
  </w:footnote>
  <w:footnote w:type="continuationSeparator" w:id="0">
    <w:p w14:paraId="3B42637B" w14:textId="77777777" w:rsidR="00AF4B68" w:rsidRDefault="00AF4B68" w:rsidP="00061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2E589" w14:textId="77777777" w:rsidR="00E23D4D" w:rsidRDefault="00E23D4D">
    <w:pPr>
      <w:pStyle w:val="Header"/>
      <w:jc w:val="right"/>
    </w:pPr>
    <w:r>
      <w:t xml:space="preserve">Management Economics </w:t>
    </w:r>
    <w:sdt>
      <w:sdtPr>
        <w:id w:val="-22230242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C2C8E">
          <w:rPr>
            <w:noProof/>
          </w:rPr>
          <w:t>15</w:t>
        </w:r>
        <w:r>
          <w:rPr>
            <w:noProof/>
          </w:rPr>
          <w:fldChar w:fldCharType="end"/>
        </w:r>
      </w:sdtContent>
    </w:sdt>
  </w:p>
  <w:p w14:paraId="650CA7E3" w14:textId="77777777" w:rsidR="00E23D4D" w:rsidRDefault="00E23D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EBD"/>
    <w:rsid w:val="00000F76"/>
    <w:rsid w:val="0000260D"/>
    <w:rsid w:val="00005EE9"/>
    <w:rsid w:val="00032F0A"/>
    <w:rsid w:val="0003645A"/>
    <w:rsid w:val="00050061"/>
    <w:rsid w:val="00061427"/>
    <w:rsid w:val="000943DE"/>
    <w:rsid w:val="000B0E20"/>
    <w:rsid w:val="000E1221"/>
    <w:rsid w:val="000F5684"/>
    <w:rsid w:val="001136C0"/>
    <w:rsid w:val="0011770F"/>
    <w:rsid w:val="00137320"/>
    <w:rsid w:val="0018208B"/>
    <w:rsid w:val="00183097"/>
    <w:rsid w:val="00187BAE"/>
    <w:rsid w:val="001974D5"/>
    <w:rsid w:val="001C4E0B"/>
    <w:rsid w:val="001D4764"/>
    <w:rsid w:val="001E6395"/>
    <w:rsid w:val="001F20D7"/>
    <w:rsid w:val="00210769"/>
    <w:rsid w:val="00214806"/>
    <w:rsid w:val="00236FA6"/>
    <w:rsid w:val="00243DFE"/>
    <w:rsid w:val="00247AF6"/>
    <w:rsid w:val="00274605"/>
    <w:rsid w:val="0028031B"/>
    <w:rsid w:val="0028391C"/>
    <w:rsid w:val="002E7CFD"/>
    <w:rsid w:val="002F15BF"/>
    <w:rsid w:val="002F2BDF"/>
    <w:rsid w:val="002F56D5"/>
    <w:rsid w:val="0032249B"/>
    <w:rsid w:val="00337EED"/>
    <w:rsid w:val="003711C3"/>
    <w:rsid w:val="00387B33"/>
    <w:rsid w:val="00395918"/>
    <w:rsid w:val="0039592A"/>
    <w:rsid w:val="003A3B8E"/>
    <w:rsid w:val="003C1456"/>
    <w:rsid w:val="003D71F8"/>
    <w:rsid w:val="003E0520"/>
    <w:rsid w:val="003E074A"/>
    <w:rsid w:val="00424EA2"/>
    <w:rsid w:val="00430FB7"/>
    <w:rsid w:val="004375A8"/>
    <w:rsid w:val="00445381"/>
    <w:rsid w:val="00451EBD"/>
    <w:rsid w:val="00457E53"/>
    <w:rsid w:val="00463FC5"/>
    <w:rsid w:val="00467600"/>
    <w:rsid w:val="00472418"/>
    <w:rsid w:val="00474393"/>
    <w:rsid w:val="004765E3"/>
    <w:rsid w:val="00491493"/>
    <w:rsid w:val="00496769"/>
    <w:rsid w:val="004A140F"/>
    <w:rsid w:val="00507D27"/>
    <w:rsid w:val="0053400C"/>
    <w:rsid w:val="0056037E"/>
    <w:rsid w:val="00572857"/>
    <w:rsid w:val="00582BC8"/>
    <w:rsid w:val="005975F6"/>
    <w:rsid w:val="005B57CD"/>
    <w:rsid w:val="005C0A0C"/>
    <w:rsid w:val="005C224F"/>
    <w:rsid w:val="005C5899"/>
    <w:rsid w:val="005D0DA6"/>
    <w:rsid w:val="005D7920"/>
    <w:rsid w:val="005F5BA6"/>
    <w:rsid w:val="0060009A"/>
    <w:rsid w:val="00600F01"/>
    <w:rsid w:val="0060147E"/>
    <w:rsid w:val="00614F62"/>
    <w:rsid w:val="006443FE"/>
    <w:rsid w:val="00651737"/>
    <w:rsid w:val="00653AD2"/>
    <w:rsid w:val="006C10BD"/>
    <w:rsid w:val="006D5BD6"/>
    <w:rsid w:val="006E3753"/>
    <w:rsid w:val="006E4338"/>
    <w:rsid w:val="006E6065"/>
    <w:rsid w:val="006F59F9"/>
    <w:rsid w:val="007053F2"/>
    <w:rsid w:val="00720F5B"/>
    <w:rsid w:val="00734692"/>
    <w:rsid w:val="00735C64"/>
    <w:rsid w:val="00741688"/>
    <w:rsid w:val="007668B7"/>
    <w:rsid w:val="00795D0B"/>
    <w:rsid w:val="007A2DE6"/>
    <w:rsid w:val="007B1258"/>
    <w:rsid w:val="007B7146"/>
    <w:rsid w:val="007F40FA"/>
    <w:rsid w:val="008049E0"/>
    <w:rsid w:val="00812BAF"/>
    <w:rsid w:val="00861106"/>
    <w:rsid w:val="00870CC5"/>
    <w:rsid w:val="008776C9"/>
    <w:rsid w:val="008A1879"/>
    <w:rsid w:val="008B7EF9"/>
    <w:rsid w:val="008C2C8E"/>
    <w:rsid w:val="008C33D7"/>
    <w:rsid w:val="008C69DB"/>
    <w:rsid w:val="009339AF"/>
    <w:rsid w:val="00936B02"/>
    <w:rsid w:val="009847C4"/>
    <w:rsid w:val="009D3306"/>
    <w:rsid w:val="009D34FA"/>
    <w:rsid w:val="00A25B5B"/>
    <w:rsid w:val="00A35CCA"/>
    <w:rsid w:val="00A53D34"/>
    <w:rsid w:val="00A839C1"/>
    <w:rsid w:val="00AF0FB7"/>
    <w:rsid w:val="00AF4B68"/>
    <w:rsid w:val="00AF5A83"/>
    <w:rsid w:val="00B0373B"/>
    <w:rsid w:val="00B0677B"/>
    <w:rsid w:val="00B20793"/>
    <w:rsid w:val="00B60D0C"/>
    <w:rsid w:val="00B80F91"/>
    <w:rsid w:val="00B8479D"/>
    <w:rsid w:val="00BA54D6"/>
    <w:rsid w:val="00BC2B3A"/>
    <w:rsid w:val="00BD404B"/>
    <w:rsid w:val="00BE1D3E"/>
    <w:rsid w:val="00C2270A"/>
    <w:rsid w:val="00C25F46"/>
    <w:rsid w:val="00C34DC3"/>
    <w:rsid w:val="00C414DD"/>
    <w:rsid w:val="00C47EB1"/>
    <w:rsid w:val="00C8571E"/>
    <w:rsid w:val="00C9416E"/>
    <w:rsid w:val="00D350EE"/>
    <w:rsid w:val="00D65076"/>
    <w:rsid w:val="00D745A1"/>
    <w:rsid w:val="00DA3FAD"/>
    <w:rsid w:val="00DD2DEB"/>
    <w:rsid w:val="00DD6880"/>
    <w:rsid w:val="00DE16F2"/>
    <w:rsid w:val="00DE1E9F"/>
    <w:rsid w:val="00DE3F0C"/>
    <w:rsid w:val="00E07F1B"/>
    <w:rsid w:val="00E126B9"/>
    <w:rsid w:val="00E1285C"/>
    <w:rsid w:val="00E23D4D"/>
    <w:rsid w:val="00E41582"/>
    <w:rsid w:val="00E56480"/>
    <w:rsid w:val="00E71D48"/>
    <w:rsid w:val="00E8444A"/>
    <w:rsid w:val="00EA1E4C"/>
    <w:rsid w:val="00EA4009"/>
    <w:rsid w:val="00EC5212"/>
    <w:rsid w:val="00EC72FB"/>
    <w:rsid w:val="00ED10CB"/>
    <w:rsid w:val="00EE49A8"/>
    <w:rsid w:val="00F22077"/>
    <w:rsid w:val="00F27017"/>
    <w:rsid w:val="00F40BCE"/>
    <w:rsid w:val="00F670AA"/>
    <w:rsid w:val="00F76CF6"/>
    <w:rsid w:val="00FA2D2C"/>
    <w:rsid w:val="00FB3F13"/>
    <w:rsid w:val="00FC0A11"/>
    <w:rsid w:val="00FC2FAB"/>
    <w:rsid w:val="00FE1A3B"/>
    <w:rsid w:val="00FF4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F92FE"/>
  <w15:chartTrackingRefBased/>
  <w15:docId w15:val="{32D01542-C82E-480D-8CC7-420EF9A3D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B5B"/>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A25B5B"/>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25B5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25B5B"/>
    <w:pPr>
      <w:keepNext/>
      <w:keepLines/>
      <w:spacing w:before="40" w:after="0"/>
      <w:ind w:firstLine="72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B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25B5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25B5B"/>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60009A"/>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061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427"/>
    <w:rPr>
      <w:rFonts w:ascii="Times New Roman" w:hAnsi="Times New Roman"/>
      <w:sz w:val="24"/>
    </w:rPr>
  </w:style>
  <w:style w:type="paragraph" w:styleId="Footer">
    <w:name w:val="footer"/>
    <w:basedOn w:val="Normal"/>
    <w:link w:val="FooterChar"/>
    <w:uiPriority w:val="99"/>
    <w:unhideWhenUsed/>
    <w:rsid w:val="00061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427"/>
    <w:rPr>
      <w:rFonts w:ascii="Times New Roman" w:hAnsi="Times New Roman"/>
      <w:sz w:val="24"/>
    </w:rPr>
  </w:style>
  <w:style w:type="paragraph" w:styleId="TOCHeading">
    <w:name w:val="TOC Heading"/>
    <w:basedOn w:val="Heading1"/>
    <w:next w:val="Normal"/>
    <w:uiPriority w:val="39"/>
    <w:unhideWhenUsed/>
    <w:qFormat/>
    <w:rsid w:val="00E23D4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23D4D"/>
    <w:pPr>
      <w:spacing w:after="100"/>
    </w:pPr>
  </w:style>
  <w:style w:type="paragraph" w:styleId="TOC2">
    <w:name w:val="toc 2"/>
    <w:basedOn w:val="Normal"/>
    <w:next w:val="Normal"/>
    <w:autoRedefine/>
    <w:uiPriority w:val="39"/>
    <w:unhideWhenUsed/>
    <w:rsid w:val="00E23D4D"/>
    <w:pPr>
      <w:spacing w:after="100"/>
      <w:ind w:left="240"/>
    </w:pPr>
  </w:style>
  <w:style w:type="character" w:styleId="Hyperlink">
    <w:name w:val="Hyperlink"/>
    <w:basedOn w:val="DefaultParagraphFont"/>
    <w:uiPriority w:val="99"/>
    <w:unhideWhenUsed/>
    <w:rsid w:val="00E23D4D"/>
    <w:rPr>
      <w:color w:val="0563C1" w:themeColor="hyperlink"/>
      <w:u w:val="single"/>
    </w:rPr>
  </w:style>
  <w:style w:type="paragraph" w:styleId="BalloonText">
    <w:name w:val="Balloon Text"/>
    <w:basedOn w:val="Normal"/>
    <w:link w:val="BalloonTextChar"/>
    <w:uiPriority w:val="99"/>
    <w:semiHidden/>
    <w:unhideWhenUsed/>
    <w:rsid w:val="004743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393"/>
    <w:rPr>
      <w:rFonts w:ascii="Segoe UI" w:hAnsi="Segoe UI" w:cs="Segoe UI"/>
      <w:sz w:val="18"/>
      <w:szCs w:val="18"/>
    </w:rPr>
  </w:style>
  <w:style w:type="paragraph" w:styleId="NoSpacing">
    <w:name w:val="No Spacing"/>
    <w:link w:val="NoSpacingChar"/>
    <w:uiPriority w:val="1"/>
    <w:qFormat/>
    <w:rsid w:val="001F20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20D7"/>
    <w:rPr>
      <w:rFonts w:eastAsiaTheme="minorEastAsia"/>
      <w:lang w:val="en-US"/>
    </w:rPr>
  </w:style>
  <w:style w:type="character" w:styleId="IntenseReference">
    <w:name w:val="Intense Reference"/>
    <w:basedOn w:val="DefaultParagraphFont"/>
    <w:uiPriority w:val="32"/>
    <w:qFormat/>
    <w:rsid w:val="00430FB7"/>
    <w:rPr>
      <w:b/>
      <w:bCs/>
      <w:smallCaps/>
      <w:color w:val="5B9BD5" w:themeColor="accent1"/>
      <w:spacing w:val="5"/>
    </w:rPr>
  </w:style>
  <w:style w:type="paragraph" w:styleId="IntenseQuote">
    <w:name w:val="Intense Quote"/>
    <w:basedOn w:val="Normal"/>
    <w:next w:val="Normal"/>
    <w:link w:val="IntenseQuoteChar"/>
    <w:uiPriority w:val="30"/>
    <w:qFormat/>
    <w:rsid w:val="00430FB7"/>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30FB7"/>
    <w:rPr>
      <w:rFonts w:ascii="Times New Roman" w:hAnsi="Times New Roman"/>
      <w:i/>
      <w:iCs/>
      <w:color w:val="5B9BD5"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489404">
      <w:bodyDiv w:val="1"/>
      <w:marLeft w:val="0"/>
      <w:marRight w:val="0"/>
      <w:marTop w:val="0"/>
      <w:marBottom w:val="0"/>
      <w:divBdr>
        <w:top w:val="none" w:sz="0" w:space="0" w:color="auto"/>
        <w:left w:val="none" w:sz="0" w:space="0" w:color="auto"/>
        <w:bottom w:val="none" w:sz="0" w:space="0" w:color="auto"/>
        <w:right w:val="none" w:sz="0" w:space="0" w:color="auto"/>
      </w:divBdr>
    </w:div>
    <w:div w:id="668752026">
      <w:bodyDiv w:val="1"/>
      <w:marLeft w:val="0"/>
      <w:marRight w:val="0"/>
      <w:marTop w:val="0"/>
      <w:marBottom w:val="0"/>
      <w:divBdr>
        <w:top w:val="none" w:sz="0" w:space="0" w:color="auto"/>
        <w:left w:val="none" w:sz="0" w:space="0" w:color="auto"/>
        <w:bottom w:val="none" w:sz="0" w:space="0" w:color="auto"/>
        <w:right w:val="none" w:sz="0" w:space="0" w:color="auto"/>
      </w:divBdr>
    </w:div>
    <w:div w:id="1165393835">
      <w:bodyDiv w:val="1"/>
      <w:marLeft w:val="0"/>
      <w:marRight w:val="0"/>
      <w:marTop w:val="0"/>
      <w:marBottom w:val="0"/>
      <w:divBdr>
        <w:top w:val="none" w:sz="0" w:space="0" w:color="auto"/>
        <w:left w:val="none" w:sz="0" w:space="0" w:color="auto"/>
        <w:bottom w:val="none" w:sz="0" w:space="0" w:color="auto"/>
        <w:right w:val="none" w:sz="0" w:space="0" w:color="auto"/>
      </w:divBdr>
    </w:div>
    <w:div w:id="1348629240">
      <w:bodyDiv w:val="1"/>
      <w:marLeft w:val="0"/>
      <w:marRight w:val="0"/>
      <w:marTop w:val="0"/>
      <w:marBottom w:val="0"/>
      <w:divBdr>
        <w:top w:val="none" w:sz="0" w:space="0" w:color="auto"/>
        <w:left w:val="none" w:sz="0" w:space="0" w:color="auto"/>
        <w:bottom w:val="none" w:sz="0" w:space="0" w:color="auto"/>
        <w:right w:val="none" w:sz="0" w:space="0" w:color="auto"/>
      </w:divBdr>
    </w:div>
    <w:div w:id="1545798924">
      <w:bodyDiv w:val="1"/>
      <w:marLeft w:val="0"/>
      <w:marRight w:val="0"/>
      <w:marTop w:val="0"/>
      <w:marBottom w:val="0"/>
      <w:divBdr>
        <w:top w:val="none" w:sz="0" w:space="0" w:color="auto"/>
        <w:left w:val="none" w:sz="0" w:space="0" w:color="auto"/>
        <w:bottom w:val="none" w:sz="0" w:space="0" w:color="auto"/>
        <w:right w:val="none" w:sz="0" w:space="0" w:color="auto"/>
      </w:divBdr>
    </w:div>
    <w:div w:id="1654599364">
      <w:bodyDiv w:val="1"/>
      <w:marLeft w:val="0"/>
      <w:marRight w:val="0"/>
      <w:marTop w:val="0"/>
      <w:marBottom w:val="0"/>
      <w:divBdr>
        <w:top w:val="none" w:sz="0" w:space="0" w:color="auto"/>
        <w:left w:val="none" w:sz="0" w:space="0" w:color="auto"/>
        <w:bottom w:val="none" w:sz="0" w:space="0" w:color="auto"/>
        <w:right w:val="none" w:sz="0" w:space="0" w:color="auto"/>
      </w:divBdr>
    </w:div>
    <w:div w:id="204185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Historical Prices</a:t>
            </a:r>
            <a:r>
              <a:rPr lang="en-GB" baseline="0"/>
              <a:t> of Petrol Substitutes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Substitutes!$C$6</c:f>
              <c:strCache>
                <c:ptCount val="1"/>
                <c:pt idx="0">
                  <c:v>Historical Electricity Price Index</c:v>
                </c:pt>
              </c:strCache>
            </c:strRef>
          </c:tx>
          <c:spPr>
            <a:ln w="28575" cap="rnd">
              <a:solidFill>
                <a:schemeClr val="accent1"/>
              </a:solidFill>
              <a:round/>
            </a:ln>
            <a:effectLst/>
          </c:spPr>
          <c:marker>
            <c:symbol val="none"/>
          </c:marker>
          <c:cat>
            <c:numRef>
              <c:f>Substitutes!$B$7:$B$11</c:f>
              <c:numCache>
                <c:formatCode>General</c:formatCode>
                <c:ptCount val="5"/>
                <c:pt idx="0">
                  <c:v>2018</c:v>
                </c:pt>
                <c:pt idx="1">
                  <c:v>2019</c:v>
                </c:pt>
                <c:pt idx="2">
                  <c:v>2020</c:v>
                </c:pt>
                <c:pt idx="3">
                  <c:v>2021</c:v>
                </c:pt>
                <c:pt idx="4">
                  <c:v>2022</c:v>
                </c:pt>
              </c:numCache>
            </c:numRef>
          </c:cat>
          <c:val>
            <c:numRef>
              <c:f>Substitutes!$C$7:$C$11</c:f>
              <c:numCache>
                <c:formatCode>General</c:formatCode>
                <c:ptCount val="5"/>
                <c:pt idx="0">
                  <c:v>115.6</c:v>
                </c:pt>
                <c:pt idx="1">
                  <c:v>127.4</c:v>
                </c:pt>
                <c:pt idx="2">
                  <c:v>124.7</c:v>
                </c:pt>
                <c:pt idx="3">
                  <c:v>140.19999999999999</c:v>
                </c:pt>
                <c:pt idx="4">
                  <c:v>163.19999999999999</c:v>
                </c:pt>
              </c:numCache>
            </c:numRef>
          </c:val>
          <c:smooth val="0"/>
          <c:extLst>
            <c:ext xmlns:c16="http://schemas.microsoft.com/office/drawing/2014/chart" uri="{C3380CC4-5D6E-409C-BE32-E72D297353CC}">
              <c16:uniqueId val="{00000000-AA12-4C89-A345-3B6D3041FBBE}"/>
            </c:ext>
          </c:extLst>
        </c:ser>
        <c:ser>
          <c:idx val="1"/>
          <c:order val="1"/>
          <c:tx>
            <c:strRef>
              <c:f>Substitutes!$D$6</c:f>
              <c:strCache>
                <c:ptCount val="1"/>
                <c:pt idx="0">
                  <c:v>Historical price of Ethanol (£/Gal)</c:v>
                </c:pt>
              </c:strCache>
            </c:strRef>
          </c:tx>
          <c:spPr>
            <a:ln w="28575" cap="rnd">
              <a:solidFill>
                <a:schemeClr val="accent2"/>
              </a:solidFill>
              <a:round/>
            </a:ln>
            <a:effectLst/>
          </c:spPr>
          <c:marker>
            <c:symbol val="none"/>
          </c:marker>
          <c:cat>
            <c:numRef>
              <c:f>Substitutes!$B$7:$B$11</c:f>
              <c:numCache>
                <c:formatCode>General</c:formatCode>
                <c:ptCount val="5"/>
                <c:pt idx="0">
                  <c:v>2018</c:v>
                </c:pt>
                <c:pt idx="1">
                  <c:v>2019</c:v>
                </c:pt>
                <c:pt idx="2">
                  <c:v>2020</c:v>
                </c:pt>
                <c:pt idx="3">
                  <c:v>2021</c:v>
                </c:pt>
                <c:pt idx="4">
                  <c:v>2022</c:v>
                </c:pt>
              </c:numCache>
            </c:numRef>
          </c:cat>
          <c:val>
            <c:numRef>
              <c:f>Substitutes!$D$7:$D$11</c:f>
              <c:numCache>
                <c:formatCode>General</c:formatCode>
                <c:ptCount val="5"/>
                <c:pt idx="0">
                  <c:v>98</c:v>
                </c:pt>
                <c:pt idx="1">
                  <c:v>112.00000000000001</c:v>
                </c:pt>
                <c:pt idx="2">
                  <c:v>106</c:v>
                </c:pt>
                <c:pt idx="3">
                  <c:v>240</c:v>
                </c:pt>
                <c:pt idx="4">
                  <c:v>180</c:v>
                </c:pt>
              </c:numCache>
            </c:numRef>
          </c:val>
          <c:smooth val="0"/>
          <c:extLst>
            <c:ext xmlns:c16="http://schemas.microsoft.com/office/drawing/2014/chart" uri="{C3380CC4-5D6E-409C-BE32-E72D297353CC}">
              <c16:uniqueId val="{00000001-AA12-4C89-A345-3B6D3041FBBE}"/>
            </c:ext>
          </c:extLst>
        </c:ser>
        <c:ser>
          <c:idx val="2"/>
          <c:order val="2"/>
          <c:tx>
            <c:strRef>
              <c:f>Substitutes!$E$6</c:f>
              <c:strCache>
                <c:ptCount val="1"/>
                <c:pt idx="0">
                  <c:v>Historical Price for Diesel (Pence/Litre)</c:v>
                </c:pt>
              </c:strCache>
            </c:strRef>
          </c:tx>
          <c:spPr>
            <a:ln w="28575" cap="rnd">
              <a:solidFill>
                <a:schemeClr val="accent3"/>
              </a:solidFill>
              <a:round/>
            </a:ln>
            <a:effectLst/>
          </c:spPr>
          <c:marker>
            <c:symbol val="none"/>
          </c:marker>
          <c:cat>
            <c:numRef>
              <c:f>Substitutes!$B$7:$B$11</c:f>
              <c:numCache>
                <c:formatCode>General</c:formatCode>
                <c:ptCount val="5"/>
                <c:pt idx="0">
                  <c:v>2018</c:v>
                </c:pt>
                <c:pt idx="1">
                  <c:v>2019</c:v>
                </c:pt>
                <c:pt idx="2">
                  <c:v>2020</c:v>
                </c:pt>
                <c:pt idx="3">
                  <c:v>2021</c:v>
                </c:pt>
                <c:pt idx="4">
                  <c:v>2022</c:v>
                </c:pt>
              </c:numCache>
            </c:numRef>
          </c:cat>
          <c:val>
            <c:numRef>
              <c:f>Substitutes!$E$7:$E$11</c:f>
              <c:numCache>
                <c:formatCode>General</c:formatCode>
                <c:ptCount val="5"/>
                <c:pt idx="0">
                  <c:v>130.93</c:v>
                </c:pt>
                <c:pt idx="1">
                  <c:v>129.62</c:v>
                </c:pt>
                <c:pt idx="2">
                  <c:v>120.12</c:v>
                </c:pt>
                <c:pt idx="3">
                  <c:v>149.25</c:v>
                </c:pt>
                <c:pt idx="4">
                  <c:v>176.78</c:v>
                </c:pt>
              </c:numCache>
            </c:numRef>
          </c:val>
          <c:smooth val="0"/>
          <c:extLst>
            <c:ext xmlns:c16="http://schemas.microsoft.com/office/drawing/2014/chart" uri="{C3380CC4-5D6E-409C-BE32-E72D297353CC}">
              <c16:uniqueId val="{00000002-AA12-4C89-A345-3B6D3041FBBE}"/>
            </c:ext>
          </c:extLst>
        </c:ser>
        <c:dLbls>
          <c:showLegendKey val="0"/>
          <c:showVal val="0"/>
          <c:showCatName val="0"/>
          <c:showSerName val="0"/>
          <c:showPercent val="0"/>
          <c:showBubbleSize val="0"/>
        </c:dLbls>
        <c:smooth val="0"/>
        <c:axId val="385380271"/>
        <c:axId val="385384015"/>
      </c:lineChart>
      <c:catAx>
        <c:axId val="385380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384015"/>
        <c:crosses val="autoZero"/>
        <c:auto val="1"/>
        <c:lblAlgn val="ctr"/>
        <c:lblOffset val="100"/>
        <c:noMultiLvlLbl val="0"/>
      </c:catAx>
      <c:valAx>
        <c:axId val="3853840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380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Complements!$D$7</c:f>
              <c:strCache>
                <c:ptCount val="1"/>
                <c:pt idx="0">
                  <c:v>Consumer price index (CPI) of new car purchases annually</c:v>
                </c:pt>
              </c:strCache>
            </c:strRef>
          </c:tx>
          <c:spPr>
            <a:ln w="28575" cap="rnd">
              <a:solidFill>
                <a:schemeClr val="accent1"/>
              </a:solidFill>
              <a:round/>
            </a:ln>
            <a:effectLst/>
          </c:spPr>
          <c:marker>
            <c:symbol val="none"/>
          </c:marker>
          <c:cat>
            <c:numRef>
              <c:f>Complements!$C$8:$C$12</c:f>
              <c:numCache>
                <c:formatCode>General</c:formatCode>
                <c:ptCount val="5"/>
                <c:pt idx="0">
                  <c:v>2018</c:v>
                </c:pt>
                <c:pt idx="1">
                  <c:v>2019</c:v>
                </c:pt>
                <c:pt idx="2">
                  <c:v>2020</c:v>
                </c:pt>
                <c:pt idx="3">
                  <c:v>2021</c:v>
                </c:pt>
                <c:pt idx="4">
                  <c:v>2022</c:v>
                </c:pt>
              </c:numCache>
            </c:numRef>
          </c:cat>
          <c:val>
            <c:numRef>
              <c:f>Complements!$D$8:$D$12</c:f>
              <c:numCache>
                <c:formatCode>General</c:formatCode>
                <c:ptCount val="5"/>
                <c:pt idx="0">
                  <c:v>108.1</c:v>
                </c:pt>
                <c:pt idx="1">
                  <c:v>112.2</c:v>
                </c:pt>
                <c:pt idx="2">
                  <c:v>115.4</c:v>
                </c:pt>
                <c:pt idx="3">
                  <c:v>119.4</c:v>
                </c:pt>
                <c:pt idx="4">
                  <c:v>126.5</c:v>
                </c:pt>
              </c:numCache>
            </c:numRef>
          </c:val>
          <c:smooth val="0"/>
          <c:extLst>
            <c:ext xmlns:c16="http://schemas.microsoft.com/office/drawing/2014/chart" uri="{C3380CC4-5D6E-409C-BE32-E72D297353CC}">
              <c16:uniqueId val="{00000000-3593-4124-9A8A-49458F03AB3F}"/>
            </c:ext>
          </c:extLst>
        </c:ser>
        <c:dLbls>
          <c:showLegendKey val="0"/>
          <c:showVal val="0"/>
          <c:showCatName val="0"/>
          <c:showSerName val="0"/>
          <c:showPercent val="0"/>
          <c:showBubbleSize val="0"/>
        </c:dLbls>
        <c:smooth val="0"/>
        <c:axId val="433505839"/>
        <c:axId val="433497935"/>
      </c:lineChart>
      <c:catAx>
        <c:axId val="4335058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497935"/>
        <c:crosses val="autoZero"/>
        <c:auto val="1"/>
        <c:lblAlgn val="ctr"/>
        <c:lblOffset val="100"/>
        <c:noMultiLvlLbl val="0"/>
      </c:catAx>
      <c:valAx>
        <c:axId val="433497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5058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Income!$E$6</c:f>
              <c:strCache>
                <c:ptCount val="1"/>
                <c:pt idx="0">
                  <c:v>Average Disposable Income Per Household (£)</c:v>
                </c:pt>
              </c:strCache>
            </c:strRef>
          </c:tx>
          <c:spPr>
            <a:ln w="28575" cap="rnd">
              <a:solidFill>
                <a:schemeClr val="accent1"/>
              </a:solidFill>
              <a:round/>
            </a:ln>
            <a:effectLst/>
          </c:spPr>
          <c:marker>
            <c:symbol val="none"/>
          </c:marker>
          <c:cat>
            <c:numRef>
              <c:f>Income!$D$7:$D$11</c:f>
              <c:numCache>
                <c:formatCode>General</c:formatCode>
                <c:ptCount val="5"/>
                <c:pt idx="0">
                  <c:v>2018</c:v>
                </c:pt>
                <c:pt idx="1">
                  <c:v>2019</c:v>
                </c:pt>
                <c:pt idx="2">
                  <c:v>2020</c:v>
                </c:pt>
                <c:pt idx="3">
                  <c:v>2021</c:v>
                </c:pt>
                <c:pt idx="4">
                  <c:v>2022</c:v>
                </c:pt>
              </c:numCache>
            </c:numRef>
          </c:cat>
          <c:val>
            <c:numRef>
              <c:f>Income!$E$7:$E$11</c:f>
              <c:numCache>
                <c:formatCode>_(* #,##0_);_(* \(#,##0\);_(* "-"??_);_(@_)</c:formatCode>
                <c:ptCount val="5"/>
                <c:pt idx="0">
                  <c:v>37330</c:v>
                </c:pt>
                <c:pt idx="1">
                  <c:v>37724</c:v>
                </c:pt>
                <c:pt idx="2">
                  <c:v>39218</c:v>
                </c:pt>
                <c:pt idx="3">
                  <c:v>38994</c:v>
                </c:pt>
                <c:pt idx="4">
                  <c:v>39328</c:v>
                </c:pt>
              </c:numCache>
            </c:numRef>
          </c:val>
          <c:smooth val="0"/>
          <c:extLst>
            <c:ext xmlns:c16="http://schemas.microsoft.com/office/drawing/2014/chart" uri="{C3380CC4-5D6E-409C-BE32-E72D297353CC}">
              <c16:uniqueId val="{00000000-95E7-4648-AC88-8837A3F944A5}"/>
            </c:ext>
          </c:extLst>
        </c:ser>
        <c:dLbls>
          <c:showLegendKey val="0"/>
          <c:showVal val="0"/>
          <c:showCatName val="0"/>
          <c:showSerName val="0"/>
          <c:showPercent val="0"/>
          <c:showBubbleSize val="0"/>
        </c:dLbls>
        <c:smooth val="0"/>
        <c:axId val="435462623"/>
        <c:axId val="435457631"/>
      </c:lineChart>
      <c:catAx>
        <c:axId val="435462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457631"/>
        <c:crosses val="autoZero"/>
        <c:auto val="1"/>
        <c:lblAlgn val="ctr"/>
        <c:lblOffset val="100"/>
        <c:noMultiLvlLbl val="0"/>
      </c:catAx>
      <c:valAx>
        <c:axId val="435457631"/>
        <c:scaling>
          <c:orientation val="minMax"/>
        </c:scaling>
        <c:delete val="0"/>
        <c:axPos val="l"/>
        <c:majorGridlines>
          <c:spPr>
            <a:ln w="9525" cap="flat" cmpd="sng" algn="ctr">
              <a:solidFill>
                <a:schemeClr val="tx1">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4626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Hybrid!$F$7</c:f>
              <c:strCache>
                <c:ptCount val="1"/>
                <c:pt idx="0">
                  <c:v>Number of Sales for Electric Vehicles (Battery Electric and Plug-In Electric)</c:v>
                </c:pt>
              </c:strCache>
            </c:strRef>
          </c:tx>
          <c:spPr>
            <a:ln w="28575" cap="rnd">
              <a:solidFill>
                <a:schemeClr val="accent1"/>
              </a:solidFill>
              <a:round/>
            </a:ln>
            <a:effectLst/>
          </c:spPr>
          <c:marker>
            <c:symbol val="none"/>
          </c:marker>
          <c:cat>
            <c:numRef>
              <c:f>Hybrid!$E$8:$E$12</c:f>
              <c:numCache>
                <c:formatCode>General</c:formatCode>
                <c:ptCount val="5"/>
                <c:pt idx="0">
                  <c:v>2018</c:v>
                </c:pt>
                <c:pt idx="1">
                  <c:v>2019</c:v>
                </c:pt>
                <c:pt idx="2">
                  <c:v>2020</c:v>
                </c:pt>
                <c:pt idx="3">
                  <c:v>2021</c:v>
                </c:pt>
                <c:pt idx="4">
                  <c:v>2022</c:v>
                </c:pt>
              </c:numCache>
            </c:numRef>
          </c:cat>
          <c:val>
            <c:numRef>
              <c:f>Hybrid!$F$8:$F$12</c:f>
              <c:numCache>
                <c:formatCode>#,##0</c:formatCode>
                <c:ptCount val="5"/>
                <c:pt idx="0">
                  <c:v>60630</c:v>
                </c:pt>
                <c:pt idx="1">
                  <c:v>74600</c:v>
                </c:pt>
                <c:pt idx="2">
                  <c:v>174740</c:v>
                </c:pt>
                <c:pt idx="3">
                  <c:v>311500</c:v>
                </c:pt>
                <c:pt idx="4">
                  <c:v>317700</c:v>
                </c:pt>
              </c:numCache>
            </c:numRef>
          </c:val>
          <c:smooth val="0"/>
          <c:extLst>
            <c:ext xmlns:c16="http://schemas.microsoft.com/office/drawing/2014/chart" uri="{C3380CC4-5D6E-409C-BE32-E72D297353CC}">
              <c16:uniqueId val="{00000000-2488-4C60-B671-FFCF72351F91}"/>
            </c:ext>
          </c:extLst>
        </c:ser>
        <c:dLbls>
          <c:showLegendKey val="0"/>
          <c:showVal val="0"/>
          <c:showCatName val="0"/>
          <c:showSerName val="0"/>
          <c:showPercent val="0"/>
          <c:showBubbleSize val="0"/>
        </c:dLbls>
        <c:smooth val="0"/>
        <c:axId val="433504591"/>
        <c:axId val="433493359"/>
      </c:lineChart>
      <c:catAx>
        <c:axId val="433504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493359"/>
        <c:crosses val="autoZero"/>
        <c:auto val="1"/>
        <c:lblAlgn val="ctr"/>
        <c:lblOffset val="100"/>
        <c:noMultiLvlLbl val="0"/>
      </c:catAx>
      <c:valAx>
        <c:axId val="43349335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504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population!$H$9</c:f>
              <c:strCache>
                <c:ptCount val="1"/>
                <c:pt idx="0">
                  <c:v>Mid-year population estimates relate to the usually resident populatio</c:v>
                </c:pt>
              </c:strCache>
            </c:strRef>
          </c:tx>
          <c:spPr>
            <a:solidFill>
              <a:schemeClr val="accent1"/>
            </a:solidFill>
            <a:ln>
              <a:noFill/>
            </a:ln>
            <a:effectLst/>
          </c:spPr>
          <c:invertIfNegative val="0"/>
          <c:cat>
            <c:strRef>
              <c:f>population!$G$10:$G$14</c:f>
              <c:strCache>
                <c:ptCount val="5"/>
                <c:pt idx="0">
                  <c:v>2017</c:v>
                </c:pt>
                <c:pt idx="1">
                  <c:v>2018</c:v>
                </c:pt>
                <c:pt idx="2">
                  <c:v>2019</c:v>
                </c:pt>
                <c:pt idx="3">
                  <c:v>2020</c:v>
                </c:pt>
                <c:pt idx="4">
                  <c:v>2021</c:v>
                </c:pt>
              </c:strCache>
            </c:strRef>
          </c:cat>
          <c:val>
            <c:numRef>
              <c:f>population!$H$10:$H$14</c:f>
              <c:numCache>
                <c:formatCode>General</c:formatCode>
                <c:ptCount val="5"/>
                <c:pt idx="0">
                  <c:v>66040200</c:v>
                </c:pt>
                <c:pt idx="1">
                  <c:v>66435600</c:v>
                </c:pt>
                <c:pt idx="2">
                  <c:v>66796800</c:v>
                </c:pt>
                <c:pt idx="3">
                  <c:v>67081000</c:v>
                </c:pt>
                <c:pt idx="4">
                  <c:v>67026300</c:v>
                </c:pt>
              </c:numCache>
            </c:numRef>
          </c:val>
          <c:extLst>
            <c:ext xmlns:c16="http://schemas.microsoft.com/office/drawing/2014/chart" uri="{C3380CC4-5D6E-409C-BE32-E72D297353CC}">
              <c16:uniqueId val="{00000000-ECC2-40E3-A257-118C3BA8123F}"/>
            </c:ext>
          </c:extLst>
        </c:ser>
        <c:dLbls>
          <c:showLegendKey val="0"/>
          <c:showVal val="0"/>
          <c:showCatName val="0"/>
          <c:showSerName val="0"/>
          <c:showPercent val="0"/>
          <c:showBubbleSize val="0"/>
        </c:dLbls>
        <c:gapWidth val="219"/>
        <c:overlap val="-27"/>
        <c:axId val="435464703"/>
        <c:axId val="435451391"/>
      </c:barChart>
      <c:catAx>
        <c:axId val="435464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451391"/>
        <c:crosses val="autoZero"/>
        <c:auto val="1"/>
        <c:lblAlgn val="ctr"/>
        <c:lblOffset val="100"/>
        <c:noMultiLvlLbl val="0"/>
      </c:catAx>
      <c:valAx>
        <c:axId val="4354513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4647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Elasticity!$F$9</c:f>
              <c:strCache>
                <c:ptCount val="1"/>
                <c:pt idx="0">
                  <c:v>Gasoline consumption, thousand barrels per day</c:v>
                </c:pt>
              </c:strCache>
            </c:strRef>
          </c:tx>
          <c:spPr>
            <a:ln w="28575" cap="rnd">
              <a:solidFill>
                <a:schemeClr val="accent1"/>
              </a:solidFill>
              <a:round/>
            </a:ln>
            <a:effectLst/>
          </c:spPr>
          <c:marker>
            <c:symbol val="none"/>
          </c:marker>
          <c:cat>
            <c:numRef>
              <c:f>Elasticity!$E$10:$E$14</c:f>
              <c:numCache>
                <c:formatCode>General</c:formatCode>
                <c:ptCount val="5"/>
                <c:pt idx="0">
                  <c:v>66.53</c:v>
                </c:pt>
                <c:pt idx="1">
                  <c:v>38.04</c:v>
                </c:pt>
                <c:pt idx="2">
                  <c:v>65.23</c:v>
                </c:pt>
                <c:pt idx="3">
                  <c:v>162.1</c:v>
                </c:pt>
                <c:pt idx="4">
                  <c:v>105.31</c:v>
                </c:pt>
              </c:numCache>
            </c:numRef>
          </c:cat>
          <c:val>
            <c:numRef>
              <c:f>Elasticity!$F$10:$F$14</c:f>
              <c:numCache>
                <c:formatCode>General</c:formatCode>
                <c:ptCount val="5"/>
                <c:pt idx="0">
                  <c:v>282.2</c:v>
                </c:pt>
                <c:pt idx="1">
                  <c:v>285</c:v>
                </c:pt>
                <c:pt idx="2">
                  <c:v>221.8</c:v>
                </c:pt>
                <c:pt idx="3">
                  <c:v>254.2</c:v>
                </c:pt>
                <c:pt idx="4">
                  <c:v>258.60000000000002</c:v>
                </c:pt>
              </c:numCache>
            </c:numRef>
          </c:val>
          <c:smooth val="0"/>
          <c:extLst>
            <c:ext xmlns:c16="http://schemas.microsoft.com/office/drawing/2014/chart" uri="{C3380CC4-5D6E-409C-BE32-E72D297353CC}">
              <c16:uniqueId val="{00000000-E67E-4DF8-A25B-4060BD3953BF}"/>
            </c:ext>
          </c:extLst>
        </c:ser>
        <c:dLbls>
          <c:showLegendKey val="0"/>
          <c:showVal val="0"/>
          <c:showCatName val="0"/>
          <c:showSerName val="0"/>
          <c:showPercent val="0"/>
          <c:showBubbleSize val="0"/>
        </c:dLbls>
        <c:smooth val="0"/>
        <c:axId val="525929615"/>
        <c:axId val="525918799"/>
      </c:lineChart>
      <c:catAx>
        <c:axId val="525929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918799"/>
        <c:crosses val="autoZero"/>
        <c:auto val="1"/>
        <c:lblAlgn val="ctr"/>
        <c:lblOffset val="100"/>
        <c:noMultiLvlLbl val="0"/>
      </c:catAx>
      <c:valAx>
        <c:axId val="5259187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9296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'Income effect'!$K$18</c:f>
              <c:strCache>
                <c:ptCount val="1"/>
                <c:pt idx="0">
                  <c:v>Gasoline consumption, thousand barrels per day</c:v>
                </c:pt>
              </c:strCache>
            </c:strRef>
          </c:tx>
          <c:spPr>
            <a:ln w="28575" cap="rnd">
              <a:solidFill>
                <a:schemeClr val="accent1"/>
              </a:solidFill>
              <a:round/>
            </a:ln>
            <a:effectLst/>
          </c:spPr>
          <c:marker>
            <c:symbol val="none"/>
          </c:marker>
          <c:cat>
            <c:numRef>
              <c:f>'Income effect'!$J$19:$J$23</c:f>
              <c:numCache>
                <c:formatCode>General</c:formatCode>
                <c:ptCount val="5"/>
                <c:pt idx="0">
                  <c:v>282.2</c:v>
                </c:pt>
                <c:pt idx="1">
                  <c:v>285</c:v>
                </c:pt>
                <c:pt idx="2">
                  <c:v>221.8</c:v>
                </c:pt>
                <c:pt idx="3">
                  <c:v>254.2</c:v>
                </c:pt>
                <c:pt idx="4">
                  <c:v>258.60000000000002</c:v>
                </c:pt>
              </c:numCache>
            </c:numRef>
          </c:cat>
          <c:val>
            <c:numRef>
              <c:f>'Income effect'!$K$19:$K$23</c:f>
              <c:numCache>
                <c:formatCode>_(* #,##0_);_(* \(#,##0\);_(* "-"??_);_(@_)</c:formatCode>
                <c:ptCount val="5"/>
                <c:pt idx="0">
                  <c:v>37330</c:v>
                </c:pt>
                <c:pt idx="1">
                  <c:v>37724</c:v>
                </c:pt>
                <c:pt idx="2">
                  <c:v>39218</c:v>
                </c:pt>
                <c:pt idx="3">
                  <c:v>38994</c:v>
                </c:pt>
                <c:pt idx="4">
                  <c:v>39328</c:v>
                </c:pt>
              </c:numCache>
            </c:numRef>
          </c:val>
          <c:smooth val="0"/>
          <c:extLst>
            <c:ext xmlns:c16="http://schemas.microsoft.com/office/drawing/2014/chart" uri="{C3380CC4-5D6E-409C-BE32-E72D297353CC}">
              <c16:uniqueId val="{00000000-D83D-4689-A84B-739848344E5D}"/>
            </c:ext>
          </c:extLst>
        </c:ser>
        <c:dLbls>
          <c:showLegendKey val="0"/>
          <c:showVal val="0"/>
          <c:showCatName val="0"/>
          <c:showSerName val="0"/>
          <c:showPercent val="0"/>
          <c:showBubbleSize val="0"/>
        </c:dLbls>
        <c:smooth val="0"/>
        <c:axId val="519432911"/>
        <c:axId val="519429999"/>
      </c:lineChart>
      <c:catAx>
        <c:axId val="519432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429999"/>
        <c:crosses val="autoZero"/>
        <c:auto val="1"/>
        <c:lblAlgn val="ctr"/>
        <c:lblOffset val="100"/>
        <c:noMultiLvlLbl val="0"/>
      </c:catAx>
      <c:valAx>
        <c:axId val="519429999"/>
        <c:scaling>
          <c:orientation val="minMax"/>
        </c:scaling>
        <c:delete val="0"/>
        <c:axPos val="l"/>
        <c:majorGridlines>
          <c:spPr>
            <a:ln w="9525" cap="flat" cmpd="sng" algn="ctr">
              <a:solidFill>
                <a:schemeClr val="tx1">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4329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D4D28-2AA4-4F4C-A000-8B0EAFA2E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1697</TotalTime>
  <Pages>15</Pages>
  <Words>3024</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Management Economics-LCBB50008</dc:subject>
  <dc:creator>2030582@student.uwtsd.ac.uk</dc:creator>
  <cp:keywords/>
  <dc:description/>
  <cp:lastModifiedBy>Bianca Constandachi (2030582)</cp:lastModifiedBy>
  <cp:revision>407</cp:revision>
  <dcterms:created xsi:type="dcterms:W3CDTF">2023-05-03T17:22:00Z</dcterms:created>
  <dcterms:modified xsi:type="dcterms:W3CDTF">2023-05-08T21:31:00Z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dfd22d89-eff8-4ffb-8e8a-ba6df2a14551</vt:lpwstr>
  </property>
</Properties>
</file>