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BD3A3" w14:textId="77777777"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t>Title Page</w:t>
      </w:r>
    </w:p>
    <w:p w14:paraId="38E2FE64" w14:textId="3E907BBC"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b/>
          <w:bCs/>
          <w:color w:val="000000"/>
          <w:sz w:val="22"/>
          <w:szCs w:val="22"/>
          <w:lang w:eastAsia="en-GB"/>
        </w:rPr>
        <w:t>Student Name:</w:t>
      </w:r>
      <w:r w:rsidRPr="006A6410">
        <w:rPr>
          <w:rFonts w:ascii="Arial" w:eastAsia="Times New Roman" w:hAnsi="Arial" w:cs="Arial"/>
          <w:color w:val="000000"/>
          <w:sz w:val="22"/>
          <w:szCs w:val="22"/>
          <w:lang w:eastAsia="en-GB"/>
        </w:rPr>
        <w:t> </w:t>
      </w:r>
      <w:r w:rsidR="00A827E7">
        <w:rPr>
          <w:rFonts w:ascii="Arial" w:eastAsia="Times New Roman" w:hAnsi="Arial" w:cs="Arial"/>
          <w:color w:val="000000"/>
          <w:sz w:val="22"/>
          <w:szCs w:val="22"/>
          <w:lang w:eastAsia="en-GB"/>
        </w:rPr>
        <w:t>Helal Uddin Khan</w:t>
      </w:r>
      <w:r w:rsidRPr="006A6410">
        <w:rPr>
          <w:rFonts w:ascii="Arial" w:eastAsia="Times New Roman" w:hAnsi="Arial" w:cs="Arial"/>
          <w:color w:val="000000"/>
          <w:sz w:val="22"/>
          <w:szCs w:val="22"/>
          <w:lang w:eastAsia="en-GB"/>
        </w:rPr>
        <w:br/>
      </w:r>
      <w:r w:rsidRPr="006A6410">
        <w:rPr>
          <w:rFonts w:ascii="Arial" w:eastAsia="Times New Roman" w:hAnsi="Arial" w:cs="Arial"/>
          <w:b/>
          <w:bCs/>
          <w:color w:val="000000"/>
          <w:sz w:val="22"/>
          <w:szCs w:val="22"/>
          <w:lang w:eastAsia="en-GB"/>
        </w:rPr>
        <w:t>Student ID Number:</w:t>
      </w:r>
      <w:r w:rsidRPr="006A6410">
        <w:rPr>
          <w:rFonts w:ascii="Arial" w:eastAsia="Times New Roman" w:hAnsi="Arial" w:cs="Arial"/>
          <w:color w:val="000000"/>
          <w:sz w:val="22"/>
          <w:szCs w:val="22"/>
          <w:lang w:eastAsia="en-GB"/>
        </w:rPr>
        <w:t> </w:t>
      </w:r>
      <w:r w:rsidR="00A827E7" w:rsidRPr="00A827E7">
        <w:rPr>
          <w:rFonts w:ascii="Arial" w:hAnsi="Arial" w:cs="Arial"/>
          <w:sz w:val="22"/>
          <w:szCs w:val="22"/>
        </w:rPr>
        <w:t>2434776</w:t>
      </w:r>
      <w:r w:rsidRPr="006A6410">
        <w:rPr>
          <w:rFonts w:ascii="Arial" w:eastAsia="Times New Roman" w:hAnsi="Arial" w:cs="Arial"/>
          <w:color w:val="000000"/>
          <w:sz w:val="22"/>
          <w:szCs w:val="22"/>
          <w:lang w:eastAsia="en-GB"/>
        </w:rPr>
        <w:br/>
      </w:r>
      <w:r w:rsidRPr="006A6410">
        <w:rPr>
          <w:rFonts w:ascii="Arial" w:eastAsia="Times New Roman" w:hAnsi="Arial" w:cs="Arial"/>
          <w:b/>
          <w:bCs/>
          <w:color w:val="000000"/>
          <w:sz w:val="22"/>
          <w:szCs w:val="22"/>
          <w:lang w:eastAsia="en-GB"/>
        </w:rPr>
        <w:t>Module Code:</w:t>
      </w:r>
      <w:r w:rsidRPr="006A6410">
        <w:rPr>
          <w:rFonts w:ascii="Arial" w:eastAsia="Times New Roman" w:hAnsi="Arial" w:cs="Arial"/>
          <w:color w:val="000000"/>
          <w:sz w:val="22"/>
          <w:szCs w:val="22"/>
          <w:lang w:eastAsia="en-GB"/>
        </w:rPr>
        <w:t> LCHS4003</w:t>
      </w:r>
      <w:r w:rsidRPr="006A6410">
        <w:rPr>
          <w:rFonts w:ascii="Arial" w:eastAsia="Times New Roman" w:hAnsi="Arial" w:cs="Arial"/>
          <w:color w:val="000000"/>
          <w:sz w:val="22"/>
          <w:szCs w:val="22"/>
          <w:lang w:eastAsia="en-GB"/>
        </w:rPr>
        <w:br/>
      </w:r>
      <w:r w:rsidRPr="006A6410">
        <w:rPr>
          <w:rFonts w:ascii="Arial" w:eastAsia="Times New Roman" w:hAnsi="Arial" w:cs="Arial"/>
          <w:b/>
          <w:bCs/>
          <w:color w:val="000000"/>
          <w:sz w:val="22"/>
          <w:szCs w:val="22"/>
          <w:lang w:eastAsia="en-GB"/>
        </w:rPr>
        <w:t>Module Title:</w:t>
      </w:r>
      <w:r w:rsidRPr="006A6410">
        <w:rPr>
          <w:rFonts w:ascii="Arial" w:eastAsia="Times New Roman" w:hAnsi="Arial" w:cs="Arial"/>
          <w:color w:val="000000"/>
          <w:sz w:val="22"/>
          <w:szCs w:val="22"/>
          <w:lang w:eastAsia="en-GB"/>
        </w:rPr>
        <w:t> Introduction to Health and Social Care</w:t>
      </w:r>
      <w:r w:rsidRPr="006A6410">
        <w:rPr>
          <w:rFonts w:ascii="Arial" w:eastAsia="Times New Roman" w:hAnsi="Arial" w:cs="Arial"/>
          <w:color w:val="000000"/>
          <w:sz w:val="22"/>
          <w:szCs w:val="22"/>
          <w:lang w:eastAsia="en-GB"/>
        </w:rPr>
        <w:br/>
      </w:r>
      <w:r w:rsidRPr="006A6410">
        <w:rPr>
          <w:rFonts w:ascii="Arial" w:eastAsia="Times New Roman" w:hAnsi="Arial" w:cs="Arial"/>
          <w:b/>
          <w:bCs/>
          <w:color w:val="000000"/>
          <w:sz w:val="22"/>
          <w:szCs w:val="22"/>
          <w:lang w:eastAsia="en-GB"/>
        </w:rPr>
        <w:t>Lecturer’s Name:</w:t>
      </w:r>
      <w:r w:rsidRPr="006A6410">
        <w:rPr>
          <w:rFonts w:ascii="Arial" w:eastAsia="Times New Roman" w:hAnsi="Arial" w:cs="Arial"/>
          <w:color w:val="000000"/>
          <w:sz w:val="22"/>
          <w:szCs w:val="22"/>
          <w:lang w:eastAsia="en-GB"/>
        </w:rPr>
        <w:t> </w:t>
      </w:r>
      <w:r w:rsidR="00A827E7" w:rsidRPr="00A827E7">
        <w:rPr>
          <w:rFonts w:ascii="Arial" w:hAnsi="Arial" w:cs="Arial"/>
          <w:sz w:val="22"/>
          <w:szCs w:val="22"/>
        </w:rPr>
        <w:t>Mohammed Aliyu</w:t>
      </w:r>
      <w:r w:rsidRPr="006A6410">
        <w:rPr>
          <w:rFonts w:ascii="Arial" w:eastAsia="Times New Roman" w:hAnsi="Arial" w:cs="Arial"/>
          <w:color w:val="000000"/>
          <w:sz w:val="22"/>
          <w:szCs w:val="22"/>
          <w:lang w:eastAsia="en-GB"/>
        </w:rPr>
        <w:br/>
      </w:r>
      <w:r w:rsidRPr="006A6410">
        <w:rPr>
          <w:rFonts w:ascii="Arial" w:eastAsia="Times New Roman" w:hAnsi="Arial" w:cs="Arial"/>
          <w:b/>
          <w:bCs/>
          <w:color w:val="000000"/>
          <w:sz w:val="22"/>
          <w:szCs w:val="22"/>
          <w:lang w:eastAsia="en-GB"/>
        </w:rPr>
        <w:t>Assignment Title:</w:t>
      </w:r>
      <w:r w:rsidRPr="006A6410">
        <w:rPr>
          <w:rFonts w:ascii="Arial" w:eastAsia="Times New Roman" w:hAnsi="Arial" w:cs="Arial"/>
          <w:color w:val="000000"/>
          <w:sz w:val="22"/>
          <w:szCs w:val="22"/>
          <w:lang w:eastAsia="en-GB"/>
        </w:rPr>
        <w:t> Written Assignment – Mrs Mann Case Study</w:t>
      </w:r>
    </w:p>
    <w:p w14:paraId="774604A3" w14:textId="7DE61831" w:rsidR="006A6410" w:rsidRPr="006A6410" w:rsidRDefault="006A6410" w:rsidP="00A827E7">
      <w:pPr>
        <w:spacing w:line="360" w:lineRule="auto"/>
        <w:rPr>
          <w:rFonts w:ascii="Arial" w:eastAsia="Times New Roman" w:hAnsi="Arial" w:cs="Arial"/>
          <w:color w:val="000000"/>
          <w:sz w:val="22"/>
          <w:szCs w:val="22"/>
          <w:lang w:eastAsia="en-GB"/>
        </w:rPr>
      </w:pPr>
    </w:p>
    <w:p w14:paraId="4E3BE614" w14:textId="77777777" w:rsidR="00A827E7" w:rsidRDefault="00A827E7">
      <w:pPr>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br w:type="page"/>
      </w:r>
    </w:p>
    <w:p w14:paraId="066F9928" w14:textId="348E32B4"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lastRenderedPageBreak/>
        <w:t>Introduction</w:t>
      </w:r>
    </w:p>
    <w:p w14:paraId="4D3747A9" w14:textId="1C619EB0"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This report examines the care of Mrs Mann, a 72-year-old woman recently discharged from hospital after hip replacement surgery. Living alone and supported by a domiciliary care agency, Mrs Mann’s case highlights several core challenges in health and social care, including effective communication, robust record keeping, and collaborative working. The report will first discuss the importance of communication within her care, referencing the Equality Act 2010 and the Transactional Model of Communication. It will then examine the significance of administrative skills, focusing on record keeping and the Data Protection Act 2018. Finally, the report will analyse collaborative working among professionals involved in Mrs Mann’s care, identifying strategies to overcome common challenges in multi-agency working. The discussion draws on academic literature, policy frameworks, and legislation to demonstrate understanding of these essential aspects of health and social care practice, aiming to show how person-centred, safe, and effective care can be delivered.</w:t>
      </w:r>
      <w:r w:rsidR="00A827E7" w:rsidRPr="006A6410">
        <w:rPr>
          <w:rFonts w:ascii="Arial" w:eastAsia="Times New Roman" w:hAnsi="Arial" w:cs="Arial"/>
          <w:color w:val="000000"/>
          <w:sz w:val="22"/>
          <w:szCs w:val="22"/>
          <w:lang w:eastAsia="en-GB"/>
        </w:rPr>
        <w:t xml:space="preserve"> </w:t>
      </w:r>
    </w:p>
    <w:p w14:paraId="5CC4FD08" w14:textId="3B55F6D4"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t>Effective Communication in Mrs Mann’s Care</w:t>
      </w:r>
    </w:p>
    <w:p w14:paraId="0C2BF633" w14:textId="436D3971"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Effective communication is a cornerstone of quality health and social care, especially for service users like Mrs Mann, whose first language is Urdu and who speaks limited English. Communication barriers can result in misunderstandings, reduced quality of care, and adverse outcomes, as seen in the missed medication adjustment in Mrs Mann’s case. As NHS England (2021) states, “clear communication is essential to ensure patient safety and quality of care”.</w:t>
      </w:r>
      <w:r w:rsidR="00A827E7" w:rsidRPr="006A6410">
        <w:rPr>
          <w:rFonts w:ascii="Arial" w:eastAsia="Times New Roman" w:hAnsi="Arial" w:cs="Arial"/>
          <w:color w:val="000000"/>
          <w:sz w:val="22"/>
          <w:szCs w:val="22"/>
          <w:lang w:eastAsia="en-GB"/>
        </w:rPr>
        <w:t xml:space="preserve"> </w:t>
      </w:r>
    </w:p>
    <w:p w14:paraId="0D90B149"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The Equality Act 2010 requires health and social care providers to make reasonable adjustments to ensure equal access to services, regardless of language or disability. This includes providing interpretation services and culturally sensitive care. Healy and McKee (2020) emphasise that “language barriers must be addressed proactively to avoid exclusion and ensure dignity in care.” In Mrs Mann’s case, this means using professional interpreters or translated materials, rather than relying solely on family members, to ensure that she fully understands her care and can make informed decisions.</w:t>
      </w:r>
    </w:p>
    <w:p w14:paraId="02EDFE30"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The Transactional Model of Communication (</w:t>
      </w:r>
      <w:proofErr w:type="spellStart"/>
      <w:r w:rsidRPr="006A6410">
        <w:rPr>
          <w:rFonts w:ascii="Arial" w:eastAsia="Times New Roman" w:hAnsi="Arial" w:cs="Arial"/>
          <w:color w:val="000000"/>
          <w:sz w:val="22"/>
          <w:szCs w:val="22"/>
          <w:lang w:eastAsia="en-GB"/>
        </w:rPr>
        <w:t>Barnlund</w:t>
      </w:r>
      <w:proofErr w:type="spellEnd"/>
      <w:r w:rsidRPr="006A6410">
        <w:rPr>
          <w:rFonts w:ascii="Arial" w:eastAsia="Times New Roman" w:hAnsi="Arial" w:cs="Arial"/>
          <w:color w:val="000000"/>
          <w:sz w:val="22"/>
          <w:szCs w:val="22"/>
          <w:lang w:eastAsia="en-GB"/>
        </w:rPr>
        <w:t xml:space="preserve">, 2008) is particularly relevant here. This model highlights the importance of feedback, context, and the dynamic nature of communication. In practice, care workers should actively seek feedback from Mrs Mann and her daughter, use clear and simple language, and check for understanding. Visual aids and translated written materials can further support comprehension. As the Care Quality </w:t>
      </w:r>
      <w:r w:rsidRPr="006A6410">
        <w:rPr>
          <w:rFonts w:ascii="Arial" w:eastAsia="Times New Roman" w:hAnsi="Arial" w:cs="Arial"/>
          <w:color w:val="000000"/>
          <w:sz w:val="22"/>
          <w:szCs w:val="22"/>
          <w:lang w:eastAsia="en-GB"/>
        </w:rPr>
        <w:lastRenderedPageBreak/>
        <w:t>Commission (CQC, 2019) notes, “poor communication between professionals is a leading cause of safety incidents in health and social care.”</w:t>
      </w:r>
    </w:p>
    <w:p w14:paraId="7F3D218B"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Effective communication is also vital among professionals involved in Mrs Mann’s care. The care team must liaise clearly with the GP and physiotherapist, documenting all interactions to prevent errors. Regular multidisciplinary meetings and shared care plans can help ensure that everyone is informed and working towards common goals. According to Glendinning et al. (2016), “multi-agency working improves outcomes by pooling expertise and resources.”</w:t>
      </w:r>
    </w:p>
    <w:p w14:paraId="673CD4D8"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Furthermore, communication should be person-centred, respecting Mrs Mann’s autonomy and preferences. This involves not only providing information in a way she can understand but also listening to her concerns and involving her in decision-making. The Care Quality Commission (2019) highlights that “listening to people and involving them in their care is fundamental to good practice.” In Mrs Mann’s case, this could mean involving her daughter in care planning meetings and ensuring that Mrs Mann’s wishes are documented and respected.</w:t>
      </w:r>
    </w:p>
    <w:p w14:paraId="59F3311F" w14:textId="361E4665"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In summary, applying the Equality Act 2010 and the Transactional Model ensures that Mrs Mann’s needs are met, her dignity is respected, and her care is coordinated effectively. Addressing language barriers and fostering open communication among all parties involved is essential for delivering safe, person-centred care. This approach not only supports Mrs Mann’s autonomy but also upholds her rights under UK law, ensuring that her voice is heard and her preferences are respected throughout her care journey.</w:t>
      </w:r>
      <w:r w:rsidR="00A827E7" w:rsidRPr="006A6410">
        <w:rPr>
          <w:rFonts w:ascii="Arial" w:eastAsia="Times New Roman" w:hAnsi="Arial" w:cs="Arial"/>
          <w:color w:val="000000"/>
          <w:sz w:val="22"/>
          <w:szCs w:val="22"/>
          <w:lang w:eastAsia="en-GB"/>
        </w:rPr>
        <w:t xml:space="preserve"> </w:t>
      </w:r>
    </w:p>
    <w:p w14:paraId="61B0510B" w14:textId="07E3F219"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t>Administrative Skills and Record Keeping</w:t>
      </w:r>
    </w:p>
    <w:p w14:paraId="44220A95"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Good administrative skills are essential for safe and effective health and social care practice. In Mrs Mann’s case, inconsistent documentation and missed communication led to a delayed medication adjustment, highlighting the risks associated with poor record keeping. The Health &amp; Social Care Information Centre (2018) states, “accurate and timely records are vital for continuity of care and legal compliance.”</w:t>
      </w:r>
    </w:p>
    <w:p w14:paraId="68FCCC12"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Record keeping in health and social care must comply with the Data Protection Act 2018, which sets out principles for handling personal data, including accuracy, confidentiality, and security. The Act requires that information is kept up to date, only shared with authorised individuals, and stored securely. The Caldicott Principles (Caldicott Review, 2013) further emphasise the need to share information only when necessary and to protect patient confidentiality.</w:t>
      </w:r>
    </w:p>
    <w:p w14:paraId="452DB57E"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lastRenderedPageBreak/>
        <w:t>Administrative skills include maintaining clear, up-to-date records of care provided, medication changes, and communication with other professionals. This ensures that all members of the care team have access to the same information, reducing the risk of errors. The Social Care Institute for Excellence (SCIE, 2020) notes, “effective record keeping supports accountability, transparency, and quality improvement.”</w:t>
      </w:r>
    </w:p>
    <w:p w14:paraId="05986C48"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In Mrs Mann’s case, care workers must ensure that records are complete, accurate, and accessible to authorised professionals, while safeguarding her privacy. This includes documenting all care provided, any changes in her condition, and all communications with other professionals and family members. Electronic records can improve accessibility and reduce the risk of lost or incomplete information, but staff must be trained to use these systems effectively and to understand their responsibilities under data protection legislation.</w:t>
      </w:r>
    </w:p>
    <w:p w14:paraId="437EC0E6" w14:textId="68B3A240"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 xml:space="preserve">Policy frameworks such as the NHS Long Term Plan (2019) highlight the importance of integrated care systems, which rely on effective record keeping </w:t>
      </w:r>
      <w:r w:rsidR="00A827E7" w:rsidRPr="006A6410">
        <w:rPr>
          <w:rFonts w:ascii="Arial" w:eastAsia="Times New Roman" w:hAnsi="Arial" w:cs="Arial"/>
          <w:color w:val="000000"/>
          <w:sz w:val="22"/>
          <w:szCs w:val="22"/>
          <w:lang w:eastAsia="en-GB"/>
        </w:rPr>
        <w:t>coordinating</w:t>
      </w:r>
      <w:r w:rsidRPr="006A6410">
        <w:rPr>
          <w:rFonts w:ascii="Arial" w:eastAsia="Times New Roman" w:hAnsi="Arial" w:cs="Arial"/>
          <w:color w:val="000000"/>
          <w:sz w:val="22"/>
          <w:szCs w:val="22"/>
          <w:lang w:eastAsia="en-GB"/>
        </w:rPr>
        <w:t xml:space="preserve"> care across different services. Inadequate documentation can lead to delays in treatment, duplication of effort, and increased risk of harm to service users.</w:t>
      </w:r>
    </w:p>
    <w:p w14:paraId="70BB20FA"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Furthermore, good record keeping is essential for legal protection and accountability. If a complaint or investigation arises, clear and accurate records provide evidence of the care provided and the decisions made. The Caldicott Review (2013) states, “good information governance is essential for high-quality care and for maintaining public trust.” In Mrs Mann’s case, robust record keeping would have helped prevent the delayed medication adjustment and ensured that all professionals involved were aware of her needs and any changes in her condition.</w:t>
      </w:r>
    </w:p>
    <w:p w14:paraId="011DCF70" w14:textId="16375040"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In conclusion, robust administrative skills and adherence to legislation and policy frameworks are critical for safe, person-centred care. By maintaining accurate, confidential, and accessible records, health and social care professionals can support continuity of care, protect service users’ rights, and improve outcomes.</w:t>
      </w:r>
      <w:r w:rsidR="00A827E7" w:rsidRPr="006A6410">
        <w:rPr>
          <w:rFonts w:ascii="Arial" w:eastAsia="Times New Roman" w:hAnsi="Arial" w:cs="Arial"/>
          <w:color w:val="000000"/>
          <w:sz w:val="22"/>
          <w:szCs w:val="22"/>
          <w:lang w:eastAsia="en-GB"/>
        </w:rPr>
        <w:t xml:space="preserve"> </w:t>
      </w:r>
    </w:p>
    <w:p w14:paraId="6FABA4BF" w14:textId="3CE8C022"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t>Collaborative Working in Mrs Mann’s Care</w:t>
      </w:r>
    </w:p>
    <w:p w14:paraId="26DC21E9"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Collaboration among professionals is vital in Mrs Mann’s care, involving the domiciliary care agency, GP, physiotherapist, and family members. Effective collaboration ensures that care is coordinated, holistic, and responsive to changing needs. As Glendinning et al. (2016) state, “multi-agency working improves outcomes by pooling expertise and resources.”</w:t>
      </w:r>
    </w:p>
    <w:p w14:paraId="660DA383"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lastRenderedPageBreak/>
        <w:t>Approaches to foster collaboration include regular multidisciplinary meetings, shared care plans, and clear communication channels. These strategies help ensure that all professionals involved are aware of Mrs Mann’s needs and any changes in her condition. The NHS Long Term Plan (2019) emphasises the importance of integrated care systems to facilitate collaboration and improve outcomes for service users.</w:t>
      </w:r>
    </w:p>
    <w:p w14:paraId="3446B773"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Common challenges in multi-agency working include differences in organisational culture, unclear roles, and communication breakdowns. Establishing clear protocols, promoting mutual respect, and using shared electronic records can help overcome these challenges. In Mrs Mann’s case, regular updates between the care agency, GP, and physiotherapist, as well as involving her daughter in care planning, can help address language barriers and ensure continuity of care.</w:t>
      </w:r>
    </w:p>
    <w:p w14:paraId="17F88EF9"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The Department of Health (2017) highlights that “collaborative working is essential for safe, effective, and person-centred care.” By working together, professionals can share information, coordinate interventions, and provide holistic support that addresses all aspects of Mrs Mann’s health and wellbeing.</w:t>
      </w:r>
    </w:p>
    <w:p w14:paraId="359191EB" w14:textId="77777777"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Additionally, involving family members in collaborative working can enhance care outcomes. Mrs Mann’s daughter, who often helps interpret for her, plays a crucial role in bridging communication gaps and ensuring that Mrs Mann’s preferences are understood and respected. The Social Care Institute for Excellence (2020) notes, “family involvement in care planning can improve communication, increase satisfaction, and lead to better health outcomes.”</w:t>
      </w:r>
    </w:p>
    <w:p w14:paraId="50AE9A39" w14:textId="1F8B63BA"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In summary, effective collaboration among professionals and family members is essential for delivering high-quality, person-centred care. By fostering open communication, mutual respect, and shared responsibility, health and social care teams can overcome challenges and improve outcomes for service users like Mrs Mann.</w:t>
      </w:r>
      <w:r w:rsidRPr="00A827E7">
        <w:rPr>
          <w:rFonts w:ascii="Arial" w:eastAsia="Times New Roman" w:hAnsi="Arial" w:cs="Arial"/>
          <w:color w:val="000000"/>
          <w:sz w:val="22"/>
          <w:szCs w:val="22"/>
          <w:lang w:eastAsia="en-GB"/>
        </w:rPr>
        <w:t xml:space="preserve"> </w:t>
      </w:r>
    </w:p>
    <w:p w14:paraId="555F6F92" w14:textId="77777777"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t>Conclusion</w:t>
      </w:r>
    </w:p>
    <w:p w14:paraId="6EE70446" w14:textId="2B998DFD" w:rsidR="006A6410" w:rsidRPr="006A6410" w:rsidRDefault="006A6410" w:rsidP="00A827E7">
      <w:p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 xml:space="preserve">The case of Mrs Mann illustrates the importance of effective communication, robust administrative skills, and collaborative working in health and social care. Addressing language barriers and applying the principles of the Equality Act 2010 ensures that care is accessible and respectful. Good record keeping, guided by the Data Protection Act 2018 and policy frameworks, supports safe and accountable practice. Collaborative working among professionals and family members enhances the quality and continuity of care. By drawing </w:t>
      </w:r>
      <w:r w:rsidRPr="006A6410">
        <w:rPr>
          <w:rFonts w:ascii="Arial" w:eastAsia="Times New Roman" w:hAnsi="Arial" w:cs="Arial"/>
          <w:color w:val="000000"/>
          <w:sz w:val="22"/>
          <w:szCs w:val="22"/>
          <w:lang w:eastAsia="en-GB"/>
        </w:rPr>
        <w:lastRenderedPageBreak/>
        <w:t>on academic literature, legislation, and best practice, this report demonstrates the core competencies required for health and social care professionals to deliver person-centred, safe, and effective care. Ultimately, a holistic approach that integrates communication, administration, and collaboration is essential for meeting the complex needs of service users and ensuring positive outcomes in health and social care settings.</w:t>
      </w:r>
    </w:p>
    <w:p w14:paraId="04C15F6E" w14:textId="77777777" w:rsidR="00A827E7" w:rsidRDefault="00A827E7">
      <w:pPr>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br w:type="page"/>
      </w:r>
    </w:p>
    <w:p w14:paraId="2F9BF00F" w14:textId="481FBDCE" w:rsidR="006A6410" w:rsidRPr="006A6410" w:rsidRDefault="006A6410" w:rsidP="00A827E7">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6A6410">
        <w:rPr>
          <w:rFonts w:ascii="Arial" w:eastAsia="Times New Roman" w:hAnsi="Arial" w:cs="Arial"/>
          <w:b/>
          <w:bCs/>
          <w:color w:val="000000"/>
          <w:sz w:val="22"/>
          <w:szCs w:val="22"/>
          <w:lang w:eastAsia="en-GB"/>
        </w:rPr>
        <w:lastRenderedPageBreak/>
        <w:t>Reference List</w:t>
      </w:r>
    </w:p>
    <w:p w14:paraId="0C55483E"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NHS England (2021) ‘Patient Safety and Communication’.</w:t>
      </w:r>
    </w:p>
    <w:p w14:paraId="3EC12F5E"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Equality Act 2010.</w:t>
      </w:r>
    </w:p>
    <w:p w14:paraId="1442EF82"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Healy, J. &amp; McKee, M. (2020) ‘Access to Health Care for Vulnerable Groups’.</w:t>
      </w:r>
    </w:p>
    <w:p w14:paraId="66EB1734"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proofErr w:type="spellStart"/>
      <w:r w:rsidRPr="006A6410">
        <w:rPr>
          <w:rFonts w:ascii="Arial" w:eastAsia="Times New Roman" w:hAnsi="Arial" w:cs="Arial"/>
          <w:color w:val="000000"/>
          <w:sz w:val="22"/>
          <w:szCs w:val="22"/>
          <w:lang w:eastAsia="en-GB"/>
        </w:rPr>
        <w:t>Barnlund</w:t>
      </w:r>
      <w:proofErr w:type="spellEnd"/>
      <w:r w:rsidRPr="006A6410">
        <w:rPr>
          <w:rFonts w:ascii="Arial" w:eastAsia="Times New Roman" w:hAnsi="Arial" w:cs="Arial"/>
          <w:color w:val="000000"/>
          <w:sz w:val="22"/>
          <w:szCs w:val="22"/>
          <w:lang w:eastAsia="en-GB"/>
        </w:rPr>
        <w:t>, D.C. (2008) ‘A Transactional Model of Communication’.</w:t>
      </w:r>
    </w:p>
    <w:p w14:paraId="63E622F2"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Care Quality Commission (CQC) (2019) ‘Learning from Safety Incidents’.</w:t>
      </w:r>
    </w:p>
    <w:p w14:paraId="0ED77DD3"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Data Protection Act 2018.</w:t>
      </w:r>
    </w:p>
    <w:p w14:paraId="7C02CE4E"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Health &amp; Social Care Information Centre (2018) ‘Record Keeping in Health and Social Care’.</w:t>
      </w:r>
    </w:p>
    <w:p w14:paraId="12B1918E"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Social Care Institute for Excellence (SCIE) (2020) ‘Good Record Keeping’.</w:t>
      </w:r>
    </w:p>
    <w:p w14:paraId="4129BACB"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Caldicott Review (2013) ‘Information Governance in Health and Social Care’.</w:t>
      </w:r>
    </w:p>
    <w:p w14:paraId="78EFDF26"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Glendinning, C. et al. (2016) ‘Multi-Agency Working in Health and Social Care’.</w:t>
      </w:r>
    </w:p>
    <w:p w14:paraId="2550BA1B" w14:textId="77777777"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NHS Long Term Plan (2019).</w:t>
      </w:r>
    </w:p>
    <w:p w14:paraId="250056AE" w14:textId="4DC86ADE" w:rsidR="006A6410" w:rsidRPr="006A6410" w:rsidRDefault="006A6410" w:rsidP="00A827E7">
      <w:pPr>
        <w:numPr>
          <w:ilvl w:val="0"/>
          <w:numId w:val="4"/>
        </w:numPr>
        <w:spacing w:before="100" w:beforeAutospacing="1" w:after="100" w:afterAutospacing="1" w:line="360" w:lineRule="auto"/>
        <w:rPr>
          <w:rFonts w:ascii="Arial" w:eastAsia="Times New Roman" w:hAnsi="Arial" w:cs="Arial"/>
          <w:color w:val="000000"/>
          <w:sz w:val="22"/>
          <w:szCs w:val="22"/>
          <w:lang w:eastAsia="en-GB"/>
        </w:rPr>
      </w:pPr>
      <w:r w:rsidRPr="006A6410">
        <w:rPr>
          <w:rFonts w:ascii="Arial" w:eastAsia="Times New Roman" w:hAnsi="Arial" w:cs="Arial"/>
          <w:color w:val="000000"/>
          <w:sz w:val="22"/>
          <w:szCs w:val="22"/>
          <w:lang w:eastAsia="en-GB"/>
        </w:rPr>
        <w:t>Department of Health (2017) ‘Collaborative Working in Health and Social Care’. </w:t>
      </w:r>
      <w:r w:rsidR="00A827E7" w:rsidRPr="006A6410">
        <w:rPr>
          <w:rFonts w:ascii="Arial" w:eastAsia="Times New Roman" w:hAnsi="Arial" w:cs="Arial"/>
          <w:color w:val="000000"/>
          <w:sz w:val="22"/>
          <w:szCs w:val="22"/>
          <w:lang w:eastAsia="en-GB"/>
        </w:rPr>
        <w:t xml:space="preserve"> </w:t>
      </w:r>
    </w:p>
    <w:p w14:paraId="1B831621" w14:textId="77777777" w:rsidR="003D60ED" w:rsidRPr="00A827E7" w:rsidRDefault="003D60ED" w:rsidP="00A827E7">
      <w:pPr>
        <w:spacing w:line="360" w:lineRule="auto"/>
        <w:rPr>
          <w:rFonts w:ascii="Arial" w:hAnsi="Arial" w:cs="Arial"/>
          <w:sz w:val="22"/>
          <w:szCs w:val="22"/>
        </w:rPr>
      </w:pPr>
    </w:p>
    <w:sectPr w:rsidR="003D60ED" w:rsidRPr="00A82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A7138"/>
    <w:multiLevelType w:val="multilevel"/>
    <w:tmpl w:val="A92C7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8C405F"/>
    <w:multiLevelType w:val="multilevel"/>
    <w:tmpl w:val="93AA6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846BAA"/>
    <w:multiLevelType w:val="multilevel"/>
    <w:tmpl w:val="3E663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69768A"/>
    <w:multiLevelType w:val="multilevel"/>
    <w:tmpl w:val="CE9A9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7722399">
    <w:abstractNumId w:val="1"/>
  </w:num>
  <w:num w:numId="2" w16cid:durableId="333535199">
    <w:abstractNumId w:val="2"/>
  </w:num>
  <w:num w:numId="3" w16cid:durableId="545918001">
    <w:abstractNumId w:val="0"/>
  </w:num>
  <w:num w:numId="4" w16cid:durableId="1487698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10"/>
    <w:rsid w:val="001633FE"/>
    <w:rsid w:val="00193DBC"/>
    <w:rsid w:val="002A2309"/>
    <w:rsid w:val="003D60ED"/>
    <w:rsid w:val="006A6410"/>
    <w:rsid w:val="0085100F"/>
    <w:rsid w:val="00990441"/>
    <w:rsid w:val="00A827E7"/>
    <w:rsid w:val="00B77DA0"/>
    <w:rsid w:val="00C93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4312A"/>
  <w15:chartTrackingRefBased/>
  <w15:docId w15:val="{7CB7F08C-EA2E-D140-BB1B-B82AE441D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4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64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64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64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64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64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4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4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4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4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A64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64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64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64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6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410"/>
    <w:rPr>
      <w:rFonts w:eastAsiaTheme="majorEastAsia" w:cstheme="majorBidi"/>
      <w:color w:val="272727" w:themeColor="text1" w:themeTint="D8"/>
    </w:rPr>
  </w:style>
  <w:style w:type="paragraph" w:styleId="Title">
    <w:name w:val="Title"/>
    <w:basedOn w:val="Normal"/>
    <w:next w:val="Normal"/>
    <w:link w:val="TitleChar"/>
    <w:uiPriority w:val="10"/>
    <w:qFormat/>
    <w:rsid w:val="006A64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41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4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6410"/>
    <w:rPr>
      <w:i/>
      <w:iCs/>
      <w:color w:val="404040" w:themeColor="text1" w:themeTint="BF"/>
    </w:rPr>
  </w:style>
  <w:style w:type="paragraph" w:styleId="ListParagraph">
    <w:name w:val="List Paragraph"/>
    <w:basedOn w:val="Normal"/>
    <w:uiPriority w:val="34"/>
    <w:qFormat/>
    <w:rsid w:val="006A6410"/>
    <w:pPr>
      <w:ind w:left="720"/>
      <w:contextualSpacing/>
    </w:pPr>
  </w:style>
  <w:style w:type="character" w:styleId="IntenseEmphasis">
    <w:name w:val="Intense Emphasis"/>
    <w:basedOn w:val="DefaultParagraphFont"/>
    <w:uiPriority w:val="21"/>
    <w:qFormat/>
    <w:rsid w:val="006A6410"/>
    <w:rPr>
      <w:i/>
      <w:iCs/>
      <w:color w:val="2F5496" w:themeColor="accent1" w:themeShade="BF"/>
    </w:rPr>
  </w:style>
  <w:style w:type="paragraph" w:styleId="IntenseQuote">
    <w:name w:val="Intense Quote"/>
    <w:basedOn w:val="Normal"/>
    <w:next w:val="Normal"/>
    <w:link w:val="IntenseQuoteChar"/>
    <w:uiPriority w:val="30"/>
    <w:qFormat/>
    <w:rsid w:val="006A64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6410"/>
    <w:rPr>
      <w:i/>
      <w:iCs/>
      <w:color w:val="2F5496" w:themeColor="accent1" w:themeShade="BF"/>
    </w:rPr>
  </w:style>
  <w:style w:type="character" w:styleId="IntenseReference">
    <w:name w:val="Intense Reference"/>
    <w:basedOn w:val="DefaultParagraphFont"/>
    <w:uiPriority w:val="32"/>
    <w:qFormat/>
    <w:rsid w:val="006A6410"/>
    <w:rPr>
      <w:b/>
      <w:bCs/>
      <w:smallCaps/>
      <w:color w:val="2F5496" w:themeColor="accent1" w:themeShade="BF"/>
      <w:spacing w:val="5"/>
    </w:rPr>
  </w:style>
  <w:style w:type="paragraph" w:styleId="NormalWeb">
    <w:name w:val="Normal (Web)"/>
    <w:basedOn w:val="Normal"/>
    <w:uiPriority w:val="99"/>
    <w:semiHidden/>
    <w:unhideWhenUsed/>
    <w:rsid w:val="006A641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A6410"/>
    <w:rPr>
      <w:b/>
      <w:bCs/>
    </w:rPr>
  </w:style>
  <w:style w:type="character" w:customStyle="1" w:styleId="apple-converted-space">
    <w:name w:val="apple-converted-space"/>
    <w:basedOn w:val="DefaultParagraphFont"/>
    <w:rsid w:val="006A6410"/>
  </w:style>
  <w:style w:type="character" w:styleId="Hyperlink">
    <w:name w:val="Hyperlink"/>
    <w:basedOn w:val="DefaultParagraphFont"/>
    <w:uiPriority w:val="99"/>
    <w:semiHidden/>
    <w:unhideWhenUsed/>
    <w:rsid w:val="006A64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1737</Words>
  <Characters>9905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Helal Uddin Khan (2434776)</cp:lastModifiedBy>
  <cp:revision>2</cp:revision>
  <dcterms:created xsi:type="dcterms:W3CDTF">2025-12-17T21:43:00Z</dcterms:created>
  <dcterms:modified xsi:type="dcterms:W3CDTF">2025-12-17T21:43:00Z</dcterms:modified>
</cp:coreProperties>
</file>