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7D82" w:rsidRDefault="00BB7D82" w:rsidP="00BB7D82">
      <w:pPr>
        <w:spacing w:before="240" w:after="240" w:line="360" w:lineRule="auto"/>
        <w:jc w:val="center"/>
        <w:rPr>
          <w:b/>
          <w:bCs/>
          <w:color w:val="000000" w:themeColor="text1"/>
          <w:sz w:val="32"/>
          <w:szCs w:val="32"/>
        </w:rPr>
      </w:pPr>
    </w:p>
    <w:p w:rsidR="00BB7D82" w:rsidRDefault="00BB7D82" w:rsidP="00BB7D82">
      <w:pPr>
        <w:spacing w:before="240" w:after="240" w:line="360" w:lineRule="auto"/>
        <w:jc w:val="center"/>
        <w:rPr>
          <w:b/>
          <w:bCs/>
          <w:color w:val="000000" w:themeColor="text1"/>
          <w:sz w:val="32"/>
          <w:szCs w:val="32"/>
        </w:rPr>
      </w:pPr>
    </w:p>
    <w:p w:rsidR="00BB7D82" w:rsidRDefault="00BB7D82" w:rsidP="00BB7D82">
      <w:pPr>
        <w:spacing w:before="240" w:after="240" w:line="360" w:lineRule="auto"/>
        <w:rPr>
          <w:b/>
          <w:bCs/>
          <w:color w:val="000000" w:themeColor="text1"/>
          <w:sz w:val="32"/>
          <w:szCs w:val="32"/>
        </w:rPr>
      </w:pPr>
    </w:p>
    <w:p w:rsidR="00BB7D82" w:rsidRDefault="00BB7D82" w:rsidP="00BB7D82">
      <w:pPr>
        <w:spacing w:before="240" w:after="240" w:line="360" w:lineRule="auto"/>
        <w:jc w:val="center"/>
        <w:rPr>
          <w:b/>
          <w:bCs/>
          <w:color w:val="000000" w:themeColor="text1"/>
          <w:sz w:val="32"/>
          <w:szCs w:val="32"/>
        </w:rPr>
      </w:pPr>
      <w:r>
        <w:rPr>
          <w:b/>
          <w:bCs/>
          <w:color w:val="000000" w:themeColor="text1"/>
          <w:sz w:val="32"/>
          <w:szCs w:val="32"/>
        </w:rPr>
        <w:t>SUSTAINABLE HOSPITALITY AND TOURISM MANAGEMENT</w:t>
      </w:r>
    </w:p>
    <w:p w:rsidR="00BB7D82" w:rsidRDefault="00BB7D82" w:rsidP="00BB7D82">
      <w:pPr>
        <w:spacing w:before="240" w:after="240" w:line="360" w:lineRule="auto"/>
        <w:jc w:val="center"/>
        <w:rPr>
          <w:b/>
          <w:bCs/>
          <w:color w:val="000000" w:themeColor="text1"/>
          <w:sz w:val="32"/>
          <w:szCs w:val="32"/>
        </w:rPr>
      </w:pPr>
      <w:r>
        <w:rPr>
          <w:b/>
          <w:bCs/>
          <w:color w:val="000000" w:themeColor="text1"/>
          <w:sz w:val="32"/>
          <w:szCs w:val="32"/>
        </w:rPr>
        <w:t>Assessment 2</w:t>
      </w:r>
    </w:p>
    <w:p w:rsidR="00BB7D82" w:rsidRDefault="00BB7D82" w:rsidP="00BB7D82">
      <w:pPr>
        <w:spacing w:before="240" w:after="240" w:line="360" w:lineRule="auto"/>
        <w:jc w:val="center"/>
        <w:rPr>
          <w:b/>
          <w:bCs/>
          <w:color w:val="000000" w:themeColor="text1"/>
          <w:sz w:val="32"/>
          <w:szCs w:val="32"/>
        </w:rPr>
      </w:pPr>
    </w:p>
    <w:p w:rsidR="00BB7D82" w:rsidRDefault="00BB7D82" w:rsidP="00BB7D82">
      <w:pPr>
        <w:spacing w:before="240" w:after="240" w:line="360" w:lineRule="auto"/>
        <w:jc w:val="center"/>
        <w:rPr>
          <w:b/>
          <w:bCs/>
          <w:color w:val="000000" w:themeColor="text1"/>
          <w:sz w:val="32"/>
          <w:szCs w:val="32"/>
        </w:rPr>
      </w:pPr>
      <w:r>
        <w:rPr>
          <w:b/>
          <w:bCs/>
          <w:color w:val="000000" w:themeColor="text1"/>
          <w:sz w:val="32"/>
          <w:szCs w:val="32"/>
        </w:rPr>
        <w:t>Name:</w:t>
      </w:r>
      <w:r>
        <w:rPr>
          <w:b/>
          <w:bCs/>
          <w:color w:val="000000" w:themeColor="text1"/>
          <w:sz w:val="32"/>
          <w:szCs w:val="32"/>
        </w:rPr>
        <w:t>Silviu Ghera</w:t>
      </w:r>
    </w:p>
    <w:p w:rsidR="00BB7D82" w:rsidRDefault="00BB7D82" w:rsidP="00BB7D82">
      <w:pPr>
        <w:spacing w:before="240" w:after="240" w:line="360" w:lineRule="auto"/>
        <w:jc w:val="center"/>
        <w:rPr>
          <w:b/>
          <w:bCs/>
          <w:color w:val="000000" w:themeColor="text1"/>
          <w:sz w:val="32"/>
          <w:szCs w:val="32"/>
        </w:rPr>
      </w:pPr>
      <w:r>
        <w:rPr>
          <w:b/>
          <w:bCs/>
          <w:color w:val="000000" w:themeColor="text1"/>
          <w:sz w:val="32"/>
          <w:szCs w:val="32"/>
        </w:rPr>
        <w:t>ID:</w:t>
      </w:r>
      <w:r>
        <w:rPr>
          <w:b/>
          <w:bCs/>
          <w:color w:val="000000" w:themeColor="text1"/>
          <w:sz w:val="32"/>
          <w:szCs w:val="32"/>
        </w:rPr>
        <w:t>2130678</w:t>
      </w:r>
      <w:bookmarkStart w:id="0" w:name="_GoBack"/>
      <w:bookmarkEnd w:id="0"/>
    </w:p>
    <w:p w:rsidR="00BB7D82" w:rsidRDefault="00BB7D82" w:rsidP="00BB7D82">
      <w:pPr>
        <w:spacing w:before="240" w:after="240" w:line="360" w:lineRule="auto"/>
        <w:jc w:val="center"/>
        <w:rPr>
          <w:b/>
          <w:bCs/>
          <w:color w:val="000000" w:themeColor="text1"/>
          <w:sz w:val="32"/>
          <w:szCs w:val="32"/>
        </w:rPr>
      </w:pPr>
      <w:r>
        <w:rPr>
          <w:b/>
          <w:bCs/>
          <w:color w:val="000000" w:themeColor="text1"/>
          <w:sz w:val="32"/>
          <w:szCs w:val="32"/>
        </w:rPr>
        <w:t>Tutor: Kathryn Roberts</w:t>
      </w:r>
    </w:p>
    <w:p w:rsidR="00BB7D82" w:rsidRDefault="00BB7D82" w:rsidP="00BB7D82">
      <w:pPr>
        <w:spacing w:before="240" w:after="240" w:line="360" w:lineRule="auto"/>
        <w:rPr>
          <w:b/>
          <w:bCs/>
          <w:color w:val="000000" w:themeColor="text1"/>
          <w:sz w:val="32"/>
          <w:szCs w:val="32"/>
        </w:rPr>
      </w:pPr>
      <w:r>
        <w:rPr>
          <w:b/>
          <w:bCs/>
          <w:color w:val="000000" w:themeColor="text1"/>
          <w:sz w:val="32"/>
          <w:szCs w:val="32"/>
        </w:rPr>
        <w:br w:type="page"/>
      </w:r>
    </w:p>
    <w:sdt>
      <w:sdtPr>
        <w:rPr>
          <w:rFonts w:ascii="Arial" w:eastAsia="Arial" w:hAnsi="Arial" w:cs="Arial"/>
          <w:color w:val="000000" w:themeColor="text1"/>
          <w:sz w:val="24"/>
          <w:szCs w:val="24"/>
          <w:lang w:val="en-GB" w:eastAsia="en-IN"/>
        </w:rPr>
        <w:id w:val="1052809345"/>
        <w:docPartObj>
          <w:docPartGallery w:val="Table of Contents"/>
          <w:docPartUnique/>
        </w:docPartObj>
      </w:sdtPr>
      <w:sdtContent>
        <w:p w:rsidR="00BB7D82" w:rsidRDefault="00BB7D82" w:rsidP="00BB7D82">
          <w:pPr>
            <w:pStyle w:val="TOCHeading"/>
            <w:spacing w:after="240" w:line="360" w:lineRule="auto"/>
            <w:jc w:val="center"/>
            <w:rPr>
              <w:rFonts w:ascii="Arial" w:hAnsi="Arial" w:cs="Arial"/>
              <w:b/>
              <w:bCs/>
              <w:color w:val="000000" w:themeColor="text1"/>
              <w:sz w:val="24"/>
              <w:szCs w:val="24"/>
              <w:lang w:val="en-GB"/>
            </w:rPr>
          </w:pPr>
          <w:r>
            <w:rPr>
              <w:rFonts w:ascii="Arial" w:hAnsi="Arial" w:cs="Arial"/>
              <w:b/>
              <w:bCs/>
              <w:color w:val="000000" w:themeColor="text1"/>
              <w:sz w:val="24"/>
              <w:szCs w:val="24"/>
              <w:lang w:val="en-GB"/>
            </w:rPr>
            <w:t>Table of Contents</w:t>
          </w:r>
        </w:p>
        <w:p w:rsidR="00BB7D82" w:rsidRDefault="00BB7D82" w:rsidP="00BB7D82">
          <w:pPr>
            <w:pStyle w:val="TOC1"/>
            <w:tabs>
              <w:tab w:val="right" w:leader="dot" w:pos="9350"/>
            </w:tabs>
            <w:spacing w:before="240" w:after="240" w:line="360" w:lineRule="auto"/>
            <w:rPr>
              <w:rFonts w:asciiTheme="minorHAnsi" w:eastAsiaTheme="minorEastAsia" w:hAnsiTheme="minorHAnsi" w:cstheme="minorBidi"/>
              <w:kern w:val="2"/>
              <w:lang w:eastAsia="zh-CN"/>
            </w:rPr>
          </w:pPr>
          <w:r>
            <w:rPr>
              <w:color w:val="000000" w:themeColor="text1"/>
              <w:sz w:val="24"/>
              <w:szCs w:val="24"/>
            </w:rPr>
            <w:fldChar w:fldCharType="begin"/>
          </w:r>
          <w:r>
            <w:rPr>
              <w:color w:val="000000" w:themeColor="text1"/>
              <w:sz w:val="24"/>
              <w:szCs w:val="24"/>
            </w:rPr>
            <w:instrText xml:space="preserve"> TOC \o "1-3" \h \z \u </w:instrText>
          </w:r>
          <w:r>
            <w:rPr>
              <w:color w:val="000000" w:themeColor="text1"/>
              <w:sz w:val="24"/>
              <w:szCs w:val="24"/>
            </w:rPr>
            <w:fldChar w:fldCharType="separate"/>
          </w:r>
          <w:hyperlink r:id="rId9" w:anchor="_Toc159322541" w:history="1">
            <w:r>
              <w:rPr>
                <w:rStyle w:val="Hyperlink"/>
              </w:rPr>
              <w:t>Introduction</w:t>
            </w:r>
            <w:r>
              <w:rPr>
                <w:rStyle w:val="Hyperlink"/>
                <w:webHidden/>
              </w:rPr>
              <w:tab/>
            </w:r>
            <w:r>
              <w:rPr>
                <w:rStyle w:val="Hyperlink"/>
                <w:webHidden/>
              </w:rPr>
              <w:fldChar w:fldCharType="begin"/>
            </w:r>
            <w:r>
              <w:rPr>
                <w:rStyle w:val="Hyperlink"/>
                <w:webHidden/>
              </w:rPr>
              <w:instrText xml:space="preserve"> PAGEREF _Toc159322541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rsidR="00BB7D82" w:rsidRDefault="00BB7D82" w:rsidP="00BB7D82">
          <w:pPr>
            <w:pStyle w:val="TOC1"/>
            <w:tabs>
              <w:tab w:val="right" w:leader="dot" w:pos="9350"/>
            </w:tabs>
            <w:spacing w:before="240" w:after="240" w:line="360" w:lineRule="auto"/>
            <w:rPr>
              <w:rFonts w:asciiTheme="minorHAnsi" w:eastAsiaTheme="minorEastAsia" w:hAnsiTheme="minorHAnsi" w:cstheme="minorBidi"/>
              <w:kern w:val="2"/>
              <w:lang w:eastAsia="zh-CN"/>
            </w:rPr>
          </w:pPr>
          <w:hyperlink r:id="rId10" w:anchor="_Toc159322542" w:history="1">
            <w:r>
              <w:rPr>
                <w:rStyle w:val="Hyperlink"/>
              </w:rPr>
              <w:t>Main Body</w:t>
            </w:r>
            <w:r>
              <w:rPr>
                <w:rStyle w:val="Hyperlink"/>
                <w:webHidden/>
              </w:rPr>
              <w:tab/>
            </w:r>
            <w:r>
              <w:rPr>
                <w:rStyle w:val="Hyperlink"/>
                <w:webHidden/>
              </w:rPr>
              <w:fldChar w:fldCharType="begin"/>
            </w:r>
            <w:r>
              <w:rPr>
                <w:rStyle w:val="Hyperlink"/>
                <w:webHidden/>
              </w:rPr>
              <w:instrText xml:space="preserve"> PAGEREF _Toc159322542 \h </w:instrText>
            </w:r>
            <w:r>
              <w:rPr>
                <w:rStyle w:val="Hyperlink"/>
                <w:webHidden/>
              </w:rPr>
            </w:r>
            <w:r>
              <w:rPr>
                <w:rStyle w:val="Hyperlink"/>
                <w:webHidden/>
              </w:rPr>
              <w:fldChar w:fldCharType="separate"/>
            </w:r>
            <w:r>
              <w:rPr>
                <w:rStyle w:val="Hyperlink"/>
                <w:webHidden/>
              </w:rPr>
              <w:t>3</w:t>
            </w:r>
            <w:r>
              <w:rPr>
                <w:rStyle w:val="Hyperlink"/>
                <w:webHidden/>
              </w:rPr>
              <w:fldChar w:fldCharType="end"/>
            </w:r>
          </w:hyperlink>
        </w:p>
        <w:p w:rsidR="00BB7D82" w:rsidRDefault="00BB7D82" w:rsidP="00BB7D82">
          <w:pPr>
            <w:pStyle w:val="TOC1"/>
            <w:tabs>
              <w:tab w:val="right" w:leader="dot" w:pos="9350"/>
            </w:tabs>
            <w:spacing w:before="240" w:after="240" w:line="360" w:lineRule="auto"/>
            <w:rPr>
              <w:rFonts w:asciiTheme="minorHAnsi" w:eastAsiaTheme="minorEastAsia" w:hAnsiTheme="minorHAnsi" w:cstheme="minorBidi"/>
              <w:kern w:val="2"/>
              <w:lang w:eastAsia="zh-CN"/>
            </w:rPr>
          </w:pPr>
          <w:hyperlink r:id="rId11" w:anchor="_Toc159322543" w:history="1">
            <w:r>
              <w:rPr>
                <w:rStyle w:val="Hyperlink"/>
              </w:rPr>
              <w:t>Conclusion</w:t>
            </w:r>
            <w:r>
              <w:rPr>
                <w:rStyle w:val="Hyperlink"/>
                <w:webHidden/>
              </w:rPr>
              <w:tab/>
            </w:r>
            <w:r>
              <w:rPr>
                <w:rStyle w:val="Hyperlink"/>
                <w:webHidden/>
              </w:rPr>
              <w:fldChar w:fldCharType="begin"/>
            </w:r>
            <w:r>
              <w:rPr>
                <w:rStyle w:val="Hyperlink"/>
                <w:webHidden/>
              </w:rPr>
              <w:instrText xml:space="preserve"> PAGEREF _Toc159322543 \h </w:instrText>
            </w:r>
            <w:r>
              <w:rPr>
                <w:rStyle w:val="Hyperlink"/>
                <w:webHidden/>
              </w:rPr>
            </w:r>
            <w:r>
              <w:rPr>
                <w:rStyle w:val="Hyperlink"/>
                <w:webHidden/>
              </w:rPr>
              <w:fldChar w:fldCharType="separate"/>
            </w:r>
            <w:r>
              <w:rPr>
                <w:rStyle w:val="Hyperlink"/>
                <w:webHidden/>
              </w:rPr>
              <w:t>8</w:t>
            </w:r>
            <w:r>
              <w:rPr>
                <w:rStyle w:val="Hyperlink"/>
                <w:webHidden/>
              </w:rPr>
              <w:fldChar w:fldCharType="end"/>
            </w:r>
          </w:hyperlink>
        </w:p>
        <w:p w:rsidR="00BB7D82" w:rsidRDefault="00BB7D82" w:rsidP="00BB7D82">
          <w:pPr>
            <w:pStyle w:val="TOC1"/>
            <w:tabs>
              <w:tab w:val="right" w:leader="dot" w:pos="9350"/>
            </w:tabs>
            <w:spacing w:before="240" w:after="240" w:line="360" w:lineRule="auto"/>
            <w:rPr>
              <w:rFonts w:asciiTheme="minorHAnsi" w:eastAsiaTheme="minorEastAsia" w:hAnsiTheme="minorHAnsi" w:cstheme="minorBidi"/>
              <w:kern w:val="2"/>
              <w:lang w:eastAsia="zh-CN"/>
            </w:rPr>
          </w:pPr>
          <w:hyperlink r:id="rId12" w:anchor="_Toc159322544" w:history="1">
            <w:r>
              <w:rPr>
                <w:rStyle w:val="Hyperlink"/>
              </w:rPr>
              <w:t>References</w:t>
            </w:r>
            <w:r>
              <w:rPr>
                <w:rStyle w:val="Hyperlink"/>
                <w:webHidden/>
              </w:rPr>
              <w:tab/>
            </w:r>
            <w:r>
              <w:rPr>
                <w:rStyle w:val="Hyperlink"/>
                <w:webHidden/>
              </w:rPr>
              <w:fldChar w:fldCharType="begin"/>
            </w:r>
            <w:r>
              <w:rPr>
                <w:rStyle w:val="Hyperlink"/>
                <w:webHidden/>
              </w:rPr>
              <w:instrText xml:space="preserve"> PAGEREF _Toc159322544 \h </w:instrText>
            </w:r>
            <w:r>
              <w:rPr>
                <w:rStyle w:val="Hyperlink"/>
                <w:webHidden/>
              </w:rPr>
            </w:r>
            <w:r>
              <w:rPr>
                <w:rStyle w:val="Hyperlink"/>
                <w:webHidden/>
              </w:rPr>
              <w:fldChar w:fldCharType="separate"/>
            </w:r>
            <w:r>
              <w:rPr>
                <w:rStyle w:val="Hyperlink"/>
                <w:webHidden/>
              </w:rPr>
              <w:t>9</w:t>
            </w:r>
            <w:r>
              <w:rPr>
                <w:rStyle w:val="Hyperlink"/>
                <w:webHidden/>
              </w:rPr>
              <w:fldChar w:fldCharType="end"/>
            </w:r>
          </w:hyperlink>
        </w:p>
        <w:p w:rsidR="00BB7D82" w:rsidRDefault="00BB7D82" w:rsidP="00BB7D82">
          <w:pPr>
            <w:spacing w:before="240" w:after="240" w:line="360" w:lineRule="auto"/>
            <w:jc w:val="both"/>
            <w:rPr>
              <w:color w:val="000000" w:themeColor="text1"/>
              <w:sz w:val="24"/>
              <w:szCs w:val="24"/>
            </w:rPr>
          </w:pPr>
          <w:r>
            <w:rPr>
              <w:b/>
              <w:bCs/>
              <w:color w:val="000000" w:themeColor="text1"/>
              <w:sz w:val="24"/>
              <w:szCs w:val="24"/>
            </w:rPr>
            <w:fldChar w:fldCharType="end"/>
          </w:r>
        </w:p>
      </w:sdtContent>
    </w:sdt>
    <w:p w:rsidR="00BB7D82" w:rsidRDefault="00BB7D82" w:rsidP="00BB7D82">
      <w:pPr>
        <w:spacing w:before="240" w:after="240" w:line="360" w:lineRule="auto"/>
        <w:jc w:val="both"/>
        <w:rPr>
          <w:b/>
          <w:color w:val="000000" w:themeColor="text1"/>
          <w:sz w:val="24"/>
          <w:szCs w:val="24"/>
        </w:rPr>
      </w:pPr>
      <w:r>
        <w:rPr>
          <w:color w:val="000000" w:themeColor="text1"/>
          <w:sz w:val="24"/>
          <w:szCs w:val="24"/>
        </w:rPr>
        <w:br w:type="page"/>
      </w:r>
    </w:p>
    <w:p w:rsidR="00BB7D82" w:rsidRDefault="00BB7D82" w:rsidP="00BB7D82">
      <w:pPr>
        <w:pStyle w:val="Heading1"/>
        <w:spacing w:before="240" w:after="240"/>
        <w:rPr>
          <w:rFonts w:eastAsia="Arial"/>
          <w:b/>
          <w:color w:val="000000" w:themeColor="text1"/>
          <w:sz w:val="24"/>
          <w:szCs w:val="40"/>
        </w:rPr>
      </w:pPr>
      <w:bookmarkStart w:id="1" w:name="_Toc159322541"/>
      <w:r>
        <w:rPr>
          <w:rFonts w:eastAsia="Arial"/>
        </w:rPr>
        <w:lastRenderedPageBreak/>
        <w:t>Introduction</w:t>
      </w:r>
      <w:bookmarkEnd w:id="1"/>
    </w:p>
    <w:p w:rsidR="00BB7D82" w:rsidRDefault="00BB7D82" w:rsidP="00BB7D82">
      <w:pPr>
        <w:spacing w:before="240" w:after="240" w:line="360" w:lineRule="auto"/>
        <w:jc w:val="both"/>
        <w:rPr>
          <w:color w:val="000000" w:themeColor="text1"/>
          <w:sz w:val="24"/>
          <w:szCs w:val="24"/>
        </w:rPr>
      </w:pPr>
      <w:r>
        <w:rPr>
          <w:color w:val="000000" w:themeColor="text1"/>
          <w:sz w:val="24"/>
          <w:szCs w:val="24"/>
        </w:rPr>
        <w:t xml:space="preserve">Sustainability is mentioned as creating the solutions for the needs of the current generation and also keeping an eye on managing the needs and demands of the upcoming generations. The circular economy develops ideas and processes to reuse already available materials for mitigating pollution. The circular economy is mentioned by </w:t>
      </w:r>
      <w:r>
        <w:rPr>
          <w:color w:val="000000" w:themeColor="text1"/>
          <w:sz w:val="24"/>
          <w:szCs w:val="24"/>
          <w:highlight w:val="white"/>
        </w:rPr>
        <w:t>van den Bergh (2020</w:t>
      </w:r>
      <w:r>
        <w:rPr>
          <w:color w:val="000000" w:themeColor="text1"/>
          <w:sz w:val="24"/>
          <w:szCs w:val="24"/>
        </w:rPr>
        <w:t xml:space="preserve">) as the organisational model or the step towards nature that negates any kind of declination to things. The </w:t>
      </w:r>
      <w:r>
        <w:rPr>
          <w:bCs/>
          <w:color w:val="000000" w:themeColor="text1"/>
          <w:sz w:val="24"/>
          <w:szCs w:val="24"/>
        </w:rPr>
        <w:t>idea</w:t>
      </w:r>
      <w:r>
        <w:rPr>
          <w:color w:val="000000" w:themeColor="text1"/>
          <w:sz w:val="24"/>
          <w:szCs w:val="24"/>
        </w:rPr>
        <w:t xml:space="preserve"> is a circular model of reusing and reordering existing materials while trying to achieve waste elimination. The use of a circular economy is the proper way to improve sustainability by removing wastage and developing ways to lower carbon emissions in nature.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 xml:space="preserve">The linkage of circular economy and CSR will also be discussed. The CSR policies of Marriott Hotel will be evaluated to identify their use of circular economy and sustainability. The other industry examples will be discussed regarding the circular economy. The development of the essay provides the basic uses of sustainability within the hotel industry. This creates the benefits and advantages for the businesses. </w:t>
      </w:r>
    </w:p>
    <w:p w:rsidR="00BB7D82" w:rsidRDefault="00BB7D82" w:rsidP="00BB7D82">
      <w:pPr>
        <w:pStyle w:val="Heading1"/>
        <w:spacing w:before="240" w:after="240"/>
        <w:rPr>
          <w:rFonts w:eastAsia="Arial"/>
          <w:color w:val="000000" w:themeColor="text1"/>
          <w:sz w:val="24"/>
          <w:szCs w:val="40"/>
        </w:rPr>
      </w:pPr>
      <w:bookmarkStart w:id="2" w:name="_Toc159322542"/>
      <w:r>
        <w:rPr>
          <w:rFonts w:eastAsia="Arial"/>
        </w:rPr>
        <w:t>Main Body</w:t>
      </w:r>
      <w:bookmarkEnd w:id="2"/>
    </w:p>
    <w:p w:rsidR="00BB7D82" w:rsidRDefault="00BB7D82" w:rsidP="00BB7D82">
      <w:pPr>
        <w:spacing w:before="240" w:after="240" w:line="360" w:lineRule="auto"/>
        <w:jc w:val="both"/>
        <w:rPr>
          <w:color w:val="000000" w:themeColor="text1"/>
          <w:sz w:val="24"/>
          <w:szCs w:val="24"/>
        </w:rPr>
      </w:pPr>
      <w:r>
        <w:rPr>
          <w:color w:val="000000" w:themeColor="text1"/>
          <w:sz w:val="24"/>
          <w:szCs w:val="24"/>
        </w:rPr>
        <w:t>The circular economy is the approach where the existing materials within nature are not wasted but are reused through regeneration and recycling. The circular economy has received its term as the approach fights against climatic challenges and tries to provide environmental sustainability. The approach at the same time also helps to maintain economic sustainability by reducing the wastage of materials. The use of the existing materials helps organisations to save their budget and reduce the expenses in the procurement of resources (</w:t>
      </w:r>
      <w:r>
        <w:rPr>
          <w:color w:val="000000" w:themeColor="text1"/>
          <w:sz w:val="24"/>
          <w:szCs w:val="24"/>
          <w:highlight w:val="white"/>
        </w:rPr>
        <w:t xml:space="preserve">Moshtari </w:t>
      </w:r>
      <w:r>
        <w:rPr>
          <w:i/>
          <w:color w:val="000000" w:themeColor="text1"/>
          <w:sz w:val="24"/>
          <w:szCs w:val="24"/>
          <w:highlight w:val="white"/>
        </w:rPr>
        <w:t>et al.</w:t>
      </w:r>
      <w:r>
        <w:rPr>
          <w:color w:val="000000" w:themeColor="text1"/>
          <w:sz w:val="24"/>
          <w:szCs w:val="24"/>
          <w:highlight w:val="white"/>
        </w:rPr>
        <w:t>, 2021)</w:t>
      </w:r>
      <w:r>
        <w:rPr>
          <w:color w:val="000000" w:themeColor="text1"/>
          <w:sz w:val="24"/>
          <w:szCs w:val="24"/>
        </w:rPr>
        <w:t>. The existing resources are used within the same location, which also reduces transportation. The use of a circular economy is observed while proceeding with the building of the hotels and the restaurants. The existing building materials are used to build the infrastructure, which is an example of a circular economy. The water used in the kitchen is not thrown away but used for watering the plants. The circular economy is also used in hospitality and tourism to build more opportunities to save money (</w:t>
      </w:r>
      <w:r>
        <w:rPr>
          <w:color w:val="000000" w:themeColor="text1"/>
          <w:sz w:val="24"/>
          <w:szCs w:val="24"/>
          <w:highlight w:val="white"/>
        </w:rPr>
        <w:t xml:space="preserve">Rodríguez </w:t>
      </w:r>
      <w:r>
        <w:rPr>
          <w:i/>
          <w:color w:val="000000" w:themeColor="text1"/>
          <w:sz w:val="24"/>
          <w:szCs w:val="24"/>
          <w:highlight w:val="white"/>
        </w:rPr>
        <w:t>et al.</w:t>
      </w:r>
      <w:r>
        <w:rPr>
          <w:color w:val="000000" w:themeColor="text1"/>
          <w:sz w:val="24"/>
          <w:szCs w:val="24"/>
          <w:highlight w:val="white"/>
        </w:rPr>
        <w:t>, 2020)</w:t>
      </w:r>
      <w:r>
        <w:rPr>
          <w:color w:val="000000" w:themeColor="text1"/>
          <w:sz w:val="24"/>
          <w:szCs w:val="24"/>
        </w:rPr>
        <w:t xml:space="preserve">. The hospitality industry also uses packaging materials and storage-related packages again after recycling. The circular economy within the hospitality and tourism industry is required for the development of products for maintaining major tasks without actual procurement. The circular economy </w:t>
      </w:r>
      <w:r>
        <w:rPr>
          <w:color w:val="000000" w:themeColor="text1"/>
          <w:sz w:val="24"/>
          <w:szCs w:val="24"/>
        </w:rPr>
        <w:lastRenderedPageBreak/>
        <w:t>also saves a large amount of the budget due to the reuse of materials. The savings made within the tourism industry help them to manage the other operational costs. The tourism industry can use a circular economy with these sorted materials and develop the needed products (</w:t>
      </w:r>
      <w:r>
        <w:rPr>
          <w:color w:val="000000" w:themeColor="text1"/>
          <w:sz w:val="24"/>
          <w:szCs w:val="24"/>
          <w:highlight w:val="white"/>
        </w:rPr>
        <w:t>Camilleri, 2021)</w:t>
      </w:r>
      <w:r>
        <w:rPr>
          <w:color w:val="000000" w:themeColor="text1"/>
          <w:sz w:val="24"/>
          <w:szCs w:val="24"/>
        </w:rPr>
        <w:t>. The use of recycling bags and paper bags can be a method of a circular economy where the bags are used repeatedly. The use of the circular economy can help the hospitality and tourism industry to build sustainable businesses and help recover the economy. The development of the circular economy has also proven to be immensely helpful during the pandemic (</w:t>
      </w:r>
      <w:r>
        <w:rPr>
          <w:color w:val="000000" w:themeColor="text1"/>
          <w:sz w:val="24"/>
          <w:szCs w:val="24"/>
          <w:highlight w:val="white"/>
        </w:rPr>
        <w:t>Su and Urban, 2021)</w:t>
      </w:r>
      <w:r>
        <w:rPr>
          <w:color w:val="000000" w:themeColor="text1"/>
          <w:sz w:val="24"/>
          <w:szCs w:val="24"/>
        </w:rPr>
        <w:t xml:space="preserve">. The recycled materials were used by the industry, therefore lowering the wastage. The use of recycled materials has reduced the budget of the industry providing benefits.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CSR values the work practices of the organisations that create the opportunity for developing sustainable measures for the people of the community and the environment. The use of circular economy helps to meet the social responsibilities that an organisation wants to perform towards the immediate community where they operate. The circular economy can provide beneficial activities for performing CSR more actively (</w:t>
      </w:r>
      <w:r>
        <w:rPr>
          <w:color w:val="000000" w:themeColor="text1"/>
          <w:sz w:val="24"/>
          <w:szCs w:val="24"/>
          <w:highlight w:val="white"/>
        </w:rPr>
        <w:t xml:space="preserve">Morea </w:t>
      </w:r>
      <w:r>
        <w:rPr>
          <w:i/>
          <w:color w:val="000000" w:themeColor="text1"/>
          <w:sz w:val="24"/>
          <w:szCs w:val="24"/>
          <w:highlight w:val="white"/>
        </w:rPr>
        <w:t>et al.</w:t>
      </w:r>
      <w:r>
        <w:rPr>
          <w:color w:val="000000" w:themeColor="text1"/>
          <w:sz w:val="24"/>
          <w:szCs w:val="24"/>
          <w:highlight w:val="white"/>
        </w:rPr>
        <w:t>, 2023)</w:t>
      </w:r>
      <w:r>
        <w:rPr>
          <w:color w:val="000000" w:themeColor="text1"/>
          <w:sz w:val="24"/>
          <w:szCs w:val="24"/>
        </w:rPr>
        <w:t>. The use of a circular economy provides environmental sustainability to the community. The use of recycled materials from nature helps to reduce wastage in the community. The use of recycled materials also prevents carbon emissions in the community giving better places for the people to live in. The use of the circular economy therefore can develop the responsibility of the organisation to create a better place with reduced wastage and carbon emissions (</w:t>
      </w:r>
      <w:r>
        <w:rPr>
          <w:color w:val="000000" w:themeColor="text1"/>
          <w:sz w:val="24"/>
          <w:szCs w:val="24"/>
          <w:highlight w:val="white"/>
        </w:rPr>
        <w:t xml:space="preserve">Rehman Khan </w:t>
      </w:r>
      <w:r>
        <w:rPr>
          <w:i/>
          <w:color w:val="000000" w:themeColor="text1"/>
          <w:sz w:val="24"/>
          <w:szCs w:val="24"/>
          <w:highlight w:val="white"/>
        </w:rPr>
        <w:t>et al.</w:t>
      </w:r>
      <w:r>
        <w:rPr>
          <w:color w:val="000000" w:themeColor="text1"/>
          <w:sz w:val="24"/>
          <w:szCs w:val="24"/>
          <w:highlight w:val="white"/>
        </w:rPr>
        <w:t>, 2022)</w:t>
      </w:r>
      <w:r>
        <w:rPr>
          <w:color w:val="000000" w:themeColor="text1"/>
          <w:sz w:val="24"/>
          <w:szCs w:val="24"/>
        </w:rPr>
        <w:t xml:space="preserve">. The social responsibility and the environmental responsibility of the organisation towards the community are enhanced with the use of the circular economy.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The circular economy can also be advantageous for the organisation as using the existing materials from nature can help to reduce the allocated budget for the operations. The use of the circular economy can build the company’s finances, as the procurement cost would be reduced. The company would be able to use the already-used materials through recycling (</w:t>
      </w:r>
      <w:r>
        <w:rPr>
          <w:color w:val="000000" w:themeColor="text1"/>
          <w:sz w:val="24"/>
          <w:szCs w:val="24"/>
          <w:highlight w:val="white"/>
        </w:rPr>
        <w:t xml:space="preserve">da Silva </w:t>
      </w:r>
      <w:r>
        <w:rPr>
          <w:i/>
          <w:color w:val="000000" w:themeColor="text1"/>
          <w:sz w:val="24"/>
          <w:szCs w:val="24"/>
          <w:highlight w:val="white"/>
        </w:rPr>
        <w:t>et al.</w:t>
      </w:r>
      <w:r>
        <w:rPr>
          <w:color w:val="000000" w:themeColor="text1"/>
          <w:sz w:val="24"/>
          <w:szCs w:val="24"/>
          <w:highlight w:val="white"/>
        </w:rPr>
        <w:t>, 2022)</w:t>
      </w:r>
      <w:r>
        <w:rPr>
          <w:color w:val="000000" w:themeColor="text1"/>
          <w:sz w:val="24"/>
          <w:szCs w:val="24"/>
        </w:rPr>
        <w:t>. This would meet the organisational operations at a lower cost and help to reduce the wastage. The company would also be able to reduce the price of waste disposal. This would help to meet the economic value of the organisation. The use of the circular economy therefore causes cost reduction for the organisation, which can be used for research and development. The use of a circular economy creates stakeholder engagement for the organisation (</w:t>
      </w:r>
      <w:r>
        <w:rPr>
          <w:color w:val="000000" w:themeColor="text1"/>
          <w:sz w:val="24"/>
          <w:szCs w:val="24"/>
          <w:highlight w:val="white"/>
        </w:rPr>
        <w:t>Tapaninaho and Heikkinen, 2022)</w:t>
      </w:r>
      <w:r>
        <w:rPr>
          <w:color w:val="000000" w:themeColor="text1"/>
          <w:sz w:val="24"/>
          <w:szCs w:val="24"/>
        </w:rPr>
        <w:t xml:space="preserve">. The </w:t>
      </w:r>
      <w:r>
        <w:rPr>
          <w:color w:val="000000" w:themeColor="text1"/>
          <w:sz w:val="24"/>
          <w:szCs w:val="24"/>
        </w:rPr>
        <w:lastRenderedPageBreak/>
        <w:t xml:space="preserve">company can suffice the economic and environmental advantages to get appreciation from the different stakeholders. The use of the circular economy can also be advantageous for the employees who can be a part of the profit generated by the company.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The use of the circular economy also helps the community to form supply opportunities. The reuse of the materials and the recycled materials form the opportunities for the community to provide the materials to the organisations. Therefore, a network of local suppliers is created within the community. The company can also use the circular economy to form employment opportunities for the people within the community (</w:t>
      </w:r>
      <w:r>
        <w:rPr>
          <w:color w:val="000000" w:themeColor="text1"/>
          <w:sz w:val="24"/>
          <w:szCs w:val="24"/>
          <w:highlight w:val="white"/>
        </w:rPr>
        <w:t xml:space="preserve">Padilla-Rivera </w:t>
      </w:r>
      <w:r>
        <w:rPr>
          <w:i/>
          <w:color w:val="000000" w:themeColor="text1"/>
          <w:sz w:val="24"/>
          <w:szCs w:val="24"/>
          <w:highlight w:val="white"/>
        </w:rPr>
        <w:t>et al.</w:t>
      </w:r>
      <w:r>
        <w:rPr>
          <w:color w:val="000000" w:themeColor="text1"/>
          <w:sz w:val="24"/>
          <w:szCs w:val="24"/>
          <w:highlight w:val="white"/>
        </w:rPr>
        <w:t>, 2020)</w:t>
      </w:r>
      <w:r>
        <w:rPr>
          <w:color w:val="000000" w:themeColor="text1"/>
          <w:sz w:val="24"/>
          <w:szCs w:val="24"/>
        </w:rPr>
        <w:t xml:space="preserve">. The employment opportunities within the community provide brand engagement for the organisation. The use of a circular economy brings a competitive advantage for the organisation and increases brand awareness for the organisation.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The use of the circular economy within the CSR activities of the organisation also benefits the organisation in getting better support from investors and collaborators. The sustainable measures and responsible moves by the organisations lead the investors to trust the organisation and invest in the long-term plan. The development of CSR activities therefore gives the brand reputation and brand engagement to the organisations (</w:t>
      </w:r>
      <w:r>
        <w:rPr>
          <w:color w:val="000000" w:themeColor="text1"/>
          <w:sz w:val="24"/>
          <w:szCs w:val="24"/>
          <w:highlight w:val="white"/>
        </w:rPr>
        <w:t xml:space="preserve">Rehman Khan </w:t>
      </w:r>
      <w:r>
        <w:rPr>
          <w:i/>
          <w:color w:val="000000" w:themeColor="text1"/>
          <w:sz w:val="24"/>
          <w:szCs w:val="24"/>
          <w:highlight w:val="white"/>
        </w:rPr>
        <w:t>et al.</w:t>
      </w:r>
      <w:r>
        <w:rPr>
          <w:color w:val="000000" w:themeColor="text1"/>
          <w:sz w:val="24"/>
          <w:szCs w:val="24"/>
          <w:highlight w:val="white"/>
        </w:rPr>
        <w:t>, 2022)</w:t>
      </w:r>
      <w:r>
        <w:rPr>
          <w:color w:val="000000" w:themeColor="text1"/>
          <w:sz w:val="24"/>
          <w:szCs w:val="24"/>
        </w:rPr>
        <w:t xml:space="preserve">. The organisations following a circular economy within their CSR activities get support from governmental organisations. The government extend their help to get the land with an easy paper process. The use of CSR activities also helps to prevent tax evasion in different countries. Moreover, the company’s transparency regarding its sustainable motives helps to develop more sales. The consumers trust and rely on the organisation that supports sustainability and uses sustainable measures for their CSR activities. Therefore, the circular economy is related to the CSR activities of the organisation and creates a better scope for organisational development.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Marriott has been operating globally; thus, they have the responsibility to follow the sustainability measures along with the effective social responsibility. The company has aligned their CSR activities with the UN SDG goals. The company has also vouched to follow and meet the 2025 Sustainability and Social Impact Goals (</w:t>
      </w:r>
      <w:r>
        <w:rPr>
          <w:color w:val="000000" w:themeColor="text1"/>
          <w:sz w:val="24"/>
          <w:szCs w:val="24"/>
          <w:highlight w:val="white"/>
        </w:rPr>
        <w:t>Serve360.marriott, 2019)</w:t>
      </w:r>
      <w:r>
        <w:rPr>
          <w:color w:val="000000" w:themeColor="text1"/>
          <w:sz w:val="24"/>
          <w:szCs w:val="24"/>
        </w:rPr>
        <w:t xml:space="preserve">. The use of sustainable measures is also done by following the NSEW guidelines. The guidelines develop the “Nurture, Sustain, Empower, Welcome” factors within the organisation. The hotel tries to nurture the community where it operates. This has been </w:t>
      </w:r>
      <w:r>
        <w:rPr>
          <w:color w:val="000000" w:themeColor="text1"/>
          <w:sz w:val="24"/>
          <w:szCs w:val="24"/>
        </w:rPr>
        <w:lastRenderedPageBreak/>
        <w:t>done to make the place viable for living, working and visiting. The company has developed globally and so has its responsibilities increased. They have the responsibility to perform properly to meet environmental sustainability. The company tries to provide employment opportunities in the local community where it operates. Marriott understands the pressing issues of unemployment and economic resistance (</w:t>
      </w:r>
      <w:r>
        <w:rPr>
          <w:color w:val="000000" w:themeColor="text1"/>
          <w:sz w:val="24"/>
          <w:szCs w:val="24"/>
          <w:highlight w:val="white"/>
        </w:rPr>
        <w:t>Serve360.marriott, 2019)</w:t>
      </w:r>
      <w:r>
        <w:rPr>
          <w:color w:val="000000" w:themeColor="text1"/>
          <w:sz w:val="24"/>
          <w:szCs w:val="24"/>
        </w:rPr>
        <w:t xml:space="preserve">. Therefore, they want to provide equal opportunities to all skilled people to be able to find jobs within the organisation. The company welcomes the cross-cultural familiarity among the people. The company believes that travelling can increase cross-cultural acceptance and peace among people. Therefore, they promote travelling and tourism for people within the different communities.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Marriott has adopted different strategies for including a circular economy within the organisation’s sustainability policies. The organisation uses the leftover food to distribute them to charitable organisations like the orphanages, churches and other economically poor sections of the community (</w:t>
      </w:r>
      <w:r>
        <w:rPr>
          <w:color w:val="000000" w:themeColor="text1"/>
          <w:sz w:val="24"/>
          <w:szCs w:val="24"/>
          <w:highlight w:val="white"/>
        </w:rPr>
        <w:t>Serve360.marriott, 2019)</w:t>
      </w:r>
      <w:r>
        <w:rPr>
          <w:color w:val="000000" w:themeColor="text1"/>
          <w:sz w:val="24"/>
          <w:szCs w:val="24"/>
        </w:rPr>
        <w:t xml:space="preserve">. The food is not wasted. Often there are food exhibitions where the guests along with the star chefs of the hotel prepare new dishes from the leftover food materials. The company has been trying to replace the one-time-use plastic bottles in the toiletry and replace them with more sustainable bottled products. The company has also replaced the plastic water bottles from the guest’s rooms and replaced them with glass bottles that can be reused. The use of soap recycling has helped the hotel to recycle and send clean and packed soaps to the nearest communities for hygienic use. The hotel has also been using cloud-based data management and data storage systems over the vast number of hotel subsidiaries at different places. This has been implemented to reduce paper usage and the wastage of paper. The use of technological tools has led to accuracy and reduced the wastage from hotel operations. The use of the circular economy has helped Mariott develop its brand reputation as a responsible organisation and get brand engagement from different stakeholders. This has also improved the sales and revenue of the organisation. The social responsibility shown by Mariott leads to better collaborations with the investors. The organisation also gets the support of the governments for their sustainable measures.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 xml:space="preserve">The hotel industry uses the circular economy to develop better strategies to reduce wastage with the maximum number of consumers visiting the hotels. The use of the different strategies involves the receipt of the menu service earlier from the guests to prepare as much food as needed. Many of the hotels ask their guests to place their food </w:t>
      </w:r>
      <w:r>
        <w:rPr>
          <w:color w:val="000000" w:themeColor="text1"/>
          <w:sz w:val="24"/>
          <w:szCs w:val="24"/>
        </w:rPr>
        <w:lastRenderedPageBreak/>
        <w:t>orders before time. The reason for this is to cook as much quantity as has been ordered. Excessive cooking and food preparation can go wasted and lead to degradation of sustainability. Many of the hotels use the leftover food for developing their charitable activities (</w:t>
      </w:r>
      <w:r>
        <w:rPr>
          <w:color w:val="000000" w:themeColor="text1"/>
          <w:sz w:val="24"/>
          <w:szCs w:val="24"/>
          <w:highlight w:val="white"/>
        </w:rPr>
        <w:t xml:space="preserve">Amicarelli </w:t>
      </w:r>
      <w:r>
        <w:rPr>
          <w:i/>
          <w:color w:val="000000" w:themeColor="text1"/>
          <w:sz w:val="24"/>
          <w:szCs w:val="24"/>
          <w:highlight w:val="white"/>
        </w:rPr>
        <w:t>et al.,</w:t>
      </w:r>
      <w:r>
        <w:rPr>
          <w:color w:val="000000" w:themeColor="text1"/>
          <w:sz w:val="24"/>
          <w:szCs w:val="24"/>
          <w:highlight w:val="white"/>
        </w:rPr>
        <w:t xml:space="preserve"> 2022)</w:t>
      </w:r>
      <w:r>
        <w:rPr>
          <w:color w:val="000000" w:themeColor="text1"/>
          <w:sz w:val="24"/>
          <w:szCs w:val="24"/>
        </w:rPr>
        <w:t xml:space="preserve">. The food products are distributed to needy people or some organisations within the community. Sometimes some of the excess food items are used within the garden for developing natural fertilizers. The kitchen water that is left after rinsing and washing is used to water the plants. The water wastage is reduced by recycling the water and providing hydroelectricity for the functions within the hotel. </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The hotel industry has also grown aware of the proper usage of energy. Many of the hotels have installed solar panels to create electricity (</w:t>
      </w:r>
      <w:r>
        <w:rPr>
          <w:color w:val="000000" w:themeColor="text1"/>
          <w:sz w:val="24"/>
          <w:szCs w:val="24"/>
          <w:highlight w:val="white"/>
        </w:rPr>
        <w:t>Camilleri, 2021)</w:t>
      </w:r>
      <w:r>
        <w:rPr>
          <w:color w:val="000000" w:themeColor="text1"/>
          <w:sz w:val="24"/>
          <w:szCs w:val="24"/>
        </w:rPr>
        <w:t>. The energy is also saved by using online booking and data management platforms. Online booking saves paper from waste.</w:t>
      </w:r>
    </w:p>
    <w:p w:rsidR="00BB7D82" w:rsidRDefault="00BB7D82" w:rsidP="00BB7D82">
      <w:pPr>
        <w:spacing w:before="240" w:after="240" w:line="360" w:lineRule="auto"/>
        <w:jc w:val="both"/>
        <w:rPr>
          <w:color w:val="000000" w:themeColor="text1"/>
          <w:sz w:val="24"/>
          <w:szCs w:val="24"/>
        </w:rPr>
      </w:pPr>
      <w:r>
        <w:rPr>
          <w:color w:val="000000" w:themeColor="text1"/>
          <w:sz w:val="24"/>
          <w:szCs w:val="24"/>
        </w:rPr>
        <w:t xml:space="preserve">Premier Inn, for example, uses waste as a resource and diverts waste away from landfills. They also use solar energy for heating the water. IHG hotels, on the other hand, use the circular economy by developing aluminium, and brass packaging that is acquired through 100% recycling. </w:t>
      </w:r>
    </w:p>
    <w:p w:rsidR="00BB7D82" w:rsidRDefault="00BB7D82" w:rsidP="00BB7D82">
      <w:pPr>
        <w:pStyle w:val="Heading1"/>
        <w:spacing w:before="240" w:after="240"/>
        <w:rPr>
          <w:rFonts w:eastAsia="Arial"/>
          <w:color w:val="000000" w:themeColor="text1"/>
          <w:sz w:val="24"/>
          <w:szCs w:val="40"/>
        </w:rPr>
      </w:pPr>
      <w:bookmarkStart w:id="3" w:name="_Toc159322543"/>
      <w:r>
        <w:rPr>
          <w:rFonts w:eastAsia="Arial"/>
        </w:rPr>
        <w:t>Conclusion</w:t>
      </w:r>
      <w:bookmarkEnd w:id="3"/>
    </w:p>
    <w:p w:rsidR="00BB7D82" w:rsidRDefault="00BB7D82" w:rsidP="00BB7D82">
      <w:pPr>
        <w:spacing w:before="240" w:after="240" w:line="360" w:lineRule="auto"/>
        <w:jc w:val="both"/>
        <w:rPr>
          <w:color w:val="000000" w:themeColor="text1"/>
          <w:sz w:val="24"/>
          <w:szCs w:val="24"/>
        </w:rPr>
      </w:pPr>
      <w:r>
        <w:rPr>
          <w:color w:val="000000" w:themeColor="text1"/>
          <w:sz w:val="24"/>
          <w:szCs w:val="24"/>
        </w:rPr>
        <w:t xml:space="preserve">The essay has provided a detailed insight into sustainable practices within the hotel industry. The use of sustainability has been further enhanced with the introduction of the circular economy. The circular economy has not only been advantageous for environmental sustainability but also has been effective for managing economic value. The chosen industry, Marriott has also been studied to create the perspectives about Marriott’s use of the circular economy using recycled bottles, recycled toiletries, and creating charitable programs for distributing the leftover food to the needy. The use of the essay provides better ways to use circular economy. </w:t>
      </w:r>
    </w:p>
    <w:p w:rsidR="00BB7D82" w:rsidRDefault="00BB7D82" w:rsidP="00BB7D82">
      <w:pPr>
        <w:spacing w:before="240" w:after="240" w:line="360" w:lineRule="auto"/>
        <w:rPr>
          <w:color w:val="000000" w:themeColor="text1"/>
          <w:sz w:val="24"/>
          <w:szCs w:val="24"/>
        </w:rPr>
      </w:pPr>
      <w:r>
        <w:rPr>
          <w:color w:val="000000" w:themeColor="text1"/>
          <w:sz w:val="24"/>
          <w:szCs w:val="24"/>
        </w:rPr>
        <w:br w:type="page"/>
      </w:r>
    </w:p>
    <w:p w:rsidR="00BB7D82" w:rsidRDefault="00BB7D82" w:rsidP="00BB7D82">
      <w:pPr>
        <w:pStyle w:val="Heading1"/>
        <w:spacing w:before="240" w:after="240"/>
        <w:rPr>
          <w:rFonts w:eastAsia="Arial"/>
          <w:color w:val="000000" w:themeColor="text1"/>
          <w:sz w:val="24"/>
          <w:szCs w:val="40"/>
        </w:rPr>
      </w:pPr>
      <w:bookmarkStart w:id="4" w:name="_Toc159322544"/>
      <w:r>
        <w:rPr>
          <w:rFonts w:eastAsia="Arial"/>
        </w:rPr>
        <w:lastRenderedPageBreak/>
        <w:t>References</w:t>
      </w:r>
      <w:bookmarkEnd w:id="4"/>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Amicarelli, V., Aluculesei, A.C., Lagioia, G., Pamfilie, R. and Bux, C., (2022). How to manage and minimize food waste in the hotel industry: An exploratory research. </w:t>
      </w:r>
      <w:r>
        <w:rPr>
          <w:i/>
          <w:iCs/>
          <w:color w:val="000000" w:themeColor="text1"/>
          <w:sz w:val="24"/>
          <w:szCs w:val="24"/>
          <w:shd w:val="clear" w:color="auto" w:fill="FFFFFF"/>
        </w:rPr>
        <w:t>International Journal of Culture, Tourism and Hospitality Research</w:t>
      </w:r>
      <w:r>
        <w:rPr>
          <w:color w:val="000000" w:themeColor="text1"/>
          <w:sz w:val="24"/>
          <w:szCs w:val="24"/>
          <w:shd w:val="clear" w:color="auto" w:fill="FFFFFF"/>
        </w:rPr>
        <w:t>, </w:t>
      </w:r>
      <w:r>
        <w:rPr>
          <w:i/>
          <w:iCs/>
          <w:color w:val="000000" w:themeColor="text1"/>
          <w:sz w:val="24"/>
          <w:szCs w:val="24"/>
          <w:shd w:val="clear" w:color="auto" w:fill="FFFFFF"/>
        </w:rPr>
        <w:t>16</w:t>
      </w:r>
      <w:r>
        <w:rPr>
          <w:color w:val="000000" w:themeColor="text1"/>
          <w:sz w:val="24"/>
          <w:szCs w:val="24"/>
          <w:shd w:val="clear" w:color="auto" w:fill="FFFFFF"/>
        </w:rPr>
        <w:t>(1), pp.152-167.</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Camilleri, M.A., (2021). Sustainable production and consumption of food. Mise-en-place circular economy policies and waste management practices in tourism cities. </w:t>
      </w:r>
      <w:r>
        <w:rPr>
          <w:i/>
          <w:iCs/>
          <w:color w:val="000000" w:themeColor="text1"/>
          <w:sz w:val="24"/>
          <w:szCs w:val="24"/>
          <w:shd w:val="clear" w:color="auto" w:fill="FFFFFF"/>
        </w:rPr>
        <w:t>Sustainability</w:t>
      </w:r>
      <w:r>
        <w:rPr>
          <w:color w:val="000000" w:themeColor="text1"/>
          <w:sz w:val="24"/>
          <w:szCs w:val="24"/>
          <w:shd w:val="clear" w:color="auto" w:fill="FFFFFF"/>
        </w:rPr>
        <w:t>, </w:t>
      </w:r>
      <w:r>
        <w:rPr>
          <w:i/>
          <w:iCs/>
          <w:color w:val="000000" w:themeColor="text1"/>
          <w:sz w:val="24"/>
          <w:szCs w:val="24"/>
          <w:shd w:val="clear" w:color="auto" w:fill="FFFFFF"/>
        </w:rPr>
        <w:t>13</w:t>
      </w:r>
      <w:r>
        <w:rPr>
          <w:color w:val="000000" w:themeColor="text1"/>
          <w:sz w:val="24"/>
          <w:szCs w:val="24"/>
          <w:shd w:val="clear" w:color="auto" w:fill="FFFFFF"/>
        </w:rPr>
        <w:t>(17), p.9986.</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da Silva, D.J.C., Schaefer, J.L., Baierle, I.C., da Veiga, C.P. and Júnior, A.N., (2022). Proposition of the waste management model. </w:t>
      </w:r>
      <w:r>
        <w:rPr>
          <w:i/>
          <w:iCs/>
          <w:color w:val="000000" w:themeColor="text1"/>
          <w:sz w:val="24"/>
          <w:szCs w:val="24"/>
          <w:shd w:val="clear" w:color="auto" w:fill="FFFFFF"/>
        </w:rPr>
        <w:t>Resources, Conservation &amp; Recycling Advances</w:t>
      </w:r>
      <w:r>
        <w:rPr>
          <w:color w:val="000000" w:themeColor="text1"/>
          <w:sz w:val="24"/>
          <w:szCs w:val="24"/>
          <w:shd w:val="clear" w:color="auto" w:fill="FFFFFF"/>
        </w:rPr>
        <w:t>, </w:t>
      </w:r>
      <w:r>
        <w:rPr>
          <w:i/>
          <w:iCs/>
          <w:color w:val="000000" w:themeColor="text1"/>
          <w:sz w:val="24"/>
          <w:szCs w:val="24"/>
          <w:shd w:val="clear" w:color="auto" w:fill="FFFFFF"/>
        </w:rPr>
        <w:t>15</w:t>
      </w:r>
      <w:r>
        <w:rPr>
          <w:color w:val="000000" w:themeColor="text1"/>
          <w:sz w:val="24"/>
          <w:szCs w:val="24"/>
          <w:shd w:val="clear" w:color="auto" w:fill="FFFFFF"/>
        </w:rPr>
        <w:t>, p.200114.</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Morea, D., Fortunati, S., Cappa, F. and Oriani, R., (2023). Corporate social responsibility as a catalyst of circular economy? A case study perspective in Agri-food. </w:t>
      </w:r>
      <w:r>
        <w:rPr>
          <w:i/>
          <w:iCs/>
          <w:color w:val="000000" w:themeColor="text1"/>
          <w:sz w:val="24"/>
          <w:szCs w:val="24"/>
          <w:shd w:val="clear" w:color="auto" w:fill="FFFFFF"/>
        </w:rPr>
        <w:t>Journal of Knowledge Management</w:t>
      </w:r>
      <w:r>
        <w:rPr>
          <w:color w:val="000000" w:themeColor="text1"/>
          <w:sz w:val="24"/>
          <w:szCs w:val="24"/>
          <w:shd w:val="clear" w:color="auto" w:fill="FFFFFF"/>
        </w:rPr>
        <w:t>, </w:t>
      </w:r>
      <w:r>
        <w:rPr>
          <w:i/>
          <w:iCs/>
          <w:color w:val="000000" w:themeColor="text1"/>
          <w:sz w:val="24"/>
          <w:szCs w:val="24"/>
          <w:shd w:val="clear" w:color="auto" w:fill="FFFFFF"/>
        </w:rPr>
        <w:t>27</w:t>
      </w:r>
      <w:r>
        <w:rPr>
          <w:color w:val="000000" w:themeColor="text1"/>
          <w:sz w:val="24"/>
          <w:szCs w:val="24"/>
          <w:shd w:val="clear" w:color="auto" w:fill="FFFFFF"/>
        </w:rPr>
        <w:t>(7), pp.1787-1809.</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Moshtari, M., Altay, N., Heikkilä, J. and Gonçalves, P., (2021). Procurement in humanitarian organizations: Body of knowledge and practitioner's challenges. </w:t>
      </w:r>
      <w:r>
        <w:rPr>
          <w:i/>
          <w:iCs/>
          <w:color w:val="000000" w:themeColor="text1"/>
          <w:sz w:val="24"/>
          <w:szCs w:val="24"/>
          <w:shd w:val="clear" w:color="auto" w:fill="FFFFFF"/>
        </w:rPr>
        <w:t>International Journal of Production Economics</w:t>
      </w:r>
      <w:r>
        <w:rPr>
          <w:color w:val="000000" w:themeColor="text1"/>
          <w:sz w:val="24"/>
          <w:szCs w:val="24"/>
          <w:shd w:val="clear" w:color="auto" w:fill="FFFFFF"/>
        </w:rPr>
        <w:t>, </w:t>
      </w:r>
      <w:r>
        <w:rPr>
          <w:i/>
          <w:iCs/>
          <w:color w:val="000000" w:themeColor="text1"/>
          <w:sz w:val="24"/>
          <w:szCs w:val="24"/>
          <w:shd w:val="clear" w:color="auto" w:fill="FFFFFF"/>
        </w:rPr>
        <w:t>233</w:t>
      </w:r>
      <w:r>
        <w:rPr>
          <w:color w:val="000000" w:themeColor="text1"/>
          <w:sz w:val="24"/>
          <w:szCs w:val="24"/>
          <w:shd w:val="clear" w:color="auto" w:fill="FFFFFF"/>
        </w:rPr>
        <w:t>, p.108017.</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Padilla-Rivera, A., Russo-Garrido, S. and Merveille, N., (2020). Addressing the social aspects of a circular economy: A systematic literature review. </w:t>
      </w:r>
      <w:r>
        <w:rPr>
          <w:i/>
          <w:iCs/>
          <w:color w:val="000000" w:themeColor="text1"/>
          <w:sz w:val="24"/>
          <w:szCs w:val="24"/>
          <w:shd w:val="clear" w:color="auto" w:fill="FFFFFF"/>
        </w:rPr>
        <w:t>Sustainability</w:t>
      </w:r>
      <w:r>
        <w:rPr>
          <w:color w:val="000000" w:themeColor="text1"/>
          <w:sz w:val="24"/>
          <w:szCs w:val="24"/>
          <w:shd w:val="clear" w:color="auto" w:fill="FFFFFF"/>
        </w:rPr>
        <w:t>, </w:t>
      </w:r>
      <w:r>
        <w:rPr>
          <w:i/>
          <w:iCs/>
          <w:color w:val="000000" w:themeColor="text1"/>
          <w:sz w:val="24"/>
          <w:szCs w:val="24"/>
          <w:shd w:val="clear" w:color="auto" w:fill="FFFFFF"/>
        </w:rPr>
        <w:t>12</w:t>
      </w:r>
      <w:r>
        <w:rPr>
          <w:color w:val="000000" w:themeColor="text1"/>
          <w:sz w:val="24"/>
          <w:szCs w:val="24"/>
          <w:shd w:val="clear" w:color="auto" w:fill="FFFFFF"/>
        </w:rPr>
        <w:t>(19), p.7912.</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Rehman Khan, S.A., Yu, Z., Sarwat, S., Godil, D.I., Amin, S. and Shujaat, S., (2022). The role of block chain technology in circular economy practices to improve organisational performance. </w:t>
      </w:r>
      <w:r>
        <w:rPr>
          <w:i/>
          <w:iCs/>
          <w:color w:val="000000" w:themeColor="text1"/>
          <w:sz w:val="24"/>
          <w:szCs w:val="24"/>
          <w:shd w:val="clear" w:color="auto" w:fill="FFFFFF"/>
        </w:rPr>
        <w:t>International Journal of Logistics Research and Applications</w:t>
      </w:r>
      <w:r>
        <w:rPr>
          <w:color w:val="000000" w:themeColor="text1"/>
          <w:sz w:val="24"/>
          <w:szCs w:val="24"/>
          <w:shd w:val="clear" w:color="auto" w:fill="FFFFFF"/>
        </w:rPr>
        <w:t>, </w:t>
      </w:r>
      <w:r>
        <w:rPr>
          <w:i/>
          <w:iCs/>
          <w:color w:val="000000" w:themeColor="text1"/>
          <w:sz w:val="24"/>
          <w:szCs w:val="24"/>
          <w:shd w:val="clear" w:color="auto" w:fill="FFFFFF"/>
        </w:rPr>
        <w:t>25</w:t>
      </w:r>
      <w:r>
        <w:rPr>
          <w:color w:val="000000" w:themeColor="text1"/>
          <w:sz w:val="24"/>
          <w:szCs w:val="24"/>
          <w:shd w:val="clear" w:color="auto" w:fill="FFFFFF"/>
        </w:rPr>
        <w:t>(4-5), pp.605-622.</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Rodríguez, C., Florido, C. and Jacob, M., (2020). Circular economy contributions to the tourism sector: A critical literature review. </w:t>
      </w:r>
      <w:r>
        <w:rPr>
          <w:i/>
          <w:iCs/>
          <w:color w:val="000000" w:themeColor="text1"/>
          <w:sz w:val="24"/>
          <w:szCs w:val="24"/>
          <w:shd w:val="clear" w:color="auto" w:fill="FFFFFF"/>
        </w:rPr>
        <w:t>Sustainability</w:t>
      </w:r>
      <w:r>
        <w:rPr>
          <w:color w:val="000000" w:themeColor="text1"/>
          <w:sz w:val="24"/>
          <w:szCs w:val="24"/>
          <w:shd w:val="clear" w:color="auto" w:fill="FFFFFF"/>
        </w:rPr>
        <w:t>, </w:t>
      </w:r>
      <w:r>
        <w:rPr>
          <w:i/>
          <w:iCs/>
          <w:color w:val="000000" w:themeColor="text1"/>
          <w:sz w:val="24"/>
          <w:szCs w:val="24"/>
          <w:shd w:val="clear" w:color="auto" w:fill="FFFFFF"/>
        </w:rPr>
        <w:t>12</w:t>
      </w:r>
      <w:r>
        <w:rPr>
          <w:color w:val="000000" w:themeColor="text1"/>
          <w:sz w:val="24"/>
          <w:szCs w:val="24"/>
          <w:shd w:val="clear" w:color="auto" w:fill="FFFFFF"/>
        </w:rPr>
        <w:t>(11), p.4338.</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 xml:space="preserve">Serve360.marriott, (2019). </w:t>
      </w:r>
      <w:r>
        <w:rPr>
          <w:i/>
          <w:iCs/>
          <w:color w:val="000000" w:themeColor="text1"/>
          <w:sz w:val="24"/>
          <w:szCs w:val="24"/>
          <w:shd w:val="clear" w:color="auto" w:fill="FFFFFF"/>
        </w:rPr>
        <w:t>Serve 360</w:t>
      </w:r>
      <w:r>
        <w:rPr>
          <w:color w:val="000000" w:themeColor="text1"/>
          <w:sz w:val="24"/>
          <w:szCs w:val="24"/>
          <w:shd w:val="clear" w:color="auto" w:fill="FFFFFF"/>
        </w:rPr>
        <w:t xml:space="preserve">. Available at: </w:t>
      </w:r>
      <w:hyperlink r:id="rId13" w:history="1">
        <w:r>
          <w:rPr>
            <w:rStyle w:val="Hyperlink"/>
            <w:color w:val="000000" w:themeColor="text1"/>
            <w:sz w:val="24"/>
            <w:szCs w:val="24"/>
            <w:shd w:val="clear" w:color="auto" w:fill="FFFFFF"/>
          </w:rPr>
          <w:t>https://serve360.marriott.com/</w:t>
        </w:r>
      </w:hyperlink>
      <w:r>
        <w:rPr>
          <w:color w:val="000000" w:themeColor="text1"/>
          <w:sz w:val="24"/>
          <w:szCs w:val="24"/>
          <w:shd w:val="clear" w:color="auto" w:fill="FFFFFF"/>
        </w:rPr>
        <w:t xml:space="preserve"> [Accessed on 20/02/2023]</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lastRenderedPageBreak/>
        <w:t>Su, C. and Urban, F., (2021). Circular economy for clean energy transitions: A new opportunity under the COVID-19 pandemic. </w:t>
      </w:r>
      <w:r>
        <w:rPr>
          <w:i/>
          <w:iCs/>
          <w:color w:val="000000" w:themeColor="text1"/>
          <w:sz w:val="24"/>
          <w:szCs w:val="24"/>
          <w:shd w:val="clear" w:color="auto" w:fill="FFFFFF"/>
        </w:rPr>
        <w:t>Applied Energy</w:t>
      </w:r>
      <w:r>
        <w:rPr>
          <w:color w:val="000000" w:themeColor="text1"/>
          <w:sz w:val="24"/>
          <w:szCs w:val="24"/>
          <w:shd w:val="clear" w:color="auto" w:fill="FFFFFF"/>
        </w:rPr>
        <w:t>, </w:t>
      </w:r>
      <w:r>
        <w:rPr>
          <w:i/>
          <w:iCs/>
          <w:color w:val="000000" w:themeColor="text1"/>
          <w:sz w:val="24"/>
          <w:szCs w:val="24"/>
          <w:shd w:val="clear" w:color="auto" w:fill="FFFFFF"/>
        </w:rPr>
        <w:t>289</w:t>
      </w:r>
      <w:r>
        <w:rPr>
          <w:color w:val="000000" w:themeColor="text1"/>
          <w:sz w:val="24"/>
          <w:szCs w:val="24"/>
          <w:shd w:val="clear" w:color="auto" w:fill="FFFFFF"/>
        </w:rPr>
        <w:t>, p.116666.</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Tapaninaho, R. and Heikkinen, A., (2022). Value creation in circular economy business for sustainability: A stakeholder relationship perspective. </w:t>
      </w:r>
      <w:r>
        <w:rPr>
          <w:i/>
          <w:iCs/>
          <w:color w:val="000000" w:themeColor="text1"/>
          <w:sz w:val="24"/>
          <w:szCs w:val="24"/>
          <w:shd w:val="clear" w:color="auto" w:fill="FFFFFF"/>
        </w:rPr>
        <w:t>Business Strategy and the Environment</w:t>
      </w:r>
      <w:r>
        <w:rPr>
          <w:color w:val="000000" w:themeColor="text1"/>
          <w:sz w:val="24"/>
          <w:szCs w:val="24"/>
          <w:shd w:val="clear" w:color="auto" w:fill="FFFFFF"/>
        </w:rPr>
        <w:t>, </w:t>
      </w:r>
      <w:r>
        <w:rPr>
          <w:i/>
          <w:iCs/>
          <w:color w:val="000000" w:themeColor="text1"/>
          <w:sz w:val="24"/>
          <w:szCs w:val="24"/>
          <w:shd w:val="clear" w:color="auto" w:fill="FFFFFF"/>
        </w:rPr>
        <w:t>31</w:t>
      </w:r>
      <w:r>
        <w:rPr>
          <w:color w:val="000000" w:themeColor="text1"/>
          <w:sz w:val="24"/>
          <w:szCs w:val="24"/>
          <w:shd w:val="clear" w:color="auto" w:fill="FFFFFF"/>
        </w:rPr>
        <w:t>(6), pp.2728-2740.</w:t>
      </w:r>
    </w:p>
    <w:p w:rsidR="00BB7D82" w:rsidRDefault="00BB7D82" w:rsidP="00BB7D82">
      <w:pPr>
        <w:spacing w:before="240" w:after="240" w:line="360" w:lineRule="auto"/>
        <w:jc w:val="both"/>
        <w:rPr>
          <w:color w:val="000000" w:themeColor="text1"/>
          <w:sz w:val="24"/>
          <w:szCs w:val="24"/>
          <w:shd w:val="clear" w:color="auto" w:fill="FFFFFF"/>
        </w:rPr>
      </w:pPr>
      <w:r>
        <w:rPr>
          <w:color w:val="000000" w:themeColor="text1"/>
          <w:sz w:val="24"/>
          <w:szCs w:val="24"/>
          <w:shd w:val="clear" w:color="auto" w:fill="FFFFFF"/>
        </w:rPr>
        <w:t>van den Bergh, J.C., (2020). Six policy perspectives on the future of a semi-circular economy. </w:t>
      </w:r>
      <w:r>
        <w:rPr>
          <w:i/>
          <w:iCs/>
          <w:color w:val="000000" w:themeColor="text1"/>
          <w:sz w:val="24"/>
          <w:szCs w:val="24"/>
          <w:shd w:val="clear" w:color="auto" w:fill="FFFFFF"/>
        </w:rPr>
        <w:t>Resources, Conservation and Recycling</w:t>
      </w:r>
      <w:r>
        <w:rPr>
          <w:color w:val="000000" w:themeColor="text1"/>
          <w:sz w:val="24"/>
          <w:szCs w:val="24"/>
          <w:shd w:val="clear" w:color="auto" w:fill="FFFFFF"/>
        </w:rPr>
        <w:t>, </w:t>
      </w:r>
      <w:r>
        <w:rPr>
          <w:i/>
          <w:iCs/>
          <w:color w:val="000000" w:themeColor="text1"/>
          <w:sz w:val="24"/>
          <w:szCs w:val="24"/>
          <w:shd w:val="clear" w:color="auto" w:fill="FFFFFF"/>
        </w:rPr>
        <w:t>160</w:t>
      </w:r>
      <w:r>
        <w:rPr>
          <w:color w:val="000000" w:themeColor="text1"/>
          <w:sz w:val="24"/>
          <w:szCs w:val="24"/>
          <w:shd w:val="clear" w:color="auto" w:fill="FFFFFF"/>
        </w:rPr>
        <w:t>, p.104898.</w:t>
      </w:r>
    </w:p>
    <w:p w:rsidR="00314EDE" w:rsidRDefault="00314EDE"/>
    <w:sectPr w:rsidR="00314EDE" w:rsidSect="0006271E">
      <w:footerReference w:type="even" r:id="rId14"/>
      <w:footerReference w:type="default" r:id="rId15"/>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7D82" w:rsidRDefault="00BB7D82" w:rsidP="0006271E">
      <w:r>
        <w:separator/>
      </w:r>
    </w:p>
  </w:endnote>
  <w:endnote w:type="continuationSeparator" w:id="0">
    <w:p w:rsidR="00BB7D82" w:rsidRDefault="00BB7D82"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76420444"/>
      <w:docPartObj>
        <w:docPartGallery w:val="Page Numbers (Bottom of Page)"/>
        <w:docPartUnique/>
      </w:docPartObj>
    </w:sdtPr>
    <w:sdtEndPr>
      <w:rPr>
        <w:rStyle w:val="PageNumber"/>
      </w:rPr>
    </w:sdtEndPr>
    <w:sdtContent>
      <w:p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96635694"/>
      <w:docPartObj>
        <w:docPartGallery w:val="Page Numbers (Bottom of Page)"/>
        <w:docPartUnique/>
      </w:docPartObj>
    </w:sdtPr>
    <w:sdtEndPr>
      <w:rPr>
        <w:rStyle w:val="PageNumber"/>
      </w:rPr>
    </w:sdtEndPr>
    <w:sdtContent>
      <w:p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BB7D82">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7D82" w:rsidRDefault="00BB7D82" w:rsidP="0006271E">
      <w:r>
        <w:separator/>
      </w:r>
    </w:p>
  </w:footnote>
  <w:footnote w:type="continuationSeparator" w:id="0">
    <w:p w:rsidR="00BB7D82" w:rsidRDefault="00BB7D82" w:rsidP="0006271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7D82"/>
    <w:rsid w:val="00017B10"/>
    <w:rsid w:val="00056442"/>
    <w:rsid w:val="0006271E"/>
    <w:rsid w:val="000B5D29"/>
    <w:rsid w:val="000D54C3"/>
    <w:rsid w:val="00173543"/>
    <w:rsid w:val="001E06EE"/>
    <w:rsid w:val="00314EDE"/>
    <w:rsid w:val="00370139"/>
    <w:rsid w:val="004C7F2B"/>
    <w:rsid w:val="005120A6"/>
    <w:rsid w:val="005276A8"/>
    <w:rsid w:val="00537DAC"/>
    <w:rsid w:val="005D4907"/>
    <w:rsid w:val="00667CD7"/>
    <w:rsid w:val="006748DB"/>
    <w:rsid w:val="006C60E6"/>
    <w:rsid w:val="00715806"/>
    <w:rsid w:val="0081410C"/>
    <w:rsid w:val="00815D34"/>
    <w:rsid w:val="00834654"/>
    <w:rsid w:val="00856259"/>
    <w:rsid w:val="008A5F4C"/>
    <w:rsid w:val="00952F7D"/>
    <w:rsid w:val="00A32309"/>
    <w:rsid w:val="00A45A59"/>
    <w:rsid w:val="00A45BDD"/>
    <w:rsid w:val="00A6381B"/>
    <w:rsid w:val="00A76F40"/>
    <w:rsid w:val="00A82D92"/>
    <w:rsid w:val="00A83EF7"/>
    <w:rsid w:val="00AA7317"/>
    <w:rsid w:val="00B864BA"/>
    <w:rsid w:val="00BB7D82"/>
    <w:rsid w:val="00BE02BB"/>
    <w:rsid w:val="00D62CAD"/>
    <w:rsid w:val="00D64ACC"/>
    <w:rsid w:val="00D85677"/>
    <w:rsid w:val="00E8561E"/>
    <w:rsid w:val="00ED38DD"/>
    <w:rsid w:val="00F00CEE"/>
    <w:rsid w:val="00FC5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85C8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BB7D82"/>
    <w:pPr>
      <w:spacing w:line="276" w:lineRule="auto"/>
    </w:pPr>
    <w:rPr>
      <w:rFonts w:ascii="Arial" w:eastAsia="Arial" w:hAnsi="Arial" w:cs="Arial"/>
      <w:sz w:val="22"/>
      <w:szCs w:val="22"/>
      <w:lang w:val="en-GB" w:eastAsia="en-IN"/>
    </w:rPr>
  </w:style>
  <w:style w:type="paragraph" w:styleId="Heading1">
    <w:name w:val="heading 1"/>
    <w:basedOn w:val="Heading3"/>
    <w:next w:val="Normal"/>
    <w:link w:val="Heading1Char"/>
    <w:uiPriority w:val="9"/>
    <w:qFormat/>
    <w:rsid w:val="00537DAC"/>
    <w:pPr>
      <w:outlineLvl w:val="0"/>
    </w:pPr>
  </w:style>
  <w:style w:type="paragraph" w:styleId="Heading2">
    <w:name w:val="heading 2"/>
    <w:basedOn w:val="Heading3"/>
    <w:next w:val="Normal"/>
    <w:link w:val="Heading2Char"/>
    <w:uiPriority w:val="1"/>
    <w:qFormat/>
    <w:rsid w:val="00537DAC"/>
    <w:pPr>
      <w:outlineLvl w:val="1"/>
    </w:pPr>
    <w:rPr>
      <w:color w:val="EED0C6" w:themeColor="accent3"/>
    </w:rPr>
  </w:style>
  <w:style w:type="paragraph" w:styleId="Heading3">
    <w:name w:val="heading 3"/>
    <w:basedOn w:val="Normal"/>
    <w:next w:val="Normal"/>
    <w:link w:val="Heading3Char"/>
    <w:uiPriority w:val="2"/>
    <w:qFormat/>
    <w:rsid w:val="00F00CEE"/>
    <w:pPr>
      <w:keepNext/>
      <w:keepLines/>
      <w:spacing w:before="40" w:line="240" w:lineRule="auto"/>
      <w:outlineLvl w:val="2"/>
    </w:pPr>
    <w:rPr>
      <w:rFonts w:asciiTheme="majorHAnsi" w:eastAsiaTheme="majorEastAsia" w:hAnsiTheme="majorHAnsi" w:cstheme="majorBidi"/>
      <w:color w:val="24344E" w:themeColor="accent1"/>
      <w:sz w:val="36"/>
      <w:szCs w:val="24"/>
      <w:lang w:val="en-US" w:eastAsia="en-US"/>
    </w:rPr>
  </w:style>
  <w:style w:type="paragraph" w:styleId="Heading4">
    <w:name w:val="heading 4"/>
    <w:basedOn w:val="Normal"/>
    <w:next w:val="Normal"/>
    <w:link w:val="Heading4Char"/>
    <w:uiPriority w:val="3"/>
    <w:qFormat/>
    <w:rsid w:val="00F00CEE"/>
    <w:pPr>
      <w:keepNext/>
      <w:keepLines/>
      <w:spacing w:before="40" w:line="240" w:lineRule="auto"/>
      <w:outlineLvl w:val="3"/>
    </w:pPr>
    <w:rPr>
      <w:rFonts w:asciiTheme="minorHAnsi" w:eastAsiaTheme="majorEastAsia" w:hAnsiTheme="minorHAnsi" w:cstheme="majorBidi"/>
      <w:i/>
      <w:iCs/>
      <w:color w:val="24344E" w:themeColor="accent1"/>
      <w:sz w:val="32"/>
      <w:szCs w:val="24"/>
      <w:lang w:val="en-US" w:eastAsia="en-US"/>
    </w:rPr>
  </w:style>
  <w:style w:type="paragraph" w:styleId="Heading5">
    <w:name w:val="heading 5"/>
    <w:basedOn w:val="Normal"/>
    <w:next w:val="Normal"/>
    <w:link w:val="Heading5Char"/>
    <w:uiPriority w:val="4"/>
    <w:qFormat/>
    <w:rsid w:val="00A45BDD"/>
    <w:pPr>
      <w:keepNext/>
      <w:keepLines/>
      <w:spacing w:line="240" w:lineRule="auto"/>
      <w:ind w:right="284"/>
      <w:outlineLvl w:val="4"/>
    </w:pPr>
    <w:rPr>
      <w:rFonts w:asciiTheme="minorHAnsi" w:eastAsiaTheme="majorEastAsia" w:hAnsiTheme="minorHAnsi" w:cstheme="majorBidi"/>
      <w:b/>
      <w:i/>
      <w:color w:val="24344E" w:themeColor="accent1"/>
      <w:sz w:val="68"/>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pPr>
      <w:spacing w:line="240" w:lineRule="auto"/>
    </w:pPr>
    <w:rPr>
      <w:rFonts w:asciiTheme="minorHAnsi" w:eastAsiaTheme="minorHAnsi" w:hAnsiTheme="minorHAnsi" w:cstheme="minorBidi"/>
      <w:sz w:val="10"/>
      <w:szCs w:val="24"/>
      <w:lang w:val="en-US" w:eastAsia="en-US"/>
    </w:rPr>
  </w:style>
  <w:style w:type="paragraph" w:styleId="BalloonText">
    <w:name w:val="Balloon Text"/>
    <w:basedOn w:val="Normal"/>
    <w:link w:val="BalloonTextChar"/>
    <w:uiPriority w:val="99"/>
    <w:semiHidden/>
    <w:rsid w:val="005276A8"/>
    <w:pPr>
      <w:spacing w:line="240" w:lineRule="auto"/>
    </w:pPr>
    <w:rPr>
      <w:rFonts w:ascii="Times New Roman" w:eastAsiaTheme="minorHAnsi" w:hAnsi="Times New Roman" w:cs="Times New Roman"/>
      <w:sz w:val="18"/>
      <w:szCs w:val="18"/>
      <w:lang w:val="en-US" w:eastAsia="en-US"/>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537DAC"/>
    <w:rPr>
      <w:rFonts w:asciiTheme="majorHAnsi" w:eastAsiaTheme="majorEastAsia" w:hAnsiTheme="majorHAnsi" w:cstheme="majorBidi"/>
      <w:color w:val="EED0C6" w:themeColor="accent3"/>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pPr>
      <w:spacing w:line="240" w:lineRule="auto"/>
    </w:pPr>
    <w:rPr>
      <w:rFonts w:asciiTheme="minorHAnsi" w:eastAsiaTheme="minorHAnsi" w:hAnsiTheme="minorHAnsi" w:cstheme="minorBidi"/>
      <w:i/>
      <w:color w:val="000000" w:themeColor="text1"/>
      <w:sz w:val="28"/>
      <w:szCs w:val="24"/>
      <w:lang w:val="en-US" w:eastAsia="en-US"/>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spacing w:line="240" w:lineRule="auto"/>
    </w:pPr>
    <w:rPr>
      <w:rFonts w:asciiTheme="minorHAnsi" w:eastAsiaTheme="minorHAnsi" w:hAnsiTheme="minorHAnsi" w:cstheme="minorBidi"/>
      <w:sz w:val="24"/>
      <w:szCs w:val="24"/>
      <w:lang w:val="en-US" w:eastAsia="en-US"/>
    </w:r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spacing w:line="240" w:lineRule="auto"/>
      <w:jc w:val="right"/>
    </w:pPr>
    <w:rPr>
      <w:rFonts w:ascii="Rockwell" w:eastAsiaTheme="minorHAnsi" w:hAnsi="Rockwell" w:cstheme="minorBidi"/>
      <w:color w:val="000000" w:themeColor="text1"/>
      <w:sz w:val="20"/>
      <w:szCs w:val="24"/>
      <w:lang w:val="en-US" w:eastAsia="en-US"/>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line="240" w:lineRule="auto"/>
      <w:ind w:left="1134" w:right="1134"/>
      <w:jc w:val="center"/>
    </w:pPr>
    <w:rPr>
      <w:rFonts w:asciiTheme="majorHAnsi" w:eastAsiaTheme="minorHAnsi" w:hAnsiTheme="majorHAnsi" w:cstheme="minorBidi"/>
      <w:i/>
      <w:iCs/>
      <w:color w:val="24344E" w:themeColor="accent1"/>
      <w:sz w:val="80"/>
      <w:szCs w:val="24"/>
      <w:lang w:val="en-US" w:eastAsia="en-US"/>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spacing w:line="240" w:lineRule="auto"/>
      <w:jc w:val="center"/>
    </w:pPr>
    <w:rPr>
      <w:rFonts w:asciiTheme="majorHAnsi" w:eastAsiaTheme="majorEastAsia" w:hAnsiTheme="majorHAnsi" w:cstheme="majorBidi"/>
      <w:color w:val="24344E" w:themeColor="accent1"/>
      <w:sz w:val="80"/>
      <w:szCs w:val="24"/>
      <w:lang w:val="en-US" w:eastAsia="en-US"/>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pPr>
      <w:spacing w:line="240" w:lineRule="auto"/>
    </w:pPr>
    <w:rPr>
      <w:rFonts w:asciiTheme="minorHAnsi" w:eastAsiaTheme="minorHAnsi" w:hAnsiTheme="minorHAnsi" w:cstheme="minorBidi"/>
      <w:i/>
      <w:sz w:val="42"/>
      <w:szCs w:val="24"/>
      <w:lang w:val="en-US" w:eastAsia="en-US"/>
    </w:rPr>
  </w:style>
  <w:style w:type="character" w:customStyle="1" w:styleId="SubtitleChar">
    <w:name w:val="Subtitle Char"/>
    <w:basedOn w:val="DefaultParagraphFont"/>
    <w:link w:val="Subtitle"/>
    <w:uiPriority w:val="11"/>
    <w:rsid w:val="00537DAC"/>
    <w:rPr>
      <w:i/>
      <w:sz w:val="42"/>
    </w:rPr>
  </w:style>
  <w:style w:type="character" w:styleId="Hyperlink">
    <w:name w:val="Hyperlink"/>
    <w:basedOn w:val="DefaultParagraphFont"/>
    <w:uiPriority w:val="99"/>
    <w:semiHidden/>
    <w:unhideWhenUsed/>
    <w:rsid w:val="00BB7D82"/>
    <w:rPr>
      <w:color w:val="0000FF" w:themeColor="hyperlink"/>
      <w:u w:val="single"/>
    </w:rPr>
  </w:style>
  <w:style w:type="paragraph" w:styleId="TOC1">
    <w:name w:val="toc 1"/>
    <w:basedOn w:val="Normal"/>
    <w:next w:val="Normal"/>
    <w:autoRedefine/>
    <w:uiPriority w:val="39"/>
    <w:semiHidden/>
    <w:unhideWhenUsed/>
    <w:rsid w:val="00BB7D82"/>
    <w:pPr>
      <w:spacing w:after="100"/>
    </w:pPr>
  </w:style>
  <w:style w:type="paragraph" w:styleId="TOCHeading">
    <w:name w:val="TOC Heading"/>
    <w:basedOn w:val="Heading1"/>
    <w:next w:val="Normal"/>
    <w:uiPriority w:val="39"/>
    <w:semiHidden/>
    <w:unhideWhenUsed/>
    <w:qFormat/>
    <w:rsid w:val="00BB7D82"/>
    <w:pPr>
      <w:spacing w:before="240" w:line="256" w:lineRule="auto"/>
      <w:outlineLvl w:val="9"/>
    </w:pPr>
    <w:rPr>
      <w:color w:val="1B263A"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3373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rve360.marriott.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file:///C:\Users\steakonsix\AppData\Local\Microsoft\Windows\INetCache\Content.Outlook\QONIUP7J\Sustainable%20Hospitality%20%20Tourism%20Management%20Copy%202.docx"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steakonsix\AppData\Local\Microsoft\Windows\INetCache\Content.Outlook\QONIUP7J\Sustainable%20Hospitality%20%20Tourism%20Management%20Copy%202.docx"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file:///C:\Users\steakonsix\AppData\Local\Microsoft\Windows\INetCache\Content.Outlook\QONIUP7J\Sustainable%20Hospitality%20%20Tourism%20Management%20Copy%202.docx" TargetMode="External"/><Relationship Id="rId4" Type="http://schemas.openxmlformats.org/officeDocument/2006/relationships/styles" Target="styles.xml"/><Relationship Id="rId9" Type="http://schemas.openxmlformats.org/officeDocument/2006/relationships/hyperlink" Target="file:///C:\Users\steakonsix\AppData\Local\Microsoft\Windows\INetCache\Content.Outlook\QONIUP7J\Sustainable%20Hospitality%20%20Tourism%20Management%20Copy%202.docx"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akonsix\AppData\Roaming\Microsoft\Templates\Classic%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61CB5E221845EAA9FDC08F95733EEF">
    <w:name w:val="4861CB5E221845EAA9FDC08F95733EEF"/>
  </w:style>
  <w:style w:type="paragraph" w:customStyle="1" w:styleId="D922730DAD6241BABC25D5C55892EA27">
    <w:name w:val="D922730DAD6241BABC25D5C55892EA27"/>
  </w:style>
  <w:style w:type="paragraph" w:customStyle="1" w:styleId="98E52BC161C24BB199117E3973B75FF6">
    <w:name w:val="98E52BC161C24BB199117E3973B75FF6"/>
  </w:style>
  <w:style w:type="paragraph" w:customStyle="1" w:styleId="B430D59465BF4927A282B5A263CFEB83">
    <w:name w:val="B430D59465BF4927A282B5A263CFEB83"/>
  </w:style>
  <w:style w:type="paragraph" w:customStyle="1" w:styleId="5391AAB7FB1A47729E1A9FBC3CC14188">
    <w:name w:val="5391AAB7FB1A47729E1A9FBC3CC14188"/>
  </w:style>
  <w:style w:type="paragraph" w:customStyle="1" w:styleId="786DC06D488545E092896B407A0B7B51">
    <w:name w:val="786DC06D488545E092896B407A0B7B51"/>
  </w:style>
  <w:style w:type="paragraph" w:customStyle="1" w:styleId="IntroductionText">
    <w:name w:val="Introduction Text"/>
    <w:basedOn w:val="Heading4"/>
    <w:uiPriority w:val="7"/>
    <w:qFormat/>
    <w:pPr>
      <w:spacing w:line="240" w:lineRule="auto"/>
    </w:pPr>
    <w:rPr>
      <w:rFonts w:asciiTheme="minorHAnsi" w:hAnsiTheme="minorHAnsi"/>
      <w:color w:val="5B9BD5" w:themeColor="accent1"/>
      <w:sz w:val="32"/>
      <w:szCs w:val="24"/>
      <w:lang w:val="en-US" w:eastAsia="en-US"/>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rPr>
  </w:style>
  <w:style w:type="paragraph" w:customStyle="1" w:styleId="AB54B4D9D8B345749F94EE9B9417CD2D">
    <w:name w:val="AB54B4D9D8B345749F94EE9B9417CD2D"/>
  </w:style>
  <w:style w:type="paragraph" w:customStyle="1" w:styleId="Text">
    <w:name w:val="Text"/>
    <w:basedOn w:val="Normal"/>
    <w:uiPriority w:val="5"/>
    <w:qFormat/>
    <w:pPr>
      <w:spacing w:after="0" w:line="240" w:lineRule="auto"/>
    </w:pPr>
    <w:rPr>
      <w:rFonts w:eastAsiaTheme="minorHAnsi"/>
      <w:i/>
      <w:color w:val="000000" w:themeColor="text1"/>
      <w:sz w:val="28"/>
      <w:szCs w:val="24"/>
      <w:lang w:val="en-US" w:eastAsia="en-US"/>
    </w:rPr>
  </w:style>
  <w:style w:type="paragraph" w:customStyle="1" w:styleId="FB411F7256484AD58ADA1750A53A0AA2">
    <w:name w:val="FB411F7256484AD58ADA1750A53A0AA2"/>
  </w:style>
  <w:style w:type="paragraph" w:customStyle="1" w:styleId="CB36C2D08D2C4B77849B4C1F2A07E68A">
    <w:name w:val="CB36C2D08D2C4B77849B4C1F2A07E68A"/>
  </w:style>
  <w:style w:type="paragraph" w:customStyle="1" w:styleId="5769B80940564103B12E3254C1DE9BA0">
    <w:name w:val="5769B80940564103B12E3254C1DE9BA0"/>
  </w:style>
  <w:style w:type="paragraph" w:customStyle="1" w:styleId="D28AD3E79EEC46A0B36485A8AE3B64B2">
    <w:name w:val="D28AD3E79EEC46A0B36485A8AE3B64B2"/>
  </w:style>
  <w:style w:type="paragraph" w:customStyle="1" w:styleId="6D47389238014D7ABE4A4DD64C05C9B2">
    <w:name w:val="6D47389238014D7ABE4A4DD64C05C9B2"/>
  </w:style>
  <w:style w:type="paragraph" w:customStyle="1" w:styleId="F4DAD8AE918249749F9C95052727C2AE">
    <w:name w:val="F4DAD8AE918249749F9C95052727C2AE"/>
  </w:style>
  <w:style w:type="paragraph" w:customStyle="1" w:styleId="9274BDCF7CCA40528EC6367344EAAF1B">
    <w:name w:val="9274BDCF7CCA40528EC6367344EAAF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CAC1FA21-0704-45B8-A2C2-B71E5CB0E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E14A6-9BF9-4BA9-A90A-5D24EDD49C71}">
  <ds:schemaRefs>
    <ds:schemaRef ds:uri="http://schemas.microsoft.com/sharepoint/v3/contenttype/forms"/>
  </ds:schemaRefs>
</ds:datastoreItem>
</file>

<file path=customXml/itemProps3.xml><?xml version="1.0" encoding="utf-8"?>
<ds:datastoreItem xmlns:ds="http://schemas.openxmlformats.org/officeDocument/2006/customXml" ds:itemID="{473E1B92-02B3-4FC3-8DE4-FAE462CE316F}">
  <ds:schemaRefs>
    <ds:schemaRef ds:uri="16c05727-aa75-4e4a-9b5f-8a80a1165891"/>
    <ds:schemaRef ds:uri="http://purl.org/dc/terms/"/>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71af3243-3dd4-4a8d-8c0d-dd76da1f02a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9</Pages>
  <Words>2426</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2024-02-27T09:40:00Z</dcterms:created>
  <dcterms:modified xsi:type="dcterms:W3CDTF">2024-02-27T09:49:00Z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