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bidi w:val="0"/>
        <w:spacing w:lineRule="auto" w:line="360"/>
        <w:jc w:val="both"/>
        <w:rPr>
          <w:u w:val="single"/>
        </w:rPr>
      </w:pPr>
      <w:r>
        <w:rPr>
          <w:u w:val="single"/>
        </w:rPr>
        <w:tab/>
      </w:r>
      <w:r>
        <w:rPr>
          <w:b/>
          <w:bCs/>
          <w:u w:val="single"/>
        </w:rPr>
        <w:t>Ukraine and commemoration of World War II</w:t>
      </w:r>
    </w:p>
    <w:p>
      <w:pPr>
        <w:pStyle w:val="Normal"/>
        <w:bidi w:val="0"/>
        <w:spacing w:lineRule="auto" w:line="360"/>
        <w:jc w:val="both"/>
        <w:rPr/>
      </w:pPr>
      <w:r>
        <w:rPr/>
        <w:tab/>
        <w:t xml:space="preserve">Our memory stretches far beyond the path of our life. Memory in the social context is not individual, as it is shared and not unique. The shared memory is called “collective memory”, this is coincidentally a research field for several academic disciplines, such as history and politics. Collective memory varies depending on the group to which it belongs: it can streatch as wide as to the whole world, and as little as to the ethnic group in one nation, or even smaller for example – the native residents of one village. These collective, shared memories are not necessary the same as the first hands-on experience, as some of the events in shared by a group could have occurred quite long ago. The trait </w:t>
      </w:r>
      <w:r>
        <w:rPr/>
        <w:t xml:space="preserve">(arguably useful and dangerous) </w:t>
      </w:r>
      <w:r>
        <w:rPr/>
        <w:t xml:space="preserve">of such a memory is that </w:t>
      </w:r>
      <w:r>
        <w:rPr/>
        <w:t xml:space="preserve">it is a part of anyone’s identity, therefore, becoming a tool for the political manipulations. </w:t>
      </w:r>
    </w:p>
    <w:p>
      <w:pPr>
        <w:pStyle w:val="Normal"/>
        <w:bidi w:val="0"/>
        <w:spacing w:lineRule="auto" w:line="360"/>
        <w:jc w:val="both"/>
        <w:rPr/>
      </w:pPr>
      <w:r>
        <w:rPr/>
        <w:tab/>
        <w:t>Active discussions on memory had actively begun with the works of French historian Pierre Nora and his works on the “</w:t>
      </w:r>
      <w:r>
        <w:rPr>
          <w:i/>
          <w:iCs/>
        </w:rPr>
        <w:t>lieux de memoire</w:t>
      </w:r>
      <w:r>
        <w:rPr/>
        <w:t xml:space="preserve">”, places of memory; the works </w:t>
      </w:r>
      <w:r>
        <w:rPr/>
        <w:t>that studied French memorial culture and named almost all historical remnants that there are to the French nation to be these places/sites of memory</w:t>
      </w:r>
      <w:r>
        <w:rPr/>
        <w:t xml:space="preserve"> (Wood, 1994). However, because these discussions have grown far beyond the borders of France, described and analyzed in the Nora’s work, </w:t>
      </w:r>
      <w:r>
        <w:rPr/>
        <w:t>as of now there is no clear methodological approach in the memory studies. Collective memory may be located in the world and in the individual (Hirst and Ma</w:t>
      </w:r>
      <w:r>
        <w:rPr/>
        <w:t>ni</w:t>
      </w:r>
      <w:r>
        <w:rPr/>
        <w:t xml:space="preserve">er, 2008; p. 185). Under the first category fall the places of memory, memorials, monuments, museums, etc.; under the second – opinions, experiences, personal knowledge and knowledge learned in the process of socialization. </w:t>
      </w:r>
      <w:r>
        <w:rPr/>
        <w:t>More modern academic findings provide the evidence of wider space of existence of the memory. To such dimensions belong mediatised memory (O’Connor, 2019; p. 642) and Internet sources (Taha Yasseri et al, 2022; pp. 6-10). In other words, the collective memory is more developed today, than it was back then, when Pierre Nora conducted his studies, and therefore it is also more challenging.</w:t>
      </w:r>
    </w:p>
    <w:p>
      <w:pPr>
        <w:pStyle w:val="Normal"/>
        <w:bidi w:val="0"/>
        <w:spacing w:lineRule="auto" w:line="360"/>
        <w:jc w:val="both"/>
        <w:rPr/>
      </w:pPr>
      <w:r>
        <w:rPr/>
        <w:tab/>
        <w:t xml:space="preserve">The question that this research paper is centered on is </w:t>
      </w:r>
      <w:r>
        <w:rPr>
          <w:i/>
          <w:iCs/>
        </w:rPr>
        <w:t>how the collective memory can change in the conditions of the changing political climate and developing public opinion</w:t>
      </w:r>
      <w:r>
        <w:rPr/>
        <w:t xml:space="preserve">. Such is a case of Ukraine, the country in the process of the reimagining and rebuilding its collective memory. </w:t>
      </w:r>
    </w:p>
    <w:p>
      <w:pPr>
        <w:pStyle w:val="Normal"/>
        <w:bidi w:val="0"/>
        <w:spacing w:lineRule="auto" w:line="360"/>
        <w:jc w:val="both"/>
        <w:rPr/>
      </w:pPr>
      <w:r>
        <w:rPr/>
        <w:tab/>
        <w:t xml:space="preserve">Ukrainian position </w:t>
      </w:r>
      <w:r>
        <w:rPr>
          <w:lang w:val="en-GB"/>
        </w:rPr>
        <w:t>on the commemoration of World War II has drastically changed over the years of independence. T</w:t>
      </w:r>
      <w:r>
        <w:rPr/>
        <w:t>oda</w:t>
      </w:r>
      <w:r>
        <w:rPr>
          <w:lang w:val="en-GB"/>
        </w:rPr>
        <w:t xml:space="preserve">y the memory policy has become a challenge and a matter of high importance, because of the war against Russia and changing attitudes of Ukrainians towards their Ukrainian identity. The role of World War II perception is associated with the </w:t>
      </w:r>
      <w:r>
        <w:rPr>
          <w:lang w:val="en-GB"/>
        </w:rPr>
        <w:t>S</w:t>
      </w:r>
      <w:r>
        <w:rPr>
          <w:lang w:val="en-GB"/>
        </w:rPr>
        <w:t xml:space="preserve">oviet past and russian influence. </w:t>
      </w:r>
    </w:p>
    <w:p>
      <w:pPr>
        <w:pStyle w:val="Normal"/>
        <w:bidi w:val="0"/>
        <w:spacing w:lineRule="auto" w:line="360"/>
        <w:jc w:val="both"/>
        <w:rPr/>
      </w:pPr>
      <w:r>
        <w:rPr>
          <w:lang w:val="en-GB"/>
        </w:rPr>
        <w:tab/>
        <w:t>What is the history behind the changing narrative? I agree with the words of Catherina Wanner (1999), that “the symbolic value of what is commemorated is embedded in the symbolic value where it is commemorated” (p. 106), however, with such salient events it is not as simple. World War II became a significant mark in many national memories contributing to their myths of the nation, therefore, it should be assessed in a progressive manner, with regards to the process of revaluation. There are two narraives about World War II: one, aligning with soviet propaganda, and the completely opposite one, perceiving the Red Army as foreign occupiers (Marples, 2012; p. 289).</w:t>
      </w:r>
    </w:p>
    <w:p>
      <w:pPr>
        <w:pStyle w:val="Normal"/>
        <w:bidi w:val="0"/>
        <w:spacing w:lineRule="auto" w:line="360"/>
        <w:jc w:val="both"/>
        <w:rPr/>
      </w:pPr>
      <w:r>
        <w:rPr>
          <w:lang w:val="en-GB"/>
        </w:rPr>
        <w:t xml:space="preserve">World War II was a gruesome event in the history of mankind. Four years of active combat on the territory of the soviet republics left heavy demographic impact. People had experienced losses and tragedy. However, the USSR had never accepted the true fact that in any war, there are no true “winners”. It is enough to participate in a war to lose lives otherwise preserved. That is why, World War II became something else: “Great Patriotic War” (Barnes, 2000; p. 252). In the effort to infuse the  patriotic movement, Soviet regime intentionally left out such an event as signing Molotov-Ribbentrop Pact, which established the common grounds for the invasion of Poland in 1939 (Wanner, 1999; p. 117). Such behaviour lead academics to call the “Great Patriotic War” one of the founding myths of the USSR (Jilge and Troebst, 2006; pp. 1-2). </w:t>
      </w:r>
    </w:p>
    <w:p>
      <w:pPr>
        <w:pStyle w:val="TextBody"/>
        <w:spacing w:lineRule="auto" w:line="360"/>
        <w:jc w:val="both"/>
        <w:rPr/>
      </w:pPr>
      <w:r>
        <w:rPr>
          <w:lang w:val="en-GB"/>
        </w:rPr>
        <w:tab/>
        <w:t>Since adoption of the Act of Declaration of Independence on the 1</w:t>
      </w:r>
      <w:r>
        <w:rPr>
          <w:vertAlign w:val="superscript"/>
          <w:lang w:val="en-GB"/>
        </w:rPr>
        <w:t>st</w:t>
      </w:r>
      <w:r>
        <w:rPr>
          <w:lang w:val="en-GB"/>
        </w:rPr>
        <w:t xml:space="preserve"> December 1991, Russian Federation had always tried to keep its presence and influence at the high level, controlling the former state-members from the USSR with the help of cultural instruments. In the study of Tatiana Zhurzhenko (2014), such an interesting part of Russian geopolitics is explained as “</w:t>
      </w:r>
      <w:r>
        <w:rPr>
          <w:i/>
          <w:iCs/>
          <w:lang w:val="en-GB"/>
        </w:rPr>
        <w:t>russkiy mir</w:t>
      </w:r>
      <w:r>
        <w:rPr>
          <w:lang w:val="en-GB"/>
        </w:rPr>
        <w:t>”, that unites people of Russian cultural heritage and the people affiliated with the Russian culture and language outside its national borders (p. 258). More on that, to establish a more official look for the movement, Russian Federation had established “Russkiy Mir Foundation” on the 21</w:t>
      </w:r>
      <w:r>
        <w:rPr>
          <w:vertAlign w:val="superscript"/>
          <w:lang w:val="en-GB"/>
        </w:rPr>
        <w:t>st</w:t>
      </w:r>
      <w:r>
        <w:rPr>
          <w:lang w:val="en-GB"/>
        </w:rPr>
        <w:t xml:space="preserve"> June 2007 – an official political and cultural tool to realize Russian cultural politics outside its borders, so to say, promote ideas of Russian state propaganda (p. 259). Soviet narrative on the World War II was successfully inherited by Russia and actively used as a tool of influence on identity politics in Ukraine (p. 260). Because of Russia being a successor of the USSR, it adopted the same rhetorics as its predecessor, e.g. they “forgot” all the bad that happened (Barnes, 2000; p. 252), and conceptualized the World War II as some kind of eternal honour, to which each family had in one way or another contributed lives.</w:t>
      </w:r>
    </w:p>
    <w:p>
      <w:pPr>
        <w:pStyle w:val="TextBody"/>
        <w:spacing w:lineRule="auto" w:line="360"/>
        <w:jc w:val="both"/>
        <w:rPr/>
      </w:pPr>
      <w:r>
        <w:rPr/>
        <w:tab/>
        <w:t>Where are the roots of the “Great Patriotic War” lie? According to the work of the Wilfred Jilge (2006), such a word choice roots from the “Patriotic War” with Napoleon (p. 52). In a similar manner, the important provision of “</w:t>
      </w:r>
      <w:r>
        <w:rPr>
          <w:i/>
          <w:iCs/>
        </w:rPr>
        <w:t>a historical reunion of the Ukrainian territories</w:t>
      </w:r>
      <w:r>
        <w:rPr/>
        <w:t>” was promothed by the CPU (Communist Party of Ukraine) (p. 52) Up until the “</w:t>
      </w:r>
      <w:r>
        <w:rPr>
          <w:i/>
          <w:iCs/>
        </w:rPr>
        <w:t>perestroika</w:t>
      </w:r>
      <w:r>
        <w:rPr/>
        <w:t xml:space="preserve">” </w:t>
      </w:r>
      <w:r>
        <w:rPr>
          <w:i w:val="false"/>
          <w:iCs w:val="false"/>
        </w:rPr>
        <w:t>period all of the myths and mysterious lack of self-reflection was legitimised (p. 54), and when the CPU had encountered the conflict with the other party called “Rukh”, the official polarization of the society had begun (p. 55).  This had inevitably led to the gradual dissassembly of the Soviet Union, and provoked the sleeping national spirit.</w:t>
      </w:r>
    </w:p>
    <w:p>
      <w:pPr>
        <w:pStyle w:val="TextBody"/>
        <w:spacing w:lineRule="auto" w:line="360"/>
        <w:jc w:val="both"/>
        <w:rPr/>
      </w:pPr>
      <w:r>
        <w:rPr>
          <w:lang w:val="en-GB"/>
        </w:rPr>
        <w:tab/>
        <w:t>For a long time, even since the declaration of independence, the commemorative character of the Victory Day, celebrated annually on the 9</w:t>
      </w:r>
      <w:r>
        <w:rPr>
          <w:vertAlign w:val="superscript"/>
          <w:lang w:val="en-GB"/>
        </w:rPr>
        <w:t>th</w:t>
      </w:r>
      <w:r>
        <w:rPr>
          <w:lang w:val="en-GB"/>
        </w:rPr>
        <w:t xml:space="preserve"> of May, was undeniable to most part of the Ukrainian public. Given the family history, many Ukrainians understood this celebration as “genuine and heartfelt” (Wanner, 1999; p. 111, p. 116). However, in this undeniability, the commemoration was not extended more than just to the regional level: this was also linked to the problem of different experience in the soviet era. For some regions of Ukraine, the soviet regime was equal to the darkest historical epoch, which is to be forgotten, as there were some Ukrainian fighters for freedom in the times of World War II, whom the soviet regime labelled collaborants and left out of historical picture in commemoration of the 9</w:t>
      </w:r>
      <w:r>
        <w:rPr>
          <w:vertAlign w:val="superscript"/>
          <w:lang w:val="en-GB"/>
        </w:rPr>
        <w:t>th</w:t>
      </w:r>
      <w:r>
        <w:rPr>
          <w:lang w:val="en-GB"/>
        </w:rPr>
        <w:t xml:space="preserve"> of May: in other words, it was not about victims of the war, but it was indeed about the communism, the state, party, and their collective victory over fascism. However, in progression the situation had changed drastically. Ukrainian memories of World War II in the more recent work of David R. Marples (2012) become “</w:t>
      </w:r>
      <w:r>
        <w:rPr>
          <w:i/>
          <w:iCs/>
          <w:lang w:val="en-GB"/>
        </w:rPr>
        <w:t>divided, bitter and contentious</w:t>
      </w:r>
      <w:r>
        <w:rPr>
          <w:lang w:val="en-GB"/>
        </w:rPr>
        <w:t>” (p. 289). What he understands as a reason for such a description is not only secluded in the public-political sphere, rather also a scholarly dispute – something that was missing at the time when Catherine Wanner had written her work. What was actually one of the reasons for the change in the public opinion was the manipulation which was tried when passing power from president Kuchma to the desired candidate Ianukovych involved the monopolization of the Victory Day celebration (Jilge, 2006; p. 77). More on that, the rigged elections in 2004 had lead to the Orange Revolution, who brought into the memory talks the fighters whom they labelled as Ukrainian Revolutionaries (Jilge, 2006; p. 79) – fighters, who were also criminalised by the USSR.</w:t>
      </w:r>
    </w:p>
    <w:p>
      <w:pPr>
        <w:pStyle w:val="TextBody"/>
        <w:spacing w:lineRule="auto" w:line="360"/>
        <w:jc w:val="both"/>
        <w:rPr/>
      </w:pPr>
      <w:r>
        <w:rPr>
          <w:lang w:val="en-GB"/>
        </w:rPr>
        <w:tab/>
        <w:t>Why the debate on the right way to approach the memory existed in the first place? The answer to this question lies partially in the reasons why Ukraine separated from the USSR. Work of Astrid S. Tuminez follows closely this process (2003; p. 113-116). Interestingly, Ukrainian separatistic movements were not as active as in other states-members of the USSR. This was the result of so-called “</w:t>
      </w:r>
      <w:r>
        <w:rPr>
          <w:i/>
          <w:iCs/>
          <w:lang w:val="en-GB"/>
        </w:rPr>
        <w:t>ethnocide</w:t>
      </w:r>
      <w:r>
        <w:rPr>
          <w:lang w:val="en-GB"/>
        </w:rPr>
        <w:t>” (p. 97), the process of assimilation and diminishing cross-cultural differences. Thus, Ukrainian people who were left no choice but to comply, had lost their sense of national/ethnical belonging. That is the reason why the Ukrainian debate on the right way to address the collective memory takes so long and it was not naturally implied with the independence.</w:t>
      </w:r>
    </w:p>
    <w:p>
      <w:pPr>
        <w:pStyle w:val="TextBody"/>
        <w:spacing w:lineRule="auto" w:line="360"/>
        <w:jc w:val="both"/>
        <w:rPr/>
      </w:pPr>
      <w:r>
        <w:rPr>
          <w:lang w:val="en-GB"/>
        </w:rPr>
        <w:tab/>
        <w:t xml:space="preserve">Another dispute related to the Ukrainian view on World War II was related to the role of the fighters of Ukrainian Insurgent Army (UPA) and Organization of Ukrainian Nationalists (OUN). There are, however, two questions of Ukrainian public debate raised by the work of Ivan Katcharovski. The first question is that of Ukrainian genocide by the Soviet regime, including politically motivated murder and artificially supported famine (p. 976). The second question is that same politically motivated murder existed also from the Nazi’s side (p. 980). To find a common ground it was important to firstly solve the challenges of the previous regiments policies. Oxana Shevel (2011) emphasized, that for a long time the negative perception of the both were the result of the soviet-era assessment that has dominated the Ukrainian public thought (p. 137). She mentions in her work, that it was and to some extent still is a challenge for Ukraine, how to reassess the role of the former heroes and lift the “backstabbers” stain left by the soviet union (p.138). The first actions toward that goal were taken back in 1991, with the law “On the rehabilitation of victims of political repressions in Ukraine” (p. 148). </w:t>
      </w:r>
    </w:p>
    <w:p>
      <w:pPr>
        <w:pStyle w:val="TextBody"/>
        <w:spacing w:lineRule="auto" w:line="360"/>
        <w:jc w:val="both"/>
        <w:rPr/>
      </w:pPr>
      <w:r>
        <w:rPr>
          <w:lang w:val="en-GB"/>
        </w:rPr>
        <w:tab/>
        <w:t>Former president of Ukraine Poroshenko had contributed to the dispute by setting the date of Ukrainian defenders on the 14</w:t>
      </w:r>
      <w:r>
        <w:rPr>
          <w:vertAlign w:val="superscript"/>
          <w:lang w:val="en-GB"/>
        </w:rPr>
        <w:t>th</w:t>
      </w:r>
      <w:r>
        <w:rPr>
          <w:lang w:val="en-GB"/>
        </w:rPr>
        <w:t xml:space="preserve"> of October, the date when the UPA was officially established (Zhurzhenko, 2014; p. 262). Prominent people, such as, for example, Stepan Bandera, the leader of OUN, had become the most feared antihero in the Russian state propaganda (Edele, 2017; pp. 90-91), because he was working with/for nazis, even though it was not as simple as that. The problem of understanding the role of Ukrainian liberation movements in the Soviet era was that they did not follow the communist agenda, and thus, were unacceptable. All other than the party or pro-party movements were dangerous and always assessed by the CP from the worst sides. The justification was in such a scheme non-existent: soviet regime was quick to call out every other movement for being collaborants, but did not even once mention the consequences that followed their own Molotov-Ribbentrop Pact (Edele, 2017; p. 97). </w:t>
      </w:r>
    </w:p>
    <w:p>
      <w:pPr>
        <w:pStyle w:val="TextBody"/>
        <w:spacing w:lineRule="auto" w:line="360"/>
        <w:jc w:val="both"/>
        <w:rPr/>
      </w:pPr>
      <w:r>
        <w:rPr>
          <w:lang w:val="en-GB"/>
        </w:rPr>
        <w:tab/>
        <w:t>These debates were perceived differently across regions of Ukraine. As Catherine Wanner wrote, cultural change was n</w:t>
      </w:r>
      <w:r>
        <w:rPr>
          <w:lang w:val="en-GB"/>
        </w:rPr>
        <w:t>ot</w:t>
      </w:r>
      <w:r>
        <w:rPr>
          <w:lang w:val="en-GB"/>
        </w:rPr>
        <w:t xml:space="preserve"> exclusive to the terms of nation and ethnicity (p. 106). The argument in favor writes, however, another academic, Omer Bartov (2008), whose point highlights that while there are people living all their life for generations around the same sites in Eastern Galicia and Western parts of Ukraine, there are also many who arrived after war (p. 590), which could add interesting provisions to the understanding the structure of the regional debate. </w:t>
      </w:r>
    </w:p>
    <w:p>
      <w:pPr>
        <w:pStyle w:val="TextBody"/>
        <w:spacing w:lineRule="auto" w:line="360"/>
        <w:jc w:val="both"/>
        <w:rPr/>
      </w:pPr>
      <w:r>
        <w:rPr>
          <w:lang w:val="en-GB"/>
        </w:rPr>
        <w:tab/>
        <w:t>In this conflict of shared memory, Russia always forgets the truth. Mark Edele (2017) wrote, that “</w:t>
      </w:r>
      <w:r>
        <w:rPr>
          <w:i/>
          <w:iCs/>
          <w:lang w:val="en-GB"/>
        </w:rPr>
        <w:t>real history is full of moral and political ambiguities</w:t>
      </w:r>
      <w:r>
        <w:rPr>
          <w:lang w:val="en-GB"/>
        </w:rPr>
        <w:t xml:space="preserve">” (p. 97). However, in Ukrainian case with the questions of historical character that directly regard the matters of national identity, there could have been no other narrative than the one in support of the national idea. The decision to settle on the pro-Russian narrative of the Soviet regime with the Party of Victor Ianukovych, who got the president seat in 2010, was one of the mistakes he made. He disregarded the issue of the Soviet genocide, misleading the public opinion where the debates on the horrific past started to flourish (Katchanovski, 2010; p. 984). </w:t>
      </w:r>
    </w:p>
    <w:p>
      <w:pPr>
        <w:pStyle w:val="TextBody"/>
        <w:spacing w:lineRule="auto" w:line="360"/>
        <w:jc w:val="both"/>
        <w:rPr/>
      </w:pPr>
      <w:r>
        <w:rPr>
          <w:lang w:val="en-GB"/>
        </w:rPr>
        <w:tab/>
        <w:t>The interesting term used in Ukrainian and foreign works is called “</w:t>
      </w:r>
      <w:r>
        <w:rPr>
          <w:i/>
          <w:iCs/>
          <w:lang w:val="en-GB"/>
        </w:rPr>
        <w:t>memory politics</w:t>
      </w:r>
      <w:r>
        <w:rPr>
          <w:lang w:val="en-GB"/>
        </w:rPr>
        <w:t>”: it is such a political strategy where the state builds its own cultural landscape of the national memory by, for example, defining the heroes and antiheroes, salient events and mamorable dates</w:t>
      </w:r>
      <w:r>
        <w:rPr>
          <w:i w:val="false"/>
          <w:iCs w:val="false"/>
          <w:lang w:val="en-GB"/>
        </w:rPr>
        <w:t>. All of these are  later embedded into national legislation, toponyms, museums and monuments, state awards, artistic heritage etc. (Liebich et al., ; p. 80) From here on, the perspective on the World War II narrative in Ukraine can be moved further into comparative analysis. The same term used by Ukrainian academics is “</w:t>
      </w:r>
      <w:r>
        <w:rPr>
          <w:i/>
          <w:iCs/>
          <w:lang w:val="en-GB"/>
        </w:rPr>
        <w:t>polityka pamiaty</w:t>
      </w:r>
      <w:r>
        <w:rPr>
          <w:i w:val="false"/>
          <w:iCs w:val="false"/>
          <w:lang w:val="en-GB"/>
        </w:rPr>
        <w:t xml:space="preserve">”, the meaning is the same, however for the analysis of authentic studies it is completely mandatory to reflect on the points suggested by the national academics. </w:t>
      </w:r>
    </w:p>
    <w:p>
      <w:pPr>
        <w:pStyle w:val="TextBody"/>
        <w:spacing w:lineRule="auto" w:line="360"/>
        <w:jc w:val="both"/>
        <w:rPr>
          <w:lang w:val="en-GB"/>
        </w:rPr>
      </w:pPr>
      <w:r>
        <w:rPr>
          <w:lang w:val="en-GB"/>
        </w:rPr>
        <w:tab/>
        <w:t xml:space="preserve">First of all, looking back at the 1991, the year of independence, Ukraine was placed the second country after the Russia by the number of the Soviet monuments: overall there were 53,500 memorials, 42,900 of which were commemorating “Great Patriotic War” (Liebich et al., ; p. 82). Commemorative actions were revolving around these sites of memory, like litting the eternal flame and bringing there red carnations. </w:t>
      </w:r>
      <w:r>
        <w:rPr>
          <w:lang w:val="en-GB"/>
        </w:rPr>
        <w:t xml:space="preserve">Secondly, if it was not for the attempts of Russia to control and interfere with Ukrainian political life so much, the commemorative events would have still be carried out in the old manner. </w:t>
      </w:r>
      <w:r>
        <w:rPr>
          <w:lang w:val="en-GB"/>
        </w:rPr>
        <w:t xml:space="preserve">Such points are greatly supported by Ukrainian media, that express the same point: Ukraine is reiterating the World War II because of the Russian aggression (Ciupin, 2019). </w:t>
      </w:r>
    </w:p>
    <w:p>
      <w:pPr>
        <w:pStyle w:val="TextBody"/>
        <w:spacing w:lineRule="auto" w:line="360"/>
        <w:jc w:val="both"/>
        <w:rPr>
          <w:lang w:val="en-GB"/>
        </w:rPr>
      </w:pPr>
      <w:r>
        <w:rPr>
          <w:lang w:val="en-GB"/>
        </w:rPr>
        <w:tab/>
        <w:t>The change of direction in Ukrainian politics of memory took its sharpest turn after the Revolution of Dignity, where the new national heroes decreased the importance of the old Soviet memory. The later-on annexation of Crimea, creation of quasi-republics and full-scale war have only accelerated the process of distancing.</w:t>
      </w:r>
    </w:p>
    <w:p>
      <w:pPr>
        <w:pStyle w:val="TextBody"/>
        <w:spacing w:lineRule="auto" w:line="360"/>
        <w:jc w:val="both"/>
        <w:rPr>
          <w:lang w:val="en-GB"/>
        </w:rPr>
      </w:pPr>
      <w:r>
        <w:rPr>
          <w:lang w:val="en-GB"/>
        </w:rPr>
        <w:tab/>
        <w:t>The war with Russia had accelerated many processes related to the Ukrainian identity questions, also consequently changing symbols of the World War II narratives in Ukraine. Russia’s aggressive memory politics had pushed Ukraine towards the European model of memory and memorial politics. In the work of Volodymyr Babka there is a useful comparative table that shows just how different the two systems are (Babka, 2014; pp. 212-213). There are three main pieces that comprise the memory policy: the character, nature of politics; events and symbols; judgement and attitude.</w:t>
      </w:r>
    </w:p>
    <w:p>
      <w:pPr>
        <w:pStyle w:val="TextBody"/>
        <w:spacing w:lineRule="auto" w:line="360"/>
        <w:jc w:val="both"/>
        <w:rPr>
          <w:lang w:val="en-GB"/>
        </w:rPr>
      </w:pPr>
      <w:r>
        <w:rPr>
          <w:lang w:val="en-GB"/>
        </w:rPr>
        <w:tab/>
        <w:t>On the base of the abovementioned structure, the analysis of the two narratives, two memory system that comprise the history of the World War II memory in Ukraine. The first is the character and nature of the politics. The former, soviet memory politics were overall aggressive: the gruesome, tragic event of the World War II was all revolved around the “soviet people” construct, the heroic action of the Red Army and complete, absolute control over memory. The European model, to which Ukraine is inclined more nowadays, is far more democratic. The official agenda inclines towards the penance with regard to the events of World War II. The event that goes together with the European memory politics, which are now dominating the Ukrainian memory strategy, is none other than Holocaust, the one omitted or not highlighted by the soviet narrative. In Ukrainian narrative Holocaust is often mentioned and commemorated on the highest level even, together with the memory of the warfare and losses.</w:t>
      </w:r>
    </w:p>
    <w:p>
      <w:pPr>
        <w:pStyle w:val="TextBody"/>
        <w:spacing w:lineRule="auto" w:line="360"/>
        <w:jc w:val="both"/>
        <w:rPr>
          <w:lang w:val="en-GB"/>
        </w:rPr>
      </w:pPr>
      <w:r>
        <w:rPr>
          <w:lang w:val="en-GB"/>
        </w:rPr>
        <w:tab/>
        <w:t>The second point are the events and symbols. Soviet symbol for Great Patriotic War is a Saint George’s two-coloured ribbon, orange and black. Orange stands for flame, and black stands for the smoke – it is a reiteration of war in the symbolic way. After the Saint George’s ribbon became the symbol of “</w:t>
      </w:r>
      <w:r>
        <w:rPr>
          <w:i/>
          <w:iCs/>
          <w:lang w:val="en-GB"/>
        </w:rPr>
        <w:t>russkiy mir</w:t>
      </w:r>
      <w:r>
        <w:rPr>
          <w:i w:val="false"/>
          <w:iCs w:val="false"/>
          <w:lang w:val="en-GB"/>
        </w:rPr>
        <w:t xml:space="preserve">” and Russia violated the sovereign states, whereas they would do something like cross-commemoration at this point (they would use the references to the Great Patriotic War as a side explaination of the crimes), Ukraine had to act quickly in order to shift the commemorative efforts to somehting other than Russian-affiliated narrative, but still not to stop commemorative events whatsoever. The solution came with a poppy, the European symbol that stands for the bullet wound – a civil symbol. </w:t>
      </w:r>
      <w:r>
        <w:rPr>
          <w:i w:val="false"/>
          <w:iCs w:val="false"/>
          <w:lang w:val="en-GB"/>
        </w:rPr>
        <w:t>A good example of the symbols used for commemoration of the war is in the article of Radio Svoboda (Shtogrin, 2021).</w:t>
      </w:r>
      <w:r>
        <w:rPr>
          <w:i w:val="false"/>
          <w:iCs w:val="false"/>
          <w:lang w:val="en-GB"/>
        </w:rPr>
        <w:t xml:space="preserve"> The difference also exists in the “mottos” of memory politics: in Ukraine it sounds as “Never again”, in the </w:t>
      </w:r>
      <w:r>
        <w:rPr>
          <w:i w:val="false"/>
          <w:iCs w:val="false"/>
          <w:lang w:val="en-GB"/>
        </w:rPr>
        <w:t>S</w:t>
      </w:r>
      <w:r>
        <w:rPr>
          <w:i w:val="false"/>
          <w:iCs w:val="false"/>
          <w:lang w:val="en-GB"/>
        </w:rPr>
        <w:t xml:space="preserve">oviet narrative dominating the Russia it sounds like “We can </w:t>
      </w:r>
      <w:r>
        <w:rPr>
          <w:i w:val="false"/>
          <w:iCs w:val="false"/>
          <w:lang w:val="en-GB"/>
        </w:rPr>
        <w:t>do it again</w:t>
      </w:r>
      <w:r>
        <w:rPr>
          <w:i w:val="false"/>
          <w:iCs w:val="false"/>
          <w:lang w:val="en-GB"/>
        </w:rPr>
        <w:t xml:space="preserve">” </w:t>
      </w:r>
      <w:r>
        <w:rPr>
          <w:i w:val="false"/>
          <w:iCs w:val="false"/>
          <w:lang w:val="en-GB"/>
        </w:rPr>
        <w:t>(Laskin, 2023)</w:t>
      </w:r>
      <w:r>
        <w:rPr>
          <w:i w:val="false"/>
          <w:iCs w:val="false"/>
          <w:lang w:val="en-GB"/>
        </w:rPr>
        <w:t xml:space="preserve">. </w:t>
      </w:r>
      <w:r>
        <w:rPr>
          <w:i w:val="false"/>
          <w:iCs w:val="false"/>
          <w:lang w:val="en-GB"/>
        </w:rPr>
        <w:t xml:space="preserve">Something of a difference, that concludes the polar opposite memory politics dominating the two narratives. </w:t>
      </w:r>
      <w:r>
        <w:rPr>
          <w:i w:val="false"/>
          <w:iCs w:val="false"/>
          <w:lang w:val="en-GB"/>
        </w:rPr>
        <w:t>The reimagining, restructurization of memory was necessary to highlight just how different the two countries are, including the view on the victims of World War II, the difference was important to survive the identity crisis posed by the division the Soviet people to the Ukrainian and Russian (Zanuda, 2015).</w:t>
      </w:r>
    </w:p>
    <w:p>
      <w:pPr>
        <w:pStyle w:val="TextBody"/>
        <w:spacing w:lineRule="auto" w:line="360"/>
        <w:jc w:val="both"/>
        <w:rPr>
          <w:lang w:val="en-GB"/>
        </w:rPr>
      </w:pPr>
      <w:r>
        <w:rPr>
          <w:lang w:val="en-GB"/>
        </w:rPr>
        <w:tab/>
        <w:t xml:space="preserve">The third point is judgement and attitude. Obviously, the Soviet regime was similar dictatorship regime </w:t>
      </w:r>
      <w:r>
        <w:rPr>
          <w:lang w:val="en-GB"/>
        </w:rPr>
        <w:t>to that of Nazi</w:t>
      </w:r>
      <w:r>
        <w:rPr>
          <w:lang w:val="en-GB"/>
        </w:rPr>
        <w:t xml:space="preserve">, that </w:t>
      </w:r>
      <w:r>
        <w:rPr>
          <w:lang w:val="en-GB"/>
        </w:rPr>
        <w:t>is the reason why it</w:t>
      </w:r>
      <w:r>
        <w:rPr>
          <w:lang w:val="en-GB"/>
        </w:rPr>
        <w:t xml:space="preserve"> </w:t>
      </w:r>
      <w:r>
        <w:rPr>
          <w:lang w:val="en-GB"/>
        </w:rPr>
        <w:t>is presented in the European memory politics as equally bad as the Hitler’s Germany and other fascist dictatorships. However, the Soviet narrative acknowledges no mistakes and in own regime, despite committing equally as horrible deeds to which up to this day no punishment was made (Barnes, 2000; p. 241). Soviet narrative revolves on own heroic justification of the losses in Great Patriotic War, and turns the blind eye on the domestic institutions like GULAG. European narrative centers the human life above all of the victories and regrets starting the war in the first place.</w:t>
      </w:r>
    </w:p>
    <w:p>
      <w:pPr>
        <w:pStyle w:val="TextBody"/>
        <w:spacing w:lineRule="auto" w:line="360"/>
        <w:jc w:val="both"/>
        <w:rPr>
          <w:lang w:val="en-GB"/>
        </w:rPr>
      </w:pPr>
      <w:r>
        <w:rPr>
          <w:lang w:val="en-GB"/>
        </w:rPr>
        <w:tab/>
        <w:t>With all the above stated, could the collective memory be really controlled? Is it reasonable for the governments to infuse consolidation by manipulating the narratives on memory? In the narrative on memory less of the story is told on the “</w:t>
      </w:r>
      <w:r>
        <w:rPr>
          <w:i/>
          <w:iCs/>
          <w:lang w:val="en-GB"/>
        </w:rPr>
        <w:t>lieux de memoire</w:t>
      </w:r>
      <w:r>
        <w:rPr>
          <w:lang w:val="en-GB"/>
        </w:rPr>
        <w:t>”</w:t>
      </w:r>
      <w:r>
        <w:rPr>
          <w:i w:val="false"/>
          <w:iCs w:val="false"/>
          <w:lang w:val="en-GB"/>
        </w:rPr>
        <w:t xml:space="preserve"> and more is reserved on the political arena. In findings of T. Meteliova (; pp. 164-165) on the memory policy being a political istrument, some useful provisions are mentioned: the first, that the art of memory policy is different in the transitional political environments to that of the established democracies, the second that says Russian war in Ukraine subjected to the globalization of the commemorative issues and escalating them to the level of the international relations, and the third, the most objective view on the past could only be done by the historians, whereas in politics people should act </w:t>
      </w:r>
      <w:r>
        <w:rPr>
          <w:i w:val="false"/>
          <w:iCs w:val="false"/>
          <w:lang w:val="en-GB"/>
        </w:rPr>
        <w:t>in attentive</w:t>
      </w:r>
      <w:r>
        <w:rPr>
          <w:i w:val="false"/>
          <w:iCs w:val="false"/>
          <w:lang w:val="en-GB"/>
        </w:rPr>
        <w:t xml:space="preserve"> </w:t>
      </w:r>
      <w:r>
        <w:rPr>
          <w:i w:val="false"/>
          <w:iCs w:val="false"/>
          <w:lang w:val="en-GB"/>
        </w:rPr>
        <w:t>and considering manner. The first point coincides with the history of the World War II narrative in Ukraine uncovered above, it is absolutely clear, that after the USSR system of controlled commemoration stopped existing as an institution, it left space for chaos in Ukraine. The Russian Federation, however, had been left with the instruments and institutions of the former Soviet Union, and instead following the democratic values or creating the values suitable for the country, they decided to stick to the path they already knew. Ukraine, however, seemed an easy task for propaganda on the commemorative efforts of World War II. The second point adds to the first the role of the memory politics and its role in the war: Russia, manipulating the heroic past to counter the European narrative, that started flourishing only after those efforts to control Ukraine. In the end, the help and consolidation of the countries that are helping Ukraine is partially based on this, too, as shared values are a great base to acknowledge similarity. And the third point is the most interesting: if to say that historians are responsible for shaping and structuring the past, how could a country make sure those statements produced are n</w:t>
      </w:r>
      <w:r>
        <w:rPr>
          <w:i w:val="false"/>
          <w:iCs w:val="false"/>
          <w:lang w:val="en-GB"/>
        </w:rPr>
        <w:t>o</w:t>
      </w:r>
      <w:r>
        <w:rPr>
          <w:i w:val="false"/>
          <w:iCs w:val="false"/>
          <w:lang w:val="en-GB"/>
        </w:rPr>
        <w:t xml:space="preserve">t the result of the propaganda? In other words, in this sense politics and history are so strongly interconnected, it is questionable to call only historians view objective. On the other hand, the narrative, based on values of democracy and valuability of human life could be of such </w:t>
      </w:r>
      <w:r>
        <w:rPr>
          <w:i w:val="false"/>
          <w:iCs w:val="false"/>
          <w:lang w:val="en-GB"/>
        </w:rPr>
        <w:t>character. Otherwise, politics and history are intertwined on the early stages of nation-building, as they shape the national identity.</w:t>
      </w:r>
    </w:p>
    <w:p>
      <w:pPr>
        <w:pStyle w:val="TextBody"/>
        <w:spacing w:lineRule="auto" w:line="360"/>
        <w:jc w:val="both"/>
        <w:rPr>
          <w:lang w:val="en-GB"/>
        </w:rPr>
      </w:pPr>
      <w:r>
        <w:rPr>
          <w:i w:val="false"/>
          <w:iCs w:val="false"/>
          <w:lang w:val="en-GB"/>
        </w:rPr>
        <w:tab/>
        <w:t xml:space="preserve">In the final analysis of Ukrainian narrative on the topic of World War II, it can be concluded that there is still room for re-evaluation. The regional differences create unfavourable conditions for creating a single right narrative and point of view. Ukraine as a sovereign state was declared with no instruments of propaganda, all what was there back then was the Soviet narrative that had to be challenged. There were debates on the role of the OUN and UPA in the Ukrainian history, if they should/could be used for the role of the national heroes, however, because of the new challenges, such as the Revolution of Dignity, and war with Russia, the question of promotion </w:t>
      </w:r>
      <w:r>
        <w:rPr>
          <w:i w:val="false"/>
          <w:iCs w:val="false"/>
          <w:lang w:val="en-GB"/>
        </w:rPr>
        <w:t xml:space="preserve">the historical events had simmered down. Russia had played the role of the enemy, that shifted the memory policy towards the European narrative on World War II, instead of Soviet narrative. </w:t>
      </w:r>
      <w:r>
        <w:rPr>
          <w:i w:val="false"/>
          <w:iCs w:val="false"/>
          <w:lang w:val="en-GB"/>
        </w:rPr>
        <w:t>Such a division was necessary to support the national identity</w:t>
      </w:r>
      <w:r>
        <w:rPr>
          <w:i w:val="false"/>
          <w:iCs w:val="false"/>
          <w:lang w:val="en-GB"/>
        </w:rPr>
        <w:t xml:space="preserve"> </w:t>
      </w:r>
      <w:r>
        <w:rPr>
          <w:i w:val="false"/>
          <w:iCs w:val="false"/>
          <w:lang w:val="en-GB"/>
        </w:rPr>
        <w:t>crisis of Ukrainian people. For the long time Ukrainians (with a small deviation from all) were supportive of Russia because of the shared memory, because of the shared past. Nobody could have imagined such an attack to happen twenty years ago. However, this war has brought a chance to Ukrainians to reiterate their memory, to create new memory because of the today’s tragedy. And these very</w:t>
      </w:r>
      <w:r>
        <w:rPr>
          <w:i w:val="false"/>
          <w:iCs w:val="false"/>
          <w:lang w:val="en-GB"/>
        </w:rPr>
        <w:t xml:space="preserve"> </w:t>
      </w:r>
      <w:r>
        <w:rPr>
          <w:i w:val="false"/>
          <w:iCs w:val="false"/>
          <w:lang w:val="en-GB"/>
        </w:rPr>
        <w:t>changes and the new collective memory piece – the war with Russia – will be shaped later and hopefully assessed not by the example of the Great Patriotic War, but after the leads of the Second World War and the principle of tragic loss of the human life.</w:t>
      </w:r>
    </w:p>
    <w:p>
      <w:pPr>
        <w:pStyle w:val="TextBody"/>
        <w:spacing w:lineRule="auto" w:line="360"/>
        <w:jc w:val="both"/>
        <w:rPr>
          <w:lang w:val="en-GB"/>
        </w:rPr>
      </w:pPr>
      <w:r>
        <w:rPr>
          <w:i w:val="false"/>
          <w:iCs w:val="false"/>
          <w:lang w:val="en-GB"/>
        </w:rPr>
        <w:tab/>
      </w:r>
    </w:p>
    <w:p>
      <w:pPr>
        <w:pStyle w:val="Normal"/>
        <w:bidi w:val="0"/>
        <w:spacing w:lineRule="auto" w:line="360"/>
        <w:jc w:val="both"/>
        <w:rPr/>
      </w:pPr>
      <w:r>
        <w:rPr/>
      </w:r>
    </w:p>
    <w:p>
      <w:pPr>
        <w:pStyle w:val="Normal"/>
        <w:bidi w:val="0"/>
        <w:spacing w:lineRule="auto" w:line="360"/>
        <w:jc w:val="both"/>
        <w:rPr/>
      </w:pPr>
      <w:r>
        <w:rPr/>
      </w:r>
    </w:p>
    <w:p>
      <w:pPr>
        <w:pStyle w:val="Normal"/>
        <w:bidi w:val="0"/>
        <w:spacing w:lineRule="auto" w:line="360"/>
        <w:jc w:val="both"/>
        <w:rPr>
          <w:sz w:val="24"/>
          <w:szCs w:val="28"/>
        </w:rPr>
      </w:pPr>
      <w:r>
        <w:rPr>
          <w:sz w:val="24"/>
          <w:szCs w:val="28"/>
          <w:u w:val="none"/>
        </w:rPr>
        <w:t xml:space="preserve">Reference </w:t>
      </w:r>
      <w:r>
        <w:rPr>
          <w:sz w:val="24"/>
          <w:szCs w:val="28"/>
          <w:u w:val="none"/>
        </w:rPr>
        <w:t>list:</w:t>
      </w:r>
    </w:p>
    <w:p>
      <w:pPr>
        <w:pStyle w:val="Normal"/>
        <w:numPr>
          <w:ilvl w:val="0"/>
          <w:numId w:val="2"/>
        </w:numPr>
        <w:bidi w:val="0"/>
        <w:spacing w:lineRule="auto" w:line="360"/>
        <w:jc w:val="both"/>
        <w:rPr/>
      </w:pPr>
      <w:r>
        <w:rPr/>
        <w:t xml:space="preserve">Academic sources </w:t>
      </w:r>
      <w:r>
        <w:rPr>
          <w:lang w:val="en-GB"/>
        </w:rPr>
        <w:t>(English)</w:t>
      </w:r>
      <w:r>
        <w:rPr/>
        <w:t>:</w:t>
      </w:r>
    </w:p>
    <w:p>
      <w:pPr>
        <w:pStyle w:val="TextBody"/>
        <w:numPr>
          <w:ilvl w:val="1"/>
          <w:numId w:val="2"/>
        </w:numPr>
        <w:bidi w:val="0"/>
        <w:spacing w:lineRule="auto" w:line="360"/>
        <w:ind w:left="567" w:right="0" w:hanging="567"/>
        <w:jc w:val="both"/>
        <w:rPr>
          <w:lang w:val="en-GB"/>
        </w:rPr>
      </w:pPr>
      <w:r>
        <w:rPr>
          <w:lang w:val="en-GB"/>
        </w:rPr>
        <w:t xml:space="preserve">Barnes, S. (2000) “All for the Front, All for Victory! The Mobilization of Forced Labor in the Soviet Union during World War Two,” </w:t>
      </w:r>
      <w:r>
        <w:rPr>
          <w:i/>
          <w:iCs/>
          <w:lang w:val="en-GB"/>
        </w:rPr>
        <w:t xml:space="preserve">international Labor and Working-Class History, </w:t>
      </w:r>
      <w:r>
        <w:rPr>
          <w:i w:val="false"/>
          <w:iCs w:val="false"/>
          <w:lang w:val="en-GB"/>
        </w:rPr>
        <w:t>58(1), pp. 239-260. Available at: ht</w:t>
      </w:r>
      <w:r>
        <w:rPr>
          <w:i w:val="false"/>
          <w:iCs w:val="false"/>
          <w:lang w:val="en-GB"/>
        </w:rPr>
        <w:t>t</w:t>
      </w:r>
      <w:r>
        <w:rPr>
          <w:i w:val="false"/>
          <w:iCs w:val="false"/>
          <w:lang w:val="en-GB"/>
        </w:rPr>
        <w:t>ps://doi.org/10.1017/S0147547900003690</w:t>
      </w:r>
    </w:p>
    <w:p>
      <w:pPr>
        <w:pStyle w:val="TextBody"/>
        <w:numPr>
          <w:ilvl w:val="1"/>
          <w:numId w:val="2"/>
        </w:numPr>
        <w:bidi w:val="0"/>
        <w:spacing w:lineRule="auto" w:line="360"/>
        <w:ind w:left="567" w:right="0" w:hanging="567"/>
        <w:jc w:val="both"/>
        <w:rPr>
          <w:lang w:val="de-DE"/>
        </w:rPr>
      </w:pPr>
      <w:r>
        <w:rPr>
          <w:lang w:val="de-DE"/>
        </w:rPr>
        <w:t>Bartov, O. (2008) “</w:t>
      </w:r>
      <w:r>
        <w:rPr>
          <w:lang w:val="en-GB"/>
        </w:rPr>
        <w:t>E</w:t>
      </w:r>
      <w:r>
        <w:rPr>
          <w:lang w:val="de-DE"/>
        </w:rPr>
        <w:t>astern</w:t>
      </w:r>
      <w:r>
        <w:rPr>
          <w:lang w:val="en-GB"/>
        </w:rPr>
        <w:t xml:space="preserve"> Europe as the Site of Genocide,”</w:t>
      </w:r>
      <w:r>
        <w:rPr>
          <w:i/>
          <w:iCs/>
          <w:lang w:val="en-GB"/>
        </w:rPr>
        <w:t xml:space="preserve"> The Journal of Modern History,</w:t>
      </w:r>
      <w:r>
        <w:rPr>
          <w:i w:val="false"/>
          <w:iCs w:val="false"/>
          <w:lang w:val="en-GB"/>
        </w:rPr>
        <w:t xml:space="preserve"> 80(3), pp. 557-593. Available at: https://doi.org/10.1086/589591</w:t>
      </w:r>
    </w:p>
    <w:p>
      <w:pPr>
        <w:pStyle w:val="TextBody"/>
        <w:numPr>
          <w:ilvl w:val="1"/>
          <w:numId w:val="2"/>
        </w:numPr>
        <w:bidi w:val="0"/>
        <w:spacing w:lineRule="auto" w:line="360"/>
        <w:ind w:left="567" w:right="0" w:hanging="567"/>
        <w:jc w:val="both"/>
        <w:rPr>
          <w:lang w:val="en-GB"/>
        </w:rPr>
      </w:pPr>
      <w:r>
        <w:rPr>
          <w:lang w:val="en-GB"/>
        </w:rPr>
        <w:t xml:space="preserve">Edele, M. (2017) “Fighting Russia's History Wars Vladimir Putin and the Codification of World War II,” </w:t>
      </w:r>
      <w:r>
        <w:rPr>
          <w:i/>
          <w:iCs/>
          <w:lang w:val="en-GB"/>
        </w:rPr>
        <w:t xml:space="preserve">History &amp; Memory, Indiana Univ Press, </w:t>
      </w:r>
      <w:r>
        <w:rPr>
          <w:i w:val="false"/>
          <w:iCs w:val="false"/>
          <w:lang w:val="en-GB"/>
        </w:rPr>
        <w:t>pp. 90-124. Available at: https://doi.org/10.2979/histmemo.29.2.05</w:t>
      </w:r>
    </w:p>
    <w:p>
      <w:pPr>
        <w:pStyle w:val="TextBody"/>
        <w:numPr>
          <w:ilvl w:val="1"/>
          <w:numId w:val="2"/>
        </w:numPr>
        <w:bidi w:val="0"/>
        <w:spacing w:lineRule="auto" w:line="360"/>
        <w:ind w:left="567" w:right="0" w:hanging="567"/>
        <w:jc w:val="both"/>
        <w:rPr>
          <w:sz w:val="24"/>
          <w:szCs w:val="24"/>
        </w:rPr>
      </w:pPr>
      <w:r>
        <w:rPr>
          <w:sz w:val="24"/>
          <w:szCs w:val="24"/>
        </w:rPr>
        <w:t xml:space="preserve">Hirst, W. and Manier, D. (2008) “Towards a psychology of collective memory,” </w:t>
      </w:r>
      <w:r>
        <w:rPr>
          <w:i/>
          <w:sz w:val="24"/>
          <w:szCs w:val="24"/>
        </w:rPr>
        <w:t>Memory</w:t>
      </w:r>
      <w:r>
        <w:rPr>
          <w:sz w:val="24"/>
          <w:szCs w:val="24"/>
        </w:rPr>
        <w:t xml:space="preserve">, 16(3), pp. 183–200. Available at: https://doi.org/10.1080/09658210701811912. </w:t>
      </w:r>
    </w:p>
    <w:p>
      <w:pPr>
        <w:pStyle w:val="TextBody"/>
        <w:numPr>
          <w:ilvl w:val="1"/>
          <w:numId w:val="2"/>
        </w:numPr>
        <w:bidi w:val="0"/>
        <w:spacing w:lineRule="auto" w:line="360"/>
        <w:ind w:left="567" w:right="0" w:hanging="567"/>
        <w:jc w:val="both"/>
        <w:rPr>
          <w:lang w:val="en-GB"/>
        </w:rPr>
      </w:pPr>
      <w:r>
        <w:rPr>
          <w:lang w:val="en-GB"/>
        </w:rPr>
        <w:t xml:space="preserve">Jilge, W. (2006) “The politics of History and the Second World War in Post-Communist Ukraine (1986/1991-2004/2005),”  </w:t>
      </w:r>
      <w:r>
        <w:rPr>
          <w:i/>
          <w:iCs/>
          <w:lang w:val="en-GB"/>
        </w:rPr>
        <w:t>Jahr</w:t>
      </w:r>
      <w:r>
        <w:rPr>
          <w:i/>
          <w:iCs/>
          <w:lang w:val="de-DE"/>
        </w:rPr>
        <w:t>bücher Für Geschichte Osteuropa</w:t>
      </w:r>
      <w:r>
        <w:rPr>
          <w:i/>
          <w:iCs/>
          <w:lang w:val="en-GB"/>
        </w:rPr>
        <w:t xml:space="preserve">s, </w:t>
      </w:r>
      <w:r>
        <w:rPr>
          <w:i w:val="false"/>
          <w:iCs w:val="false"/>
          <w:lang w:val="en-GB"/>
        </w:rPr>
        <w:t>54(1), pp. 50-81. Available at: https</w:t>
      </w:r>
      <w:r>
        <w:rPr>
          <w:i w:val="false"/>
          <w:iCs w:val="false"/>
          <w:lang w:val="en-GB"/>
        </w:rPr>
        <w:t>://doi.org/10.2307/41051583</w:t>
      </w:r>
    </w:p>
    <w:p>
      <w:pPr>
        <w:pStyle w:val="TextBody"/>
        <w:numPr>
          <w:ilvl w:val="1"/>
          <w:numId w:val="2"/>
        </w:numPr>
        <w:bidi w:val="0"/>
        <w:spacing w:lineRule="auto" w:line="360"/>
        <w:ind w:left="567" w:right="0" w:hanging="567"/>
        <w:jc w:val="both"/>
        <w:rPr>
          <w:lang w:val="en-GB"/>
        </w:rPr>
      </w:pPr>
      <w:r>
        <w:rPr>
          <w:lang w:val="en-GB"/>
        </w:rPr>
        <w:t xml:space="preserve">Jilge, W., &amp; Troebst, S. (2006) “Divided Historical Cultures? World War II and Historical Memory in Soviet and post-Soviet Ukraine: Introduction,” </w:t>
      </w:r>
      <w:r>
        <w:rPr>
          <w:i/>
          <w:iCs/>
          <w:lang w:val="en-GB"/>
        </w:rPr>
        <w:t>Jahr</w:t>
      </w:r>
      <w:r>
        <w:rPr>
          <w:i/>
          <w:iCs/>
          <w:lang w:val="de-DE"/>
        </w:rPr>
        <w:t xml:space="preserve">bücher Für Geschichte Osteuropas, </w:t>
      </w:r>
      <w:r>
        <w:rPr>
          <w:i w:val="false"/>
          <w:iCs w:val="false"/>
          <w:lang w:val="de-DE"/>
        </w:rPr>
        <w:t xml:space="preserve">54(1), pp. 1-2. Available at: </w:t>
      </w:r>
      <w:r>
        <w:rPr>
          <w:i w:val="false"/>
          <w:iCs w:val="false"/>
          <w:lang w:val="en-GB"/>
        </w:rPr>
        <w:t>ht</w:t>
      </w:r>
      <w:r>
        <w:rPr>
          <w:i w:val="false"/>
          <w:iCs w:val="false"/>
          <w:lang w:val="en-GB"/>
        </w:rPr>
        <w:t>t</w:t>
      </w:r>
      <w:r>
        <w:rPr>
          <w:i w:val="false"/>
          <w:iCs w:val="false"/>
          <w:lang w:val="en-GB"/>
        </w:rPr>
        <w:t>ps</w:t>
      </w:r>
      <w:r>
        <w:rPr>
          <w:i w:val="false"/>
          <w:iCs w:val="false"/>
          <w:lang w:val="de-DE"/>
        </w:rPr>
        <w:t>://doi.org/10.2307/41051579</w:t>
      </w:r>
    </w:p>
    <w:p>
      <w:pPr>
        <w:pStyle w:val="TextBody"/>
        <w:numPr>
          <w:ilvl w:val="1"/>
          <w:numId w:val="2"/>
        </w:numPr>
        <w:bidi w:val="0"/>
        <w:spacing w:lineRule="auto" w:line="360"/>
        <w:ind w:left="567" w:right="0" w:hanging="567"/>
        <w:jc w:val="both"/>
        <w:rPr>
          <w:lang w:val="en-GB"/>
        </w:rPr>
      </w:pPr>
      <w:r>
        <w:rPr>
          <w:lang w:val="en-GB"/>
        </w:rPr>
        <w:t xml:space="preserve">Katchanovski, I. (2010) “The Politics of Soviet and Nazi Genocides in Orange Ukraine,” </w:t>
      </w:r>
      <w:r>
        <w:rPr>
          <w:i/>
          <w:iCs/>
          <w:lang w:val="en-GB"/>
        </w:rPr>
        <w:t xml:space="preserve">Europe-Asia Studies, Taylor &amp; Francis, Ltd, </w:t>
      </w:r>
      <w:r>
        <w:rPr>
          <w:i w:val="false"/>
          <w:iCs w:val="false"/>
          <w:lang w:val="en-GB"/>
        </w:rPr>
        <w:t>62(6), pp. 973-997. Available at: https://www.jstor.org/stable/20750260</w:t>
      </w:r>
    </w:p>
    <w:p>
      <w:pPr>
        <w:pStyle w:val="TextBody"/>
        <w:numPr>
          <w:ilvl w:val="1"/>
          <w:numId w:val="2"/>
        </w:numPr>
        <w:bidi w:val="0"/>
        <w:spacing w:lineRule="auto" w:line="360"/>
        <w:ind w:left="567" w:right="0" w:hanging="567"/>
        <w:jc w:val="both"/>
        <w:rPr>
          <w:lang w:val="en-GB"/>
        </w:rPr>
      </w:pPr>
      <w:r>
        <w:rPr>
          <w:lang w:val="en-GB"/>
        </w:rPr>
        <w:t xml:space="preserve">Liebich, A., Myshlovska, O., Sereda, V., Gaidai, O. and Sklokina, I. (2019) “3. The Ukrainian Past and Present: Legacies, Memory and Attitudes,” in Schmid, U. and Myshlovska, O. ed. </w:t>
      </w:r>
      <w:r>
        <w:rPr>
          <w:i/>
          <w:iCs/>
          <w:lang w:val="en-GB"/>
        </w:rPr>
        <w:t xml:space="preserve">Regionalism without Regions: Reconceptualizing Ukraine’s Heterogeneity, Central European University Press, </w:t>
      </w:r>
      <w:r>
        <w:rPr>
          <w:i w:val="false"/>
          <w:iCs w:val="false"/>
          <w:lang w:val="en-GB"/>
        </w:rPr>
        <w:t>pp. 67-134. Available at: https://doi.org/10.1515/9789633863114-007</w:t>
      </w:r>
    </w:p>
    <w:p>
      <w:pPr>
        <w:pStyle w:val="TextBody"/>
        <w:numPr>
          <w:ilvl w:val="1"/>
          <w:numId w:val="2"/>
        </w:numPr>
        <w:bidi w:val="0"/>
        <w:spacing w:lineRule="auto" w:line="360"/>
        <w:ind w:left="567" w:right="0" w:hanging="567"/>
        <w:jc w:val="both"/>
        <w:rPr>
          <w:lang w:val="en-GB"/>
        </w:rPr>
      </w:pPr>
      <w:r>
        <w:rPr>
          <w:lang w:val="en-GB"/>
        </w:rPr>
        <w:t xml:space="preserve">Marples, D. R. (2012) “Introduction: Historical Memory and the Great Patriotic War,” </w:t>
      </w:r>
      <w:r>
        <w:rPr>
          <w:i/>
          <w:iCs/>
          <w:lang w:val="en-GB"/>
        </w:rPr>
        <w:t xml:space="preserve">Canadian Slavonic Papers / Revue Canadienne Des Slavistes, </w:t>
      </w:r>
      <w:r>
        <w:rPr>
          <w:i w:val="false"/>
          <w:iCs w:val="false"/>
          <w:lang w:val="en-GB"/>
        </w:rPr>
        <w:t>54(3/4), pp. 285-294. Available at: http://www.jstor.org/stable/23617478</w:t>
      </w:r>
    </w:p>
    <w:p>
      <w:pPr>
        <w:pStyle w:val="TextBody"/>
        <w:numPr>
          <w:ilvl w:val="1"/>
          <w:numId w:val="2"/>
        </w:numPr>
        <w:bidi w:val="0"/>
        <w:spacing w:lineRule="auto" w:line="360"/>
        <w:ind w:left="567" w:right="0" w:hanging="567"/>
        <w:jc w:val="both"/>
        <w:rPr>
          <w:sz w:val="24"/>
          <w:szCs w:val="24"/>
        </w:rPr>
      </w:pPr>
      <w:r>
        <w:rPr>
          <w:sz w:val="24"/>
          <w:szCs w:val="24"/>
        </w:rPr>
        <w:t xml:space="preserve">O’Connor, P. (2019) “The unanchored past: Three modes of collective memory,” </w:t>
      </w:r>
      <w:r>
        <w:rPr>
          <w:i/>
          <w:sz w:val="24"/>
          <w:szCs w:val="24"/>
        </w:rPr>
        <w:t>Memory Studies</w:t>
      </w:r>
      <w:r>
        <w:rPr>
          <w:sz w:val="24"/>
          <w:szCs w:val="24"/>
        </w:rPr>
        <w:t xml:space="preserve">, 15(4), pp. 634–649. Available at: </w:t>
      </w:r>
      <w:r>
        <w:rPr>
          <w:rStyle w:val="InternetLink"/>
          <w:sz w:val="24"/>
          <w:szCs w:val="24"/>
        </w:rPr>
        <w:t>https://doi.org/10.1177/1750698019894694</w:t>
      </w:r>
      <w:r>
        <w:rPr>
          <w:sz w:val="24"/>
          <w:szCs w:val="24"/>
        </w:rPr>
        <w:t>.</w:t>
      </w:r>
    </w:p>
    <w:p>
      <w:pPr>
        <w:pStyle w:val="TextBody"/>
        <w:numPr>
          <w:ilvl w:val="1"/>
          <w:numId w:val="2"/>
        </w:numPr>
        <w:bidi w:val="0"/>
        <w:spacing w:lineRule="auto" w:line="360"/>
        <w:ind w:left="567" w:right="0" w:hanging="567"/>
        <w:jc w:val="both"/>
        <w:rPr>
          <w:sz w:val="24"/>
          <w:szCs w:val="24"/>
        </w:rPr>
      </w:pPr>
      <w:r>
        <w:rPr>
          <w:sz w:val="24"/>
          <w:szCs w:val="24"/>
        </w:rPr>
        <w:t>Shevel, O. (2011) “The Politics of Memory in a Divided Society: A Comparison of Post-Franco Spain and Post-Soviet Ukraine,”</w:t>
      </w:r>
      <w:r>
        <w:rPr>
          <w:i/>
          <w:iCs/>
          <w:sz w:val="24"/>
          <w:szCs w:val="24"/>
        </w:rPr>
        <w:t xml:space="preserve"> Slavic Review, Cambridge University Press,</w:t>
      </w:r>
      <w:r>
        <w:rPr>
          <w:i w:val="false"/>
          <w:iCs w:val="false"/>
          <w:sz w:val="24"/>
          <w:szCs w:val="24"/>
        </w:rPr>
        <w:t xml:space="preserve"> 70(1), pp. 137-</w:t>
      </w:r>
      <w:r>
        <w:rPr>
          <w:i w:val="false"/>
          <w:iCs w:val="false"/>
          <w:sz w:val="24"/>
          <w:szCs w:val="24"/>
          <w:lang w:val="en-GB"/>
        </w:rPr>
        <w:t>164.</w:t>
      </w:r>
      <w:r>
        <w:rPr>
          <w:i w:val="false"/>
          <w:iCs w:val="false"/>
          <w:sz w:val="24"/>
          <w:szCs w:val="24"/>
        </w:rPr>
        <w:t xml:space="preserve"> </w:t>
      </w:r>
      <w:r>
        <w:rPr>
          <w:sz w:val="24"/>
          <w:szCs w:val="24"/>
        </w:rPr>
        <w:t>Available at: https://doi.org/10.5612/slavicreview.70.1.0137</w:t>
      </w:r>
    </w:p>
    <w:p>
      <w:pPr>
        <w:pStyle w:val="TextBody"/>
        <w:numPr>
          <w:ilvl w:val="1"/>
          <w:numId w:val="2"/>
        </w:numPr>
        <w:bidi w:val="0"/>
        <w:spacing w:lineRule="auto" w:line="360"/>
        <w:ind w:left="567" w:right="0" w:hanging="567"/>
        <w:jc w:val="both"/>
        <w:rPr>
          <w:lang w:val="en-GB"/>
        </w:rPr>
      </w:pPr>
      <w:r>
        <w:rPr>
          <w:lang w:val="en-GB"/>
        </w:rPr>
        <w:t xml:space="preserve">Tuminez, A. S. (2003) “Nationalism, Ethnic Pressures, and the Breakup of the Soviet Union,” </w:t>
      </w:r>
      <w:r>
        <w:rPr>
          <w:i/>
          <w:iCs/>
          <w:lang w:val="en-GB"/>
        </w:rPr>
        <w:t xml:space="preserve">Journal of Cold War Studies, </w:t>
      </w:r>
      <w:r>
        <w:rPr>
          <w:i w:val="false"/>
          <w:iCs w:val="false"/>
          <w:lang w:val="en-GB"/>
        </w:rPr>
        <w:t>5(4), pp. 81-136. Available at: https://www.jstor.org/stable/26925339</w:t>
      </w:r>
    </w:p>
    <w:p>
      <w:pPr>
        <w:pStyle w:val="TextBody"/>
        <w:numPr>
          <w:ilvl w:val="1"/>
          <w:numId w:val="2"/>
        </w:numPr>
        <w:bidi w:val="0"/>
        <w:spacing w:lineRule="auto" w:line="360"/>
        <w:ind w:left="567" w:right="0" w:hanging="567"/>
        <w:jc w:val="both"/>
        <w:rPr>
          <w:lang w:val="en-GB"/>
        </w:rPr>
      </w:pPr>
      <w:r>
        <w:rPr>
          <w:lang w:val="en-GB"/>
        </w:rPr>
        <w:t xml:space="preserve">Wanner, C. (1999) “Crafting Identity, Marking Time: An Anthropological Perspective on Historical Commemoration and Nation-Building in Ukraine,” </w:t>
      </w:r>
      <w:r>
        <w:rPr>
          <w:i/>
          <w:iCs/>
          <w:lang w:val="en-GB"/>
        </w:rPr>
        <w:t xml:space="preserve">Harvard Ukrainian Studies, </w:t>
      </w:r>
      <w:r>
        <w:rPr>
          <w:i w:val="false"/>
          <w:iCs w:val="false"/>
          <w:lang w:val="en-GB"/>
        </w:rPr>
        <w:t>23(3/4), pp. 105-131. Available at: https://www.jstor.org/stable/41036792</w:t>
      </w:r>
    </w:p>
    <w:p>
      <w:pPr>
        <w:pStyle w:val="TextBody"/>
        <w:numPr>
          <w:ilvl w:val="1"/>
          <w:numId w:val="2"/>
        </w:numPr>
        <w:bidi w:val="0"/>
        <w:spacing w:lineRule="auto" w:line="360"/>
        <w:ind w:left="567" w:right="0" w:hanging="567"/>
        <w:jc w:val="both"/>
        <w:rPr>
          <w:sz w:val="24"/>
          <w:szCs w:val="24"/>
        </w:rPr>
      </w:pPr>
      <w:r>
        <w:rPr>
          <w:sz w:val="24"/>
          <w:szCs w:val="24"/>
        </w:rPr>
        <w:t xml:space="preserve">Wood, N. (1994) “Memory's Remains: Les lieux de mémoire,” </w:t>
      </w:r>
      <w:r>
        <w:rPr>
          <w:i/>
          <w:sz w:val="24"/>
          <w:szCs w:val="24"/>
        </w:rPr>
        <w:t>History and Memory</w:t>
      </w:r>
      <w:r>
        <w:rPr>
          <w:sz w:val="24"/>
          <w:szCs w:val="24"/>
        </w:rPr>
        <w:t xml:space="preserve">, 6(1), pp. 123–149. </w:t>
      </w:r>
    </w:p>
    <w:p>
      <w:pPr>
        <w:pStyle w:val="TextBody"/>
        <w:numPr>
          <w:ilvl w:val="1"/>
          <w:numId w:val="2"/>
        </w:numPr>
        <w:bidi w:val="0"/>
        <w:spacing w:lineRule="auto" w:line="360"/>
        <w:ind w:left="567" w:right="0" w:hanging="567"/>
        <w:jc w:val="both"/>
        <w:rPr>
          <w:sz w:val="24"/>
          <w:szCs w:val="24"/>
        </w:rPr>
      </w:pPr>
      <w:r>
        <w:rPr>
          <w:sz w:val="24"/>
          <w:szCs w:val="24"/>
        </w:rPr>
        <w:t xml:space="preserve">Yasseri, T. </w:t>
      </w:r>
      <w:r>
        <w:rPr>
          <w:i/>
          <w:sz w:val="24"/>
          <w:szCs w:val="24"/>
        </w:rPr>
        <w:t>et al.</w:t>
      </w:r>
      <w:r>
        <w:rPr>
          <w:sz w:val="24"/>
          <w:szCs w:val="24"/>
        </w:rPr>
        <w:t xml:space="preserve"> (2022) “Collective memory in the Digital age,” </w:t>
      </w:r>
      <w:r>
        <w:rPr>
          <w:i/>
          <w:sz w:val="24"/>
          <w:szCs w:val="24"/>
        </w:rPr>
        <w:t>Collective Memory, Elsevier</w:t>
      </w:r>
      <w:r>
        <w:rPr>
          <w:sz w:val="24"/>
          <w:szCs w:val="24"/>
        </w:rPr>
        <w:t xml:space="preserve">, pp. 203–226. Available at: https://doi.org/10.1016/bs.pbr.2022.07.001. </w:t>
      </w:r>
    </w:p>
    <w:p>
      <w:pPr>
        <w:pStyle w:val="TextBody"/>
        <w:numPr>
          <w:ilvl w:val="1"/>
          <w:numId w:val="2"/>
        </w:numPr>
        <w:bidi w:val="0"/>
        <w:spacing w:lineRule="auto" w:line="360"/>
        <w:ind w:left="567" w:right="0" w:hanging="567"/>
        <w:jc w:val="both"/>
        <w:rPr>
          <w:sz w:val="24"/>
          <w:szCs w:val="24"/>
        </w:rPr>
      </w:pPr>
      <w:r>
        <w:rPr>
          <w:sz w:val="24"/>
          <w:szCs w:val="24"/>
        </w:rPr>
        <w:t xml:space="preserve">Zhurzhenko, T. (2014) “A Divided Nation? Reconsidering the Role of Identity Politics in the Ukraine Crisis,” </w:t>
      </w:r>
      <w:r>
        <w:rPr>
          <w:i/>
          <w:iCs/>
          <w:sz w:val="24"/>
          <w:szCs w:val="24"/>
        </w:rPr>
        <w:t xml:space="preserve">Die Friedens-Warte, Berliner Wissenschafts-Verlag, </w:t>
      </w:r>
      <w:r>
        <w:rPr>
          <w:i w:val="false"/>
          <w:iCs w:val="false"/>
          <w:sz w:val="24"/>
          <w:szCs w:val="24"/>
        </w:rPr>
        <w:t>89(1/2), pp. 249-267. Available at: https://www.jstor.org/stable/24868495</w:t>
      </w:r>
    </w:p>
    <w:p>
      <w:pPr>
        <w:pStyle w:val="Normal"/>
        <w:numPr>
          <w:ilvl w:val="0"/>
          <w:numId w:val="2"/>
        </w:numPr>
        <w:bidi w:val="0"/>
        <w:spacing w:lineRule="auto" w:line="360"/>
        <w:jc w:val="both"/>
        <w:rPr/>
      </w:pPr>
      <w:r>
        <w:rPr/>
        <w:t>Academic sources (Ukrainian language):</w:t>
      </w:r>
    </w:p>
    <w:p>
      <w:pPr>
        <w:pStyle w:val="TextBody"/>
        <w:numPr>
          <w:ilvl w:val="1"/>
          <w:numId w:val="2"/>
        </w:numPr>
        <w:bidi w:val="0"/>
        <w:spacing w:lineRule="auto" w:line="360"/>
        <w:ind w:left="567" w:right="0" w:hanging="567"/>
        <w:jc w:val="both"/>
        <w:rPr>
          <w:lang w:val="uk-UA"/>
        </w:rPr>
      </w:pPr>
      <w:r>
        <w:rPr>
          <w:lang w:val="en-GB"/>
        </w:rPr>
        <w:t>Babka, V. (2014) “Polityka pamiaty: sproba teoretychnoho syntezy, modeli vprovadzhennia ta rol’ u perekhidnomy suspil’stvi,”</w:t>
      </w:r>
      <w:r>
        <w:rPr>
          <w:i/>
          <w:iCs/>
          <w:lang w:val="en-GB"/>
        </w:rPr>
        <w:t xml:space="preserve"> Naukovi zapysky Instytutu politychnykh i- etnonazional’nykh doslidzhen’ imeni I.F.Kurasa NAN Ukrainy,</w:t>
      </w:r>
      <w:r>
        <w:rPr>
          <w:i w:val="false"/>
          <w:iCs w:val="false"/>
          <w:lang w:val="en-GB"/>
        </w:rPr>
        <w:t xml:space="preserve"> 6(74), </w:t>
      </w:r>
      <w:r>
        <w:rPr>
          <w:lang w:val="en-GB"/>
        </w:rPr>
        <w:t xml:space="preserve">pp. </w:t>
      </w:r>
      <w:r>
        <w:rPr>
          <w:lang w:val="uk-UA"/>
        </w:rPr>
        <w:t xml:space="preserve">201-215. </w:t>
      </w:r>
      <w:r>
        <w:rPr>
          <w:lang w:val="en-GB"/>
        </w:rPr>
        <w:t>Available at: https://ipiend.gov.ua/publication/naukovi-zapysky-6-74/</w:t>
      </w:r>
    </w:p>
    <w:p>
      <w:pPr>
        <w:pStyle w:val="TextBody"/>
        <w:numPr>
          <w:ilvl w:val="1"/>
          <w:numId w:val="2"/>
        </w:numPr>
        <w:bidi w:val="0"/>
        <w:spacing w:lineRule="auto" w:line="360"/>
        <w:ind w:left="567" w:right="0" w:hanging="567"/>
        <w:jc w:val="both"/>
        <w:rPr>
          <w:lang w:val="en-GB"/>
        </w:rPr>
      </w:pPr>
      <w:r>
        <w:rPr>
          <w:lang w:val="en-GB"/>
        </w:rPr>
        <w:t xml:space="preserve">Meteliova, T. (2019) “Polityka pamiaty iak instrument nacional’noi consolidacii: dosvid dlia Ukrainy” </w:t>
      </w:r>
      <w:r>
        <w:rPr>
          <w:i/>
          <w:iCs/>
          <w:lang w:val="en-GB"/>
        </w:rPr>
        <w:t xml:space="preserve">Ukraina: context svitovykh podiy, Instytut vsesvitnioi istorii NAN Ukrainy, </w:t>
      </w:r>
      <w:r>
        <w:rPr>
          <w:i w:val="false"/>
          <w:iCs w:val="false"/>
          <w:lang w:val="en-GB"/>
        </w:rPr>
        <w:t>1(2), pp. 158-165. Available at: https://elibrary.ivinas.gov.ua/id/eprint/4796</w:t>
      </w:r>
    </w:p>
    <w:p>
      <w:pPr>
        <w:pStyle w:val="Normal"/>
        <w:numPr>
          <w:ilvl w:val="0"/>
          <w:numId w:val="2"/>
        </w:numPr>
        <w:bidi w:val="0"/>
        <w:spacing w:lineRule="auto" w:line="360"/>
        <w:jc w:val="both"/>
        <w:rPr/>
      </w:pPr>
      <w:r>
        <w:rPr/>
        <w:t xml:space="preserve">Primary sources </w:t>
      </w:r>
      <w:r>
        <w:rPr>
          <w:lang w:val="en-GB"/>
        </w:rPr>
        <w:t>(English and Ukrainian)</w:t>
      </w:r>
      <w:r>
        <w:rPr/>
        <w:t>:</w:t>
      </w:r>
    </w:p>
    <w:p>
      <w:pPr>
        <w:pStyle w:val="TextBody"/>
        <w:numPr>
          <w:ilvl w:val="1"/>
          <w:numId w:val="2"/>
        </w:numPr>
        <w:bidi w:val="0"/>
        <w:spacing w:lineRule="auto" w:line="360"/>
        <w:ind w:left="567" w:right="0" w:hanging="567"/>
        <w:jc w:val="both"/>
        <w:rPr>
          <w:lang w:val="en-GB"/>
        </w:rPr>
      </w:pPr>
      <w:r>
        <w:rPr>
          <w:lang w:val="en-GB"/>
        </w:rPr>
        <w:t>Ciupin, B. (2019) “Ukrains’ke osmyslennia Druhoi Svitoviy viyny pidshtovhue suchasna agresia Rosii,”</w:t>
      </w:r>
      <w:r>
        <w:rPr>
          <w:i/>
          <w:iCs/>
          <w:lang w:val="en-GB"/>
        </w:rPr>
        <w:t xml:space="preserve"> VOA. </w:t>
      </w:r>
      <w:r>
        <w:rPr>
          <w:i w:val="false"/>
          <w:iCs w:val="false"/>
          <w:lang w:val="en-GB"/>
        </w:rPr>
        <w:t>Available at: https://ukrainian.voanews.com/a/ww2-ukrainian-history/5065013.html</w:t>
      </w:r>
    </w:p>
    <w:p>
      <w:pPr>
        <w:pStyle w:val="TextBody"/>
        <w:numPr>
          <w:ilvl w:val="1"/>
          <w:numId w:val="2"/>
        </w:numPr>
        <w:bidi w:val="0"/>
        <w:spacing w:lineRule="auto" w:line="360"/>
        <w:ind w:left="567" w:right="0" w:hanging="567"/>
        <w:jc w:val="both"/>
        <w:rPr>
          <w:lang w:val="en-GB"/>
        </w:rPr>
      </w:pPr>
      <w:r>
        <w:rPr>
          <w:lang w:val="en-GB"/>
        </w:rPr>
        <w:t>Laskin, E. (2023) “‘We can do it again’ The invention and reinvention of an ‘antifascist-fascist’ slogan,”</w:t>
      </w:r>
      <w:r>
        <w:rPr>
          <w:i/>
          <w:iCs/>
          <w:lang w:val="en-GB"/>
        </w:rPr>
        <w:t xml:space="preserve"> Meduza. </w:t>
      </w:r>
      <w:r>
        <w:rPr>
          <w:lang w:val="en-GB"/>
        </w:rPr>
        <w:t xml:space="preserve">Available at: https://meduza.io/en/feature/2023/01/15/we-can-do-it-again </w:t>
      </w:r>
    </w:p>
    <w:p>
      <w:pPr>
        <w:pStyle w:val="TextBody"/>
        <w:numPr>
          <w:ilvl w:val="1"/>
          <w:numId w:val="2"/>
        </w:numPr>
        <w:bidi w:val="0"/>
        <w:spacing w:lineRule="auto" w:line="360"/>
        <w:ind w:left="567" w:right="0" w:hanging="567"/>
        <w:jc w:val="both"/>
        <w:rPr>
          <w:lang w:val="en-GB"/>
        </w:rPr>
      </w:pPr>
      <w:r>
        <w:rPr>
          <w:lang w:val="en-GB"/>
        </w:rPr>
        <w:t xml:space="preserve">Shtogrin, I. (2021) “Druha svitova viyna. Vtraty Ukrainy,” </w:t>
      </w:r>
      <w:r>
        <w:rPr>
          <w:i/>
          <w:iCs/>
          <w:lang w:val="en-GB"/>
        </w:rPr>
        <w:t xml:space="preserve">Radio Svoboda. </w:t>
      </w:r>
      <w:r>
        <w:rPr>
          <w:i w:val="false"/>
          <w:iCs w:val="false"/>
          <w:lang w:val="en-GB"/>
        </w:rPr>
        <w:t xml:space="preserve">Available at: https://www.radiosvoboda.org/a/druha-svitova-viyna-vtraty-ukrayiny/31438354.html </w:t>
      </w:r>
    </w:p>
    <w:p>
      <w:pPr>
        <w:pStyle w:val="TextBody"/>
        <w:numPr>
          <w:ilvl w:val="1"/>
          <w:numId w:val="2"/>
        </w:numPr>
        <w:bidi w:val="0"/>
        <w:spacing w:lineRule="auto" w:line="360" w:before="0" w:after="140"/>
        <w:ind w:left="567" w:right="0" w:hanging="567"/>
        <w:jc w:val="both"/>
        <w:rPr>
          <w:lang w:val="en-GB"/>
        </w:rPr>
      </w:pPr>
      <w:r>
        <w:rPr>
          <w:i w:val="false"/>
          <w:iCs w:val="false"/>
          <w:lang w:val="en-GB"/>
        </w:rPr>
        <w:t xml:space="preserve">Zanuda, A. (2015) “Druha svitova viyna dlia Ukrainy: nove osmyslennia,” </w:t>
      </w:r>
      <w:r>
        <w:rPr>
          <w:i/>
          <w:iCs/>
          <w:lang w:val="en-GB"/>
        </w:rPr>
        <w:t xml:space="preserve">BBC News Ukraina. </w:t>
      </w:r>
      <w:r>
        <w:rPr>
          <w:i w:val="false"/>
          <w:iCs w:val="false"/>
          <w:lang w:val="en-GB"/>
        </w:rPr>
        <w:t>Available at: https://www.bbc.com/ukrainian/society/2015/05/150506_ukraine_ww2_az</w:t>
      </w:r>
    </w:p>
    <w:sectPr>
      <w:type w:val="nextPage"/>
      <w:pgSz w:w="11906" w:h="16838"/>
      <w:pgMar w:left="1134" w:right="1134" w:gutter="0" w:header="0" w:top="1134" w:footer="0" w:bottom="1134"/>
      <w:pgNumType w:fmt="decimal"/>
      <w:formProt w:val="false"/>
      <w:textDirection w:val="lrTb"/>
      <w:docGrid w:type="default" w:linePitch="600" w:charSpace="32768"/>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Times New Roman">
    <w:charset w:val="01"/>
    <w:family w:val="roman"/>
    <w:pitch w:val="default"/>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pStyle w:val="Heading1"/>
      <w:numFmt w:val="none"/>
      <w:suff w:val="nothing"/>
      <w:lvlText w:val=""/>
      <w:lvlJc w:val="left"/>
      <w:pPr>
        <w:tabs>
          <w:tab w:val="num" w:pos="0"/>
        </w:tabs>
        <w:ind w:left="0" w:hanging="0"/>
      </w:pPr>
    </w:lvl>
    <w:lvl w:ilvl="1">
      <w:start w:val="1"/>
      <w:pStyle w:val="Heading2"/>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abstractNum w:abstractNumId="2">
    <w:lvl w:ilvl="0">
      <w:start w:val="1"/>
      <w:numFmt w:val="decimal"/>
      <w:lvlText w:val="%1"/>
      <w:lvlJc w:val="left"/>
      <w:pPr>
        <w:tabs>
          <w:tab w:val="num" w:pos="720"/>
        </w:tabs>
        <w:ind w:left="720" w:hanging="360"/>
      </w:pPr>
      <w:rPr/>
    </w:lvl>
    <w:lvl w:ilvl="1">
      <w:start w:val="1"/>
      <w:numFmt w:val="decimal"/>
      <w:lvlText w:val="%1.%2"/>
      <w:lvlJc w:val="left"/>
      <w:pPr>
        <w:tabs>
          <w:tab w:val="num" w:pos="1080"/>
        </w:tabs>
        <w:ind w:left="1080" w:hanging="360"/>
      </w:pPr>
      <w:rPr/>
    </w:lvl>
    <w:lvl w:ilvl="2">
      <w:start w:val="1"/>
      <w:numFmt w:val="decimal"/>
      <w:lvlText w:val="%1.%2.%3"/>
      <w:lvlJc w:val="left"/>
      <w:pPr>
        <w:tabs>
          <w:tab w:val="num" w:pos="1440"/>
        </w:tabs>
        <w:ind w:left="1440" w:hanging="360"/>
      </w:pPr>
      <w:rPr/>
    </w:lvl>
    <w:lvl w:ilvl="3">
      <w:start w:val="1"/>
      <w:numFmt w:val="decimal"/>
      <w:lvlText w:val="%1.%2.%3.%4"/>
      <w:lvlJc w:val="left"/>
      <w:pPr>
        <w:tabs>
          <w:tab w:val="num" w:pos="1800"/>
        </w:tabs>
        <w:ind w:left="1800" w:hanging="360"/>
      </w:pPr>
      <w:rPr/>
    </w:lvl>
    <w:lvl w:ilvl="4">
      <w:start w:val="1"/>
      <w:numFmt w:val="decimal"/>
      <w:lvlText w:val="%1.%2.%3.%4.%5"/>
      <w:lvlJc w:val="left"/>
      <w:pPr>
        <w:tabs>
          <w:tab w:val="num" w:pos="2160"/>
        </w:tabs>
        <w:ind w:left="2160" w:hanging="360"/>
      </w:pPr>
      <w:rPr/>
    </w:lvl>
    <w:lvl w:ilvl="5">
      <w:start w:val="1"/>
      <w:numFmt w:val="decimal"/>
      <w:lvlText w:val="%1.%2.%3.%4.%5.%6"/>
      <w:lvlJc w:val="left"/>
      <w:pPr>
        <w:tabs>
          <w:tab w:val="num" w:pos="2520"/>
        </w:tabs>
        <w:ind w:left="2520" w:hanging="360"/>
      </w:pPr>
      <w:rPr/>
    </w:lvl>
    <w:lvl w:ilvl="6">
      <w:start w:val="1"/>
      <w:numFmt w:val="decimal"/>
      <w:lvlText w:val="%1.%2.%3.%4.%5.%6.%7"/>
      <w:lvlJc w:val="left"/>
      <w:pPr>
        <w:tabs>
          <w:tab w:val="num" w:pos="2880"/>
        </w:tabs>
        <w:ind w:left="2880" w:hanging="360"/>
      </w:pPr>
      <w:rPr/>
    </w:lvl>
    <w:lvl w:ilvl="7">
      <w:start w:val="1"/>
      <w:numFmt w:val="decimal"/>
      <w:lvlText w:val="%1.%2.%3.%4.%5.%6.%7.%8"/>
      <w:lvlJc w:val="left"/>
      <w:pPr>
        <w:tabs>
          <w:tab w:val="num" w:pos="3240"/>
        </w:tabs>
        <w:ind w:left="3240" w:hanging="360"/>
      </w:pPr>
      <w:rPr/>
    </w:lvl>
    <w:lvl w:ilvl="8">
      <w:start w:val="1"/>
      <w:numFmt w:val="decimal"/>
      <w:lvlText w:val="%1.%2.%3.%4.%5.%6.%7.%8.%9"/>
      <w:lvlJc w:val="left"/>
      <w:pPr>
        <w:tabs>
          <w:tab w:val="num" w:pos="3600"/>
        </w:tabs>
        <w:ind w:left="3600" w:hanging="360"/>
      </w:pPr>
      <w:rPr/>
    </w:lvl>
  </w:abstractNum>
  <w:num w:numId="1">
    <w:abstractNumId w:val="1"/>
  </w:num>
  <w:num w:numId="2">
    <w:abstractNumId w:val="2"/>
  </w:num>
</w:numbering>
</file>

<file path=word/settings.xml><?xml version="1.0" encoding="utf-8"?>
<w:settings xmlns:w="http://schemas.openxmlformats.org/wordprocessingml/2006/main">
  <w:zoom w:val="bestFit" w:percent="93"/>
  <w:defaultTabStop w:val="709"/>
  <w:autoHyphenation w:val="tru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NSimSun" w:cs="Lucida Sans"/>
        <w:kern w:val="2"/>
        <w:sz w:val="24"/>
        <w:szCs w:val="24"/>
        <w:lang w:val="en-US" w:eastAsia="zh-CN" w:bidi="hi-IN"/>
      </w:rPr>
    </w:rPrDefault>
    <w:pPrDefault>
      <w:pPr>
        <w:suppressAutoHyphens w:val="true"/>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pPr>
      <w:widowControl/>
      <w:suppressAutoHyphens w:val="true"/>
      <w:overflowPunct w:val="false"/>
      <w:bidi w:val="0"/>
      <w:spacing w:before="0" w:after="0"/>
      <w:jc w:val="left"/>
    </w:pPr>
    <w:rPr>
      <w:rFonts w:ascii="Times New Roman" w:hAnsi="Times New Roman" w:eastAsia="NSimSun" w:cs="Lucida Sans"/>
      <w:color w:val="auto"/>
      <w:kern w:val="2"/>
      <w:sz w:val="24"/>
      <w:szCs w:val="24"/>
      <w:lang w:val="en-US" w:eastAsia="zh-CN" w:bidi="hi-IN"/>
    </w:rPr>
  </w:style>
  <w:style w:type="paragraph" w:styleId="Heading1">
    <w:name w:val="Heading 1"/>
    <w:basedOn w:val="Heading"/>
    <w:next w:val="TextBody"/>
    <w:qFormat/>
    <w:pPr>
      <w:spacing w:before="240" w:after="120"/>
      <w:outlineLvl w:val="0"/>
    </w:pPr>
    <w:rPr>
      <w:rFonts w:ascii="Liberation Serif" w:hAnsi="Liberation Serif" w:eastAsia="NSimSun" w:cs="Lucida Sans"/>
      <w:b/>
      <w:bCs/>
      <w:sz w:val="48"/>
      <w:szCs w:val="48"/>
    </w:rPr>
  </w:style>
  <w:style w:type="paragraph" w:styleId="Heading2">
    <w:name w:val="Heading 2"/>
    <w:basedOn w:val="Heading"/>
    <w:next w:val="TextBody"/>
    <w:qFormat/>
    <w:pPr>
      <w:numPr>
        <w:ilvl w:val="1"/>
        <w:numId w:val="1"/>
      </w:numPr>
      <w:spacing w:before="200" w:after="120"/>
      <w:outlineLvl w:val="1"/>
    </w:pPr>
    <w:rPr>
      <w:b/>
      <w:bCs/>
      <w:sz w:val="32"/>
      <w:szCs w:val="32"/>
    </w:rPr>
  </w:style>
  <w:style w:type="character" w:styleId="DefaultParagraphFont" w:default="1">
    <w:name w:val="Default Paragraph Font"/>
    <w:uiPriority w:val="1"/>
    <w:semiHidden/>
    <w:unhideWhenUsed/>
    <w:qFormat/>
    <w:rPr/>
  </w:style>
  <w:style w:type="character" w:styleId="NumberingSymbols" w:customStyle="1">
    <w:name w:val="Numbering Symbols"/>
    <w:qFormat/>
    <w:rPr/>
  </w:style>
  <w:style w:type="character" w:styleId="InternetLink">
    <w:name w:val="Hyperlink"/>
    <w:rPr>
      <w:color w:val="000080"/>
      <w:u w:val="single"/>
      <w:lang w:val="zxx" w:eastAsia="zxx" w:bidi="zxx"/>
    </w:rPr>
  </w:style>
  <w:style w:type="character" w:styleId="VisitedInternetLink">
    <w:name w:val="FollowedHyperlink"/>
    <w:rPr>
      <w:color w:val="800000"/>
      <w:u w:val="single"/>
      <w:lang w:val="zxx" w:eastAsia="zxx" w:bidi="zxx"/>
    </w:rPr>
  </w:style>
  <w:style w:type="paragraph" w:styleId="Heading" w:customStyle="1">
    <w:name w:val="Heading"/>
    <w:basedOn w:val="Normal"/>
    <w:next w:val="TextBody"/>
    <w:qFormat/>
    <w:pPr>
      <w:keepNext w:val="true"/>
      <w:spacing w:before="240" w:after="120"/>
    </w:pPr>
    <w:rPr>
      <w:rFonts w:ascii="Times New Roman" w:hAnsi="Times New Roman" w:eastAsia="Microsoft YaHei" w:cs="Lucida 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Lucida Sans"/>
    </w:rPr>
  </w:style>
  <w:style w:type="paragraph" w:styleId="Caption" w:customStyle="1">
    <w:name w:val="Caption"/>
    <w:basedOn w:val="Normal"/>
    <w:qFormat/>
    <w:pPr>
      <w:suppressLineNumbers/>
      <w:spacing w:before="120" w:after="120"/>
    </w:pPr>
    <w:rPr>
      <w:rFonts w:cs="Lucida Sans"/>
      <w:i/>
      <w:iCs/>
      <w:sz w:val="24"/>
      <w:szCs w:val="24"/>
    </w:rPr>
  </w:style>
  <w:style w:type="paragraph" w:styleId="Index" w:customStyle="1">
    <w:name w:val="Index"/>
    <w:basedOn w:val="Normal"/>
    <w:qFormat/>
    <w:pPr>
      <w:suppressLineNumbers/>
    </w:pPr>
    <w:rPr>
      <w:rFonts w:cs="Lucida Sans"/>
      <w:lang w:val="en-US" w:eastAsia="en-US" w:bidi="en-US"/>
    </w:r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ntTable" Target="fontTable.xml"/><Relationship Id="rId4" Type="http://schemas.openxmlformats.org/officeDocument/2006/relationships/settings" Target="settings.xml"/><Relationship Id="rId5"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
  <TotalTime>1227</TotalTime>
  <Application>LibreOffice/7.3.4.2$Windows_X86_64 LibreOffice_project/728fec16bd5f605073805c3c9e7c4212a0120dc5</Application>
  <AppVersion>15.0000</AppVersion>
  <Pages>10</Pages>
  <Words>4222</Words>
  <Characters>23000</Characters>
  <CharactersWithSpaces>27195</CharactersWithSpaces>
  <Paragraphs>51</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2022-11-01T22:25:01Z</dcterms:created>
  <dc:creator/>
  <dc:description/>
  <dc:language>en-US</dc:language>
  <cp:lastModifiedBy/>
  <dcterms:modified xsi:type="dcterms:W3CDTF">2023-04-27T21:19:23Z</dcterms:modified>
  <cp:revision>102</cp:revision>
  <dc:subject/>
  <dc:title/>
</cp:coreProperties>
</file>

<file path=docProps/custom.xml><?xml version="1.0" encoding="utf-8"?>
<Properties xmlns="http://schemas.openxmlformats.org/officeDocument/2006/custom-properties" xmlns:vt="http://schemas.openxmlformats.org/officeDocument/2006/docPropsVTypes"/>
</file>