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26AC26A">
      <w:pPr>
        <w:spacing w:line="360" w:lineRule="auto"/>
        <w:jc w:val="both"/>
        <w:rPr>
          <w:rFonts w:ascii="Times New Roman" w:hAnsi="Times New Roman" w:cs="Times New Roman"/>
          <w:b/>
          <w:bCs/>
        </w:rPr>
      </w:pPr>
      <w:r>
        <w:rPr>
          <w:rFonts w:ascii="Times New Roman" w:hAnsi="Times New Roman" w:cs="Times New Roman"/>
          <w:b/>
          <w:bCs/>
        </w:rPr>
        <w:drawing>
          <wp:inline distT="0" distB="0" distL="0" distR="0">
            <wp:extent cx="5944235" cy="26460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944235" cy="2646045"/>
                    </a:xfrm>
                    <a:prstGeom prst="rect">
                      <a:avLst/>
                    </a:prstGeom>
                    <a:noFill/>
                  </pic:spPr>
                </pic:pic>
              </a:graphicData>
            </a:graphic>
          </wp:inline>
        </w:drawing>
      </w:r>
    </w:p>
    <w:tbl>
      <w:tblPr>
        <w:tblStyle w:val="11"/>
        <w:tblW w:w="96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30"/>
        <w:gridCol w:w="4830"/>
      </w:tblGrid>
      <w:tr w14:paraId="22888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17" w:hRule="atLeast"/>
        </w:trPr>
        <w:tc>
          <w:tcPr>
            <w:tcW w:w="4830" w:type="dxa"/>
          </w:tcPr>
          <w:p w14:paraId="1FC40E77">
            <w:pPr>
              <w:spacing w:after="0" w:line="360" w:lineRule="auto"/>
              <w:jc w:val="both"/>
              <w:rPr>
                <w:rFonts w:ascii="Times New Roman" w:hAnsi="Times New Roman" w:cs="Times New Roman"/>
                <w:b/>
                <w:bCs/>
              </w:rPr>
            </w:pPr>
            <w:r>
              <w:rPr>
                <w:rFonts w:ascii="Times New Roman" w:hAnsi="Times New Roman" w:cs="Times New Roman"/>
                <w:b/>
                <w:bCs/>
              </w:rPr>
              <w:t>Module Code:</w:t>
            </w:r>
          </w:p>
        </w:tc>
        <w:tc>
          <w:tcPr>
            <w:tcW w:w="4830" w:type="dxa"/>
          </w:tcPr>
          <w:p w14:paraId="3F6BB842">
            <w:pPr>
              <w:spacing w:after="0" w:line="360" w:lineRule="auto"/>
              <w:jc w:val="both"/>
              <w:rPr>
                <w:rFonts w:ascii="Times New Roman" w:hAnsi="Times New Roman" w:cs="Times New Roman"/>
                <w:b/>
                <w:bCs/>
              </w:rPr>
            </w:pPr>
            <w:r>
              <w:rPr>
                <w:rFonts w:ascii="Times New Roman" w:hAnsi="Times New Roman" w:cs="Times New Roman"/>
                <w:b/>
                <w:bCs/>
              </w:rPr>
              <w:t>BMMB7028</w:t>
            </w:r>
          </w:p>
        </w:tc>
      </w:tr>
      <w:tr w14:paraId="316A94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4830" w:type="dxa"/>
          </w:tcPr>
          <w:p w14:paraId="6B55D6B3">
            <w:pPr>
              <w:spacing w:after="0" w:line="360" w:lineRule="auto"/>
              <w:jc w:val="both"/>
              <w:rPr>
                <w:rFonts w:ascii="Times New Roman" w:hAnsi="Times New Roman" w:cs="Times New Roman"/>
                <w:b/>
                <w:bCs/>
              </w:rPr>
            </w:pPr>
            <w:r>
              <w:rPr>
                <w:rFonts w:ascii="Times New Roman" w:hAnsi="Times New Roman" w:cs="Times New Roman"/>
                <w:b/>
                <w:bCs/>
              </w:rPr>
              <w:t>Assignment Title:</w:t>
            </w:r>
          </w:p>
        </w:tc>
        <w:tc>
          <w:tcPr>
            <w:tcW w:w="4830" w:type="dxa"/>
          </w:tcPr>
          <w:p w14:paraId="571A9247">
            <w:pPr>
              <w:spacing w:after="0" w:line="360" w:lineRule="auto"/>
              <w:jc w:val="both"/>
              <w:rPr>
                <w:rFonts w:ascii="Times New Roman" w:hAnsi="Times New Roman" w:cs="Times New Roman"/>
                <w:b/>
                <w:bCs/>
              </w:rPr>
            </w:pPr>
            <w:r>
              <w:rPr>
                <w:rFonts w:ascii="Times New Roman" w:hAnsi="Times New Roman" w:cs="Times New Roman"/>
                <w:b/>
                <w:bCs/>
              </w:rPr>
              <w:t>ZARA Research Proposal</w:t>
            </w:r>
          </w:p>
        </w:tc>
      </w:tr>
      <w:tr w14:paraId="1A6BB4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0" w:hRule="atLeast"/>
        </w:trPr>
        <w:tc>
          <w:tcPr>
            <w:tcW w:w="4830" w:type="dxa"/>
          </w:tcPr>
          <w:p w14:paraId="60CACD89">
            <w:pPr>
              <w:spacing w:after="0" w:line="360" w:lineRule="auto"/>
              <w:jc w:val="both"/>
              <w:rPr>
                <w:rFonts w:ascii="Times New Roman" w:hAnsi="Times New Roman" w:cs="Times New Roman"/>
                <w:b/>
                <w:bCs/>
              </w:rPr>
            </w:pPr>
            <w:r>
              <w:rPr>
                <w:rFonts w:ascii="Times New Roman" w:hAnsi="Times New Roman" w:cs="Times New Roman"/>
                <w:b/>
                <w:bCs/>
              </w:rPr>
              <w:t>Student Name:</w:t>
            </w:r>
          </w:p>
        </w:tc>
        <w:tc>
          <w:tcPr>
            <w:tcW w:w="4830" w:type="dxa"/>
          </w:tcPr>
          <w:p w14:paraId="5F3BF67B">
            <w:pPr>
              <w:spacing w:after="0" w:line="360" w:lineRule="auto"/>
              <w:jc w:val="both"/>
              <w:rPr>
                <w:rFonts w:ascii="Times New Roman" w:hAnsi="Times New Roman" w:cs="Times New Roman"/>
                <w:b/>
                <w:bCs/>
              </w:rPr>
            </w:pPr>
          </w:p>
        </w:tc>
      </w:tr>
      <w:tr w14:paraId="585F81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4830" w:type="dxa"/>
          </w:tcPr>
          <w:p w14:paraId="30EE3CB0">
            <w:pPr>
              <w:spacing w:after="0" w:line="360" w:lineRule="auto"/>
              <w:jc w:val="both"/>
              <w:rPr>
                <w:rFonts w:ascii="Times New Roman" w:hAnsi="Times New Roman" w:cs="Times New Roman"/>
                <w:b/>
                <w:bCs/>
              </w:rPr>
            </w:pPr>
            <w:r>
              <w:rPr>
                <w:rFonts w:ascii="Times New Roman" w:hAnsi="Times New Roman" w:cs="Times New Roman"/>
                <w:b/>
                <w:bCs/>
              </w:rPr>
              <w:t>Student ID:</w:t>
            </w:r>
          </w:p>
        </w:tc>
        <w:tc>
          <w:tcPr>
            <w:tcW w:w="4830" w:type="dxa"/>
          </w:tcPr>
          <w:p w14:paraId="3E9AEC14">
            <w:pPr>
              <w:spacing w:after="0" w:line="360" w:lineRule="auto"/>
              <w:jc w:val="both"/>
              <w:rPr>
                <w:rFonts w:ascii="Times New Roman" w:hAnsi="Times New Roman" w:cs="Times New Roman"/>
                <w:b/>
                <w:bCs/>
              </w:rPr>
            </w:pPr>
          </w:p>
        </w:tc>
      </w:tr>
      <w:tr w14:paraId="7F1687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4830" w:type="dxa"/>
          </w:tcPr>
          <w:p w14:paraId="62F1209F">
            <w:pPr>
              <w:spacing w:after="0" w:line="360" w:lineRule="auto"/>
              <w:jc w:val="both"/>
              <w:rPr>
                <w:rFonts w:ascii="Times New Roman" w:hAnsi="Times New Roman" w:cs="Times New Roman"/>
                <w:b/>
                <w:bCs/>
              </w:rPr>
            </w:pPr>
            <w:r>
              <w:rPr>
                <w:rFonts w:ascii="Times New Roman" w:hAnsi="Times New Roman" w:cs="Times New Roman"/>
                <w:b/>
                <w:bCs/>
              </w:rPr>
              <w:t>Module Leader:</w:t>
            </w:r>
          </w:p>
        </w:tc>
        <w:tc>
          <w:tcPr>
            <w:tcW w:w="4830" w:type="dxa"/>
          </w:tcPr>
          <w:p w14:paraId="577D5AF0">
            <w:pPr>
              <w:spacing w:after="0" w:line="360" w:lineRule="auto"/>
              <w:jc w:val="both"/>
              <w:rPr>
                <w:rFonts w:ascii="Times New Roman" w:hAnsi="Times New Roman" w:cs="Times New Roman"/>
                <w:b/>
                <w:bCs/>
              </w:rPr>
            </w:pPr>
            <w:bookmarkStart w:id="43" w:name="_GoBack"/>
            <w:bookmarkEnd w:id="43"/>
          </w:p>
        </w:tc>
      </w:tr>
      <w:tr w14:paraId="03F23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4830" w:type="dxa"/>
          </w:tcPr>
          <w:p w14:paraId="1E5CCD54">
            <w:pPr>
              <w:spacing w:after="0" w:line="360" w:lineRule="auto"/>
              <w:jc w:val="both"/>
              <w:rPr>
                <w:rFonts w:ascii="Times New Roman" w:hAnsi="Times New Roman" w:cs="Times New Roman"/>
                <w:b/>
                <w:bCs/>
              </w:rPr>
            </w:pPr>
            <w:r>
              <w:rPr>
                <w:rFonts w:ascii="Times New Roman" w:hAnsi="Times New Roman" w:cs="Times New Roman"/>
                <w:b/>
                <w:bCs/>
              </w:rPr>
              <w:t>Module:</w:t>
            </w:r>
          </w:p>
        </w:tc>
        <w:tc>
          <w:tcPr>
            <w:tcW w:w="4830" w:type="dxa"/>
          </w:tcPr>
          <w:p w14:paraId="693DD3C6">
            <w:pPr>
              <w:spacing w:after="0" w:line="360" w:lineRule="auto"/>
              <w:jc w:val="both"/>
              <w:rPr>
                <w:rFonts w:ascii="Times New Roman" w:hAnsi="Times New Roman" w:cs="Times New Roman"/>
                <w:b/>
                <w:bCs/>
              </w:rPr>
            </w:pPr>
            <w:r>
              <w:rPr>
                <w:rFonts w:ascii="Times New Roman" w:hAnsi="Times New Roman" w:cs="Times New Roman"/>
                <w:b/>
                <w:bCs/>
              </w:rPr>
              <w:t>Business Research</w:t>
            </w:r>
          </w:p>
        </w:tc>
      </w:tr>
    </w:tbl>
    <w:p w14:paraId="09F78A83">
      <w:pPr>
        <w:spacing w:line="360" w:lineRule="auto"/>
        <w:jc w:val="both"/>
        <w:rPr>
          <w:rFonts w:ascii="Times New Roman" w:hAnsi="Times New Roman" w:cs="Times New Roman"/>
          <w:b/>
          <w:bCs/>
        </w:rPr>
      </w:pPr>
    </w:p>
    <w:p w14:paraId="4E5BA552">
      <w:pPr>
        <w:spacing w:line="360" w:lineRule="auto"/>
        <w:jc w:val="both"/>
        <w:rPr>
          <w:rFonts w:ascii="Times New Roman" w:hAnsi="Times New Roman" w:cs="Times New Roman"/>
          <w:b/>
          <w:bCs/>
        </w:rPr>
      </w:pPr>
    </w:p>
    <w:p w14:paraId="76EB056B">
      <w:pPr>
        <w:spacing w:line="360" w:lineRule="auto"/>
        <w:jc w:val="both"/>
        <w:rPr>
          <w:rFonts w:ascii="Times New Roman" w:hAnsi="Times New Roman" w:cs="Times New Roman"/>
          <w:b/>
          <w:bCs/>
        </w:rPr>
      </w:pPr>
    </w:p>
    <w:p w14:paraId="5E3B72E4">
      <w:pPr>
        <w:spacing w:line="360" w:lineRule="auto"/>
        <w:jc w:val="both"/>
        <w:rPr>
          <w:rFonts w:ascii="Times New Roman" w:hAnsi="Times New Roman" w:cs="Times New Roman"/>
          <w:b/>
          <w:bCs/>
        </w:rPr>
      </w:pPr>
    </w:p>
    <w:p w14:paraId="6760DCFC">
      <w:pPr>
        <w:spacing w:line="360" w:lineRule="auto"/>
        <w:jc w:val="both"/>
        <w:rPr>
          <w:rFonts w:ascii="Times New Roman" w:hAnsi="Times New Roman" w:cs="Times New Roman"/>
          <w:b/>
          <w:bCs/>
        </w:rPr>
      </w:pPr>
    </w:p>
    <w:p w14:paraId="53C0B00E">
      <w:pPr>
        <w:spacing w:line="360" w:lineRule="auto"/>
        <w:jc w:val="both"/>
        <w:rPr>
          <w:rFonts w:ascii="Times New Roman" w:hAnsi="Times New Roman" w:cs="Times New Roman"/>
          <w:b/>
          <w:bCs/>
        </w:rPr>
      </w:pPr>
    </w:p>
    <w:p w14:paraId="41AB8C44">
      <w:pPr>
        <w:spacing w:line="360" w:lineRule="auto"/>
        <w:jc w:val="both"/>
        <w:rPr>
          <w:rFonts w:ascii="Times New Roman" w:hAnsi="Times New Roman" w:cs="Times New Roman"/>
          <w:b/>
          <w:bCs/>
        </w:rPr>
      </w:pPr>
    </w:p>
    <w:p w14:paraId="354C1C7A">
      <w:pPr>
        <w:pStyle w:val="2"/>
        <w:spacing w:line="600" w:lineRule="auto"/>
        <w:rPr>
          <w:sz w:val="22"/>
          <w:szCs w:val="22"/>
        </w:rPr>
      </w:pPr>
      <w:bookmarkStart w:id="0" w:name="_Toc197000202"/>
      <w:r>
        <w:rPr>
          <w:sz w:val="22"/>
          <w:szCs w:val="22"/>
        </w:rPr>
        <w:t>Executive Summary:</w:t>
      </w:r>
      <w:bookmarkEnd w:id="0"/>
    </w:p>
    <w:p w14:paraId="46AF42F7">
      <w:pPr>
        <w:spacing w:line="600" w:lineRule="auto"/>
        <w:jc w:val="both"/>
        <w:rPr>
          <w:rFonts w:ascii="Times New Roman" w:hAnsi="Times New Roman" w:cs="Times New Roman"/>
        </w:rPr>
      </w:pPr>
      <w:r>
        <w:rPr>
          <w:rFonts w:ascii="Times New Roman" w:hAnsi="Times New Roman" w:cs="Times New Roman"/>
        </w:rPr>
        <w:t>This thesis investigates the impact of behavioral psychology on consumer purchasing decisions within the ZARA industry. Drawing upon principles such as cognitive biases, emotional triggers, and social influences, the study explores how these psychological factors influence key variables, including sales and promotion effectiveness, revisit intention, brand image perception, and impulsive buying behavior. The research employs a quantitative approach, utilizing surveys distributed via Google Forms to collect data from a diverse demographic sample. Data analysis involves statistical techniques to identify correlations and predictors, providing a comprehensive understanding of consumer behavior dynamics influenced by psychological factors. Key findings reveal that emotional triggers significantly contribute to impulsive buying tendencies, while cognitive biases are crucial in shaping consumer responses to promotional strategies (Akram et al., 2018). The study also highlights the interactive effects of psychological elements with marketing techniques and product presentation on overall consumer behavior. Furthermore, demographic variations in purchasing behaviors underscore the importance of tailoring marketing strategies to different consumer segments based on their psychological profiles. Insights gained from this research are expected to assist ZARA marketers in refining their approaches to enhance consumer engagement, loyalty, and satisfaction. By elucidating these relationships, this thesis contributes to advancing knowledge in consumer behavior research, offering practical implications for marketers aiming to optimize strategies and effectively meet consumer needs in a competitive marketplace. This summary encapsulates the key objectives, methodology, findings, and implications of the thesis in a concise and informative manner (Ailawadi et al., 2001)</w:t>
      </w:r>
    </w:p>
    <w:p w14:paraId="0645B7FD">
      <w:pPr>
        <w:spacing w:line="360" w:lineRule="auto"/>
        <w:jc w:val="both"/>
        <w:rPr>
          <w:rFonts w:ascii="Times New Roman" w:hAnsi="Times New Roman" w:cs="Times New Roman"/>
        </w:rPr>
      </w:pPr>
    </w:p>
    <w:p w14:paraId="6D4E2384">
      <w:pPr>
        <w:spacing w:line="360" w:lineRule="auto"/>
        <w:jc w:val="both"/>
        <w:rPr>
          <w:rFonts w:ascii="Times New Roman" w:hAnsi="Times New Roman" w:cs="Times New Roman"/>
        </w:rPr>
      </w:pPr>
    </w:p>
    <w:sdt>
      <w:sdtPr>
        <w:rPr>
          <w:rFonts w:asciiTheme="minorHAnsi" w:hAnsiTheme="minorHAnsi" w:eastAsiaTheme="minorHAnsi" w:cstheme="minorBidi"/>
          <w:color w:val="auto"/>
          <w:sz w:val="22"/>
          <w:szCs w:val="22"/>
        </w:rPr>
        <w:id w:val="829477705"/>
        <w:docPartObj>
          <w:docPartGallery w:val="Table of Contents"/>
          <w:docPartUnique/>
        </w:docPartObj>
      </w:sdtPr>
      <w:sdtEndPr>
        <w:rPr>
          <w:rFonts w:asciiTheme="minorHAnsi" w:hAnsiTheme="minorHAnsi" w:eastAsiaTheme="minorHAnsi" w:cstheme="minorBidi"/>
          <w:b/>
          <w:bCs/>
          <w:color w:val="auto"/>
          <w:sz w:val="22"/>
          <w:szCs w:val="22"/>
        </w:rPr>
      </w:sdtEndPr>
      <w:sdtContent>
        <w:p w14:paraId="1EE2DBBC">
          <w:pPr>
            <w:pStyle w:val="24"/>
          </w:pPr>
          <w:r>
            <w:t>Table of Contents</w:t>
          </w:r>
        </w:p>
        <w:p w14:paraId="10349F92">
          <w:pPr>
            <w:pStyle w:val="13"/>
            <w:tabs>
              <w:tab w:val="right" w:leader="dot" w:pos="9350"/>
            </w:tabs>
            <w:rPr>
              <w:rFonts w:ascii="Times New Roman" w:hAnsi="Times New Roman" w:cs="Times New Roman"/>
              <w:sz w:val="24"/>
              <w:szCs w:val="24"/>
            </w:rPr>
          </w:pPr>
          <w:r>
            <w:fldChar w:fldCharType="begin"/>
          </w:r>
          <w:r>
            <w:instrText xml:space="preserve"> TOC \o "1-3" \h \z \u </w:instrText>
          </w:r>
          <w:r>
            <w:fldChar w:fldCharType="separate"/>
          </w:r>
          <w:r>
            <w:fldChar w:fldCharType="begin"/>
          </w:r>
          <w:r>
            <w:instrText xml:space="preserve"> HYPERLINK \l "_Toc197000202" </w:instrText>
          </w:r>
          <w:r>
            <w:fldChar w:fldCharType="separate"/>
          </w:r>
          <w:r>
            <w:rPr>
              <w:rStyle w:val="10"/>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_Toc197000202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DDA53EB">
          <w:pPr>
            <w:pStyle w:val="13"/>
            <w:tabs>
              <w:tab w:val="right" w:leader="dot" w:pos="9350"/>
            </w:tabs>
            <w:rPr>
              <w:rFonts w:ascii="Times New Roman" w:hAnsi="Times New Roman" w:cs="Times New Roman"/>
              <w:sz w:val="24"/>
              <w:szCs w:val="24"/>
            </w:rPr>
          </w:pPr>
          <w:r>
            <w:fldChar w:fldCharType="begin"/>
          </w:r>
          <w:r>
            <w:instrText xml:space="preserve"> HYPERLINK \l "_Toc197000203" </w:instrText>
          </w:r>
          <w:r>
            <w:fldChar w:fldCharType="separate"/>
          </w:r>
          <w:r>
            <w:rPr>
              <w:rStyle w:val="10"/>
              <w:rFonts w:ascii="Times New Roman" w:hAnsi="Times New Roman" w:cs="Times New Roman"/>
              <w:sz w:val="24"/>
              <w:szCs w:val="24"/>
            </w:rPr>
            <w:t>Research Topic</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BD23AD5">
          <w:pPr>
            <w:pStyle w:val="15"/>
            <w:tabs>
              <w:tab w:val="right" w:leader="dot" w:pos="9350"/>
            </w:tabs>
            <w:rPr>
              <w:rFonts w:ascii="Times New Roman" w:hAnsi="Times New Roman" w:cs="Times New Roman"/>
              <w:sz w:val="24"/>
              <w:szCs w:val="24"/>
            </w:rPr>
          </w:pPr>
          <w:r>
            <w:fldChar w:fldCharType="begin"/>
          </w:r>
          <w:r>
            <w:instrText xml:space="preserve"> HYPERLINK \l "_Toc197000204" </w:instrText>
          </w:r>
          <w:r>
            <w:fldChar w:fldCharType="separate"/>
          </w:r>
          <w:r>
            <w:rPr>
              <w:rStyle w:val="10"/>
              <w:rFonts w:ascii="Times New Roman" w:hAnsi="Times New Roman" w:cs="Times New Roman"/>
              <w:sz w:val="24"/>
              <w:szCs w:val="24"/>
            </w:rPr>
            <w:t>Research problem: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_Toc197000204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B27DCC3">
          <w:pPr>
            <w:pStyle w:val="15"/>
            <w:tabs>
              <w:tab w:val="right" w:leader="dot" w:pos="9350"/>
            </w:tabs>
            <w:rPr>
              <w:rFonts w:ascii="Times New Roman" w:hAnsi="Times New Roman" w:cs="Times New Roman"/>
              <w:sz w:val="24"/>
              <w:szCs w:val="24"/>
            </w:rPr>
          </w:pPr>
          <w:r>
            <w:fldChar w:fldCharType="begin"/>
          </w:r>
          <w:r>
            <w:instrText xml:space="preserve"> HYPERLINK \l "_Toc197000205" </w:instrText>
          </w:r>
          <w:r>
            <w:fldChar w:fldCharType="separate"/>
          </w:r>
          <w:r>
            <w:rPr>
              <w:rStyle w:val="10"/>
              <w:rFonts w:ascii="Times New Roman" w:hAnsi="Times New Roman" w:cs="Times New Roman"/>
              <w:sz w:val="24"/>
              <w:szCs w:val="24"/>
            </w:rPr>
            <w:t>Aims &amp; Objectives of the Research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_Toc197000205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34D0773">
          <w:pPr>
            <w:pStyle w:val="13"/>
            <w:tabs>
              <w:tab w:val="right" w:leader="dot" w:pos="9350"/>
            </w:tabs>
            <w:rPr>
              <w:rFonts w:ascii="Times New Roman" w:hAnsi="Times New Roman" w:cs="Times New Roman"/>
              <w:sz w:val="24"/>
              <w:szCs w:val="24"/>
            </w:rPr>
          </w:pPr>
          <w:r>
            <w:fldChar w:fldCharType="begin"/>
          </w:r>
          <w:r>
            <w:instrText xml:space="preserve"> HYPERLINK \l "_Toc197000206" </w:instrText>
          </w:r>
          <w:r>
            <w:fldChar w:fldCharType="separate"/>
          </w:r>
          <w:r>
            <w:rPr>
              <w:rStyle w:val="10"/>
              <w:rFonts w:ascii="Times New Roman" w:hAnsi="Times New Roman" w:cs="Times New Roman"/>
              <w:sz w:val="24"/>
              <w:szCs w:val="24"/>
            </w:rPr>
            <w:t>Abstract: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_Toc197000206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D237BC0">
          <w:pPr>
            <w:pStyle w:val="15"/>
            <w:tabs>
              <w:tab w:val="right" w:leader="dot" w:pos="9350"/>
            </w:tabs>
            <w:rPr>
              <w:rFonts w:ascii="Times New Roman" w:hAnsi="Times New Roman" w:cs="Times New Roman"/>
              <w:sz w:val="24"/>
              <w:szCs w:val="24"/>
            </w:rPr>
          </w:pPr>
          <w:r>
            <w:fldChar w:fldCharType="begin"/>
          </w:r>
          <w:r>
            <w:instrText xml:space="preserve"> HYPERLINK \l "_Toc197000207" </w:instrText>
          </w:r>
          <w:r>
            <w:fldChar w:fldCharType="separate"/>
          </w:r>
          <w:r>
            <w:rPr>
              <w:rStyle w:val="10"/>
              <w:rFonts w:ascii="Times New Roman" w:hAnsi="Times New Roman" w:cs="Times New Roman"/>
              <w:sz w:val="24"/>
              <w:szCs w:val="24"/>
            </w:rPr>
            <w:t>Methodology/Design: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_Toc197000207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54F5EB3">
          <w:pPr>
            <w:pStyle w:val="15"/>
            <w:tabs>
              <w:tab w:val="right" w:leader="dot" w:pos="9350"/>
            </w:tabs>
            <w:rPr>
              <w:rFonts w:ascii="Times New Roman" w:hAnsi="Times New Roman" w:cs="Times New Roman"/>
              <w:sz w:val="24"/>
              <w:szCs w:val="24"/>
            </w:rPr>
          </w:pPr>
          <w:r>
            <w:fldChar w:fldCharType="begin"/>
          </w:r>
          <w:r>
            <w:instrText xml:space="preserve"> HYPERLINK \l "_Toc197000208" </w:instrText>
          </w:r>
          <w:r>
            <w:fldChar w:fldCharType="separate"/>
          </w:r>
          <w:r>
            <w:rPr>
              <w:rStyle w:val="10"/>
              <w:rFonts w:ascii="Times New Roman" w:hAnsi="Times New Roman" w:cs="Times New Roman"/>
              <w:sz w:val="24"/>
              <w:szCs w:val="24"/>
            </w:rPr>
            <w:t>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0F0CCB9">
          <w:pPr>
            <w:pStyle w:val="15"/>
            <w:tabs>
              <w:tab w:val="right" w:leader="dot" w:pos="9350"/>
            </w:tabs>
            <w:rPr>
              <w:rFonts w:ascii="Times New Roman" w:hAnsi="Times New Roman" w:cs="Times New Roman"/>
              <w:sz w:val="24"/>
              <w:szCs w:val="24"/>
            </w:rPr>
          </w:pPr>
          <w:r>
            <w:fldChar w:fldCharType="begin"/>
          </w:r>
          <w:r>
            <w:instrText xml:space="preserve"> HYPERLINK \l "_Toc197000209" </w:instrText>
          </w:r>
          <w:r>
            <w:fldChar w:fldCharType="separate"/>
          </w:r>
          <w:r>
            <w:rPr>
              <w:rStyle w:val="10"/>
              <w:rFonts w:ascii="Times New Roman" w:hAnsi="Times New Roman" w:cs="Times New Roman"/>
              <w:sz w:val="24"/>
              <w:szCs w:val="24"/>
            </w:rPr>
            <w:t>Limitations/Future directions: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_Toc197000209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0EAAAEC">
          <w:pPr>
            <w:pStyle w:val="15"/>
            <w:tabs>
              <w:tab w:val="right" w:leader="dot" w:pos="9350"/>
            </w:tabs>
            <w:rPr>
              <w:rFonts w:ascii="Times New Roman" w:hAnsi="Times New Roman" w:cs="Times New Roman"/>
              <w:sz w:val="24"/>
              <w:szCs w:val="24"/>
            </w:rPr>
          </w:pPr>
          <w:r>
            <w:fldChar w:fldCharType="begin"/>
          </w:r>
          <w:r>
            <w:instrText xml:space="preserve"> HYPERLINK \l "_Toc197000210" </w:instrText>
          </w:r>
          <w:r>
            <w:fldChar w:fldCharType="separate"/>
          </w:r>
          <w:r>
            <w:rPr>
              <w:rStyle w:val="10"/>
              <w:rFonts w:ascii="Times New Roman" w:hAnsi="Times New Roman" w:cs="Times New Roman"/>
              <w:sz w:val="24"/>
              <w:szCs w:val="24"/>
            </w:rPr>
            <w:t>Originality/Value: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5AC1824">
          <w:pPr>
            <w:pStyle w:val="15"/>
            <w:tabs>
              <w:tab w:val="right" w:leader="dot" w:pos="9350"/>
            </w:tabs>
            <w:rPr>
              <w:rFonts w:ascii="Times New Roman" w:hAnsi="Times New Roman" w:cs="Times New Roman"/>
              <w:sz w:val="24"/>
              <w:szCs w:val="24"/>
            </w:rPr>
          </w:pPr>
          <w:r>
            <w:fldChar w:fldCharType="begin"/>
          </w:r>
          <w:r>
            <w:instrText xml:space="preserve"> HYPERLINK \l "_Toc197000211" </w:instrText>
          </w:r>
          <w:r>
            <w:fldChar w:fldCharType="separate"/>
          </w:r>
          <w:r>
            <w:rPr>
              <w:rStyle w:val="10"/>
              <w:rFonts w:ascii="Times New Roman" w:hAnsi="Times New Roman" w:cs="Times New Roman"/>
              <w:sz w:val="24"/>
              <w:szCs w:val="24"/>
            </w:rPr>
            <w:t>Key Words: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_Toc197000211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6271962">
          <w:pPr>
            <w:pStyle w:val="15"/>
            <w:tabs>
              <w:tab w:val="right" w:leader="dot" w:pos="9350"/>
            </w:tabs>
            <w:rPr>
              <w:rFonts w:ascii="Times New Roman" w:hAnsi="Times New Roman" w:cs="Times New Roman"/>
              <w:sz w:val="24"/>
              <w:szCs w:val="24"/>
            </w:rPr>
          </w:pPr>
          <w:r>
            <w:fldChar w:fldCharType="begin"/>
          </w:r>
          <w:r>
            <w:instrText xml:space="preserve"> HYPERLINK \l "_Toc197000212" </w:instrText>
          </w:r>
          <w:r>
            <w:fldChar w:fldCharType="separate"/>
          </w:r>
          <w:r>
            <w:rPr>
              <w:rStyle w:val="10"/>
              <w:rFonts w:ascii="Times New Roman" w:hAnsi="Times New Roman" w:cs="Times New Roman"/>
              <w:sz w:val="24"/>
              <w:szCs w:val="24"/>
            </w:rPr>
            <w:t>Paper Type: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505ABA2">
          <w:pPr>
            <w:pStyle w:val="13"/>
            <w:tabs>
              <w:tab w:val="right" w:leader="dot" w:pos="9350"/>
            </w:tabs>
            <w:rPr>
              <w:rFonts w:ascii="Times New Roman" w:hAnsi="Times New Roman" w:cs="Times New Roman"/>
              <w:sz w:val="24"/>
              <w:szCs w:val="24"/>
            </w:rPr>
          </w:pPr>
          <w:r>
            <w:fldChar w:fldCharType="begin"/>
          </w:r>
          <w:r>
            <w:instrText xml:space="preserve"> HYPERLINK \l "_Toc197000213" </w:instrText>
          </w:r>
          <w:r>
            <w:fldChar w:fldCharType="separate"/>
          </w:r>
          <w:r>
            <w:rPr>
              <w:rStyle w:val="10"/>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5960FF6">
          <w:pPr>
            <w:pStyle w:val="13"/>
            <w:tabs>
              <w:tab w:val="right" w:leader="dot" w:pos="9350"/>
            </w:tabs>
            <w:rPr>
              <w:rFonts w:ascii="Times New Roman" w:hAnsi="Times New Roman" w:cs="Times New Roman"/>
              <w:sz w:val="24"/>
              <w:szCs w:val="24"/>
            </w:rPr>
          </w:pPr>
          <w:r>
            <w:fldChar w:fldCharType="begin"/>
          </w:r>
          <w:r>
            <w:instrText xml:space="preserve"> HYPERLINK \l "_Toc197000214" </w:instrText>
          </w:r>
          <w:r>
            <w:fldChar w:fldCharType="separate"/>
          </w:r>
          <w:r>
            <w:rPr>
              <w:rStyle w:val="10"/>
              <w:rFonts w:ascii="Times New Roman" w:hAnsi="Times New Roman" w:cs="Times New Roman"/>
              <w:sz w:val="24"/>
              <w:szCs w:val="24"/>
            </w:rPr>
            <w:t>Literature Review: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8EF2D5B">
          <w:pPr>
            <w:pStyle w:val="14"/>
            <w:tabs>
              <w:tab w:val="right" w:leader="dot" w:pos="9350"/>
            </w:tabs>
            <w:rPr>
              <w:rFonts w:ascii="Times New Roman" w:hAnsi="Times New Roman" w:cs="Times New Roman"/>
              <w:sz w:val="24"/>
              <w:szCs w:val="24"/>
            </w:rPr>
          </w:pPr>
          <w:r>
            <w:fldChar w:fldCharType="begin"/>
          </w:r>
          <w:r>
            <w:instrText xml:space="preserve"> HYPERLINK \l "_Toc197000215" </w:instrText>
          </w:r>
          <w:r>
            <w:fldChar w:fldCharType="separate"/>
          </w:r>
          <w:r>
            <w:rPr>
              <w:rStyle w:val="10"/>
              <w:rFonts w:ascii="Times New Roman" w:hAnsi="Times New Roman" w:cs="Times New Roman"/>
              <w:sz w:val="24"/>
              <w:szCs w:val="24"/>
            </w:rPr>
            <w:t>Allport’s Hierarchical Model of Personality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AABBF7E">
          <w:pPr>
            <w:pStyle w:val="13"/>
            <w:tabs>
              <w:tab w:val="right" w:leader="dot" w:pos="9350"/>
            </w:tabs>
            <w:rPr>
              <w:rFonts w:ascii="Times New Roman" w:hAnsi="Times New Roman" w:cs="Times New Roman"/>
              <w:sz w:val="24"/>
              <w:szCs w:val="24"/>
            </w:rPr>
          </w:pPr>
          <w:r>
            <w:fldChar w:fldCharType="begin"/>
          </w:r>
          <w:r>
            <w:instrText xml:space="preserve"> HYPERLINK \l "_Toc197000216" </w:instrText>
          </w:r>
          <w:r>
            <w:fldChar w:fldCharType="separate"/>
          </w:r>
          <w:r>
            <w:rPr>
              <w:rStyle w:val="10"/>
              <w:rFonts w:ascii="Times New Roman" w:hAnsi="Times New Roman" w:eastAsia="Times New Roman" w:cs="Times New Roman"/>
              <w:sz w:val="24"/>
              <w:szCs w:val="24"/>
            </w:rPr>
            <w:t>The Big Five personality Traits: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_Toc197000216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9DE30E6">
          <w:pPr>
            <w:pStyle w:val="13"/>
            <w:tabs>
              <w:tab w:val="right" w:leader="dot" w:pos="9350"/>
            </w:tabs>
            <w:rPr>
              <w:rFonts w:ascii="Times New Roman" w:hAnsi="Times New Roman" w:cs="Times New Roman"/>
              <w:sz w:val="24"/>
              <w:szCs w:val="24"/>
            </w:rPr>
          </w:pPr>
          <w:r>
            <w:fldChar w:fldCharType="begin"/>
          </w:r>
          <w:r>
            <w:instrText xml:space="preserve"> HYPERLINK \l "_Toc197000217" </w:instrText>
          </w:r>
          <w:r>
            <w:fldChar w:fldCharType="separate"/>
          </w:r>
          <w:r>
            <w:rPr>
              <w:rStyle w:val="10"/>
              <w:rFonts w:ascii="Times New Roman" w:hAnsi="Times New Roman" w:cs="Times New Roman"/>
              <w:sz w:val="24"/>
              <w:szCs w:val="24"/>
            </w:rPr>
            <w:t>Sales &amp; Promotion: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_Toc197000217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C069F3A">
          <w:pPr>
            <w:pStyle w:val="13"/>
            <w:tabs>
              <w:tab w:val="right" w:leader="dot" w:pos="9350"/>
            </w:tabs>
            <w:rPr>
              <w:rFonts w:ascii="Times New Roman" w:hAnsi="Times New Roman" w:cs="Times New Roman"/>
              <w:sz w:val="24"/>
              <w:szCs w:val="24"/>
            </w:rPr>
          </w:pPr>
          <w:r>
            <w:fldChar w:fldCharType="begin"/>
          </w:r>
          <w:r>
            <w:instrText xml:space="preserve"> HYPERLINK \l "_Toc197000218" </w:instrText>
          </w:r>
          <w:r>
            <w:fldChar w:fldCharType="separate"/>
          </w:r>
          <w:r>
            <w:rPr>
              <w:rStyle w:val="10"/>
              <w:rFonts w:ascii="Times New Roman" w:hAnsi="Times New Roman" w:cs="Times New Roman"/>
              <w:sz w:val="24"/>
              <w:szCs w:val="24"/>
            </w:rPr>
            <w:t>Revisit Intention: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_Toc197000218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5174C56">
          <w:pPr>
            <w:pStyle w:val="14"/>
            <w:tabs>
              <w:tab w:val="right" w:leader="dot" w:pos="9350"/>
            </w:tabs>
            <w:rPr>
              <w:rFonts w:ascii="Times New Roman" w:hAnsi="Times New Roman" w:cs="Times New Roman"/>
              <w:sz w:val="24"/>
              <w:szCs w:val="24"/>
            </w:rPr>
          </w:pPr>
          <w:r>
            <w:fldChar w:fldCharType="begin"/>
          </w:r>
          <w:r>
            <w:instrText xml:space="preserve"> HYPERLINK \l "_Toc197000219" </w:instrText>
          </w:r>
          <w:r>
            <w:fldChar w:fldCharType="separate"/>
          </w:r>
          <w:r>
            <w:rPr>
              <w:rStyle w:val="10"/>
              <w:rFonts w:ascii="Times New Roman" w:hAnsi="Times New Roman" w:cs="Times New Roman"/>
              <w:sz w:val="24"/>
              <w:szCs w:val="24"/>
            </w:rPr>
            <w:t>Revisit Intention as a Mediator: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_Toc197000219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9D85808">
          <w:pPr>
            <w:pStyle w:val="14"/>
            <w:tabs>
              <w:tab w:val="right" w:leader="dot" w:pos="9350"/>
            </w:tabs>
            <w:rPr>
              <w:rFonts w:ascii="Times New Roman" w:hAnsi="Times New Roman" w:cs="Times New Roman"/>
              <w:sz w:val="24"/>
              <w:szCs w:val="24"/>
            </w:rPr>
          </w:pPr>
          <w:r>
            <w:fldChar w:fldCharType="begin"/>
          </w:r>
          <w:r>
            <w:instrText xml:space="preserve"> HYPERLINK \l "_Toc197000220" </w:instrText>
          </w:r>
          <w:r>
            <w:fldChar w:fldCharType="separate"/>
          </w:r>
          <w:r>
            <w:rPr>
              <w:rStyle w:val="10"/>
              <w:rFonts w:ascii="Times New Roman" w:hAnsi="Times New Roman" w:cs="Times New Roman"/>
              <w:sz w:val="24"/>
              <w:szCs w:val="24"/>
            </w:rPr>
            <w:t>Mediating Role of Revisit Intention between Sales &amp; Promotions and Impulsive Buying Behavior: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_Toc197000220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BB60E1C">
          <w:pPr>
            <w:pStyle w:val="13"/>
            <w:tabs>
              <w:tab w:val="right" w:leader="dot" w:pos="9350"/>
            </w:tabs>
            <w:rPr>
              <w:rFonts w:ascii="Times New Roman" w:hAnsi="Times New Roman" w:cs="Times New Roman"/>
              <w:sz w:val="24"/>
              <w:szCs w:val="24"/>
            </w:rPr>
          </w:pPr>
          <w:r>
            <w:fldChar w:fldCharType="begin"/>
          </w:r>
          <w:r>
            <w:instrText xml:space="preserve"> HYPERLINK \l "_Toc197000221" </w:instrText>
          </w:r>
          <w:r>
            <w:fldChar w:fldCharType="separate"/>
          </w:r>
          <w:r>
            <w:rPr>
              <w:rStyle w:val="10"/>
              <w:rFonts w:ascii="Times New Roman" w:hAnsi="Times New Roman" w:cs="Times New Roman"/>
              <w:sz w:val="24"/>
              <w:szCs w:val="24"/>
            </w:rPr>
            <w:t>Impulsive Buying: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_Toc197000221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24834E4">
          <w:pPr>
            <w:pStyle w:val="13"/>
            <w:tabs>
              <w:tab w:val="right" w:leader="dot" w:pos="9350"/>
            </w:tabs>
            <w:rPr>
              <w:rFonts w:ascii="Times New Roman" w:hAnsi="Times New Roman" w:cs="Times New Roman"/>
              <w:sz w:val="24"/>
              <w:szCs w:val="24"/>
            </w:rPr>
          </w:pPr>
          <w:r>
            <w:fldChar w:fldCharType="begin"/>
          </w:r>
          <w:r>
            <w:instrText xml:space="preserve"> HYPERLINK \l "_Toc197000222" </w:instrText>
          </w:r>
          <w:r>
            <w:fldChar w:fldCharType="separate"/>
          </w:r>
          <w:r>
            <w:rPr>
              <w:rStyle w:val="10"/>
              <w:rFonts w:ascii="Times New Roman" w:hAnsi="Times New Roman" w:cs="Times New Roman"/>
              <w:sz w:val="24"/>
              <w:szCs w:val="24"/>
            </w:rPr>
            <w:t>Brand Image: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721FE2C">
          <w:pPr>
            <w:pStyle w:val="14"/>
            <w:tabs>
              <w:tab w:val="right" w:leader="dot" w:pos="9350"/>
            </w:tabs>
            <w:rPr>
              <w:rFonts w:ascii="Times New Roman" w:hAnsi="Times New Roman" w:cs="Times New Roman"/>
              <w:sz w:val="24"/>
              <w:szCs w:val="24"/>
            </w:rPr>
          </w:pPr>
          <w:r>
            <w:fldChar w:fldCharType="begin"/>
          </w:r>
          <w:r>
            <w:instrText xml:space="preserve"> HYPERLINK \l "_Toc197000223" </w:instrText>
          </w:r>
          <w:r>
            <w:fldChar w:fldCharType="separate"/>
          </w:r>
          <w:r>
            <w:rPr>
              <w:rStyle w:val="10"/>
              <w:rFonts w:ascii="Times New Roman" w:hAnsi="Times New Roman" w:cs="Times New Roman"/>
              <w:sz w:val="24"/>
              <w:szCs w:val="24"/>
            </w:rPr>
            <w:t>Moderating Role of Brand Image between Revisit Intention and Sales &amp; Promotions: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_Toc197000223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E20B4D3">
          <w:pPr>
            <w:pStyle w:val="15"/>
            <w:tabs>
              <w:tab w:val="right" w:leader="dot" w:pos="9350"/>
            </w:tabs>
            <w:rPr>
              <w:rFonts w:ascii="Times New Roman" w:hAnsi="Times New Roman" w:cs="Times New Roman"/>
              <w:sz w:val="24"/>
              <w:szCs w:val="24"/>
            </w:rPr>
          </w:pPr>
          <w:r>
            <w:fldChar w:fldCharType="begin"/>
          </w:r>
          <w:r>
            <w:instrText xml:space="preserve"> HYPERLINK \l "_Toc197000224" </w:instrText>
          </w:r>
          <w:r>
            <w:fldChar w:fldCharType="separate"/>
          </w:r>
          <w:r>
            <w:rPr>
              <w:rStyle w:val="10"/>
              <w:rFonts w:ascii="Times New Roman" w:hAnsi="Times New Roman" w:cs="Times New Roman"/>
              <w:sz w:val="24"/>
              <w:szCs w:val="24"/>
            </w:rPr>
            <w:t>Contribution to the existing research: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_Toc197000224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7C5F07F">
          <w:pPr>
            <w:pStyle w:val="14"/>
            <w:tabs>
              <w:tab w:val="right" w:leader="dot" w:pos="9350"/>
            </w:tabs>
            <w:rPr>
              <w:rFonts w:ascii="Times New Roman" w:hAnsi="Times New Roman" w:cs="Times New Roman"/>
              <w:sz w:val="24"/>
              <w:szCs w:val="24"/>
            </w:rPr>
          </w:pPr>
          <w:r>
            <w:fldChar w:fldCharType="begin"/>
          </w:r>
          <w:r>
            <w:instrText xml:space="preserve"> HYPERLINK \l "_Toc197000225" </w:instrText>
          </w:r>
          <w:r>
            <w:fldChar w:fldCharType="separate"/>
          </w:r>
          <w:r>
            <w:rPr>
              <w:rStyle w:val="10"/>
              <w:rFonts w:ascii="Times New Roman" w:hAnsi="Times New Roman" w:cs="Times New Roman"/>
              <w:sz w:val="24"/>
              <w:szCs w:val="24"/>
            </w:rPr>
            <w:t>Findings and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FA81CEA">
          <w:pPr>
            <w:pStyle w:val="15"/>
            <w:tabs>
              <w:tab w:val="right" w:leader="dot" w:pos="9350"/>
            </w:tabs>
            <w:rPr>
              <w:rFonts w:ascii="Times New Roman" w:hAnsi="Times New Roman" w:cs="Times New Roman"/>
              <w:sz w:val="24"/>
              <w:szCs w:val="24"/>
            </w:rPr>
          </w:pPr>
          <w:r>
            <w:fldChar w:fldCharType="begin"/>
          </w:r>
          <w:r>
            <w:instrText xml:space="preserve"> HYPERLINK \l "_Toc197000226" </w:instrText>
          </w:r>
          <w:r>
            <w:fldChar w:fldCharType="separate"/>
          </w:r>
          <w:r>
            <w:rPr>
              <w:rStyle w:val="10"/>
              <w:rFonts w:ascii="Times New Roman" w:hAnsi="Times New Roman" w:eastAsia="Times New Roman" w:cs="Times New Roman"/>
              <w:sz w:val="24"/>
              <w:szCs w:val="24"/>
            </w:rPr>
            <w:t>Questionnaires are quantitative data instruments.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F6A229C">
          <w:pPr>
            <w:pStyle w:val="13"/>
            <w:tabs>
              <w:tab w:val="right" w:leader="dot" w:pos="9350"/>
            </w:tabs>
            <w:rPr>
              <w:rFonts w:ascii="Times New Roman" w:hAnsi="Times New Roman" w:cs="Times New Roman"/>
              <w:sz w:val="24"/>
              <w:szCs w:val="24"/>
            </w:rPr>
          </w:pPr>
          <w:r>
            <w:fldChar w:fldCharType="begin"/>
          </w:r>
          <w:r>
            <w:instrText xml:space="preserve"> HYPERLINK \l "_Toc197000227" </w:instrText>
          </w:r>
          <w:r>
            <w:fldChar w:fldCharType="separate"/>
          </w:r>
          <w:r>
            <w:rPr>
              <w:rStyle w:val="10"/>
              <w:rFonts w:ascii="Times New Roman" w:hAnsi="Times New Roman" w:cs="Times New Roman"/>
              <w:sz w:val="24"/>
              <w:szCs w:val="24"/>
            </w:rPr>
            <w:t>Research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_Toc197000227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5BEA033">
          <w:pPr>
            <w:pStyle w:val="14"/>
            <w:tabs>
              <w:tab w:val="right" w:leader="dot" w:pos="9350"/>
            </w:tabs>
            <w:rPr>
              <w:rFonts w:ascii="Times New Roman" w:hAnsi="Times New Roman" w:cs="Times New Roman"/>
              <w:sz w:val="24"/>
              <w:szCs w:val="24"/>
            </w:rPr>
          </w:pPr>
          <w:r>
            <w:fldChar w:fldCharType="begin"/>
          </w:r>
          <w:r>
            <w:instrText xml:space="preserve"> HYPERLINK \l "_Toc197000228" </w:instrText>
          </w:r>
          <w:r>
            <w:fldChar w:fldCharType="separate"/>
          </w:r>
          <w:r>
            <w:rPr>
              <w:rStyle w:val="10"/>
              <w:rFonts w:ascii="Times New Roman" w:hAnsi="Times New Roman" w:cs="Times New Roman"/>
              <w:sz w:val="24"/>
              <w:szCs w:val="24"/>
            </w:rPr>
            <w:t>Data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_Toc197000228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D14A316">
          <w:pPr>
            <w:pStyle w:val="15"/>
            <w:tabs>
              <w:tab w:val="right" w:leader="dot" w:pos="9350"/>
            </w:tabs>
            <w:rPr>
              <w:rFonts w:ascii="Times New Roman" w:hAnsi="Times New Roman" w:cs="Times New Roman"/>
              <w:sz w:val="24"/>
              <w:szCs w:val="24"/>
            </w:rPr>
          </w:pPr>
          <w:r>
            <w:fldChar w:fldCharType="begin"/>
          </w:r>
          <w:r>
            <w:instrText xml:space="preserve"> HYPERLINK \l "_Toc197000229" </w:instrText>
          </w:r>
          <w:r>
            <w:fldChar w:fldCharType="separate"/>
          </w:r>
          <w:r>
            <w:rPr>
              <w:rStyle w:val="10"/>
              <w:rFonts w:ascii="Times New Roman" w:hAnsi="Times New Roman" w:cs="Times New Roman"/>
              <w:sz w:val="24"/>
              <w:szCs w:val="24"/>
            </w:rPr>
            <w:t>Preliminary Data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_Toc197000229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BC165AC">
          <w:pPr>
            <w:pStyle w:val="14"/>
            <w:tabs>
              <w:tab w:val="right" w:leader="dot" w:pos="9350"/>
            </w:tabs>
            <w:rPr>
              <w:rFonts w:ascii="Times New Roman" w:hAnsi="Times New Roman" w:cs="Times New Roman"/>
              <w:sz w:val="24"/>
              <w:szCs w:val="24"/>
            </w:rPr>
          </w:pPr>
          <w:r>
            <w:fldChar w:fldCharType="begin"/>
          </w:r>
          <w:r>
            <w:instrText xml:space="preserve"> HYPERLINK \l "_Toc197000230" </w:instrText>
          </w:r>
          <w:r>
            <w:fldChar w:fldCharType="separate"/>
          </w:r>
          <w:r>
            <w:rPr>
              <w:rStyle w:val="10"/>
              <w:rFonts w:ascii="Times New Roman" w:hAnsi="Times New Roman" w:cs="Times New Roman"/>
              <w:sz w:val="24"/>
              <w:szCs w:val="24"/>
            </w:rPr>
            <w:t>Data Normality Test: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_Toc197000230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56659DD">
          <w:pPr>
            <w:pStyle w:val="14"/>
            <w:tabs>
              <w:tab w:val="right" w:leader="dot" w:pos="9350"/>
            </w:tabs>
            <w:rPr>
              <w:rFonts w:ascii="Times New Roman" w:hAnsi="Times New Roman" w:cs="Times New Roman"/>
              <w:sz w:val="24"/>
              <w:szCs w:val="24"/>
            </w:rPr>
          </w:pPr>
          <w:r>
            <w:fldChar w:fldCharType="begin"/>
          </w:r>
          <w:r>
            <w:instrText xml:space="preserve"> HYPERLINK \l "_Toc197000231" </w:instrText>
          </w:r>
          <w:r>
            <w:fldChar w:fldCharType="separate"/>
          </w:r>
          <w:r>
            <w:rPr>
              <w:rStyle w:val="10"/>
              <w:rFonts w:ascii="Times New Roman" w:hAnsi="Times New Roman" w:cs="Times New Roman"/>
              <w:sz w:val="24"/>
              <w:szCs w:val="24"/>
            </w:rPr>
            <w:t>Reliability Test: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_Toc197000231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2926015">
          <w:pPr>
            <w:pStyle w:val="15"/>
            <w:tabs>
              <w:tab w:val="right" w:leader="dot" w:pos="9350"/>
            </w:tabs>
            <w:rPr>
              <w:rFonts w:ascii="Times New Roman" w:hAnsi="Times New Roman" w:cs="Times New Roman"/>
              <w:sz w:val="24"/>
              <w:szCs w:val="24"/>
            </w:rPr>
          </w:pPr>
          <w:r>
            <w:fldChar w:fldCharType="begin"/>
          </w:r>
          <w:r>
            <w:instrText xml:space="preserve"> HYPERLINK \l "_Toc197000232" </w:instrText>
          </w:r>
          <w:r>
            <w:fldChar w:fldCharType="separate"/>
          </w:r>
          <w:r>
            <w:rPr>
              <w:rStyle w:val="10"/>
              <w:rFonts w:ascii="Times New Roman" w:hAnsi="Times New Roman" w:cs="Times New Roman"/>
              <w:sz w:val="24"/>
              <w:szCs w:val="24"/>
            </w:rPr>
            <w:t>Correlation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_Toc197000232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7CD594">
          <w:pPr>
            <w:pStyle w:val="15"/>
            <w:tabs>
              <w:tab w:val="right" w:leader="dot" w:pos="9350"/>
            </w:tabs>
            <w:rPr>
              <w:rFonts w:ascii="Times New Roman" w:hAnsi="Times New Roman" w:cs="Times New Roman"/>
              <w:sz w:val="24"/>
              <w:szCs w:val="24"/>
            </w:rPr>
          </w:pPr>
          <w:r>
            <w:fldChar w:fldCharType="begin"/>
          </w:r>
          <w:r>
            <w:instrText xml:space="preserve"> HYPERLINK \l "_Toc197000233" </w:instrText>
          </w:r>
          <w:r>
            <w:fldChar w:fldCharType="separate"/>
          </w:r>
          <w:r>
            <w:rPr>
              <w:rStyle w:val="10"/>
              <w:rFonts w:ascii="Times New Roman" w:hAnsi="Times New Roman" w:cs="Times New Roman"/>
              <w:sz w:val="24"/>
              <w:szCs w:val="24"/>
            </w:rPr>
            <w:t>Study Overview: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_Toc197000233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1A6156">
          <w:pPr>
            <w:pStyle w:val="15"/>
            <w:tabs>
              <w:tab w:val="right" w:leader="dot" w:pos="9350"/>
            </w:tabs>
            <w:rPr>
              <w:rFonts w:ascii="Times New Roman" w:hAnsi="Times New Roman" w:cs="Times New Roman"/>
              <w:sz w:val="24"/>
              <w:szCs w:val="24"/>
            </w:rPr>
          </w:pPr>
          <w:r>
            <w:fldChar w:fldCharType="begin"/>
          </w:r>
          <w:r>
            <w:instrText xml:space="preserve"> HYPERLINK \l "_Toc197000234" </w:instrText>
          </w:r>
          <w:r>
            <w:fldChar w:fldCharType="separate"/>
          </w:r>
          <w:r>
            <w:rPr>
              <w:rStyle w:val="10"/>
              <w:rFonts w:ascii="Times New Roman" w:hAnsi="Times New Roman" w:cs="Times New Roman"/>
              <w:sz w:val="24"/>
              <w:szCs w:val="24"/>
            </w:rPr>
            <w:t>Theoretical Contributions: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_Toc197000234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3150087">
          <w:pPr>
            <w:pStyle w:val="15"/>
            <w:tabs>
              <w:tab w:val="right" w:leader="dot" w:pos="9350"/>
            </w:tabs>
            <w:rPr>
              <w:rFonts w:ascii="Times New Roman" w:hAnsi="Times New Roman" w:cs="Times New Roman"/>
              <w:sz w:val="24"/>
              <w:szCs w:val="24"/>
            </w:rPr>
          </w:pPr>
          <w:r>
            <w:fldChar w:fldCharType="begin"/>
          </w:r>
          <w:r>
            <w:instrText xml:space="preserve"> HYPERLINK \l "_Toc197000235" </w:instrText>
          </w:r>
          <w:r>
            <w:fldChar w:fldCharType="separate"/>
          </w:r>
          <w:r>
            <w:rPr>
              <w:rStyle w:val="10"/>
              <w:rFonts w:ascii="Times New Roman" w:hAnsi="Times New Roman" w:cs="Times New Roman"/>
              <w:sz w:val="24"/>
              <w:szCs w:val="24"/>
            </w:rPr>
            <w:t>Practical Implications: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_Toc197000235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7C1FE2E">
          <w:pPr>
            <w:pStyle w:val="15"/>
            <w:tabs>
              <w:tab w:val="right" w:leader="dot" w:pos="9350"/>
            </w:tabs>
            <w:rPr>
              <w:rFonts w:ascii="Times New Roman" w:hAnsi="Times New Roman" w:cs="Times New Roman"/>
              <w:sz w:val="24"/>
              <w:szCs w:val="24"/>
            </w:rPr>
          </w:pPr>
          <w:r>
            <w:fldChar w:fldCharType="begin"/>
          </w:r>
          <w:r>
            <w:instrText xml:space="preserve"> HYPERLINK \l "_Toc197000236" </w:instrText>
          </w:r>
          <w:r>
            <w:fldChar w:fldCharType="separate"/>
          </w:r>
          <w:r>
            <w:rPr>
              <w:rStyle w:val="10"/>
              <w:rFonts w:ascii="Times New Roman" w:hAnsi="Times New Roman" w:cs="Times New Roman"/>
              <w:sz w:val="24"/>
              <w:szCs w:val="24"/>
            </w:rPr>
            <w:t>Practicalities: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_Toc197000236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840FAF5">
          <w:pPr>
            <w:pStyle w:val="13"/>
            <w:tabs>
              <w:tab w:val="right" w:leader="dot" w:pos="9350"/>
            </w:tabs>
            <w:rPr>
              <w:rFonts w:ascii="Times New Roman" w:hAnsi="Times New Roman" w:cs="Times New Roman"/>
              <w:sz w:val="24"/>
              <w:szCs w:val="24"/>
            </w:rPr>
          </w:pPr>
          <w:r>
            <w:fldChar w:fldCharType="begin"/>
          </w:r>
          <w:r>
            <w:instrText xml:space="preserve"> HYPERLINK \l "_Toc197000237" </w:instrText>
          </w:r>
          <w:r>
            <w:fldChar w:fldCharType="separate"/>
          </w:r>
          <w:r>
            <w:rPr>
              <w:rStyle w:val="10"/>
              <w:rFonts w:ascii="Times New Roman" w:hAnsi="Times New Roman" w:eastAsia="Times New Roman" w:cs="Times New Roman"/>
              <w:sz w:val="24"/>
              <w:szCs w:val="24"/>
            </w:rPr>
            <w:t>Gantt Chart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_Toc197000237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FE87773">
          <w:pPr>
            <w:pStyle w:val="13"/>
            <w:tabs>
              <w:tab w:val="right" w:leader="dot" w:pos="9350"/>
            </w:tabs>
            <w:rPr>
              <w:rFonts w:ascii="Times New Roman" w:hAnsi="Times New Roman" w:cs="Times New Roman"/>
              <w:sz w:val="24"/>
              <w:szCs w:val="24"/>
            </w:rPr>
          </w:pPr>
          <w:r>
            <w:fldChar w:fldCharType="begin"/>
          </w:r>
          <w:r>
            <w:instrText xml:space="preserve"> HYPERLINK \l "_Toc197000238" </w:instrText>
          </w:r>
          <w:r>
            <w:fldChar w:fldCharType="separate"/>
          </w:r>
          <w:r>
            <w:rPr>
              <w:rStyle w:val="10"/>
              <w:rFonts w:ascii="Times New Roman" w:hAnsi="Times New Roman" w:cs="Times New Roman"/>
              <w:sz w:val="24"/>
              <w:szCs w:val="24"/>
            </w:rPr>
            <w:t>Limitations and Future Directions: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_Toc197000238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43B4694">
          <w:pPr>
            <w:pStyle w:val="15"/>
            <w:tabs>
              <w:tab w:val="right" w:leader="dot" w:pos="9350"/>
            </w:tabs>
            <w:rPr>
              <w:rFonts w:ascii="Times New Roman" w:hAnsi="Times New Roman" w:cs="Times New Roman"/>
              <w:sz w:val="24"/>
              <w:szCs w:val="24"/>
            </w:rPr>
          </w:pPr>
          <w:r>
            <w:fldChar w:fldCharType="begin"/>
          </w:r>
          <w:r>
            <w:instrText xml:space="preserve"> HYPERLINK \l "_Toc197000239" </w:instrText>
          </w:r>
          <w:r>
            <w:fldChar w:fldCharType="separate"/>
          </w:r>
          <w:r>
            <w:rPr>
              <w:rStyle w:val="10"/>
              <w:rFonts w:ascii="Times New Roman" w:hAnsi="Times New Roman" w:cs="Times New Roman"/>
              <w:sz w:val="24"/>
              <w:szCs w:val="24"/>
            </w:rPr>
            <w:t>Research Gaps and Contribution: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_Toc197000239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10F6067">
          <w:pPr>
            <w:pStyle w:val="13"/>
            <w:tabs>
              <w:tab w:val="right" w:leader="dot" w:pos="9350"/>
            </w:tabs>
            <w:rPr>
              <w:rFonts w:ascii="Times New Roman" w:hAnsi="Times New Roman" w:cs="Times New Roman"/>
              <w:sz w:val="24"/>
              <w:szCs w:val="24"/>
            </w:rPr>
          </w:pPr>
          <w:r>
            <w:fldChar w:fldCharType="begin"/>
          </w:r>
          <w:r>
            <w:instrText xml:space="preserve"> HYPERLINK \l "_Toc197000240" </w:instrText>
          </w:r>
          <w:r>
            <w:fldChar w:fldCharType="separate"/>
          </w:r>
          <w:r>
            <w:rPr>
              <w:rStyle w:val="10"/>
              <w:rFonts w:ascii="Times New Roman" w:hAnsi="Times New Roman" w:eastAsia="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_Toc197000240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5F21195">
          <w:pPr>
            <w:pStyle w:val="13"/>
            <w:tabs>
              <w:tab w:val="right" w:leader="dot" w:pos="9350"/>
            </w:tabs>
            <w:rPr>
              <w:rFonts w:ascii="Times New Roman" w:hAnsi="Times New Roman" w:cs="Times New Roman"/>
              <w:sz w:val="24"/>
              <w:szCs w:val="24"/>
            </w:rPr>
          </w:pPr>
          <w:r>
            <w:fldChar w:fldCharType="begin"/>
          </w:r>
          <w:r>
            <w:instrText xml:space="preserve"> HYPERLINK \l "_Toc197000241" </w:instrText>
          </w:r>
          <w:r>
            <w:fldChar w:fldCharType="separate"/>
          </w:r>
          <w:r>
            <w:rPr>
              <w:rStyle w:val="10"/>
              <w:rFonts w:ascii="Times New Roman" w:hAnsi="Times New Roman" w:cs="Times New Roman"/>
              <w:sz w:val="24"/>
              <w:szCs w:val="24"/>
            </w:rPr>
            <w:t>Index: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_Toc197000241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2994385">
          <w:pPr>
            <w:pStyle w:val="13"/>
            <w:tabs>
              <w:tab w:val="right" w:leader="dot" w:pos="9350"/>
            </w:tabs>
            <w:rPr>
              <w:rFonts w:ascii="Times New Roman" w:hAnsi="Times New Roman" w:cs="Times New Roman"/>
              <w:sz w:val="24"/>
              <w:szCs w:val="24"/>
            </w:rPr>
          </w:pPr>
          <w:r>
            <w:fldChar w:fldCharType="begin"/>
          </w:r>
          <w:r>
            <w:instrText xml:space="preserve"> HYPERLINK \l "_Toc197000242" </w:instrText>
          </w:r>
          <w:r>
            <w:fldChar w:fldCharType="separate"/>
          </w:r>
          <w:r>
            <w:rPr>
              <w:rStyle w:val="10"/>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_Toc197000242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0148E8C">
          <w:r>
            <w:rPr>
              <w:b/>
              <w:bCs/>
            </w:rPr>
            <w:fldChar w:fldCharType="end"/>
          </w:r>
        </w:p>
      </w:sdtContent>
    </w:sdt>
    <w:p w14:paraId="6E52A786">
      <w:pPr>
        <w:spacing w:line="360" w:lineRule="auto"/>
        <w:jc w:val="both"/>
        <w:rPr>
          <w:rFonts w:ascii="Times New Roman" w:hAnsi="Times New Roman" w:cs="Times New Roman"/>
        </w:rPr>
      </w:pPr>
    </w:p>
    <w:p w14:paraId="6CD317C2">
      <w:pPr>
        <w:spacing w:line="360" w:lineRule="auto"/>
        <w:jc w:val="both"/>
        <w:rPr>
          <w:rFonts w:ascii="Times New Roman" w:hAnsi="Times New Roman" w:cs="Times New Roman"/>
        </w:rPr>
      </w:pPr>
    </w:p>
    <w:p w14:paraId="269D8E62">
      <w:pPr>
        <w:spacing w:line="360" w:lineRule="auto"/>
        <w:jc w:val="both"/>
        <w:rPr>
          <w:rFonts w:ascii="Times New Roman" w:hAnsi="Times New Roman" w:cs="Times New Roman"/>
        </w:rPr>
      </w:pPr>
    </w:p>
    <w:p w14:paraId="55189561">
      <w:pPr>
        <w:spacing w:line="360" w:lineRule="auto"/>
        <w:jc w:val="both"/>
        <w:rPr>
          <w:rFonts w:ascii="Times New Roman" w:hAnsi="Times New Roman" w:cs="Times New Roman"/>
        </w:rPr>
      </w:pPr>
    </w:p>
    <w:p w14:paraId="683B5947">
      <w:pPr>
        <w:spacing w:line="360" w:lineRule="auto"/>
        <w:jc w:val="both"/>
        <w:rPr>
          <w:rFonts w:ascii="Times New Roman" w:hAnsi="Times New Roman" w:cs="Times New Roman"/>
        </w:rPr>
      </w:pPr>
    </w:p>
    <w:p w14:paraId="7D1487A8">
      <w:pPr>
        <w:spacing w:line="360" w:lineRule="auto"/>
        <w:jc w:val="both"/>
        <w:rPr>
          <w:rFonts w:ascii="Times New Roman" w:hAnsi="Times New Roman" w:cs="Times New Roman"/>
        </w:rPr>
      </w:pPr>
    </w:p>
    <w:p w14:paraId="30C694BD">
      <w:pPr>
        <w:spacing w:line="360" w:lineRule="auto"/>
        <w:jc w:val="both"/>
        <w:rPr>
          <w:rFonts w:ascii="Times New Roman" w:hAnsi="Times New Roman" w:cs="Times New Roman"/>
        </w:rPr>
      </w:pPr>
    </w:p>
    <w:p w14:paraId="64C3F067">
      <w:pPr>
        <w:spacing w:line="360" w:lineRule="auto"/>
        <w:jc w:val="both"/>
        <w:rPr>
          <w:rFonts w:ascii="Times New Roman" w:hAnsi="Times New Roman" w:cs="Times New Roman"/>
        </w:rPr>
      </w:pPr>
    </w:p>
    <w:p w14:paraId="000F0A10">
      <w:pPr>
        <w:spacing w:line="360" w:lineRule="auto"/>
        <w:jc w:val="both"/>
        <w:rPr>
          <w:rFonts w:ascii="Times New Roman" w:hAnsi="Times New Roman" w:cs="Times New Roman"/>
        </w:rPr>
      </w:pPr>
    </w:p>
    <w:p w14:paraId="4A0BB3FE">
      <w:pPr>
        <w:spacing w:line="360" w:lineRule="auto"/>
        <w:jc w:val="both"/>
        <w:rPr>
          <w:rFonts w:ascii="Times New Roman" w:hAnsi="Times New Roman" w:cs="Times New Roman"/>
        </w:rPr>
      </w:pPr>
    </w:p>
    <w:p w14:paraId="160192AE">
      <w:pPr>
        <w:spacing w:line="360" w:lineRule="auto"/>
        <w:jc w:val="both"/>
        <w:rPr>
          <w:rFonts w:ascii="Times New Roman" w:hAnsi="Times New Roman" w:cs="Times New Roman"/>
        </w:rPr>
      </w:pPr>
    </w:p>
    <w:p w14:paraId="484A4A3F">
      <w:pPr>
        <w:spacing w:line="360" w:lineRule="auto"/>
        <w:jc w:val="both"/>
        <w:rPr>
          <w:rFonts w:ascii="Times New Roman" w:hAnsi="Times New Roman" w:cs="Times New Roman"/>
        </w:rPr>
      </w:pPr>
    </w:p>
    <w:p w14:paraId="1D7CD964">
      <w:pPr>
        <w:spacing w:line="360" w:lineRule="auto"/>
        <w:jc w:val="both"/>
        <w:rPr>
          <w:rFonts w:ascii="Times New Roman" w:hAnsi="Times New Roman" w:cs="Times New Roman"/>
        </w:rPr>
      </w:pPr>
    </w:p>
    <w:p w14:paraId="1162440F">
      <w:pPr>
        <w:spacing w:line="360" w:lineRule="auto"/>
        <w:jc w:val="both"/>
        <w:rPr>
          <w:rFonts w:ascii="Times New Roman" w:hAnsi="Times New Roman" w:cs="Times New Roman"/>
        </w:rPr>
      </w:pPr>
    </w:p>
    <w:p w14:paraId="28026E0A">
      <w:pPr>
        <w:pStyle w:val="2"/>
        <w:spacing w:line="600" w:lineRule="auto"/>
        <w:rPr>
          <w:rFonts w:cs="Times New Roman"/>
          <w:sz w:val="22"/>
          <w:szCs w:val="22"/>
        </w:rPr>
      </w:pPr>
      <w:bookmarkStart w:id="1" w:name="_Toc197000203"/>
      <w:r>
        <w:rPr>
          <w:rFonts w:cs="Times New Roman"/>
          <w:sz w:val="22"/>
          <w:szCs w:val="22"/>
        </w:rPr>
        <w:t>Research Topic</w:t>
      </w:r>
      <w:bookmarkEnd w:id="1"/>
    </w:p>
    <w:p w14:paraId="3DAA73E5">
      <w:pPr>
        <w:spacing w:line="600" w:lineRule="auto"/>
        <w:jc w:val="both"/>
        <w:rPr>
          <w:rFonts w:ascii="Times New Roman" w:hAnsi="Times New Roman" w:cs="Times New Roman"/>
          <w:i/>
          <w:iCs/>
        </w:rPr>
      </w:pPr>
      <w:r>
        <w:rPr>
          <w:rFonts w:ascii="Times New Roman" w:hAnsi="Times New Roman" w:cs="Times New Roman"/>
          <w:i/>
          <w:iCs/>
        </w:rPr>
        <w:t>The impact of sales &amp; promotion on impulsive buying through the mediating role of revisit intention and the moderating role of brand image.</w:t>
      </w:r>
    </w:p>
    <w:p w14:paraId="07E10A84">
      <w:pPr>
        <w:pStyle w:val="4"/>
        <w:spacing w:line="600" w:lineRule="auto"/>
        <w:rPr>
          <w:rFonts w:cs="Times New Roman"/>
          <w:sz w:val="22"/>
          <w:szCs w:val="22"/>
        </w:rPr>
      </w:pPr>
      <w:bookmarkStart w:id="2" w:name="_Toc197000204"/>
      <w:r>
        <w:rPr>
          <w:rFonts w:cs="Times New Roman"/>
          <w:sz w:val="22"/>
          <w:szCs w:val="22"/>
        </w:rPr>
        <w:t>Research problem:</w:t>
      </w:r>
      <w:bookmarkEnd w:id="2"/>
    </w:p>
    <w:p w14:paraId="2D7DE397">
      <w:pPr>
        <w:spacing w:line="600" w:lineRule="auto"/>
        <w:jc w:val="both"/>
        <w:rPr>
          <w:rFonts w:ascii="Times New Roman" w:hAnsi="Times New Roman" w:cs="Times New Roman"/>
        </w:rPr>
      </w:pPr>
      <w:r>
        <w:rPr>
          <w:rFonts w:ascii="Times New Roman" w:hAnsi="Times New Roman" w:cs="Times New Roman"/>
        </w:rPr>
        <w:t xml:space="preserve">By identifying and analyzing these psychological and behavioral aspects, businesses can enhance their ability to forecast and impact consumer decisions, resulting in better marketing outcomes and increased customer satisfaction (Ndubisi &amp; Moi, 2006). Comprehending how psychological principles and cognitive biases impact consumer decision-making processes can aid companies in customizing their marketing strategies to influence consumer purchase behavior more productively. </w:t>
      </w:r>
    </w:p>
    <w:p w14:paraId="56DE4F80">
      <w:pPr>
        <w:pStyle w:val="5"/>
        <w:spacing w:line="600" w:lineRule="auto"/>
        <w:rPr>
          <w:rFonts w:cs="Times New Roman"/>
        </w:rPr>
      </w:pPr>
      <w:r>
        <w:rPr>
          <w:rFonts w:cs="Times New Roman"/>
        </w:rPr>
        <w:t>Research Questions:</w:t>
      </w:r>
    </w:p>
    <w:p w14:paraId="528E02A3">
      <w:pPr>
        <w:pStyle w:val="18"/>
        <w:numPr>
          <w:ilvl w:val="0"/>
          <w:numId w:val="1"/>
        </w:numPr>
        <w:spacing w:line="600" w:lineRule="auto"/>
        <w:jc w:val="both"/>
        <w:rPr>
          <w:rFonts w:ascii="Times New Roman" w:hAnsi="Times New Roman" w:cs="Times New Roman"/>
        </w:rPr>
      </w:pPr>
      <w:r>
        <w:rPr>
          <w:rFonts w:ascii="Times New Roman" w:hAnsi="Times New Roman" w:cs="Times New Roman"/>
        </w:rPr>
        <w:t>How do sales &amp; promotions impact impulsive buying behavior?</w:t>
      </w:r>
    </w:p>
    <w:p w14:paraId="2D0806AD">
      <w:pPr>
        <w:pStyle w:val="18"/>
        <w:numPr>
          <w:ilvl w:val="0"/>
          <w:numId w:val="1"/>
        </w:numPr>
        <w:spacing w:line="600" w:lineRule="auto"/>
        <w:jc w:val="both"/>
        <w:rPr>
          <w:rFonts w:ascii="Times New Roman" w:hAnsi="Times New Roman" w:cs="Times New Roman"/>
        </w:rPr>
      </w:pPr>
      <w:r>
        <w:rPr>
          <w:rFonts w:ascii="Times New Roman" w:hAnsi="Times New Roman" w:cs="Times New Roman"/>
        </w:rPr>
        <w:t>How does revisit intention mediate the relationship between sales &amp; promotion and impulsive buying behavior</w:t>
      </w:r>
    </w:p>
    <w:p w14:paraId="59E51751">
      <w:pPr>
        <w:pStyle w:val="18"/>
        <w:numPr>
          <w:ilvl w:val="0"/>
          <w:numId w:val="1"/>
        </w:numPr>
        <w:spacing w:line="600" w:lineRule="auto"/>
        <w:jc w:val="both"/>
        <w:rPr>
          <w:rFonts w:ascii="Times New Roman" w:hAnsi="Times New Roman" w:cs="Times New Roman"/>
        </w:rPr>
      </w:pPr>
      <w:r>
        <w:rPr>
          <w:rFonts w:ascii="Times New Roman" w:hAnsi="Times New Roman" w:cs="Times New Roman"/>
        </w:rPr>
        <w:t>How does brand image moderate the relationship between revisit intention and impulsive buying behavior?</w:t>
      </w:r>
    </w:p>
    <w:p w14:paraId="48DD1C76">
      <w:pPr>
        <w:pStyle w:val="4"/>
        <w:spacing w:line="600" w:lineRule="auto"/>
        <w:rPr>
          <w:rFonts w:cs="Times New Roman"/>
          <w:sz w:val="22"/>
          <w:szCs w:val="22"/>
        </w:rPr>
      </w:pPr>
      <w:bookmarkStart w:id="3" w:name="_Toc197000205"/>
      <w:r>
        <w:rPr>
          <w:rFonts w:cs="Times New Roman"/>
          <w:sz w:val="22"/>
          <w:szCs w:val="22"/>
        </w:rPr>
        <w:t>Aims &amp; Objectives of the Research</w:t>
      </w:r>
      <w:bookmarkEnd w:id="3"/>
    </w:p>
    <w:p w14:paraId="449D302C">
      <w:pPr>
        <w:pStyle w:val="5"/>
        <w:spacing w:line="600" w:lineRule="auto"/>
        <w:rPr>
          <w:rFonts w:cs="Times New Roman"/>
        </w:rPr>
      </w:pPr>
      <w:r>
        <w:rPr>
          <w:rFonts w:cs="Times New Roman"/>
        </w:rPr>
        <w:t>Aims:</w:t>
      </w:r>
    </w:p>
    <w:p w14:paraId="3BE3A80B">
      <w:pPr>
        <w:spacing w:line="600" w:lineRule="auto"/>
        <w:jc w:val="both"/>
        <w:rPr>
          <w:rFonts w:ascii="Times New Roman" w:hAnsi="Times New Roman" w:cs="Times New Roman"/>
        </w:rPr>
      </w:pPr>
      <w:r>
        <w:rPr>
          <w:rFonts w:ascii="Times New Roman" w:hAnsi="Times New Roman" w:cs="Times New Roman"/>
        </w:rPr>
        <w:t>To analyze how behavioral psychology influences consumer purchasing decisions within the ZARA industry, focusing on the effects of sales and promotion, revisit intention, brand image, and impulsive buying behavior.</w:t>
      </w:r>
    </w:p>
    <w:p w14:paraId="3537DCAA">
      <w:pPr>
        <w:pStyle w:val="5"/>
        <w:spacing w:line="600" w:lineRule="auto"/>
        <w:rPr>
          <w:rFonts w:cs="Times New Roman"/>
        </w:rPr>
      </w:pPr>
      <w:r>
        <w:rPr>
          <w:rFonts w:cs="Times New Roman"/>
        </w:rPr>
        <w:t>Objectives</w:t>
      </w:r>
    </w:p>
    <w:p w14:paraId="1BA22685">
      <w:pPr>
        <w:pStyle w:val="18"/>
        <w:numPr>
          <w:ilvl w:val="0"/>
          <w:numId w:val="2"/>
        </w:numPr>
        <w:spacing w:line="600" w:lineRule="auto"/>
        <w:jc w:val="both"/>
        <w:rPr>
          <w:rFonts w:ascii="Times New Roman" w:hAnsi="Times New Roman" w:cs="Times New Roman"/>
        </w:rPr>
      </w:pPr>
      <w:r>
        <w:rPr>
          <w:rFonts w:ascii="Times New Roman" w:hAnsi="Times New Roman" w:cs="Times New Roman"/>
        </w:rPr>
        <w:t>To investigate how sales and promotional strategies affect consumer purchasing decisions in ZARA.</w:t>
      </w:r>
    </w:p>
    <w:p w14:paraId="36AC903D">
      <w:pPr>
        <w:pStyle w:val="18"/>
        <w:numPr>
          <w:ilvl w:val="0"/>
          <w:numId w:val="2"/>
        </w:numPr>
        <w:spacing w:line="600" w:lineRule="auto"/>
        <w:jc w:val="both"/>
        <w:rPr>
          <w:rFonts w:ascii="Times New Roman" w:hAnsi="Times New Roman" w:cs="Times New Roman"/>
        </w:rPr>
      </w:pPr>
      <w:r>
        <w:rPr>
          <w:rFonts w:ascii="Times New Roman" w:hAnsi="Times New Roman" w:cs="Times New Roman"/>
        </w:rPr>
        <w:t>To assess the factors that drive consumers to revisit ZARA stores or websites, contributing to customer loyalty.</w:t>
      </w:r>
    </w:p>
    <w:p w14:paraId="1526386C">
      <w:pPr>
        <w:pStyle w:val="18"/>
        <w:numPr>
          <w:ilvl w:val="0"/>
          <w:numId w:val="2"/>
        </w:numPr>
        <w:spacing w:line="600" w:lineRule="auto"/>
        <w:jc w:val="both"/>
        <w:rPr>
          <w:rFonts w:ascii="Times New Roman" w:hAnsi="Times New Roman" w:cs="Times New Roman"/>
        </w:rPr>
      </w:pPr>
      <w:r>
        <w:rPr>
          <w:rFonts w:ascii="Times New Roman" w:hAnsi="Times New Roman" w:cs="Times New Roman"/>
        </w:rPr>
        <w:t>To examine the impact of brand image on consumer perceptions and its role in influencing purchase choices within ZARA.</w:t>
      </w:r>
    </w:p>
    <w:p w14:paraId="764F4CEA">
      <w:pPr>
        <w:pStyle w:val="18"/>
        <w:numPr>
          <w:ilvl w:val="0"/>
          <w:numId w:val="2"/>
        </w:numPr>
        <w:spacing w:line="600" w:lineRule="auto"/>
        <w:jc w:val="both"/>
        <w:rPr>
          <w:rFonts w:ascii="Times New Roman" w:hAnsi="Times New Roman" w:cs="Times New Roman"/>
        </w:rPr>
      </w:pPr>
      <w:r>
        <w:rPr>
          <w:rFonts w:ascii="Times New Roman" w:hAnsi="Times New Roman" w:cs="Times New Roman"/>
        </w:rPr>
        <w:t>To explore the psychological triggers behind impulsive buying and how they manifest in the context of ZARA and their products.</w:t>
      </w:r>
    </w:p>
    <w:p w14:paraId="7C41BE35">
      <w:pPr>
        <w:spacing w:line="600" w:lineRule="auto"/>
        <w:ind w:left="360"/>
        <w:jc w:val="both"/>
        <w:rPr>
          <w:rFonts w:ascii="Times New Roman" w:hAnsi="Times New Roman" w:cs="Times New Roman"/>
        </w:rPr>
      </w:pPr>
    </w:p>
    <w:p w14:paraId="4E7901D0">
      <w:pPr>
        <w:pStyle w:val="2"/>
        <w:spacing w:line="600" w:lineRule="auto"/>
        <w:rPr>
          <w:rFonts w:cs="Times New Roman"/>
          <w:sz w:val="22"/>
          <w:szCs w:val="22"/>
        </w:rPr>
      </w:pPr>
      <w:bookmarkStart w:id="4" w:name="_Toc197000206"/>
      <w:r>
        <w:rPr>
          <w:rFonts w:cs="Times New Roman"/>
          <w:sz w:val="22"/>
          <w:szCs w:val="22"/>
        </w:rPr>
        <w:t>Abstract:</w:t>
      </w:r>
      <w:bookmarkEnd w:id="4"/>
    </w:p>
    <w:p w14:paraId="5575EC5D">
      <w:pPr>
        <w:spacing w:line="600" w:lineRule="auto"/>
        <w:jc w:val="both"/>
        <w:rPr>
          <w:rFonts w:ascii="Times New Roman" w:hAnsi="Times New Roman" w:cs="Times New Roman"/>
        </w:rPr>
      </w:pPr>
      <w:r>
        <w:rPr>
          <w:rFonts w:ascii="Times New Roman" w:hAnsi="Times New Roman" w:cs="Times New Roman"/>
        </w:rPr>
        <w:t>Nowadays, the shopping industry has its future trend all over the world. It has broadened the competition between different brands that serve different products all over the globe, and due to the large competition among the brands, the researchers are keen to know the growing impulsive purchasing behavior of consumers. Therefore, the study aims to assess the influence of Sales &amp; Promotion on Impulsive Buying and the role of the Brand image as a moderator, and revisit intention as a mediator.</w:t>
      </w:r>
    </w:p>
    <w:p w14:paraId="62838802">
      <w:pPr>
        <w:pStyle w:val="4"/>
        <w:spacing w:line="600" w:lineRule="auto"/>
        <w:rPr>
          <w:rFonts w:cs="Times New Roman"/>
          <w:sz w:val="22"/>
          <w:szCs w:val="22"/>
        </w:rPr>
      </w:pPr>
      <w:bookmarkStart w:id="5" w:name="_Toc197000207"/>
      <w:r>
        <w:rPr>
          <w:rFonts w:cs="Times New Roman"/>
          <w:sz w:val="22"/>
          <w:szCs w:val="22"/>
        </w:rPr>
        <w:t>Methodology/Design:</w:t>
      </w:r>
      <w:bookmarkEnd w:id="5"/>
    </w:p>
    <w:p w14:paraId="4B41F456">
      <w:pPr>
        <w:spacing w:line="600" w:lineRule="auto"/>
        <w:jc w:val="both"/>
        <w:rPr>
          <w:rFonts w:ascii="Times New Roman" w:hAnsi="Times New Roman" w:cs="Times New Roman"/>
        </w:rPr>
      </w:pPr>
      <w:r>
        <w:rPr>
          <w:rFonts w:ascii="Times New Roman" w:hAnsi="Times New Roman" w:cs="Times New Roman"/>
        </w:rPr>
        <w:t>The data was collected from 258 respondents in March. A convenience sampling technique was used to collect data, and respondents were asked to fill out a questionnaire through Google Forms.</w:t>
      </w:r>
    </w:p>
    <w:p w14:paraId="5113FB7F">
      <w:pPr>
        <w:pStyle w:val="4"/>
        <w:spacing w:line="600" w:lineRule="auto"/>
        <w:rPr>
          <w:rFonts w:cs="Times New Roman"/>
          <w:sz w:val="22"/>
          <w:szCs w:val="22"/>
        </w:rPr>
      </w:pPr>
      <w:bookmarkStart w:id="6" w:name="_Toc197000208"/>
      <w:r>
        <w:rPr>
          <w:rFonts w:cs="Times New Roman"/>
          <w:sz w:val="22"/>
          <w:szCs w:val="22"/>
        </w:rPr>
        <w:t>Findings:</w:t>
      </w:r>
      <w:bookmarkEnd w:id="6"/>
    </w:p>
    <w:p w14:paraId="311C6C8F">
      <w:pPr>
        <w:spacing w:line="600" w:lineRule="auto"/>
        <w:jc w:val="both"/>
        <w:rPr>
          <w:rFonts w:ascii="Times New Roman" w:hAnsi="Times New Roman" w:cs="Times New Roman"/>
        </w:rPr>
      </w:pPr>
      <w:r>
        <w:rPr>
          <w:rFonts w:ascii="Times New Roman" w:hAnsi="Times New Roman" w:cs="Times New Roman"/>
        </w:rPr>
        <w:t>The results show that sales &amp; Promotions influence Impulsive Buying Behavior, and Revisit Intention explains the relationship between them, and brand image strengthens the relationship between them.</w:t>
      </w:r>
    </w:p>
    <w:p w14:paraId="61EDDCCF">
      <w:pPr>
        <w:pStyle w:val="4"/>
        <w:spacing w:line="600" w:lineRule="auto"/>
        <w:rPr>
          <w:rFonts w:cs="Times New Roman"/>
          <w:sz w:val="22"/>
          <w:szCs w:val="22"/>
        </w:rPr>
      </w:pPr>
      <w:bookmarkStart w:id="7" w:name="_Toc197000209"/>
      <w:r>
        <w:rPr>
          <w:rFonts w:cs="Times New Roman"/>
          <w:sz w:val="22"/>
          <w:szCs w:val="22"/>
        </w:rPr>
        <w:t>Limitations/Future directions:</w:t>
      </w:r>
      <w:bookmarkEnd w:id="7"/>
    </w:p>
    <w:p w14:paraId="093D8A75">
      <w:pPr>
        <w:spacing w:line="600" w:lineRule="auto"/>
        <w:jc w:val="both"/>
        <w:rPr>
          <w:rFonts w:ascii="Times New Roman" w:hAnsi="Times New Roman" w:cs="Times New Roman"/>
        </w:rPr>
      </w:pPr>
      <w:r>
        <w:rPr>
          <w:rFonts w:ascii="Times New Roman" w:hAnsi="Times New Roman" w:cs="Times New Roman"/>
        </w:rPr>
        <w:t>The data was collected through convenience sampling, so I suggest using different sampling techniques in the future to get variable results.</w:t>
      </w:r>
    </w:p>
    <w:p w14:paraId="3CA0AA24">
      <w:pPr>
        <w:pStyle w:val="4"/>
        <w:spacing w:line="600" w:lineRule="auto"/>
        <w:rPr>
          <w:rFonts w:cs="Times New Roman"/>
          <w:sz w:val="22"/>
          <w:szCs w:val="22"/>
        </w:rPr>
      </w:pPr>
      <w:bookmarkStart w:id="8" w:name="_Toc197000210"/>
      <w:r>
        <w:rPr>
          <w:rFonts w:cs="Times New Roman"/>
          <w:sz w:val="22"/>
          <w:szCs w:val="22"/>
        </w:rPr>
        <w:t>Originality/Value:</w:t>
      </w:r>
      <w:bookmarkEnd w:id="8"/>
    </w:p>
    <w:p w14:paraId="7A320EDB">
      <w:pPr>
        <w:spacing w:line="600" w:lineRule="auto"/>
        <w:jc w:val="both"/>
        <w:rPr>
          <w:rFonts w:ascii="Times New Roman" w:hAnsi="Times New Roman" w:cs="Times New Roman"/>
        </w:rPr>
      </w:pPr>
      <w:r>
        <w:rPr>
          <w:rFonts w:ascii="Times New Roman" w:hAnsi="Times New Roman" w:cs="Times New Roman"/>
        </w:rPr>
        <w:t>The specific research highlights the importance of sales &amp; promotion, impulsive buying behavior of people, revisit intention, and brand image.</w:t>
      </w:r>
    </w:p>
    <w:p w14:paraId="694D107F">
      <w:pPr>
        <w:pStyle w:val="4"/>
        <w:spacing w:line="600" w:lineRule="auto"/>
        <w:rPr>
          <w:rFonts w:cs="Times New Roman"/>
          <w:sz w:val="22"/>
          <w:szCs w:val="22"/>
        </w:rPr>
      </w:pPr>
      <w:bookmarkStart w:id="9" w:name="_Toc197000211"/>
      <w:r>
        <w:rPr>
          <w:rFonts w:cs="Times New Roman"/>
          <w:sz w:val="22"/>
          <w:szCs w:val="22"/>
        </w:rPr>
        <w:t>Key Words:</w:t>
      </w:r>
      <w:bookmarkEnd w:id="9"/>
    </w:p>
    <w:p w14:paraId="5BA58EE3">
      <w:pPr>
        <w:spacing w:line="600" w:lineRule="auto"/>
        <w:jc w:val="both"/>
        <w:rPr>
          <w:rFonts w:ascii="Times New Roman" w:hAnsi="Times New Roman" w:cs="Times New Roman"/>
        </w:rPr>
      </w:pPr>
      <w:r>
        <w:rPr>
          <w:rFonts w:ascii="Times New Roman" w:hAnsi="Times New Roman" w:cs="Times New Roman"/>
        </w:rPr>
        <w:t>Impulsive Buying, Sales &amp; Promotion, Revisit intention, Brand image, Customer Loyalty, Shopping Industry.</w:t>
      </w:r>
    </w:p>
    <w:p w14:paraId="2D8CD294">
      <w:pPr>
        <w:pStyle w:val="4"/>
        <w:spacing w:line="600" w:lineRule="auto"/>
        <w:rPr>
          <w:rFonts w:cs="Times New Roman"/>
          <w:sz w:val="22"/>
          <w:szCs w:val="22"/>
        </w:rPr>
      </w:pPr>
      <w:bookmarkStart w:id="10" w:name="_Toc197000212"/>
      <w:r>
        <w:rPr>
          <w:rFonts w:cs="Times New Roman"/>
          <w:sz w:val="22"/>
          <w:szCs w:val="22"/>
        </w:rPr>
        <w:t>Paper Type:</w:t>
      </w:r>
      <w:bookmarkEnd w:id="10"/>
    </w:p>
    <w:p w14:paraId="174DC2E5">
      <w:pPr>
        <w:spacing w:line="600" w:lineRule="auto"/>
        <w:jc w:val="both"/>
        <w:rPr>
          <w:rFonts w:ascii="Times New Roman" w:hAnsi="Times New Roman" w:cs="Times New Roman"/>
        </w:rPr>
      </w:pPr>
      <w:r>
        <w:rPr>
          <w:rFonts w:ascii="Times New Roman" w:hAnsi="Times New Roman" w:cs="Times New Roman"/>
        </w:rPr>
        <w:t>Research Proposal</w:t>
      </w:r>
    </w:p>
    <w:p w14:paraId="63A3804A">
      <w:pPr>
        <w:pStyle w:val="2"/>
        <w:spacing w:line="600" w:lineRule="auto"/>
        <w:rPr>
          <w:rFonts w:cs="Times New Roman"/>
          <w:sz w:val="22"/>
          <w:szCs w:val="22"/>
        </w:rPr>
      </w:pPr>
      <w:bookmarkStart w:id="11" w:name="_Toc197000213"/>
      <w:r>
        <w:rPr>
          <w:rFonts w:cs="Times New Roman"/>
          <w:sz w:val="22"/>
          <w:szCs w:val="22"/>
        </w:rPr>
        <w:t>Introduction:</w:t>
      </w:r>
      <w:bookmarkEnd w:id="11"/>
    </w:p>
    <w:p w14:paraId="0831EF9B">
      <w:pPr>
        <w:spacing w:line="600" w:lineRule="auto"/>
        <w:jc w:val="both"/>
        <w:rPr>
          <w:rFonts w:ascii="Times New Roman" w:hAnsi="Times New Roman" w:cs="Times New Roman"/>
        </w:rPr>
      </w:pPr>
      <w:r>
        <w:rPr>
          <w:rFonts w:ascii="Times New Roman" w:hAnsi="Times New Roman" w:cs="Times New Roman"/>
        </w:rPr>
        <w:t>Numerous studies have delved into impulsive buying within the marketing field over the last few decades. The ongoing debate surrounds the ethics of impulsive buying, but the crux of the matter is that impulsive buying serves to allure customers and drive revenue growth in the industry (Akram et al., 2018).</w:t>
      </w:r>
    </w:p>
    <w:p w14:paraId="49B7301A">
      <w:pPr>
        <w:spacing w:line="600" w:lineRule="auto"/>
        <w:jc w:val="both"/>
        <w:rPr>
          <w:rFonts w:ascii="Times New Roman" w:hAnsi="Times New Roman" w:cs="Times New Roman"/>
        </w:rPr>
      </w:pPr>
      <w:r>
        <w:rPr>
          <w:rFonts w:ascii="Times New Roman" w:hAnsi="Times New Roman" w:cs="Times New Roman"/>
        </w:rPr>
        <w:t>Researchers have discovered that from a customer's vantage point, impulsive buying can be problematic and stressful. However, viewed from a company's perspective, it proves to be an effective strategy for escalating sales figures and garnering passive profits from customers (Lee &amp; Kacen, 2008). Recent studies emphasize that the significance of people's impulsive behavior has evolved significantly over time. Studies suggest that more than 35% of total store revenue hinges on impulsive purchases (Lin &amp; Chuang, 2005). It is astonishing to note that a third of individuals tend to buy items without prior planning or forethought, opting instead for random and spontaneous purchases (Amos et al., 2014). Furthermore, researchers have observed that a vast majority of customers, exceeding 80%, relish impromptu shopping experiences by occasionally acquiring unplanned items (Karmali, 2007). In Pakistan, half of the customers exhibit impulsive shopping tendencies as families seek enjoyable moments with loved ones in pleasant surroundings. Spouses frequently spend time at malls engaging in various activities and often make impulse purchases without a clear intent behind their actions (Amos et al., 2014).</w:t>
      </w:r>
    </w:p>
    <w:p w14:paraId="63221FCE">
      <w:pPr>
        <w:spacing w:line="600" w:lineRule="auto"/>
        <w:jc w:val="both"/>
        <w:rPr>
          <w:rFonts w:ascii="Times New Roman" w:hAnsi="Times New Roman" w:cs="Times New Roman"/>
        </w:rPr>
      </w:pPr>
      <w:r>
        <w:rPr>
          <w:rFonts w:ascii="Times New Roman" w:hAnsi="Times New Roman" w:cs="Times New Roman"/>
        </w:rPr>
        <w:t>Previous research on impulsive buying behavior spans across multiple sectors including marketing, customer engagement, word-of-mouth recommendations, brand loyalty, brand image perception, revisit intentions, and various other factors such as positive customer moods, sales promotions, pricing strategies, brand citizenship behavior, packaging design, and product display methods (Hu &amp; Jasper, 2006). The irrational nature of customers' impulsive purchasing habits varies depending on the product category. Studies reveal that consumers tend to purchase inexpensive products when seeking budget-friendly options, while opting for pricier items when aspiring for higher quality goods from preferred brands (Amos et al., 2014). The retail industry predominantly capitalizes on impulsive buying through tactics like window displays and psychological inducements such as "buy one get one" or "buy two get one free." Entrepreneurs employ sales promotions to sell older inventory at discounted rates while promoting new collections to entice consumers and boost sales (Xiao &amp; Nicholson, 2013). Despite being viewed as problematic by consumers, this strategy serves as a powerful tool for organizations aiming to maximize sales volume (Ahn &amp; Kwon, 2020). An analysis of impulsive buying behavior underscores its close correlation with sales and promotional activities. Sales involve the exchange of goods or services for monetary compensation through various channels like personal interactions or online communications (Stern, 1962). Contrastingly, promotions entail marketing initiatives aimed at elucidating product benefits to potential buyers through methods like public relations or advertising campaigns (Mishra et al., 2012). The final goal of a company is to get sales by turning leads into buyers (Chiu et al., 2022). In essence, sales and promotions work harmoniously to convert prospective buyers into loyal customers, thus driving revenue growth. By accentuating sales strategies alongside promotional efforts, companies can influence emotional purchasing decisions, leading to increased impulse buying tendencies among consumers (Badgaiyan &amp; Verma, 2014). Sales and promotion are 70% of the brand. in the retail market, people don't tend to make radical decisions (Babin and Attaway, 2000). If the customers have developed a sense of brand loyalty, they will choose the same brand again and return irrespective of their income (Zaman, 2019). In conclusion, they are ensnared by firms that strive to foster engagement and loyalty with lucrative deals (Chandon et al. 2000).</w:t>
      </w:r>
    </w:p>
    <w:p w14:paraId="6FCEEB5C">
      <w:pPr>
        <w:spacing w:line="600" w:lineRule="auto"/>
        <w:jc w:val="both"/>
        <w:rPr>
          <w:rFonts w:ascii="Times New Roman" w:hAnsi="Times New Roman" w:cs="Times New Roman"/>
        </w:rPr>
      </w:pPr>
      <w:r>
        <w:rPr>
          <w:rFonts w:ascii="Times New Roman" w:hAnsi="Times New Roman" w:cs="Times New Roman"/>
        </w:rPr>
        <w:t>This study will explore the interconnectedness between sales strategies, promotional endeavors, and impulse buys revisit intentions. The findings could guide brand managers in enhancing their sales returns courtesy of understanding customers' impulsivity-driven behavior nuances. This study will seek the relationship between Sales &amp; Promotions, revisit intention as a mediating variable, brand image as a moderating variable, and impulsive buying as a dependent variable (d’Astous &amp; Jacob, 2002).</w:t>
      </w:r>
    </w:p>
    <w:p w14:paraId="79B88326">
      <w:pPr>
        <w:pStyle w:val="2"/>
        <w:spacing w:line="600" w:lineRule="auto"/>
        <w:rPr>
          <w:rFonts w:cs="Times New Roman"/>
          <w:sz w:val="22"/>
          <w:szCs w:val="22"/>
        </w:rPr>
      </w:pPr>
      <w:bookmarkStart w:id="12" w:name="_Toc197000214"/>
      <w:r>
        <w:rPr>
          <w:rFonts w:cs="Times New Roman"/>
          <w:sz w:val="22"/>
          <w:szCs w:val="22"/>
        </w:rPr>
        <w:t>Literature Review:</w:t>
      </w:r>
      <w:bookmarkEnd w:id="12"/>
    </w:p>
    <w:p w14:paraId="32EFE331">
      <w:pPr>
        <w:pStyle w:val="3"/>
        <w:spacing w:line="600" w:lineRule="auto"/>
        <w:rPr>
          <w:rFonts w:cs="Times New Roman"/>
          <w:sz w:val="22"/>
          <w:szCs w:val="22"/>
        </w:rPr>
      </w:pPr>
      <w:bookmarkStart w:id="13" w:name="_Toc197000215"/>
      <w:r>
        <w:rPr>
          <w:rFonts w:cs="Times New Roman"/>
          <w:sz w:val="22"/>
          <w:szCs w:val="22"/>
        </w:rPr>
        <w:t>Allport’s Hierarchical Model of Personality</w:t>
      </w:r>
      <w:bookmarkEnd w:id="13"/>
    </w:p>
    <w:p w14:paraId="2ED35A3D">
      <w:pPr>
        <w:spacing w:after="0" w:line="600" w:lineRule="auto"/>
        <w:jc w:val="both"/>
        <w:textAlignment w:val="baseline"/>
        <w:rPr>
          <w:rFonts w:ascii="Times New Roman" w:hAnsi="Times New Roman" w:eastAsia="Times New Roman" w:cs="Times New Roman"/>
          <w:color w:val="000000"/>
        </w:rPr>
      </w:pPr>
      <w:r>
        <w:rPr>
          <w:rFonts w:ascii="Times New Roman" w:hAnsi="Times New Roman" w:eastAsia="Times New Roman" w:cs="Times New Roman"/>
          <w:color w:val="000000"/>
        </w:rPr>
        <w:t xml:space="preserve">Allport's Hierarchical Model of Personality posits that individual traits predictably influence behavior. This model categorizes traits into three levels: cardinal traits, central traits, and secondary traits </w:t>
      </w:r>
      <w:sdt>
        <w:sdtPr>
          <w:rPr>
            <w:rFonts w:ascii="Times New Roman" w:hAnsi="Times New Roman" w:eastAsia="Times New Roman" w:cs="Times New Roman"/>
            <w:color w:val="000000"/>
          </w:rPr>
          <w:id w:val="-1268690229"/>
        </w:sdtPr>
        <w:sdtEndPr>
          <w:rPr>
            <w:rFonts w:ascii="Times New Roman" w:hAnsi="Times New Roman" w:eastAsia="Times New Roman" w:cs="Times New Roman"/>
            <w:color w:val="000000"/>
          </w:rPr>
        </w:sdtEndPr>
        <w:sdtContent>
          <w:r>
            <w:rPr>
              <w:rFonts w:ascii="Times New Roman" w:hAnsi="Times New Roman" w:eastAsia="Times New Roman" w:cs="Times New Roman"/>
              <w:color w:val="000000"/>
            </w:rPr>
            <w:fldChar w:fldCharType="begin"/>
          </w:r>
          <w:r>
            <w:rPr>
              <w:rFonts w:ascii="Times New Roman" w:hAnsi="Times New Roman" w:eastAsia="Times New Roman" w:cs="Times New Roman"/>
              <w:color w:val="000000"/>
            </w:rPr>
            <w:instrText xml:space="preserve">CITATION The11 \l 1033 </w:instrText>
          </w:r>
          <w:r>
            <w:rPr>
              <w:rFonts w:ascii="Times New Roman" w:hAnsi="Times New Roman" w:eastAsia="Times New Roman" w:cs="Times New Roman"/>
              <w:color w:val="000000"/>
            </w:rPr>
            <w:fldChar w:fldCharType="separate"/>
          </w:r>
          <w:r>
            <w:rPr>
              <w:rFonts w:ascii="Times New Roman" w:hAnsi="Times New Roman" w:eastAsia="Times New Roman" w:cs="Times New Roman"/>
              <w:color w:val="000000"/>
            </w:rPr>
            <w:t>(Behrend &amp; Sharek, 2011)</w:t>
          </w:r>
          <w:r>
            <w:rPr>
              <w:rFonts w:ascii="Times New Roman" w:hAnsi="Times New Roman" w:eastAsia="Times New Roman" w:cs="Times New Roman"/>
              <w:color w:val="000000"/>
            </w:rPr>
            <w:fldChar w:fldCharType="end"/>
          </w:r>
        </w:sdtContent>
      </w:sdt>
      <w:r>
        <w:rPr>
          <w:rFonts w:ascii="Times New Roman" w:hAnsi="Times New Roman" w:eastAsia="Times New Roman" w:cs="Times New Roman"/>
          <w:color w:val="000000"/>
        </w:rPr>
        <w:t>. Cardinal traits dominate an individual's entire personality, central traits are general characteristics found to some degree in every person, and secondary traits are more situation-specific and less influential (Kotler &amp; Keller, 2012).</w:t>
      </w:r>
    </w:p>
    <w:p w14:paraId="7D399E9D">
      <w:pPr>
        <w:spacing w:after="0" w:line="600" w:lineRule="auto"/>
        <w:jc w:val="both"/>
        <w:textAlignment w:val="baseline"/>
        <w:rPr>
          <w:rFonts w:ascii="Times New Roman" w:hAnsi="Times New Roman" w:eastAsia="Times New Roman" w:cs="Times New Roman"/>
          <w:color w:val="000000"/>
        </w:rPr>
      </w:pPr>
      <w:bookmarkStart w:id="14" w:name="_Toc172813034"/>
      <w:r>
        <w:rPr>
          <w:rStyle w:val="23"/>
          <w:rFonts w:cs="Times New Roman"/>
        </w:rPr>
        <w:t>Application to Sales and Promotion:</w:t>
      </w:r>
      <w:bookmarkEnd w:id="14"/>
      <w:r>
        <w:rPr>
          <w:rFonts w:ascii="Times New Roman" w:hAnsi="Times New Roman" w:eastAsia="Times New Roman" w:cs="Times New Roman"/>
          <w:color w:val="000000"/>
        </w:rPr>
        <w:t xml:space="preserve"> Research has shown that personality traits can significantly impact how consumers respond to promotional activities. For example, individuals with high levels of extraversion are more likely to engage with and be influenced by sales promotions (Peattie, 2009). This is particularly relevant in the ZARA industry, where promotional strategies such as discounts and limited time offers are commonly used to drive sales </w:t>
      </w:r>
      <w:sdt>
        <w:sdtPr>
          <w:rPr>
            <w:rFonts w:ascii="Times New Roman" w:hAnsi="Times New Roman" w:eastAsia="Times New Roman" w:cs="Times New Roman"/>
            <w:color w:val="000000"/>
          </w:rPr>
          <w:id w:val="954441382"/>
        </w:sdtPr>
        <w:sdtEndPr>
          <w:rPr>
            <w:rFonts w:ascii="Times New Roman" w:hAnsi="Times New Roman" w:eastAsia="Times New Roman" w:cs="Times New Roman"/>
            <w:color w:val="000000"/>
          </w:rPr>
        </w:sdtEndPr>
        <w:sdtContent>
          <w:r>
            <w:rPr>
              <w:rFonts w:ascii="Times New Roman" w:hAnsi="Times New Roman" w:eastAsia="Times New Roman" w:cs="Times New Roman"/>
              <w:color w:val="000000"/>
            </w:rPr>
            <w:fldChar w:fldCharType="begin"/>
          </w:r>
          <w:r>
            <w:rPr>
              <w:rFonts w:ascii="Times New Roman" w:hAnsi="Times New Roman" w:eastAsia="Times New Roman" w:cs="Times New Roman"/>
              <w:color w:val="000000"/>
            </w:rPr>
            <w:instrText xml:space="preserve">CITATION Mar95 \l 1033 </w:instrText>
          </w:r>
          <w:r>
            <w:rPr>
              <w:rFonts w:ascii="Times New Roman" w:hAnsi="Times New Roman" w:eastAsia="Times New Roman" w:cs="Times New Roman"/>
              <w:color w:val="000000"/>
            </w:rPr>
            <w:fldChar w:fldCharType="separate"/>
          </w:r>
          <w:r>
            <w:rPr>
              <w:rFonts w:ascii="Times New Roman" w:hAnsi="Times New Roman" w:eastAsia="Times New Roman" w:cs="Times New Roman"/>
              <w:color w:val="000000"/>
            </w:rPr>
            <w:t xml:space="preserve"> (Mark J. Arnold &amp; Kristy E., 2013)</w:t>
          </w:r>
          <w:r>
            <w:rPr>
              <w:rFonts w:ascii="Times New Roman" w:hAnsi="Times New Roman" w:eastAsia="Times New Roman" w:cs="Times New Roman"/>
              <w:color w:val="000000"/>
            </w:rPr>
            <w:fldChar w:fldCharType="end"/>
          </w:r>
        </w:sdtContent>
      </w:sdt>
      <w:r>
        <w:rPr>
          <w:rFonts w:ascii="Times New Roman" w:hAnsi="Times New Roman" w:eastAsia="Times New Roman" w:cs="Times New Roman"/>
          <w:color w:val="000000"/>
        </w:rPr>
        <w:t>..</w:t>
      </w:r>
    </w:p>
    <w:p w14:paraId="2686DFAD">
      <w:pPr>
        <w:spacing w:after="0" w:line="600" w:lineRule="auto"/>
        <w:jc w:val="both"/>
        <w:textAlignment w:val="baseline"/>
        <w:rPr>
          <w:rFonts w:ascii="Times New Roman" w:hAnsi="Times New Roman" w:eastAsia="Times New Roman" w:cs="Times New Roman"/>
          <w:color w:val="000000"/>
        </w:rPr>
      </w:pPr>
      <w:bookmarkStart w:id="15" w:name="_Toc172813035"/>
      <w:r>
        <w:rPr>
          <w:rStyle w:val="23"/>
          <w:rFonts w:cs="Times New Roman"/>
        </w:rPr>
        <w:t>Strengths and Weaknesses</w:t>
      </w:r>
      <w:r>
        <w:rPr>
          <w:rFonts w:ascii="Times New Roman" w:hAnsi="Times New Roman" w:cs="Times New Roman"/>
          <w:b/>
          <w:bCs/>
        </w:rPr>
        <w:t>:</w:t>
      </w:r>
      <w:bookmarkEnd w:id="15"/>
      <w:r>
        <w:rPr>
          <w:rFonts w:ascii="Times New Roman" w:hAnsi="Times New Roman" w:eastAsia="Times New Roman" w:cs="Times New Roman"/>
          <w:color w:val="000000"/>
        </w:rPr>
        <w:t xml:space="preserve"> The strength of Allport's model lies in its comprehensive categorization of personality traits, providing a robust framework for predicting consumer behavior. However, a key weakness is its relatively static view of personality, which may not fully account for situational influences and the dynamic nature of consumer behavior (Gilbert &amp; Jackaria, 2002).</w:t>
      </w:r>
    </w:p>
    <w:p w14:paraId="330A7C59">
      <w:pPr>
        <w:pStyle w:val="2"/>
        <w:spacing w:line="600" w:lineRule="auto"/>
        <w:rPr>
          <w:rFonts w:eastAsia="Times New Roman" w:cs="Times New Roman"/>
          <w:sz w:val="22"/>
          <w:szCs w:val="22"/>
        </w:rPr>
      </w:pPr>
      <w:bookmarkStart w:id="16" w:name="_Toc197000216"/>
      <w:r>
        <w:rPr>
          <w:rFonts w:eastAsia="Times New Roman" w:cs="Times New Roman"/>
          <w:sz w:val="22"/>
          <w:szCs w:val="22"/>
        </w:rPr>
        <w:t>The Big Five Personality Traits:</w:t>
      </w:r>
      <w:bookmarkEnd w:id="16"/>
    </w:p>
    <w:p w14:paraId="408E8F0D">
      <w:pPr>
        <w:spacing w:after="0" w:line="600" w:lineRule="auto"/>
        <w:jc w:val="both"/>
        <w:textAlignment w:val="baseline"/>
        <w:rPr>
          <w:rFonts w:ascii="Times New Roman" w:hAnsi="Times New Roman" w:eastAsia="Times New Roman" w:cs="Times New Roman"/>
          <w:color w:val="000000"/>
        </w:rPr>
      </w:pPr>
      <w:r>
        <w:rPr>
          <w:rFonts w:ascii="Times New Roman" w:hAnsi="Times New Roman" w:eastAsia="Times New Roman" w:cs="Times New Roman"/>
          <w:color w:val="000000"/>
        </w:rPr>
        <w:t>The Big Five Personality Traits framework—openness, conscientiousness, extraversion, agreeableness, and neuroticism—offers a detailed understanding of personality dimensions and their impact on behavior (Alba &amp; Williams, 2018). This model has been extensively validated and widely applied in consumer behavior research.</w:t>
      </w:r>
    </w:p>
    <w:p w14:paraId="3812BFDD">
      <w:pPr>
        <w:spacing w:after="0" w:line="600" w:lineRule="auto"/>
        <w:jc w:val="both"/>
        <w:textAlignment w:val="baseline"/>
        <w:rPr>
          <w:rFonts w:ascii="Times New Roman" w:hAnsi="Times New Roman" w:eastAsia="Times New Roman" w:cs="Times New Roman"/>
          <w:color w:val="000000"/>
        </w:rPr>
      </w:pPr>
      <w:r>
        <w:rPr>
          <w:rStyle w:val="23"/>
          <w:rFonts w:cs="Times New Roman"/>
        </w:rPr>
        <w:t>Application to Revisit Intention and Brand Image</w:t>
      </w:r>
      <w:r>
        <w:rPr>
          <w:rFonts w:ascii="Times New Roman" w:hAnsi="Times New Roman" w:eastAsia="Times New Roman" w:cs="Times New Roman"/>
          <w:b/>
          <w:bCs/>
          <w:color w:val="000000"/>
        </w:rPr>
        <w:t>:</w:t>
      </w:r>
      <w:r>
        <w:rPr>
          <w:rFonts w:ascii="Times New Roman" w:hAnsi="Times New Roman" w:eastAsia="Times New Roman" w:cs="Times New Roman"/>
          <w:color w:val="000000"/>
        </w:rPr>
        <w:t xml:space="preserve"> Studies have indicated that the Big Five traits can predict consumer preferences and brand loyalty. For instance, individuals high in conscientiousness are more likely to exhibit strong revisit intentions due to their preference for consistency and reliability (Amos &amp; Gary, R., 2014). Similarly, those highly open are more inclined to be attracted to innovative and novel brand images (Shimp &amp; Andrews, 2013).</w:t>
      </w:r>
    </w:p>
    <w:p w14:paraId="46EAC25B">
      <w:pPr>
        <w:spacing w:after="0" w:line="600" w:lineRule="auto"/>
        <w:jc w:val="both"/>
        <w:textAlignment w:val="baseline"/>
        <w:rPr>
          <w:rFonts w:ascii="Times New Roman" w:hAnsi="Times New Roman" w:eastAsia="Times New Roman" w:cs="Times New Roman"/>
          <w:color w:val="000000"/>
        </w:rPr>
      </w:pPr>
      <w:r>
        <w:rPr>
          <w:rStyle w:val="23"/>
          <w:rFonts w:cs="Times New Roman"/>
        </w:rPr>
        <w:t>Strengths and Weaknesses:</w:t>
      </w:r>
      <w:r>
        <w:rPr>
          <w:rFonts w:ascii="Times New Roman" w:hAnsi="Times New Roman" w:eastAsia="Times New Roman" w:cs="Times New Roman"/>
          <w:color w:val="000000"/>
        </w:rPr>
        <w:t xml:space="preserve"> The Big Five framework's strengths include its broad applicability and strong empirical support across diverse contexts. However, it may not capture the full complexity of consumer behavior, especially in the context of fashion and ZARA purchasing, where social and situational factors are highly influential (Keller, 1993).</w:t>
      </w:r>
    </w:p>
    <w:p w14:paraId="350E36CB">
      <w:pPr>
        <w:pStyle w:val="2"/>
        <w:spacing w:line="600" w:lineRule="auto"/>
        <w:rPr>
          <w:rFonts w:cs="Times New Roman"/>
          <w:sz w:val="22"/>
          <w:szCs w:val="22"/>
        </w:rPr>
      </w:pPr>
      <w:bookmarkStart w:id="17" w:name="_Toc197000217"/>
      <w:r>
        <w:rPr>
          <w:rFonts w:cs="Times New Roman"/>
          <w:sz w:val="22"/>
          <w:szCs w:val="22"/>
        </w:rPr>
        <w:t>Sales &amp; Promotion:</w:t>
      </w:r>
      <w:bookmarkEnd w:id="17"/>
    </w:p>
    <w:p w14:paraId="0E3EBF5A">
      <w:pPr>
        <w:spacing w:line="600" w:lineRule="auto"/>
        <w:jc w:val="both"/>
        <w:rPr>
          <w:rFonts w:ascii="Times New Roman" w:hAnsi="Times New Roman" w:cs="Times New Roman"/>
        </w:rPr>
      </w:pPr>
      <w:r>
        <w:rPr>
          <w:rFonts w:ascii="Times New Roman" w:hAnsi="Times New Roman" w:cs="Times New Roman"/>
        </w:rPr>
        <w:t>The researchers suggested that companies of all types of industries should allocate to their marketing plans activities of selling and promoting. A successful marketing plan needs an understanding of the relationship between sales and promotion, customer behavior, impulse buying, and a way to assess customer buying propensity (Mattila &amp; Wirtz, 2001). To understand the factors that drive impulse buying behavior of the consumer, this literature review explores the impact of sales and promotion as an independent variable on impulse buying as a dependent variable (Aaker, 1996).</w:t>
      </w:r>
    </w:p>
    <w:p w14:paraId="4F0BCD81">
      <w:pPr>
        <w:spacing w:line="600" w:lineRule="auto"/>
        <w:jc w:val="both"/>
        <w:rPr>
          <w:rFonts w:ascii="Times New Roman" w:hAnsi="Times New Roman" w:cs="Times New Roman"/>
        </w:rPr>
      </w:pPr>
      <w:r>
        <w:rPr>
          <w:rFonts w:ascii="Times New Roman" w:hAnsi="Times New Roman" w:cs="Times New Roman"/>
        </w:rPr>
        <w:t>Marketers present promotions (e.g., discounts, limited time offers, and free samples) to buyers to motivate them to buy (Smith, 1989). If this strategy creates the scarcity and anticipation that leads to impulse buyers, then it will be a much used and abused weapon! Customers who want to take advantage of those opportunities who are by readily available and are provided promotions for those products. It's one of the major reasons why sales &amp; promotions influence people's buying behavior (Tong &amp; Hawley, 2009).</w:t>
      </w:r>
    </w:p>
    <w:p w14:paraId="3C6319D6">
      <w:pPr>
        <w:spacing w:line="600" w:lineRule="auto"/>
        <w:jc w:val="both"/>
        <w:rPr>
          <w:rFonts w:ascii="Times New Roman" w:hAnsi="Times New Roman" w:cs="Times New Roman"/>
        </w:rPr>
      </w:pPr>
      <w:r>
        <w:rPr>
          <w:rFonts w:ascii="Times New Roman" w:hAnsi="Times New Roman" w:cs="Times New Roman"/>
        </w:rPr>
        <w:t>Personal selling can affect consumers' impulsive buying decisions (Hausman, 2000). Selling stuff to people is super important in making sales and ads work well. When a salesperson talks directly to the customer, they can convince them to buy stuff on a whim and can create a sense of urgency in buying and excitement (Jones et al., 2003). It's all about creating that urgency and excitement that makes customers want to buy right away. With online marketing, things have changed a lot. Targeted ads and quick online deals can make customers buy on impulse (Zhao &amp; Zhang, 2021). These tactics make customers feel special and like they should buy now before it's gone.</w:t>
      </w:r>
    </w:p>
    <w:p w14:paraId="5841C9D5">
      <w:pPr>
        <w:spacing w:line="600" w:lineRule="auto"/>
        <w:jc w:val="both"/>
        <w:rPr>
          <w:rFonts w:ascii="Times New Roman" w:hAnsi="Times New Roman" w:cs="Times New Roman"/>
        </w:rPr>
      </w:pPr>
      <w:r>
        <w:rPr>
          <w:rFonts w:ascii="Times New Roman" w:hAnsi="Times New Roman" w:cs="Times New Roman"/>
        </w:rPr>
        <w:t>Sherman et al. (1997) Salespeople have a big impact on getting people to buy impulsively. If they're friendly and recommend stuff enthusiastically, customers are more likely to keep coming back for more. So, being nice and pointing out cool deals can make a difference in getting people to spend more money!</w:t>
      </w:r>
    </w:p>
    <w:p w14:paraId="13FDF3EB">
      <w:pPr>
        <w:pStyle w:val="2"/>
        <w:spacing w:line="600" w:lineRule="auto"/>
        <w:rPr>
          <w:rFonts w:cs="Times New Roman"/>
          <w:sz w:val="22"/>
          <w:szCs w:val="22"/>
        </w:rPr>
      </w:pPr>
      <w:bookmarkStart w:id="18" w:name="_Toc197000218"/>
      <w:r>
        <w:rPr>
          <w:rFonts w:cs="Times New Roman"/>
          <w:sz w:val="22"/>
          <w:szCs w:val="22"/>
        </w:rPr>
        <w:t>Revisit Intention:</w:t>
      </w:r>
      <w:bookmarkEnd w:id="18"/>
    </w:p>
    <w:p w14:paraId="5A54B50E">
      <w:pPr>
        <w:spacing w:line="600" w:lineRule="auto"/>
        <w:jc w:val="both"/>
        <w:rPr>
          <w:rFonts w:ascii="Times New Roman" w:hAnsi="Times New Roman" w:cs="Times New Roman"/>
        </w:rPr>
      </w:pPr>
      <w:r>
        <w:rPr>
          <w:rFonts w:ascii="Times New Roman" w:hAnsi="Times New Roman" w:cs="Times New Roman"/>
        </w:rPr>
        <w:t>The realm of marketing and consumer behavior has placed significant emphasis on the concept of revisit intention. This review aims to thoroughly investigate the factors that impact revisit intention and its implications in the business world (Amos et al, 2014). The primary focus is on key discoveries and fresh insights from various in-depth studies.</w:t>
      </w:r>
    </w:p>
    <w:p w14:paraId="2C2874AE">
      <w:pPr>
        <w:spacing w:line="600" w:lineRule="auto"/>
        <w:jc w:val="both"/>
        <w:rPr>
          <w:rFonts w:ascii="Times New Roman" w:hAnsi="Times New Roman" w:cs="Times New Roman"/>
        </w:rPr>
      </w:pPr>
      <w:r>
        <w:rPr>
          <w:rFonts w:ascii="Times New Roman" w:hAnsi="Times New Roman" w:cs="Times New Roman"/>
        </w:rPr>
        <w:t>Understanding consumer behavior is essential for crafting effective marketing strategies. The likelihood of customers revisiting a store or website, known as revisiting intention, has sparked considerable interest as a factor influencing consumer actions (Arnold et al, 2003). This review seeks to explore how revisit intention, serving as a mediator, affects affective purchasing behaviors as well as impulse buying tendencies. It sheds light on the pivotal role of revisit intention in shaping consumer decisions (Park &amp; Srinivasan, 1994).</w:t>
      </w:r>
    </w:p>
    <w:p w14:paraId="68A6AC19">
      <w:pPr>
        <w:pStyle w:val="3"/>
        <w:spacing w:line="600" w:lineRule="auto"/>
        <w:rPr>
          <w:rFonts w:cs="Times New Roman"/>
          <w:sz w:val="22"/>
          <w:szCs w:val="22"/>
        </w:rPr>
      </w:pPr>
      <w:bookmarkStart w:id="19" w:name="_Toc197000219"/>
      <w:r>
        <w:rPr>
          <w:rFonts w:cs="Times New Roman"/>
          <w:sz w:val="22"/>
          <w:szCs w:val="22"/>
        </w:rPr>
        <w:t>Revisit Intention as a Mediator:</w:t>
      </w:r>
      <w:bookmarkEnd w:id="19"/>
    </w:p>
    <w:p w14:paraId="52FC0616">
      <w:pPr>
        <w:spacing w:line="600" w:lineRule="auto"/>
        <w:jc w:val="both"/>
        <w:rPr>
          <w:rFonts w:ascii="Times New Roman" w:hAnsi="Times New Roman" w:cs="Times New Roman"/>
        </w:rPr>
      </w:pPr>
      <w:r>
        <w:rPr>
          <w:rFonts w:ascii="Times New Roman" w:hAnsi="Times New Roman" w:cs="Times New Roman"/>
        </w:rPr>
        <w:t>Customer loyalty and satisfaction are often gauged by their inclination to return. Studies by Babin (2000) suggest that customer experience plays a role in future behaviors through revisit intention. Positive initial encounters lead to higher chances of repeat visits, thereby impacting subsequent impulsive purchases (Keller &amp; Lehmann, 2006).</w:t>
      </w:r>
    </w:p>
    <w:p w14:paraId="38671FE6">
      <w:pPr>
        <w:spacing w:line="600" w:lineRule="auto"/>
        <w:jc w:val="both"/>
        <w:rPr>
          <w:rFonts w:ascii="Times New Roman" w:hAnsi="Times New Roman" w:cs="Times New Roman"/>
        </w:rPr>
      </w:pPr>
      <w:r>
        <w:rPr>
          <w:rFonts w:ascii="Times New Roman" w:hAnsi="Times New Roman" w:cs="Times New Roman"/>
        </w:rPr>
        <w:t>Recent research indicates that the intention to revisit directly mediates impulsive buying behavior by guiding choices during future visits (Baker et al, 1992). Retrospective intentions typically serve as mediators in various studies, influencing the relationship between independent and dependent variables while revealing the nature of their connection. The eagerness to revisit significantly influences impulsive buying actions (Brockner et al, 1984), with customers more likely to make spontaneous purchases on subsequent visits when driven by a desire to return (Low &amp; Lamb, 2000).</w:t>
      </w:r>
    </w:p>
    <w:p w14:paraId="62ABCC15">
      <w:pPr>
        <w:pStyle w:val="3"/>
        <w:spacing w:line="600" w:lineRule="auto"/>
        <w:rPr>
          <w:rFonts w:cs="Times New Roman"/>
          <w:sz w:val="22"/>
          <w:szCs w:val="22"/>
        </w:rPr>
      </w:pPr>
      <w:bookmarkStart w:id="20" w:name="_Toc197000220"/>
      <w:r>
        <w:rPr>
          <w:rFonts w:cs="Times New Roman"/>
          <w:sz w:val="22"/>
          <w:szCs w:val="22"/>
        </w:rPr>
        <w:t>Mediating Role of Revisit Intention between Sales &amp; Promotions and Impulsive Buying Behavior:</w:t>
      </w:r>
      <w:bookmarkEnd w:id="20"/>
    </w:p>
    <w:p w14:paraId="5FAFDA1E">
      <w:pPr>
        <w:spacing w:line="600" w:lineRule="auto"/>
        <w:jc w:val="both"/>
        <w:rPr>
          <w:rFonts w:ascii="Times New Roman" w:hAnsi="Times New Roman" w:cs="Times New Roman"/>
        </w:rPr>
      </w:pPr>
      <w:r>
        <w:rPr>
          <w:rFonts w:ascii="Times New Roman" w:hAnsi="Times New Roman" w:cs="Times New Roman"/>
        </w:rPr>
        <w:t>Researchers suggest that customers who tend to come back are more likely to respond positively to impulse buys. Brands can also expect a boost in sales and revenue as foot traffic increases (Park et al., 2012).</w:t>
      </w:r>
    </w:p>
    <w:p w14:paraId="20FFCA03">
      <w:pPr>
        <w:spacing w:line="600" w:lineRule="auto"/>
        <w:jc w:val="both"/>
        <w:rPr>
          <w:rFonts w:ascii="Times New Roman" w:hAnsi="Times New Roman" w:cs="Times New Roman"/>
        </w:rPr>
      </w:pPr>
      <w:r>
        <w:rPr>
          <w:rFonts w:ascii="Times New Roman" w:hAnsi="Times New Roman" w:cs="Times New Roman"/>
        </w:rPr>
        <w:t>In the retail industry, businesses strive to create effective strategies that serve as a model for attracting families to shop more frequently at their stores. They focus on implementing impactful sales, promotions, and advertising techniques. By doing so, they aim to foster repeat visits from their target audience through efficient marketing efforts (Kim et al., 2003).</w:t>
      </w:r>
    </w:p>
    <w:p w14:paraId="5F42FA91">
      <w:pPr>
        <w:spacing w:line="600" w:lineRule="auto"/>
        <w:jc w:val="both"/>
        <w:rPr>
          <w:rFonts w:ascii="Times New Roman" w:hAnsi="Times New Roman" w:cs="Times New Roman"/>
        </w:rPr>
      </w:pPr>
      <w:r>
        <w:rPr>
          <w:rFonts w:ascii="Times New Roman" w:hAnsi="Times New Roman" w:cs="Times New Roman"/>
        </w:rPr>
        <w:t>A crucial aspect in comprehending customer loyalty and business performance is the intention of revisits. A customer's decision to return to a company is greatly influenced by factors such as service quality, customer satisfaction, and perceived value. Moreover, the correlation between these elements highlights how revisit intentions connect with sales tactics, promotional strategies, and impulse buying behavior. Armed with this knowledge, businesses can devise marketing plans and sales campaigns geared towards increasing customer retention rates (Jin et al., 2015).</w:t>
      </w:r>
    </w:p>
    <w:p w14:paraId="5D4BA81A">
      <w:pPr>
        <w:pStyle w:val="2"/>
        <w:spacing w:line="600" w:lineRule="auto"/>
        <w:rPr>
          <w:rFonts w:cs="Times New Roman"/>
          <w:sz w:val="22"/>
          <w:szCs w:val="22"/>
        </w:rPr>
      </w:pPr>
      <w:bookmarkStart w:id="21" w:name="_Toc197000221"/>
      <w:r>
        <w:rPr>
          <w:rFonts w:cs="Times New Roman"/>
          <w:sz w:val="22"/>
          <w:szCs w:val="22"/>
        </w:rPr>
        <w:t>Impulsive Buying:</w:t>
      </w:r>
      <w:bookmarkEnd w:id="21"/>
    </w:p>
    <w:p w14:paraId="1D6D243E">
      <w:pPr>
        <w:spacing w:line="600" w:lineRule="auto"/>
        <w:jc w:val="both"/>
        <w:rPr>
          <w:rFonts w:ascii="Times New Roman" w:hAnsi="Times New Roman" w:cs="Times New Roman"/>
        </w:rPr>
      </w:pPr>
      <w:r>
        <w:rPr>
          <w:rFonts w:ascii="Times New Roman" w:hAnsi="Times New Roman" w:cs="Times New Roman"/>
        </w:rPr>
        <w:t>Impulsive buying refers to unplanned purchases made by customers, driven by emotions or desire rather than logical and rational decision making. This review delves into impulsive buying and its link to the retail industry, specifically focusing on the impact of sales and promotions by putting sales &amp; promotions as a dependent variable (Iyer et al., 2019).</w:t>
      </w:r>
    </w:p>
    <w:p w14:paraId="221D022C">
      <w:pPr>
        <w:spacing w:line="600" w:lineRule="auto"/>
        <w:jc w:val="both"/>
        <w:rPr>
          <w:rFonts w:ascii="Times New Roman" w:hAnsi="Times New Roman" w:cs="Times New Roman"/>
        </w:rPr>
      </w:pPr>
      <w:r>
        <w:rPr>
          <w:rFonts w:ascii="Times New Roman" w:hAnsi="Times New Roman" w:cs="Times New Roman"/>
        </w:rPr>
        <w:t>Consumers across various demographics engage in impulse buying, purchasing items without much thought about necessity, cost, or planning. The urge for instant gratification, emotional cues, and the excitement of shopping lead to spontaneous purchases (Kotler et al., 2017). Researchers highlight various factors influencing impulsive buying behavior, categorized into internal traits like personality, impulsiveness, and shopping moods (Lee &amp; Kacen, 2002). External factors such as sales promotions, word of mouth, brand loyalty, image, and effective marketing also play a significant role (Chen &amp; Tsai, 2007).</w:t>
      </w:r>
    </w:p>
    <w:p w14:paraId="25EF88A4">
      <w:pPr>
        <w:spacing w:line="600" w:lineRule="auto"/>
        <w:jc w:val="both"/>
        <w:rPr>
          <w:rFonts w:ascii="Times New Roman" w:hAnsi="Times New Roman" w:cs="Times New Roman"/>
        </w:rPr>
      </w:pPr>
      <w:r>
        <w:rPr>
          <w:rFonts w:ascii="Times New Roman" w:hAnsi="Times New Roman" w:cs="Times New Roman"/>
        </w:rPr>
        <w:t>Sales and marketing play a crucial role in encouraging impulsive buying. Promotions like discounts, limited-time offers, buy-one-get-one-free deals, and loyalty programs create a sense of urgency that prompts impulse purchases. Highlighting product benefits, exclusivity, or scarcity can appeal to consumers emotionally. The retail sector benefits greatly from impulsive buying. It boosts customer spending, sales revenue, and business profitability. By understanding the reasons behind impulsive purchases, businesses can design marketing strategies and promotional activities to capitalize on this behavior and enhance customer engagement (Zhang et al., 2014).</w:t>
      </w:r>
    </w:p>
    <w:p w14:paraId="41B90E5A">
      <w:pPr>
        <w:spacing w:line="600" w:lineRule="auto"/>
        <w:jc w:val="both"/>
        <w:rPr>
          <w:rFonts w:ascii="Times New Roman" w:hAnsi="Times New Roman" w:cs="Times New Roman"/>
        </w:rPr>
      </w:pPr>
      <w:r>
        <w:rPr>
          <w:rFonts w:ascii="Times New Roman" w:hAnsi="Times New Roman" w:cs="Times New Roman"/>
        </w:rPr>
        <w:t>Procurement is also influenced by impulsive purchases (Niu &amp; Wang, 2009), leading to increased spending and profitability for merchants. Strategic planning of marketing strategies and store designs can leverage emotional buying behaviors to drive customer engagement effectively.</w:t>
      </w:r>
    </w:p>
    <w:p w14:paraId="66FDE2D8">
      <w:pPr>
        <w:pStyle w:val="2"/>
        <w:spacing w:line="600" w:lineRule="auto"/>
        <w:rPr>
          <w:rFonts w:cs="Times New Roman"/>
          <w:sz w:val="22"/>
          <w:szCs w:val="22"/>
        </w:rPr>
      </w:pPr>
      <w:bookmarkStart w:id="22" w:name="_Toc197000222"/>
      <w:r>
        <w:rPr>
          <w:rFonts w:cs="Times New Roman"/>
          <w:sz w:val="22"/>
          <w:szCs w:val="22"/>
        </w:rPr>
        <w:t>Brand Image:</w:t>
      </w:r>
      <w:bookmarkEnd w:id="22"/>
    </w:p>
    <w:p w14:paraId="5AB08E2B">
      <w:pPr>
        <w:spacing w:line="600" w:lineRule="auto"/>
        <w:jc w:val="both"/>
        <w:rPr>
          <w:rFonts w:ascii="Times New Roman" w:hAnsi="Times New Roman" w:cs="Times New Roman"/>
          <w:b/>
          <w:bCs/>
        </w:rPr>
      </w:pPr>
      <w:r>
        <w:rPr>
          <w:rFonts w:ascii="Times New Roman" w:hAnsi="Times New Roman" w:cs="Times New Roman"/>
        </w:rPr>
        <w:t>The notion of brand image plays a crucial role as a moderator the impulsive buying process, particularly concerning sales and promotions. Over the past few decades, numerous researchers have extensively studied the positive and negative impacts of brand image across various sectors and industries. In the eyes of customers, brand trust significantly influences their purchasing behavior. Based on an analysis of previous studies, it is evident that brand image can have a profoundly positive impact on any specific sector (Ryu et al., 2008).</w:t>
      </w:r>
    </w:p>
    <w:p w14:paraId="50AF1B65">
      <w:pPr>
        <w:spacing w:line="600" w:lineRule="auto"/>
        <w:jc w:val="both"/>
        <w:rPr>
          <w:rFonts w:ascii="Times New Roman" w:hAnsi="Times New Roman" w:cs="Times New Roman"/>
        </w:rPr>
      </w:pPr>
      <w:r>
        <w:rPr>
          <w:rFonts w:ascii="Times New Roman" w:hAnsi="Times New Roman" w:cs="Times New Roman"/>
        </w:rPr>
        <w:t>Brand image encompasses customers' perception and association with a specific brand. It intertwines various aspects such as brand personality, loyalty, personification, and reputation in consumers' minds. A robust brand image can trigger positive consumer behavior, shaping their purchasing decisions and likelihood to revisit a particular brand (Prayag, 2009).</w:t>
      </w:r>
    </w:p>
    <w:p w14:paraId="64BC886F">
      <w:pPr>
        <w:spacing w:line="600" w:lineRule="auto"/>
        <w:jc w:val="both"/>
        <w:rPr>
          <w:rFonts w:ascii="Times New Roman" w:hAnsi="Times New Roman" w:cs="Times New Roman"/>
        </w:rPr>
      </w:pPr>
      <w:r>
        <w:rPr>
          <w:rFonts w:ascii="Times New Roman" w:hAnsi="Times New Roman" w:cs="Times New Roman"/>
        </w:rPr>
        <w:t>Essentially, brand image represents consumers' overall opinions, reputation, and impressions of a brand. It encapsulates all thoughts, emotions, and feelings individuals associate with a brand's products or services. It reflects how a brand is perceived by its target market and the public. Comprising elements like visual identity, messaging, product quality, customer experiences, and overall reputation, a brand's image holds great significance for its success as it influences consumer choices, fosters loyalty, and shapes its market perception.</w:t>
      </w:r>
    </w:p>
    <w:p w14:paraId="17EA568D">
      <w:pPr>
        <w:spacing w:line="600" w:lineRule="auto"/>
        <w:jc w:val="both"/>
        <w:rPr>
          <w:rFonts w:ascii="Times New Roman" w:hAnsi="Times New Roman" w:cs="Times New Roman"/>
        </w:rPr>
      </w:pPr>
      <w:r>
        <w:rPr>
          <w:rFonts w:ascii="Times New Roman" w:hAnsi="Times New Roman" w:cs="Times New Roman"/>
        </w:rPr>
        <w:t>The link between sales, promotions, and impulse buying behavior is modulated by brand image. A positive brand reputation amplifies the impact of sales and promotions on impulsive purchases. Furthermore, customers exposed to a favorable brand image are more likely to be swayed by positive branding efforts and become repeat customers.</w:t>
      </w:r>
    </w:p>
    <w:p w14:paraId="30406604">
      <w:pPr>
        <w:spacing w:line="600" w:lineRule="auto"/>
        <w:jc w:val="both"/>
        <w:rPr>
          <w:rFonts w:ascii="Times New Roman" w:hAnsi="Times New Roman" w:cs="Times New Roman"/>
        </w:rPr>
      </w:pPr>
      <w:r>
        <w:rPr>
          <w:rFonts w:ascii="Times New Roman" w:hAnsi="Times New Roman" w:cs="Times New Roman"/>
        </w:rPr>
        <w:t>In the retail sphere, families tend to favor brands with a strong image achieved through diverse marketing strategies and effective management approaches. Brand image serves as a pivotal moderator in shaping the connection between impulse buying behaviors and sales promotions effectively (Yoon &amp; Uysal, 2005).</w:t>
      </w:r>
    </w:p>
    <w:p w14:paraId="79B33AB4">
      <w:pPr>
        <w:pStyle w:val="3"/>
        <w:spacing w:line="600" w:lineRule="auto"/>
        <w:rPr>
          <w:rFonts w:cs="Times New Roman"/>
          <w:sz w:val="22"/>
          <w:szCs w:val="22"/>
        </w:rPr>
      </w:pPr>
      <w:bookmarkStart w:id="23" w:name="_Toc197000223"/>
      <w:r>
        <w:rPr>
          <w:rFonts w:cs="Times New Roman"/>
          <w:sz w:val="22"/>
          <w:szCs w:val="22"/>
        </w:rPr>
        <w:t>Moderating Role of Brand Image between Revisit Intention and Sales &amp; Promotions:</w:t>
      </w:r>
      <w:bookmarkEnd w:id="23"/>
    </w:p>
    <w:p w14:paraId="72CA1881">
      <w:pPr>
        <w:spacing w:line="600" w:lineRule="auto"/>
        <w:jc w:val="both"/>
        <w:rPr>
          <w:rFonts w:ascii="Times New Roman" w:hAnsi="Times New Roman" w:cs="Times New Roman"/>
        </w:rPr>
      </w:pPr>
      <w:r>
        <w:rPr>
          <w:rFonts w:ascii="Times New Roman" w:hAnsi="Times New Roman" w:cs="Times New Roman"/>
        </w:rPr>
        <w:t>Brand image is crucial in shaping how customers perceive and interact with a brand. It represents the overall impression, reputation, and feelings that consumers have towards a brand. This perception is formed by a combination of visual identity, messaging, product quality, and customer experiences. A positive brand image leads to increased consumer trust, loyalty, and a stronger inclination to make repeat purchases.</w:t>
      </w:r>
    </w:p>
    <w:p w14:paraId="7B366082">
      <w:pPr>
        <w:spacing w:line="600" w:lineRule="auto"/>
        <w:jc w:val="both"/>
        <w:rPr>
          <w:rFonts w:ascii="Times New Roman" w:hAnsi="Times New Roman" w:cs="Times New Roman"/>
        </w:rPr>
      </w:pPr>
      <w:r>
        <w:rPr>
          <w:rFonts w:ascii="Times New Roman" w:hAnsi="Times New Roman" w:cs="Times New Roman"/>
        </w:rPr>
        <w:t>When customers have a favorable view of a brand, they are more likely to return to it, a behavior known as revisit intention. For example, families often prefer shopping at stores with a reputable brand image because they trust the consistency and quality of the products and services offered (Baker &amp; Crompton, 2000). This trust and positive perception encourage them to choose these brands over others, particularly when considering future purchases.</w:t>
      </w:r>
    </w:p>
    <w:p w14:paraId="49C907C6">
      <w:pPr>
        <w:spacing w:line="600" w:lineRule="auto"/>
        <w:jc w:val="both"/>
        <w:rPr>
          <w:rFonts w:ascii="Times New Roman" w:hAnsi="Times New Roman" w:cs="Times New Roman"/>
        </w:rPr>
      </w:pPr>
      <w:r>
        <w:rPr>
          <w:rFonts w:ascii="Times New Roman" w:hAnsi="Times New Roman" w:cs="Times New Roman"/>
        </w:rPr>
        <w:t>Sales and promotions are powerful tools for driving purchases. However, their effectiveness is significantly influenced by the brand image. A brand with a strong, positive reputation can see a greater impact from its promotional efforts (Rook &amp; Fisher, 1995). Customers are more likely to make impulsive purchases during promotions when they trust the brand. They feel confident that they are getting good value and are less hesitant to make quick buying decisions. In contrast, brands with a weaker image may not experience the same level of success, as customers might be more skeptical about the quality or value of the offers (Verplanken &amp; Herabadi,, 2001).</w:t>
      </w:r>
    </w:p>
    <w:p w14:paraId="4DD10C02">
      <w:pPr>
        <w:spacing w:line="600" w:lineRule="auto"/>
        <w:jc w:val="both"/>
        <w:rPr>
          <w:rFonts w:ascii="Times New Roman" w:hAnsi="Times New Roman" w:cs="Times New Roman"/>
        </w:rPr>
      </w:pPr>
      <w:r>
        <w:rPr>
          <w:rFonts w:ascii="Times New Roman" w:hAnsi="Times New Roman" w:cs="Times New Roman"/>
        </w:rPr>
        <w:t>Promotional activities often create a sense of urgency and excitement, leading to impulse buying. A robust brand image amplifies this effect. Customers who already have positive associations with a brand feel more assured that their spontaneous purchases will meet their expectations. This confidence is rooted in their past experiences with the brand and the consistent quality they have come to expect. To maximize the benefits of sales and promotions, companies need to focus on building and maintaining a positive brand image. This can be achieved through delivering consistently high-quality products, providing excellent customer service, and maintaining clear, appealing brand communication (Amos et al., 2014). By doing so, brands can foster a loyal customer base that not only responds well to promotions but is also likely to return for future purchases.</w:t>
      </w:r>
    </w:p>
    <w:p w14:paraId="7F8D7C8F">
      <w:pPr>
        <w:spacing w:after="0" w:line="600" w:lineRule="auto"/>
        <w:jc w:val="both"/>
        <w:rPr>
          <w:rFonts w:ascii="Times New Roman" w:hAnsi="Times New Roman" w:eastAsia="Arial" w:cs="Times New Roman"/>
          <w:lang w:val="en"/>
        </w:rPr>
      </w:pPr>
      <w:r>
        <w:rPr>
          <w:rFonts w:ascii="Times New Roman" w:hAnsi="Times New Roman" w:eastAsia="Arial" w:cs="Times New Roman"/>
          <w:highlight w:val="cyan"/>
          <w:lang w:val="en"/>
        </w:rPr>
        <w:t>H1: Sales and Promotion has an effect on impulsive buying behavior of people.</w:t>
      </w:r>
    </w:p>
    <w:p w14:paraId="71F064DF">
      <w:pPr>
        <w:spacing w:after="0" w:line="600" w:lineRule="auto"/>
        <w:jc w:val="both"/>
        <w:rPr>
          <w:rFonts w:ascii="Times New Roman" w:hAnsi="Times New Roman" w:eastAsia="Arial" w:cs="Times New Roman"/>
          <w:highlight w:val="cyan"/>
          <w:lang w:val="en"/>
        </w:rPr>
      </w:pPr>
      <w:r>
        <w:rPr>
          <w:rFonts w:ascii="Times New Roman" w:hAnsi="Times New Roman" w:eastAsia="Arial" w:cs="Times New Roman"/>
          <w:highlight w:val="cyan"/>
          <w:lang w:val="en"/>
        </w:rPr>
        <w:t>H2: Sales and Promotion has an effect on revisit intention.</w:t>
      </w:r>
    </w:p>
    <w:p w14:paraId="2E5AA0A5">
      <w:pPr>
        <w:spacing w:after="0" w:line="600" w:lineRule="auto"/>
        <w:jc w:val="both"/>
        <w:rPr>
          <w:rFonts w:ascii="Times New Roman" w:hAnsi="Times New Roman" w:eastAsia="Arial" w:cs="Times New Roman"/>
          <w:highlight w:val="cyan"/>
          <w:lang w:val="en"/>
        </w:rPr>
      </w:pPr>
      <w:r>
        <w:rPr>
          <w:rFonts w:ascii="Times New Roman" w:hAnsi="Times New Roman" w:eastAsia="Arial" w:cs="Times New Roman"/>
          <w:highlight w:val="cyan"/>
          <w:lang w:val="en"/>
        </w:rPr>
        <w:t>H3: Revisit intention has a positive effect on impulsive buying behavior of people.</w:t>
      </w:r>
    </w:p>
    <w:p w14:paraId="65D1A77D">
      <w:pPr>
        <w:spacing w:after="0" w:line="600" w:lineRule="auto"/>
        <w:jc w:val="both"/>
        <w:rPr>
          <w:rFonts w:ascii="Times New Roman" w:hAnsi="Times New Roman" w:eastAsia="Arial" w:cs="Times New Roman"/>
          <w:highlight w:val="cyan"/>
          <w:lang w:val="en"/>
        </w:rPr>
      </w:pPr>
      <w:r>
        <w:rPr>
          <w:rFonts w:ascii="Times New Roman" w:hAnsi="Times New Roman" w:eastAsia="Arial" w:cs="Times New Roman"/>
          <w:highlight w:val="cyan"/>
          <w:lang w:val="en"/>
        </w:rPr>
        <w:t>H3: Revisit intention mediates the relationship between sales and promotion and impulsive buying behavior of people</w:t>
      </w:r>
    </w:p>
    <w:p w14:paraId="3D40A353">
      <w:pPr>
        <w:spacing w:after="0" w:line="600" w:lineRule="auto"/>
        <w:jc w:val="both"/>
        <w:rPr>
          <w:rFonts w:ascii="Times New Roman" w:hAnsi="Times New Roman" w:eastAsia="Arial" w:cs="Times New Roman"/>
          <w:lang w:val="en"/>
        </w:rPr>
      </w:pPr>
      <w:r>
        <w:rPr>
          <w:rFonts w:ascii="Times New Roman" w:hAnsi="Times New Roman" w:eastAsia="Arial" w:cs="Times New Roman"/>
          <w:highlight w:val="cyan"/>
          <w:lang w:val="en"/>
        </w:rPr>
        <w:t>H5: Brand Image moderates the relationship between Revisit intention and Impulsive buying behavior</w:t>
      </w:r>
    </w:p>
    <w:p w14:paraId="4A3D92FB">
      <w:pPr>
        <w:pStyle w:val="4"/>
        <w:spacing w:line="600" w:lineRule="auto"/>
        <w:rPr>
          <w:rFonts w:cs="Times New Roman"/>
          <w:sz w:val="22"/>
          <w:szCs w:val="22"/>
        </w:rPr>
      </w:pPr>
      <w:bookmarkStart w:id="24" w:name="_Toc197000224"/>
      <w:r>
        <w:rPr>
          <w:rFonts w:cs="Times New Roman"/>
          <w:sz w:val="22"/>
          <w:szCs w:val="22"/>
        </w:rPr>
        <w:t>Contribution to the existing research:</w:t>
      </w:r>
      <w:bookmarkEnd w:id="24"/>
    </w:p>
    <w:p w14:paraId="28A7BA0B">
      <w:pPr>
        <w:spacing w:after="0" w:line="600" w:lineRule="auto"/>
        <w:jc w:val="both"/>
        <w:rPr>
          <w:rFonts w:ascii="Times New Roman" w:hAnsi="Times New Roman" w:cs="Times New Roman"/>
        </w:rPr>
      </w:pPr>
      <w:r>
        <w:rPr>
          <w:rFonts w:ascii="Times New Roman" w:hAnsi="Times New Roman" w:cs="Times New Roman"/>
        </w:rPr>
        <w:t>This research builds on Allport's Hierarchical Model of Personality and the Big Five Personality Traits by applying these theories to the ZARA industry, a sector where their combined application has been limited. By examining how personality traits influence responses to sales promotions, brand image, revisit intention, and impulsive buying behavior, this study will contribute to a deeper understanding of the psychological mechanisms at play in consumer purchasing decisions.</w:t>
      </w:r>
    </w:p>
    <w:p w14:paraId="53DA380D">
      <w:pPr>
        <w:pStyle w:val="3"/>
        <w:spacing w:line="600" w:lineRule="auto"/>
        <w:rPr>
          <w:rFonts w:cs="Times New Roman"/>
          <w:sz w:val="22"/>
          <w:szCs w:val="22"/>
        </w:rPr>
      </w:pPr>
      <w:bookmarkStart w:id="25" w:name="_Toc197000225"/>
      <w:r>
        <w:rPr>
          <w:rFonts w:cs="Times New Roman"/>
          <w:sz w:val="22"/>
          <w:szCs w:val="22"/>
        </w:rPr>
        <w:t>Findings and Analysis:</w:t>
      </w:r>
      <w:bookmarkEnd w:id="25"/>
    </w:p>
    <w:p w14:paraId="179FD0D7">
      <w:pPr>
        <w:pStyle w:val="5"/>
        <w:numPr>
          <w:ilvl w:val="0"/>
          <w:numId w:val="3"/>
        </w:numPr>
        <w:spacing w:line="600" w:lineRule="auto"/>
        <w:rPr>
          <w:rFonts w:cs="Times New Roman"/>
        </w:rPr>
      </w:pPr>
      <w:r>
        <w:rPr>
          <w:rFonts w:cs="Times New Roman"/>
        </w:rPr>
        <w:t>Research Philosophy:</w:t>
      </w:r>
    </w:p>
    <w:p w14:paraId="6AE8ABF2">
      <w:pPr>
        <w:pStyle w:val="18"/>
        <w:numPr>
          <w:ilvl w:val="0"/>
          <w:numId w:val="4"/>
        </w:numPr>
        <w:spacing w:line="600" w:lineRule="auto"/>
        <w:rPr>
          <w:rFonts w:ascii="Times New Roman" w:hAnsi="Times New Roman" w:cs="Times New Roman"/>
        </w:rPr>
      </w:pPr>
      <w:r>
        <w:rPr>
          <w:rFonts w:ascii="Times New Roman" w:hAnsi="Times New Roman" w:cs="Times New Roman"/>
          <w:b/>
          <w:bCs/>
        </w:rPr>
        <w:t xml:space="preserve">Positivism </w:t>
      </w:r>
      <w:r>
        <w:rPr>
          <w:rFonts w:ascii="Times New Roman" w:hAnsi="Times New Roman" w:cs="Times New Roman"/>
        </w:rPr>
        <w:t>fits our study well since we are using a quantitative approach and aiming to uncover generalizable truths about consumer behavior through statistical analysis.</w:t>
      </w:r>
    </w:p>
    <w:p w14:paraId="5D47918D">
      <w:pPr>
        <w:pStyle w:val="5"/>
        <w:numPr>
          <w:ilvl w:val="0"/>
          <w:numId w:val="3"/>
        </w:numPr>
        <w:spacing w:line="600" w:lineRule="auto"/>
        <w:rPr>
          <w:rFonts w:cs="Times New Roman"/>
        </w:rPr>
      </w:pPr>
      <w:r>
        <w:rPr>
          <w:rFonts w:cs="Times New Roman"/>
        </w:rPr>
        <w:t>Research Approach:</w:t>
      </w:r>
    </w:p>
    <w:p w14:paraId="7B20E808">
      <w:pPr>
        <w:pStyle w:val="18"/>
        <w:numPr>
          <w:ilvl w:val="0"/>
          <w:numId w:val="4"/>
        </w:numPr>
        <w:spacing w:line="600" w:lineRule="auto"/>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b/>
          <w:bCs/>
        </w:rPr>
        <w:t>Deductive approach</w:t>
      </w:r>
      <w:r>
        <w:rPr>
          <w:rFonts w:ascii="Times New Roman" w:hAnsi="Times New Roman" w:cs="Times New Roman"/>
        </w:rPr>
        <w:t xml:space="preserve"> is suitable as we are testing hypotheses derived from established theories (e.g., Allport's Hierarchical Model of Personality).</w:t>
      </w:r>
    </w:p>
    <w:p w14:paraId="7FBA9A0C">
      <w:pPr>
        <w:pStyle w:val="5"/>
        <w:numPr>
          <w:ilvl w:val="0"/>
          <w:numId w:val="3"/>
        </w:numPr>
        <w:spacing w:line="600" w:lineRule="auto"/>
        <w:rPr>
          <w:rFonts w:cs="Times New Roman"/>
        </w:rPr>
      </w:pPr>
      <w:r>
        <w:rPr>
          <w:rFonts w:cs="Times New Roman"/>
        </w:rPr>
        <w:t>Research Strategy:</w:t>
      </w:r>
    </w:p>
    <w:p w14:paraId="1817686D">
      <w:pPr>
        <w:pStyle w:val="18"/>
        <w:numPr>
          <w:ilvl w:val="0"/>
          <w:numId w:val="4"/>
        </w:numPr>
        <w:spacing w:line="600" w:lineRule="auto"/>
        <w:rPr>
          <w:rFonts w:ascii="Times New Roman" w:hAnsi="Times New Roman" w:cs="Times New Roman"/>
        </w:rPr>
      </w:pPr>
      <w:r>
        <w:rPr>
          <w:rFonts w:ascii="Times New Roman" w:hAnsi="Times New Roman" w:cs="Times New Roman"/>
          <w:b/>
          <w:bCs/>
        </w:rPr>
        <w:t>Survey</w:t>
      </w:r>
      <w:r>
        <w:rPr>
          <w:rFonts w:ascii="Times New Roman" w:hAnsi="Times New Roman" w:cs="Times New Roman"/>
        </w:rPr>
        <w:t xml:space="preserve"> is our chosen strategy as we are distributing questionnaires to gather data.</w:t>
      </w:r>
    </w:p>
    <w:p w14:paraId="1BA6CEDD">
      <w:pPr>
        <w:pStyle w:val="5"/>
        <w:numPr>
          <w:ilvl w:val="0"/>
          <w:numId w:val="3"/>
        </w:numPr>
        <w:spacing w:line="600" w:lineRule="auto"/>
        <w:rPr>
          <w:rFonts w:cs="Times New Roman"/>
        </w:rPr>
      </w:pPr>
      <w:r>
        <w:rPr>
          <w:rFonts w:cs="Times New Roman"/>
        </w:rPr>
        <w:t>Research Choices:</w:t>
      </w:r>
    </w:p>
    <w:p w14:paraId="2B687729">
      <w:pPr>
        <w:pStyle w:val="18"/>
        <w:numPr>
          <w:ilvl w:val="0"/>
          <w:numId w:val="4"/>
        </w:numPr>
        <w:spacing w:after="0" w:line="600" w:lineRule="auto"/>
        <w:jc w:val="both"/>
        <w:rPr>
          <w:rFonts w:ascii="Times New Roman" w:hAnsi="Times New Roman" w:cs="Times New Roman"/>
        </w:rPr>
      </w:pPr>
      <w:r>
        <w:rPr>
          <w:rFonts w:ascii="Times New Roman" w:hAnsi="Times New Roman" w:cs="Times New Roman"/>
          <w:b/>
          <w:bCs/>
        </w:rPr>
        <w:t>Mono-method</w:t>
      </w:r>
      <w:r>
        <w:rPr>
          <w:rFonts w:ascii="Times New Roman" w:hAnsi="Times New Roman" w:cs="Times New Roman"/>
        </w:rPr>
        <w:t xml:space="preserve"> is used here because we are employing a single quantitative data collection method (questionnaires).</w:t>
      </w:r>
    </w:p>
    <w:p w14:paraId="05C9A121">
      <w:pPr>
        <w:pStyle w:val="5"/>
        <w:numPr>
          <w:ilvl w:val="0"/>
          <w:numId w:val="3"/>
        </w:numPr>
        <w:spacing w:line="600" w:lineRule="auto"/>
        <w:rPr>
          <w:rFonts w:cs="Times New Roman"/>
        </w:rPr>
      </w:pPr>
      <w:r>
        <w:rPr>
          <w:rFonts w:cs="Times New Roman"/>
        </w:rPr>
        <w:t>Time Horizon:</w:t>
      </w:r>
    </w:p>
    <w:p w14:paraId="33BC4869">
      <w:pPr>
        <w:pStyle w:val="18"/>
        <w:numPr>
          <w:ilvl w:val="0"/>
          <w:numId w:val="4"/>
        </w:numPr>
        <w:spacing w:after="0" w:line="600" w:lineRule="auto"/>
        <w:jc w:val="both"/>
        <w:rPr>
          <w:rFonts w:ascii="Times New Roman" w:hAnsi="Times New Roman" w:cs="Times New Roman"/>
        </w:rPr>
      </w:pPr>
      <w:r>
        <w:rPr>
          <w:rFonts w:ascii="Times New Roman" w:hAnsi="Times New Roman" w:cs="Times New Roman"/>
          <w:b/>
          <w:bCs/>
        </w:rPr>
        <w:t>Cross-Sectional:</w:t>
      </w:r>
      <w:r>
        <w:rPr>
          <w:rFonts w:ascii="Times New Roman" w:hAnsi="Times New Roman" w:cs="Times New Roman"/>
        </w:rPr>
        <w:t xml:space="preserve"> Collecting data at a single point in time helps capture a snapshot of current behaviors and attitudes, making it easier to identify correlations.</w:t>
      </w:r>
    </w:p>
    <w:p w14:paraId="3D36B44C">
      <w:pPr>
        <w:pStyle w:val="5"/>
        <w:numPr>
          <w:ilvl w:val="0"/>
          <w:numId w:val="3"/>
        </w:numPr>
        <w:spacing w:line="600" w:lineRule="auto"/>
        <w:rPr>
          <w:rFonts w:cs="Times New Roman"/>
        </w:rPr>
      </w:pPr>
      <w:r>
        <w:rPr>
          <w:rFonts w:cs="Times New Roman"/>
        </w:rPr>
        <w:t>Techniques and procedures:</w:t>
      </w:r>
    </w:p>
    <w:p w14:paraId="45D2B5A2">
      <w:pPr>
        <w:pStyle w:val="18"/>
        <w:numPr>
          <w:ilvl w:val="0"/>
          <w:numId w:val="4"/>
        </w:numPr>
        <w:spacing w:after="0" w:line="600" w:lineRule="auto"/>
        <w:jc w:val="both"/>
        <w:rPr>
          <w:rFonts w:ascii="Times New Roman" w:hAnsi="Times New Roman" w:cs="Times New Roman"/>
          <w:b/>
          <w:bCs/>
        </w:rPr>
      </w:pPr>
      <w:r>
        <w:rPr>
          <w:rFonts w:ascii="Times New Roman" w:hAnsi="Times New Roman" w:cs="Times New Roman"/>
          <w:b/>
          <w:bCs/>
        </w:rPr>
        <w:t xml:space="preserve">Data Collection: </w:t>
      </w:r>
      <w:r>
        <w:rPr>
          <w:rFonts w:ascii="Times New Roman" w:hAnsi="Times New Roman" w:eastAsia="Times New Roman" w:cs="Times New Roman"/>
          <w:color w:val="000000"/>
        </w:rPr>
        <w:t>Utilizing Google Forms for distributing questionnaires is practical and allows for broad reach and ease of data collection.</w:t>
      </w:r>
    </w:p>
    <w:p w14:paraId="37C11186">
      <w:pPr>
        <w:numPr>
          <w:ilvl w:val="0"/>
          <w:numId w:val="4"/>
        </w:numPr>
        <w:spacing w:after="0" w:line="600" w:lineRule="auto"/>
        <w:jc w:val="both"/>
        <w:textAlignment w:val="baseline"/>
        <w:rPr>
          <w:rFonts w:ascii="Times New Roman" w:hAnsi="Times New Roman" w:eastAsia="Times New Roman" w:cs="Times New Roman"/>
          <w:color w:val="000000"/>
        </w:rPr>
      </w:pPr>
      <w:r>
        <w:rPr>
          <w:rFonts w:ascii="Times New Roman" w:hAnsi="Times New Roman" w:eastAsia="Times New Roman" w:cs="Times New Roman"/>
          <w:b/>
          <w:bCs/>
          <w:color w:val="000000"/>
        </w:rPr>
        <w:t>Data Analysis:</w:t>
      </w:r>
      <w:r>
        <w:rPr>
          <w:rFonts w:ascii="Times New Roman" w:hAnsi="Times New Roman" w:eastAsia="Times New Roman" w:cs="Times New Roman"/>
          <w:color w:val="000000"/>
        </w:rPr>
        <w:t xml:space="preserve"> Employing SPSS ensures robust statistical analysis, helping you detect meaningful correlations and predictors in your data.</w:t>
      </w:r>
    </w:p>
    <w:p w14:paraId="66456B4F">
      <w:pPr>
        <w:spacing w:after="0" w:line="600" w:lineRule="auto"/>
        <w:jc w:val="both"/>
        <w:rPr>
          <w:rFonts w:ascii="Times New Roman" w:hAnsi="Times New Roman" w:eastAsia="Times New Roman" w:cs="Times New Roman"/>
        </w:rPr>
      </w:pPr>
      <w:r>
        <w:rPr>
          <w:rFonts w:ascii="Times New Roman" w:hAnsi="Times New Roman" w:eastAsia="Times New Roman" w:cs="Times New Roman"/>
          <w:color w:val="000000"/>
        </w:rPr>
        <w:t>To investigate the role of behavioral psychology in shaping consumer purchasing decisions, we will use a quantitative approach:</w:t>
      </w:r>
    </w:p>
    <w:p w14:paraId="12265554">
      <w:pPr>
        <w:pStyle w:val="4"/>
        <w:spacing w:line="600" w:lineRule="auto"/>
        <w:rPr>
          <w:rFonts w:eastAsia="Times New Roman" w:cs="Times New Roman"/>
          <w:sz w:val="22"/>
          <w:szCs w:val="22"/>
        </w:rPr>
      </w:pPr>
      <w:bookmarkStart w:id="26" w:name="_Toc197000226"/>
      <w:r>
        <w:rPr>
          <w:rFonts w:eastAsia="Times New Roman" w:cs="Times New Roman"/>
          <w:sz w:val="22"/>
          <w:szCs w:val="22"/>
        </w:rPr>
        <w:t>Questionnaires are quantitative data instruments.</w:t>
      </w:r>
      <w:bookmarkEnd w:id="26"/>
    </w:p>
    <w:p w14:paraId="60FC61E7">
      <w:pPr>
        <w:pStyle w:val="5"/>
        <w:spacing w:line="600" w:lineRule="auto"/>
        <w:rPr>
          <w:rFonts w:cs="Times New Roman"/>
        </w:rPr>
      </w:pPr>
      <w:r>
        <w:rPr>
          <w:rFonts w:cs="Times New Roman"/>
        </w:rPr>
        <w:t>Research Methodology:</w:t>
      </w:r>
    </w:p>
    <w:p w14:paraId="30EFDC11">
      <w:pPr>
        <w:spacing w:after="0" w:line="600" w:lineRule="auto"/>
        <w:jc w:val="both"/>
        <w:rPr>
          <w:rFonts w:ascii="Times New Roman" w:hAnsi="Times New Roman" w:eastAsia="Times New Roman" w:cs="Times New Roman"/>
        </w:rPr>
      </w:pPr>
      <w:r>
        <w:rPr>
          <w:rFonts w:ascii="Times New Roman" w:hAnsi="Times New Roman" w:eastAsia="Times New Roman" w:cs="Times New Roman"/>
        </w:rPr>
        <w:t>A quantitative data collection methodology technique will use in this research. A questionnaire will be distributed among the targeted audience through Google Forms to answer related questions of research.</w:t>
      </w:r>
    </w:p>
    <w:p w14:paraId="3DAE58B5">
      <w:pPr>
        <w:pStyle w:val="5"/>
        <w:spacing w:line="600" w:lineRule="auto"/>
        <w:rPr>
          <w:rFonts w:cs="Times New Roman"/>
        </w:rPr>
      </w:pPr>
      <w:r>
        <w:rPr>
          <w:rFonts w:cs="Times New Roman"/>
        </w:rPr>
        <w:t>Research design:</w:t>
      </w:r>
    </w:p>
    <w:p w14:paraId="3757B637">
      <w:pPr>
        <w:spacing w:after="0" w:line="600" w:lineRule="auto"/>
        <w:jc w:val="both"/>
        <w:rPr>
          <w:rFonts w:ascii="Times New Roman" w:hAnsi="Times New Roman" w:eastAsia="Times New Roman" w:cs="Times New Roman"/>
        </w:rPr>
      </w:pPr>
      <w:r>
        <w:rPr>
          <w:rFonts w:ascii="Times New Roman" w:hAnsi="Times New Roman" w:eastAsia="Times New Roman" w:cs="Times New Roman"/>
        </w:rPr>
        <w:t>Correlational because the research aims to investigate the relationships between variables such as sales and promotion, revisit intention, brand image, and impulsive buying behavior. This is indicative of a correlational study, which seeks to determine whether and how variables are related without manipulating them.</w:t>
      </w:r>
    </w:p>
    <w:p w14:paraId="0086DF9D">
      <w:pPr>
        <w:pStyle w:val="5"/>
        <w:spacing w:line="600" w:lineRule="auto"/>
        <w:rPr>
          <w:rFonts w:cs="Times New Roman"/>
        </w:rPr>
      </w:pPr>
      <w:r>
        <w:rPr>
          <w:rFonts w:cs="Times New Roman"/>
        </w:rPr>
        <w:t>Unit of analysis:</w:t>
      </w:r>
    </w:p>
    <w:p w14:paraId="74F72EA9">
      <w:pPr>
        <w:spacing w:after="0" w:line="600" w:lineRule="auto"/>
        <w:jc w:val="both"/>
        <w:rPr>
          <w:rFonts w:ascii="Times New Roman" w:hAnsi="Times New Roman" w:eastAsia="Times New Roman" w:cs="Times New Roman"/>
        </w:rPr>
      </w:pPr>
      <w:r>
        <w:rPr>
          <w:rFonts w:ascii="Times New Roman" w:hAnsi="Times New Roman" w:eastAsia="Times New Roman" w:cs="Times New Roman"/>
        </w:rPr>
        <w:t>Individual customers. We will ask individuals to fill out a questionnaire.</w:t>
      </w:r>
    </w:p>
    <w:p w14:paraId="02B4DEEE">
      <w:pPr>
        <w:pStyle w:val="5"/>
        <w:spacing w:line="600" w:lineRule="auto"/>
        <w:rPr>
          <w:rFonts w:cs="Times New Roman"/>
        </w:rPr>
      </w:pPr>
      <w:r>
        <w:rPr>
          <w:rFonts w:cs="Times New Roman"/>
        </w:rPr>
        <w:t>Study Settings:</w:t>
      </w:r>
    </w:p>
    <w:p w14:paraId="4D822E6A">
      <w:pPr>
        <w:spacing w:after="0" w:line="600" w:lineRule="auto"/>
        <w:jc w:val="both"/>
        <w:rPr>
          <w:rFonts w:ascii="Times New Roman" w:hAnsi="Times New Roman" w:eastAsia="Times New Roman" w:cs="Times New Roman"/>
        </w:rPr>
      </w:pPr>
      <w:r>
        <w:rPr>
          <w:rFonts w:ascii="Times New Roman" w:hAnsi="Times New Roman" w:eastAsia="Times New Roman" w:cs="Times New Roman"/>
        </w:rPr>
        <w:t>Non-contrived study settings are used in this research. This means the researcher will not have any control variables in the research, and the research will proceed in a natural environment, i.e. non-non-contrived study settings.</w:t>
      </w:r>
    </w:p>
    <w:p w14:paraId="30F65D62">
      <w:pPr>
        <w:pStyle w:val="5"/>
        <w:spacing w:line="600" w:lineRule="auto"/>
        <w:rPr>
          <w:rFonts w:cs="Times New Roman"/>
        </w:rPr>
      </w:pPr>
      <w:r>
        <w:rPr>
          <w:rFonts w:cs="Times New Roman"/>
        </w:rPr>
        <w:t>Population:</w:t>
      </w:r>
    </w:p>
    <w:p w14:paraId="76693571">
      <w:pPr>
        <w:spacing w:line="600" w:lineRule="auto"/>
        <w:jc w:val="both"/>
        <w:rPr>
          <w:rFonts w:ascii="Times New Roman" w:hAnsi="Times New Roman" w:cs="Times New Roman"/>
        </w:rPr>
      </w:pPr>
      <w:r>
        <w:rPr>
          <w:rFonts w:ascii="Times New Roman" w:hAnsi="Times New Roman" w:cs="Times New Roman"/>
        </w:rPr>
        <w:t>For this research, we have collected data from 258 responses from different people. Data was collected online through Google Forms, and the questionnaire links were directly sent to the respondents on social media platforms. Most of these respondents belong to Lahore, 64% of them are male, and their age group ranges between 20-30 years. Concerning the monthly income, 47.9 % of respondents have a monthly income of up to PKR 50000. If we discuss employment, 49.6 % of respondents are unemployed, and 77.1 % of respondents are unmarried. The data is collected with the help of Google Forms, and the researcher makes sure an answer required questions to ensure they answer all the questions and avoid missing entries.</w:t>
      </w:r>
    </w:p>
    <w:p w14:paraId="15F3803D">
      <w:pPr>
        <w:pStyle w:val="5"/>
        <w:spacing w:line="600" w:lineRule="auto"/>
        <w:rPr>
          <w:rFonts w:cs="Times New Roman"/>
        </w:rPr>
      </w:pPr>
      <w:r>
        <w:rPr>
          <w:rFonts w:cs="Times New Roman"/>
        </w:rPr>
        <w:t>Sampling:</w:t>
      </w:r>
    </w:p>
    <w:p w14:paraId="59815222">
      <w:pPr>
        <w:spacing w:line="600" w:lineRule="auto"/>
        <w:jc w:val="both"/>
        <w:rPr>
          <w:rFonts w:ascii="Times New Roman" w:hAnsi="Times New Roman" w:cs="Times New Roman"/>
        </w:rPr>
      </w:pPr>
      <w:r>
        <w:rPr>
          <w:rFonts w:ascii="Times New Roman" w:hAnsi="Times New Roman" w:cs="Times New Roman"/>
        </w:rPr>
        <w:t>Non-probability sampling is used to contribute to this research. However, item to response theory was used to determine the sample size. A convenience non-probability sampling technique was used in this research.</w:t>
      </w:r>
    </w:p>
    <w:p w14:paraId="5F63DAD9">
      <w:pPr>
        <w:pStyle w:val="5"/>
        <w:spacing w:line="600" w:lineRule="auto"/>
        <w:rPr>
          <w:rFonts w:cs="Times New Roman"/>
        </w:rPr>
      </w:pPr>
      <w:r>
        <w:rPr>
          <w:rFonts w:cs="Times New Roman"/>
        </w:rPr>
        <w:t>Measures:</w:t>
      </w:r>
    </w:p>
    <w:p w14:paraId="3BB2A2A8">
      <w:pPr>
        <w:spacing w:line="600" w:lineRule="auto"/>
        <w:jc w:val="both"/>
        <w:rPr>
          <w:rFonts w:ascii="Times New Roman" w:hAnsi="Times New Roman" w:cs="Times New Roman"/>
        </w:rPr>
      </w:pPr>
      <w:r>
        <w:rPr>
          <w:rFonts w:ascii="Times New Roman" w:hAnsi="Times New Roman" w:cs="Times New Roman"/>
        </w:rPr>
        <w:t>SPSS (Statistical Package for Social Sciences) was used to test the data. Respondents were requested to fill the questioners by using five-point Likert scale i.e. “1- Strongly Disagree to 5-Strongly Agree” Sales and promotion was measured using a four item scale, Brand image was measured using a five item scale, Revisit Intention was measured using a four item scale and Impulsive Buying Behavior was measured using a four item scale.</w:t>
      </w:r>
    </w:p>
    <w:p w14:paraId="652E6E38">
      <w:pPr>
        <w:pStyle w:val="2"/>
        <w:spacing w:line="600" w:lineRule="auto"/>
        <w:rPr>
          <w:rFonts w:cs="Times New Roman"/>
          <w:sz w:val="22"/>
          <w:szCs w:val="22"/>
        </w:rPr>
      </w:pPr>
      <w:bookmarkStart w:id="27" w:name="_Toc197000227"/>
      <w:r>
        <w:rPr>
          <w:rFonts w:cs="Times New Roman"/>
          <w:sz w:val="22"/>
          <w:szCs w:val="22"/>
        </w:rPr>
        <w:t>Research Model:</w:t>
      </w:r>
      <w:bookmarkEnd w:id="27"/>
    </w:p>
    <w:p w14:paraId="446A7611">
      <w:pPr>
        <w:spacing w:line="600" w:lineRule="auto"/>
        <w:jc w:val="both"/>
        <w:rPr>
          <w:rFonts w:ascii="Times New Roman" w:hAnsi="Times New Roman" w:cs="Times New Roman"/>
        </w:rPr>
      </w:pPr>
      <w:r>
        <w:rPr>
          <w:rFonts w:ascii="Times New Roman" w:hAnsi="Times New Roman" w:cs="Times New Roman"/>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339090</wp:posOffset>
                </wp:positionV>
                <wp:extent cx="1546860" cy="739140"/>
                <wp:effectExtent l="0" t="0" r="15240" b="22860"/>
                <wp:wrapNone/>
                <wp:docPr id="2" name="Rectangle 2"/>
                <wp:cNvGraphicFramePr/>
                <a:graphic xmlns:a="http://schemas.openxmlformats.org/drawingml/2006/main">
                  <a:graphicData uri="http://schemas.microsoft.com/office/word/2010/wordprocessingShape">
                    <wps:wsp>
                      <wps:cNvSpPr/>
                      <wps:spPr>
                        <a:xfrm>
                          <a:off x="0" y="0"/>
                          <a:ext cx="1546860" cy="7391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C2CF55">
                            <w:pPr>
                              <w:jc w:val="center"/>
                              <w:rPr>
                                <w:rFonts w:ascii="Times New Roman" w:hAnsi="Times New Roman" w:cs="Times New Roman"/>
                              </w:rPr>
                            </w:pPr>
                            <w:r>
                              <w:rPr>
                                <w:rFonts w:ascii="Times New Roman" w:hAnsi="Times New Roman" w:cs="Times New Roman"/>
                              </w:rPr>
                              <w:t>Sales &amp; Promotion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 o:spid="_x0000_s1026" o:spt="1" style="position:absolute;left:0pt;margin-top:26.7pt;height:58.2pt;width:121.8pt;mso-position-horizontal:left;mso-position-horizontal-relative:margin;z-index:251659264;v-text-anchor:middle;mso-width-relative:page;mso-height-relative:page;" fillcolor="#FFFFFF [3201]" filled="t" stroked="t" coordsize="21600,21600" o:gfxdata="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">
                <v:fill on="t" focussize="0,0"/>
                <v:stroke weight="1pt" color="#70AD47 [3209]" miterlimit="8" joinstyle="miter"/>
                <v:imagedata o:title=""/>
                <o:lock v:ext="edit" aspectratio="f"/>
                <v:textbox>
                  <w:txbxContent>
                    <w:p w14:paraId="28C2CF55">
                      <w:pPr>
                        <w:jc w:val="center"/>
                        <w:rPr>
                          <w:rFonts w:ascii="Times New Roman" w:hAnsi="Times New Roman" w:cs="Times New Roman"/>
                        </w:rPr>
                      </w:pPr>
                      <w:r>
                        <w:rPr>
                          <w:rFonts w:ascii="Times New Roman" w:hAnsi="Times New Roman" w:cs="Times New Roman"/>
                        </w:rPr>
                        <w:t>Sales &amp; Promotion</w:t>
                      </w:r>
                    </w:p>
                  </w:txbxContent>
                </v:textbox>
              </v:rect>
            </w:pict>
          </mc:Fallback>
        </mc:AlternateContent>
      </w:r>
    </w:p>
    <w:p w14:paraId="4E04A5C8">
      <w:pPr>
        <w:spacing w:line="600" w:lineRule="auto"/>
        <w:jc w:val="both"/>
        <w:rPr>
          <w:rFonts w:ascii="Times New Roman" w:hAnsi="Times New Roman" w:cs="Times New Roman"/>
        </w:rPr>
      </w:pPr>
      <w:r>
        <w:rPr>
          <w:rFonts w:ascii="Times New Roman" w:hAnsi="Times New Roman" w:cs="Times New Roman"/>
        </w:rPr>
        <mc:AlternateContent>
          <mc:Choice Requires="wps">
            <w:drawing>
              <wp:anchor distT="0" distB="0" distL="114300" distR="114300" simplePos="0" relativeHeight="251664384" behindDoc="0" locked="0" layoutInCell="1" allowOverlap="1">
                <wp:simplePos x="0" y="0"/>
                <wp:positionH relativeFrom="column">
                  <wp:posOffset>4069080</wp:posOffset>
                </wp:positionH>
                <wp:positionV relativeFrom="paragraph">
                  <wp:posOffset>325120</wp:posOffset>
                </wp:positionV>
                <wp:extent cx="640080" cy="0"/>
                <wp:effectExtent l="0" t="76200" r="26670" b="95250"/>
                <wp:wrapNone/>
                <wp:docPr id="7" name="Straight Arrow Connector 7"/>
                <wp:cNvGraphicFramePr/>
                <a:graphic xmlns:a="http://schemas.openxmlformats.org/drawingml/2006/main">
                  <a:graphicData uri="http://schemas.microsoft.com/office/word/2010/wordprocessingShape">
                    <wps:wsp>
                      <wps:cNvCnPr/>
                      <wps:spPr>
                        <a:xfrm>
                          <a:off x="0" y="0"/>
                          <a:ext cx="6400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320.4pt;margin-top:25.6pt;height:0pt;width:50.4pt;z-index:251664384;mso-width-relative:page;mso-height-relative:page;" filled="f" stroked="t" coordsize="21600,21600" o:gfxdata="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pcN7fdYA&#10;AAAJAQAADwAAAAAAAAABACAAAAAiAAAAZHJzL2Rvd25yZXYueG1sUEsBAhQAFAAAAAgAh07iQJqf&#10;SPLoAQAA4wMAAA4AAAAAAAAAAQAgAAAAJQEAAGRycy9lMm9Eb2MueG1sUEsFBgAAAAAGAAYAWQEA&#10;AH8FAAAAAA==&#10;">
                <v:fill on="f" focussize="0,0"/>
                <v:stroke weight="0.5pt" color="#000000 [3200]" miterlimit="8" joinstyle="miter" endarrow="block"/>
                <v:imagedata o:title=""/>
                <o:lock v:ext="edit" aspectratio="f"/>
              </v:shape>
            </w:pict>
          </mc:Fallback>
        </mc:AlternateContent>
      </w:r>
      <w:r>
        <w:rPr>
          <w:rFonts w:ascii="Times New Roman" w:hAnsi="Times New Roman" w:cs="Times New Roman"/>
        </w:rPr>
        <mc:AlternateContent>
          <mc:Choice Requires="wps">
            <w:drawing>
              <wp:anchor distT="0" distB="0" distL="114300" distR="114300" simplePos="0" relativeHeight="251663360" behindDoc="0" locked="0" layoutInCell="1" allowOverlap="1">
                <wp:simplePos x="0" y="0"/>
                <wp:positionH relativeFrom="column">
                  <wp:posOffset>1638300</wp:posOffset>
                </wp:positionH>
                <wp:positionV relativeFrom="paragraph">
                  <wp:posOffset>317500</wp:posOffset>
                </wp:positionV>
                <wp:extent cx="678180" cy="0"/>
                <wp:effectExtent l="0" t="76200" r="26670" b="95250"/>
                <wp:wrapNone/>
                <wp:docPr id="6" name="Straight Arrow Connector 6"/>
                <wp:cNvGraphicFramePr/>
                <a:graphic xmlns:a="http://schemas.openxmlformats.org/drawingml/2006/main">
                  <a:graphicData uri="http://schemas.microsoft.com/office/word/2010/wordprocessingShape">
                    <wps:wsp>
                      <wps:cNvCnPr/>
                      <wps:spPr>
                        <a:xfrm>
                          <a:off x="0" y="0"/>
                          <a:ext cx="6781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129pt;margin-top:25pt;height:0pt;width:53.4pt;z-index:251663360;mso-width-relative:page;mso-height-relative:page;" filled="f" stroked="t" coordsize="21600,21600" o:gfxdata="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mt53xNYA&#10;AAAJAQAADwAAAAAAAAABACAAAAAiAAAAZHJzL2Rvd25yZXYueG1sUEsBAhQAFAAAAAgAh07iQB/d&#10;esHoAQAA4wMAAA4AAAAAAAAAAQAgAAAAJQEAAGRycy9lMm9Eb2MueG1sUEsFBgAAAAAGAAYAWQEA&#10;AH8FAAAAAA==&#10;">
                <v:fill on="f" focussize="0,0"/>
                <v:stroke weight="0.5pt" color="#000000 [3200]" miterlimit="8" joinstyle="miter" endarrow="block"/>
                <v:imagedata o:title=""/>
                <o:lock v:ext="edit" aspectratio="f"/>
              </v:shape>
            </w:pict>
          </mc:Fallback>
        </mc:AlternateContent>
      </w:r>
      <w:r>
        <w:rPr>
          <w:rFonts w:ascii="Times New Roman" w:hAnsi="Times New Roman" w:cs="Times New Roman"/>
        </w:rPr>
        <mc:AlternateContent>
          <mc:Choice Requires="wps">
            <w:drawing>
              <wp:anchor distT="0" distB="0" distL="114300" distR="114300" simplePos="0" relativeHeight="251660288" behindDoc="0" locked="0" layoutInCell="1" allowOverlap="1">
                <wp:simplePos x="0" y="0"/>
                <wp:positionH relativeFrom="column">
                  <wp:posOffset>2423160</wp:posOffset>
                </wp:positionH>
                <wp:positionV relativeFrom="paragraph">
                  <wp:posOffset>5080</wp:posOffset>
                </wp:positionV>
                <wp:extent cx="1539240" cy="723900"/>
                <wp:effectExtent l="0" t="0" r="22860" b="19050"/>
                <wp:wrapNone/>
                <wp:docPr id="3" name="Rectangle 3"/>
                <wp:cNvGraphicFramePr/>
                <a:graphic xmlns:a="http://schemas.openxmlformats.org/drawingml/2006/main">
                  <a:graphicData uri="http://schemas.microsoft.com/office/word/2010/wordprocessingShape">
                    <wps:wsp>
                      <wps:cNvSpPr/>
                      <wps:spPr>
                        <a:xfrm>
                          <a:off x="0" y="0"/>
                          <a:ext cx="153924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A4847E">
                            <w:pPr>
                              <w:jc w:val="center"/>
                              <w:rPr>
                                <w:rFonts w:ascii="Times New Roman" w:hAnsi="Times New Roman" w:cs="Times New Roman"/>
                              </w:rPr>
                            </w:pPr>
                            <w:r>
                              <w:rPr>
                                <w:rFonts w:ascii="Times New Roman" w:hAnsi="Times New Roman" w:cs="Times New Roman"/>
                              </w:rPr>
                              <w:t>Revisit Intention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 o:spid="_x0000_s1026" o:spt="1" style="position:absolute;left:0pt;margin-left:190.8pt;margin-top:0.4pt;height:57pt;width:121.2pt;z-index:251660288;v-text-anchor:middle;mso-width-relative:page;mso-height-relative:page;" fillcolor="#FFFFFF [3201]" filled="t" stroked="t" coordsize="21600,21600" o:gfxdata="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">
                <v:fill on="t" focussize="0,0"/>
                <v:stroke weight="1pt" color="#70AD47 [3209]" miterlimit="8" joinstyle="miter"/>
                <v:imagedata o:title=""/>
                <o:lock v:ext="edit" aspectratio="f"/>
                <v:textbox>
                  <w:txbxContent>
                    <w:p w14:paraId="21A4847E">
                      <w:pPr>
                        <w:jc w:val="center"/>
                        <w:rPr>
                          <w:rFonts w:ascii="Times New Roman" w:hAnsi="Times New Roman" w:cs="Times New Roman"/>
                        </w:rPr>
                      </w:pPr>
                      <w:r>
                        <w:rPr>
                          <w:rFonts w:ascii="Times New Roman" w:hAnsi="Times New Roman" w:cs="Times New Roman"/>
                        </w:rPr>
                        <w:t>Revisit Intention</w:t>
                      </w:r>
                    </w:p>
                  </w:txbxContent>
                </v:textbox>
              </v:rect>
            </w:pict>
          </mc:Fallback>
        </mc:AlternateContent>
      </w:r>
      <w:r>
        <w:rPr>
          <w:rFonts w:ascii="Times New Roman" w:hAnsi="Times New Roman" w:cs="Times New Roman"/>
        </w:rPr>
        <mc:AlternateContent>
          <mc:Choice Requires="wps">
            <w:drawing>
              <wp:anchor distT="0" distB="0" distL="114300" distR="114300" simplePos="0" relativeHeight="251661312" behindDoc="0" locked="0" layoutInCell="1" allowOverlap="1">
                <wp:simplePos x="0" y="0"/>
                <wp:positionH relativeFrom="column">
                  <wp:posOffset>4777740</wp:posOffset>
                </wp:positionH>
                <wp:positionV relativeFrom="paragraph">
                  <wp:posOffset>5080</wp:posOffset>
                </wp:positionV>
                <wp:extent cx="1417320" cy="716280"/>
                <wp:effectExtent l="0" t="0" r="11430" b="26670"/>
                <wp:wrapNone/>
                <wp:docPr id="4" name="Rectangle 4"/>
                <wp:cNvGraphicFramePr/>
                <a:graphic xmlns:a="http://schemas.openxmlformats.org/drawingml/2006/main">
                  <a:graphicData uri="http://schemas.microsoft.com/office/word/2010/wordprocessingShape">
                    <wps:wsp>
                      <wps:cNvSpPr/>
                      <wps:spPr>
                        <a:xfrm>
                          <a:off x="0" y="0"/>
                          <a:ext cx="1417320" cy="7162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7DB403A">
                            <w:pPr>
                              <w:jc w:val="center"/>
                              <w:rPr>
                                <w:rFonts w:ascii="Times New Roman" w:hAnsi="Times New Roman" w:cs="Times New Roman"/>
                              </w:rPr>
                            </w:pPr>
                            <w:r>
                              <w:rPr>
                                <w:rFonts w:ascii="Times New Roman" w:hAnsi="Times New Roman" w:cs="Times New Roman"/>
                              </w:rPr>
                              <w:t>Impulsive Buying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4" o:spid="_x0000_s1026" o:spt="1" style="position:absolute;left:0pt;margin-left:376.2pt;margin-top:0.4pt;height:56.4pt;width:111.6pt;z-index:251661312;v-text-anchor:middle;mso-width-relative:page;mso-height-relative:page;" fillcolor="#FFFFFF [3201]" filled="t" stroked="t" coordsize="21600,21600" o:gfxdata="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8qBQ4tgAAAAIAQAADwAAAAAAAAABACAAAAAiAAAAZHJzL2Rvd25y&#10;ZXYueG1sUEsBAhQAFAAAAAgAh07iQD12v29wAgAAAgUAAA4AAAAAAAAAAQAgAAAAJwEAAGRycy9l&#10;Mm9Eb2MueG1sUEsFBgAAAAAGAAYAWQEAAAkGAAAAAA==&#10;">
                <v:fill on="t" focussize="0,0"/>
                <v:stroke weight="1pt" color="#70AD47 [3209]" miterlimit="8" joinstyle="miter"/>
                <v:imagedata o:title=""/>
                <o:lock v:ext="edit" aspectratio="f"/>
                <v:textbox>
                  <w:txbxContent>
                    <w:p w14:paraId="67DB403A">
                      <w:pPr>
                        <w:jc w:val="center"/>
                        <w:rPr>
                          <w:rFonts w:ascii="Times New Roman" w:hAnsi="Times New Roman" w:cs="Times New Roman"/>
                        </w:rPr>
                      </w:pPr>
                      <w:r>
                        <w:rPr>
                          <w:rFonts w:ascii="Times New Roman" w:hAnsi="Times New Roman" w:cs="Times New Roman"/>
                        </w:rPr>
                        <w:t>Impulsive Buying</w:t>
                      </w:r>
                    </w:p>
                  </w:txbxContent>
                </v:textbox>
              </v:rect>
            </w:pict>
          </mc:Fallback>
        </mc:AlternateContent>
      </w:r>
    </w:p>
    <w:p w14:paraId="2FBC141F">
      <w:pPr>
        <w:spacing w:line="600" w:lineRule="auto"/>
        <w:jc w:val="both"/>
        <w:rPr>
          <w:rFonts w:ascii="Times New Roman" w:hAnsi="Times New Roman" w:cs="Times New Roman"/>
        </w:rPr>
      </w:pPr>
      <w:r>
        <w:rPr>
          <w:rFonts w:ascii="Times New Roman" w:hAnsi="Times New Roman" w:cs="Times New Roman"/>
        </w:rPr>
        <mc:AlternateContent>
          <mc:Choice Requires="wps">
            <w:drawing>
              <wp:anchor distT="0" distB="0" distL="114300" distR="114300" simplePos="0" relativeHeight="251665408" behindDoc="0" locked="0" layoutInCell="1" allowOverlap="1">
                <wp:simplePos x="0" y="0"/>
                <wp:positionH relativeFrom="column">
                  <wp:posOffset>4488180</wp:posOffset>
                </wp:positionH>
                <wp:positionV relativeFrom="paragraph">
                  <wp:posOffset>29210</wp:posOffset>
                </wp:positionV>
                <wp:extent cx="0" cy="861060"/>
                <wp:effectExtent l="76200" t="38100" r="57150" b="15240"/>
                <wp:wrapNone/>
                <wp:docPr id="8" name="Straight Arrow Connector 8"/>
                <wp:cNvGraphicFramePr/>
                <a:graphic xmlns:a="http://schemas.openxmlformats.org/drawingml/2006/main">
                  <a:graphicData uri="http://schemas.microsoft.com/office/word/2010/wordprocessingShape">
                    <wps:wsp>
                      <wps:cNvCnPr/>
                      <wps:spPr>
                        <a:xfrm flipV="1">
                          <a:off x="0" y="0"/>
                          <a:ext cx="0" cy="861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353.4pt;margin-top:2.3pt;height:67.8pt;width:0pt;z-index:251665408;mso-width-relative:page;mso-height-relative:page;" filled="f" stroked="t" coordsize="21600,21600" o:gfxdata="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HTT0NHWAAAACQEAAA8AAAAAAAAAAQAgAAAAIgAAAGRycy9kb3ducmV2LnhtbFBLAQIUABQAAAAI&#10;AIdO4kAJo5Ae7wEAAO0DAAAOAAAAAAAAAAEAIAAAACUBAABkcnMvZTJvRG9jLnhtbFBLBQYAAAAA&#10;BgAGAFkBAACGBQAAAAA=&#10;">
                <v:fill on="f" focussize="0,0"/>
                <v:stroke weight="0.5pt" color="#000000 [3200]" miterlimit="8" joinstyle="miter" endarrow="block"/>
                <v:imagedata o:title=""/>
                <o:lock v:ext="edit" aspectratio="f"/>
              </v:shape>
            </w:pict>
          </mc:Fallback>
        </mc:AlternateContent>
      </w:r>
    </w:p>
    <w:p w14:paraId="6784D97B">
      <w:pPr>
        <w:spacing w:line="600" w:lineRule="auto"/>
        <w:jc w:val="both"/>
        <w:rPr>
          <w:rFonts w:ascii="Times New Roman" w:hAnsi="Times New Roman" w:cs="Times New Roman"/>
        </w:rPr>
      </w:pPr>
    </w:p>
    <w:p w14:paraId="5A5A12A6">
      <w:pPr>
        <w:spacing w:line="600" w:lineRule="auto"/>
        <w:jc w:val="both"/>
        <w:rPr>
          <w:rFonts w:ascii="Times New Roman" w:hAnsi="Times New Roman" w:cs="Times New Roman"/>
        </w:rPr>
      </w:pPr>
      <w:r>
        <w:rPr>
          <w:rFonts w:ascii="Times New Roman" w:hAnsi="Times New Roman" w:cs="Times New Roman"/>
        </w:rPr>
        <mc:AlternateContent>
          <mc:Choice Requires="wps">
            <w:drawing>
              <wp:anchor distT="0" distB="0" distL="114300" distR="114300" simplePos="0" relativeHeight="251662336" behindDoc="0" locked="0" layoutInCell="1" allowOverlap="1">
                <wp:simplePos x="0" y="0"/>
                <wp:positionH relativeFrom="column">
                  <wp:posOffset>3718560</wp:posOffset>
                </wp:positionH>
                <wp:positionV relativeFrom="paragraph">
                  <wp:posOffset>242570</wp:posOffset>
                </wp:positionV>
                <wp:extent cx="1569720" cy="723900"/>
                <wp:effectExtent l="0" t="0" r="11430" b="19050"/>
                <wp:wrapNone/>
                <wp:docPr id="5" name="Rectangle 5"/>
                <wp:cNvGraphicFramePr/>
                <a:graphic xmlns:a="http://schemas.openxmlformats.org/drawingml/2006/main">
                  <a:graphicData uri="http://schemas.microsoft.com/office/word/2010/wordprocessingShape">
                    <wps:wsp>
                      <wps:cNvSpPr/>
                      <wps:spPr>
                        <a:xfrm>
                          <a:off x="0" y="0"/>
                          <a:ext cx="156972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0FEDD1">
                            <w:pPr>
                              <w:jc w:val="center"/>
                              <w:rPr>
                                <w:rFonts w:ascii="Times New Roman" w:hAnsi="Times New Roman" w:cs="Times New Roman"/>
                              </w:rPr>
                            </w:pPr>
                            <w:r>
                              <w:rPr>
                                <w:rFonts w:ascii="Times New Roman" w:hAnsi="Times New Roman" w:cs="Times New Roman"/>
                              </w:rPr>
                              <w:t>Brand Image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5" o:spid="_x0000_s1026" o:spt="1" style="position:absolute;left:0pt;margin-left:292.8pt;margin-top:19.1pt;height:57pt;width:123.6pt;z-index:251662336;v-text-anchor:middle;mso-width-relative:page;mso-height-relative:page;" fillcolor="#FFFFFF [3201]" filled="t" stroked="t" coordsize="21600,21600" o:gfxdata="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">
                <v:fill on="t" focussize="0,0"/>
                <v:stroke weight="1pt" color="#70AD47 [3209]" miterlimit="8" joinstyle="miter"/>
                <v:imagedata o:title=""/>
                <o:lock v:ext="edit" aspectratio="f"/>
                <v:textbox>
                  <w:txbxContent>
                    <w:p w14:paraId="430FEDD1">
                      <w:pPr>
                        <w:jc w:val="center"/>
                        <w:rPr>
                          <w:rFonts w:ascii="Times New Roman" w:hAnsi="Times New Roman" w:cs="Times New Roman"/>
                        </w:rPr>
                      </w:pPr>
                      <w:r>
                        <w:rPr>
                          <w:rFonts w:ascii="Times New Roman" w:hAnsi="Times New Roman" w:cs="Times New Roman"/>
                        </w:rPr>
                        <w:t>Brand Image</w:t>
                      </w:r>
                    </w:p>
                  </w:txbxContent>
                </v:textbox>
              </v:rect>
            </w:pict>
          </mc:Fallback>
        </mc:AlternateContent>
      </w:r>
      <w:r>
        <w:rPr>
          <w:rFonts w:ascii="Times New Roman" w:hAnsi="Times New Roman" w:cs="Times New Roman"/>
        </w:rPr>
        <w:br w:type="page"/>
      </w:r>
    </w:p>
    <w:p w14:paraId="5FE21E44">
      <w:pPr>
        <w:pStyle w:val="3"/>
        <w:spacing w:line="600" w:lineRule="auto"/>
        <w:rPr>
          <w:rFonts w:cs="Times New Roman"/>
          <w:sz w:val="22"/>
          <w:szCs w:val="22"/>
        </w:rPr>
      </w:pPr>
      <w:bookmarkStart w:id="28" w:name="_Toc197000228"/>
    </w:p>
    <w:p w14:paraId="730E26F3">
      <w:pPr>
        <w:pStyle w:val="3"/>
        <w:spacing w:line="600" w:lineRule="auto"/>
        <w:rPr>
          <w:rFonts w:cs="Times New Roman"/>
          <w:sz w:val="22"/>
          <w:szCs w:val="22"/>
        </w:rPr>
      </w:pPr>
      <w:r>
        <w:rPr>
          <w:rFonts w:cs="Times New Roman"/>
          <w:sz w:val="22"/>
          <w:szCs w:val="22"/>
        </w:rPr>
        <w:t>Data Analysis:</w:t>
      </w:r>
      <w:bookmarkEnd w:id="28"/>
    </w:p>
    <w:p w14:paraId="4314C5A3">
      <w:pPr>
        <w:pStyle w:val="4"/>
        <w:spacing w:line="600" w:lineRule="auto"/>
        <w:rPr>
          <w:rFonts w:cs="Times New Roman"/>
          <w:sz w:val="22"/>
          <w:szCs w:val="22"/>
        </w:rPr>
      </w:pPr>
      <w:bookmarkStart w:id="29" w:name="_Toc197000229"/>
      <w:r>
        <w:rPr>
          <w:rFonts w:cs="Times New Roman"/>
          <w:sz w:val="22"/>
          <w:szCs w:val="22"/>
        </w:rPr>
        <w:t>Preliminary Data Analysis</w:t>
      </w:r>
      <w:bookmarkEnd w:id="29"/>
    </w:p>
    <w:p w14:paraId="2F9BFB15">
      <w:pPr>
        <w:spacing w:line="600" w:lineRule="auto"/>
        <w:jc w:val="both"/>
        <w:rPr>
          <w:rFonts w:ascii="Times New Roman" w:hAnsi="Times New Roman" w:cs="Times New Roman"/>
        </w:rPr>
      </w:pPr>
      <w:r>
        <w:rPr>
          <w:rFonts w:ascii="Times New Roman" w:hAnsi="Times New Roman" w:cs="Times New Roman"/>
        </w:rPr>
        <w:t>During the initial data analysis, various tests were carried out to detect missing values, outliers, assess data normality, run regression tests, and perform reliability and correlation analyses. Initially, the missing value test was conducted to identify any entries that respondents may have intentionally or unintentionally left blank. The data was collected using Google Forms, which required mandatory responses, resulting in no missing values. Consequently, no treatment was necessary for missing values. Following the missing value test, an outlier test was performed to identify extreme responses from participants. It is essential to eliminate outliers to calculate the mean or average of each variable accurately. After the outlier test, extreme values were found in the data and were subsequently removed in descending order.</w:t>
      </w:r>
    </w:p>
    <w:p w14:paraId="5EF5D618">
      <w:pPr>
        <w:spacing w:line="600" w:lineRule="auto"/>
        <w:jc w:val="both"/>
        <w:rPr>
          <w:rFonts w:ascii="Times New Roman" w:hAnsi="Times New Roman" w:cs="Times New Roman"/>
        </w:rPr>
      </w:pPr>
      <w:r>
        <w:rPr>
          <w:rFonts w:ascii="Times New Roman" w:hAnsi="Times New Roman" w:cs="Times New Roman"/>
        </w:rPr>
        <w:t xml:space="preserve"> The outliers in the data were eliminated in descending order, i.e., 167 1</w:t>
      </w:r>
      <w:r>
        <w:rPr>
          <w:rFonts w:ascii="Times New Roman" w:hAnsi="Times New Roman" w:cs="Times New Roman"/>
          <w:vertAlign w:val="superscript"/>
        </w:rPr>
        <w:t>st</w:t>
      </w:r>
      <w:r>
        <w:rPr>
          <w:rFonts w:ascii="Times New Roman" w:hAnsi="Times New Roman" w:cs="Times New Roman"/>
        </w:rPr>
        <w:t xml:space="preserve"> and 63 last. The outliers were 167, 166, 132, 65, and 63.</w:t>
      </w:r>
    </w:p>
    <w:p w14:paraId="08E27207">
      <w:pPr>
        <w:spacing w:line="600" w:lineRule="auto"/>
        <w:jc w:val="both"/>
        <w:rPr>
          <w:rFonts w:ascii="Times New Roman" w:hAnsi="Times New Roman" w:cs="Times New Roman"/>
        </w:rPr>
      </w:pPr>
      <w:r>
        <w:rPr>
          <w:rFonts w:ascii="Times New Roman" w:hAnsi="Times New Roman" w:cs="Times New Roman"/>
        </w:rPr>
        <w:drawing>
          <wp:inline distT="0" distB="0" distL="0" distR="0">
            <wp:extent cx="5991225" cy="4015740"/>
            <wp:effectExtent l="0" t="0" r="952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91225" cy="4015740"/>
                    </a:xfrm>
                    <a:prstGeom prst="rect">
                      <a:avLst/>
                    </a:prstGeom>
                    <a:noFill/>
                  </pic:spPr>
                </pic:pic>
              </a:graphicData>
            </a:graphic>
          </wp:inline>
        </w:drawing>
      </w:r>
    </w:p>
    <w:p w14:paraId="6EDC0952">
      <w:pPr>
        <w:spacing w:line="600" w:lineRule="auto"/>
        <w:jc w:val="both"/>
        <w:rPr>
          <w:rFonts w:ascii="Times New Roman" w:hAnsi="Times New Roman" w:cs="Times New Roman"/>
        </w:rPr>
      </w:pPr>
    </w:p>
    <w:p w14:paraId="675E8681">
      <w:pPr>
        <w:pStyle w:val="3"/>
        <w:spacing w:line="600" w:lineRule="auto"/>
        <w:rPr>
          <w:rFonts w:cs="Times New Roman"/>
          <w:sz w:val="22"/>
          <w:szCs w:val="22"/>
        </w:rPr>
      </w:pPr>
      <w:bookmarkStart w:id="30" w:name="_Toc197000230"/>
      <w:r>
        <w:rPr>
          <w:rFonts w:cs="Times New Roman"/>
          <w:sz w:val="22"/>
          <w:szCs w:val="22"/>
        </w:rPr>
        <w:t>Data Normality Test:</w:t>
      </w:r>
      <w:bookmarkEnd w:id="30"/>
    </w:p>
    <w:p w14:paraId="7B38824F">
      <w:pPr>
        <w:spacing w:line="600" w:lineRule="auto"/>
        <w:jc w:val="both"/>
        <w:rPr>
          <w:rFonts w:ascii="Times New Roman" w:hAnsi="Times New Roman" w:cs="Times New Roman"/>
        </w:rPr>
      </w:pPr>
      <w:r>
        <w:rPr>
          <w:rFonts w:ascii="Times New Roman" w:hAnsi="Times New Roman" w:cs="Times New Roman"/>
        </w:rPr>
        <w:t>After analyzing the outliers, we proceeded to assess the normality of the data. This involved checking skewness (±1 or ±3) and kurtosis (±3 or ±10). The results indicated that the data exhibited a normal distribution. Additional tests, such as the P-Plot and histogram regression test, further confirmed the normal distribution of the data.</w:t>
      </w:r>
    </w:p>
    <w:p w14:paraId="5F871635">
      <w:pPr>
        <w:autoSpaceDE w:val="0"/>
        <w:autoSpaceDN w:val="0"/>
        <w:adjustRightInd w:val="0"/>
        <w:spacing w:after="0" w:line="600" w:lineRule="auto"/>
        <w:rPr>
          <w:rFonts w:ascii="Times New Roman" w:hAnsi="Times New Roman" w:cs="Times New Roman"/>
        </w:rPr>
      </w:pPr>
    </w:p>
    <w:tbl>
      <w:tblPr>
        <w:tblStyle w:val="7"/>
        <w:tblW w:w="9306"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284"/>
        <w:gridCol w:w="1379"/>
        <w:gridCol w:w="1379"/>
        <w:gridCol w:w="1442"/>
        <w:gridCol w:w="1379"/>
        <w:gridCol w:w="1443"/>
      </w:tblGrid>
      <w:tr w14:paraId="2FA97CE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9306" w:type="dxa"/>
            <w:gridSpan w:val="6"/>
            <w:tcBorders>
              <w:top w:val="nil"/>
              <w:left w:val="nil"/>
              <w:bottom w:val="nil"/>
              <w:right w:val="nil"/>
            </w:tcBorders>
            <w:shd w:val="clear" w:color="auto" w:fill="FFFFFF"/>
            <w:vAlign w:val="center"/>
          </w:tcPr>
          <w:p w14:paraId="45EDFE3F">
            <w:pPr>
              <w:autoSpaceDE w:val="0"/>
              <w:autoSpaceDN w:val="0"/>
              <w:adjustRightInd w:val="0"/>
              <w:spacing w:after="0" w:line="600" w:lineRule="auto"/>
              <w:ind w:right="60"/>
              <w:rPr>
                <w:rFonts w:ascii="Times New Roman" w:hAnsi="Times New Roman" w:cs="Times New Roman"/>
                <w:b/>
                <w:bCs/>
                <w:color w:val="000000"/>
              </w:rPr>
            </w:pPr>
          </w:p>
          <w:p w14:paraId="5C6BD3CE">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b/>
                <w:bCs/>
                <w:color w:val="000000"/>
              </w:rPr>
              <w:t>Descriptive Statistics</w:t>
            </w:r>
          </w:p>
        </w:tc>
      </w:tr>
      <w:tr w14:paraId="1FCC81A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vMerge w:val="restart"/>
            <w:tcBorders>
              <w:top w:val="single" w:color="000000" w:sz="16" w:space="0"/>
              <w:left w:val="single" w:color="000000" w:sz="16" w:space="0"/>
              <w:bottom w:val="nil"/>
              <w:right w:val="single" w:color="000000" w:sz="16" w:space="0"/>
            </w:tcBorders>
            <w:shd w:val="clear" w:color="auto" w:fill="FFFFFF"/>
            <w:vAlign w:val="bottom"/>
          </w:tcPr>
          <w:p w14:paraId="14294F16">
            <w:pPr>
              <w:autoSpaceDE w:val="0"/>
              <w:autoSpaceDN w:val="0"/>
              <w:adjustRightInd w:val="0"/>
              <w:spacing w:after="0" w:line="600" w:lineRule="auto"/>
              <w:rPr>
                <w:rFonts w:ascii="Times New Roman" w:hAnsi="Times New Roman" w:cs="Times New Roman"/>
              </w:rPr>
            </w:pPr>
          </w:p>
        </w:tc>
        <w:tc>
          <w:tcPr>
            <w:tcW w:w="1379" w:type="dxa"/>
            <w:tcBorders>
              <w:top w:val="single" w:color="000000" w:sz="16" w:space="0"/>
              <w:left w:val="single" w:color="000000" w:sz="16" w:space="0"/>
            </w:tcBorders>
            <w:shd w:val="clear" w:color="auto" w:fill="FFFFFF"/>
            <w:vAlign w:val="bottom"/>
          </w:tcPr>
          <w:p w14:paraId="0FCBB611">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N</w:t>
            </w:r>
          </w:p>
        </w:tc>
        <w:tc>
          <w:tcPr>
            <w:tcW w:w="2821" w:type="dxa"/>
            <w:gridSpan w:val="2"/>
            <w:tcBorders>
              <w:top w:val="single" w:color="000000" w:sz="16" w:space="0"/>
            </w:tcBorders>
            <w:shd w:val="clear" w:color="auto" w:fill="FFFFFF"/>
            <w:vAlign w:val="bottom"/>
          </w:tcPr>
          <w:p w14:paraId="15147110">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Skewness</w:t>
            </w:r>
          </w:p>
        </w:tc>
        <w:tc>
          <w:tcPr>
            <w:tcW w:w="2821" w:type="dxa"/>
            <w:gridSpan w:val="2"/>
            <w:tcBorders>
              <w:top w:val="single" w:color="000000" w:sz="16" w:space="0"/>
              <w:right w:val="single" w:color="000000" w:sz="16" w:space="0"/>
            </w:tcBorders>
            <w:shd w:val="clear" w:color="auto" w:fill="FFFFFF"/>
            <w:vAlign w:val="bottom"/>
          </w:tcPr>
          <w:p w14:paraId="4C421FD8">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Kurtosis</w:t>
            </w:r>
          </w:p>
        </w:tc>
      </w:tr>
      <w:tr w14:paraId="4DC4668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83" w:hRule="atLeast"/>
        </w:trPr>
        <w:tc>
          <w:tcPr>
            <w:tcW w:w="2284" w:type="dxa"/>
            <w:vMerge w:val="continue"/>
            <w:tcBorders>
              <w:top w:val="single" w:color="000000" w:sz="16" w:space="0"/>
              <w:left w:val="single" w:color="000000" w:sz="16" w:space="0"/>
              <w:bottom w:val="nil"/>
              <w:right w:val="single" w:color="000000" w:sz="16" w:space="0"/>
            </w:tcBorders>
            <w:shd w:val="clear" w:color="auto" w:fill="FFFFFF"/>
            <w:vAlign w:val="bottom"/>
          </w:tcPr>
          <w:p w14:paraId="0397AC62">
            <w:pPr>
              <w:autoSpaceDE w:val="0"/>
              <w:autoSpaceDN w:val="0"/>
              <w:adjustRightInd w:val="0"/>
              <w:spacing w:after="0" w:line="600" w:lineRule="auto"/>
              <w:rPr>
                <w:rFonts w:ascii="Times New Roman" w:hAnsi="Times New Roman" w:cs="Times New Roman"/>
                <w:color w:val="000000"/>
              </w:rPr>
            </w:pPr>
          </w:p>
        </w:tc>
        <w:tc>
          <w:tcPr>
            <w:tcW w:w="1379" w:type="dxa"/>
            <w:tcBorders>
              <w:left w:val="single" w:color="000000" w:sz="16" w:space="0"/>
              <w:bottom w:val="single" w:color="000000" w:sz="16" w:space="0"/>
            </w:tcBorders>
            <w:shd w:val="clear" w:color="auto" w:fill="FFFFFF"/>
            <w:vAlign w:val="bottom"/>
          </w:tcPr>
          <w:p w14:paraId="6CBCD99B">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Statistic</w:t>
            </w:r>
          </w:p>
        </w:tc>
        <w:tc>
          <w:tcPr>
            <w:tcW w:w="1379" w:type="dxa"/>
            <w:tcBorders>
              <w:bottom w:val="single" w:color="000000" w:sz="16" w:space="0"/>
            </w:tcBorders>
            <w:shd w:val="clear" w:color="auto" w:fill="FFFFFF"/>
            <w:vAlign w:val="bottom"/>
          </w:tcPr>
          <w:p w14:paraId="23F4FD61">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Statistic</w:t>
            </w:r>
          </w:p>
        </w:tc>
        <w:tc>
          <w:tcPr>
            <w:tcW w:w="1441" w:type="dxa"/>
            <w:tcBorders>
              <w:bottom w:val="single" w:color="000000" w:sz="16" w:space="0"/>
            </w:tcBorders>
            <w:shd w:val="clear" w:color="auto" w:fill="FFFFFF"/>
            <w:vAlign w:val="bottom"/>
          </w:tcPr>
          <w:p w14:paraId="08A945A3">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Std. Error</w:t>
            </w:r>
          </w:p>
        </w:tc>
        <w:tc>
          <w:tcPr>
            <w:tcW w:w="1379" w:type="dxa"/>
            <w:tcBorders>
              <w:bottom w:val="single" w:color="000000" w:sz="16" w:space="0"/>
            </w:tcBorders>
            <w:shd w:val="clear" w:color="auto" w:fill="FFFFFF"/>
            <w:vAlign w:val="bottom"/>
          </w:tcPr>
          <w:p w14:paraId="60E1380F">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Statistic</w:t>
            </w:r>
          </w:p>
        </w:tc>
        <w:tc>
          <w:tcPr>
            <w:tcW w:w="1441" w:type="dxa"/>
            <w:tcBorders>
              <w:bottom w:val="single" w:color="000000" w:sz="16" w:space="0"/>
              <w:right w:val="single" w:color="000000" w:sz="16" w:space="0"/>
            </w:tcBorders>
            <w:shd w:val="clear" w:color="auto" w:fill="FFFFFF"/>
            <w:vAlign w:val="bottom"/>
          </w:tcPr>
          <w:p w14:paraId="3B3079FB">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Std. Error</w:t>
            </w:r>
          </w:p>
        </w:tc>
      </w:tr>
      <w:tr w14:paraId="5E6EC2D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single" w:color="000000" w:sz="16" w:space="0"/>
              <w:left w:val="single" w:color="000000" w:sz="16" w:space="0"/>
              <w:bottom w:val="nil"/>
              <w:right w:val="single" w:color="000000" w:sz="16" w:space="0"/>
            </w:tcBorders>
            <w:shd w:val="clear" w:color="auto" w:fill="FFFFFF"/>
          </w:tcPr>
          <w:p w14:paraId="029F1D4C">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SP1</w:t>
            </w:r>
          </w:p>
        </w:tc>
        <w:tc>
          <w:tcPr>
            <w:tcW w:w="1379" w:type="dxa"/>
            <w:tcBorders>
              <w:top w:val="single" w:color="000000" w:sz="16" w:space="0"/>
              <w:left w:val="single" w:color="000000" w:sz="16" w:space="0"/>
              <w:bottom w:val="nil"/>
            </w:tcBorders>
            <w:shd w:val="clear" w:color="auto" w:fill="FFFFFF"/>
            <w:vAlign w:val="center"/>
          </w:tcPr>
          <w:p w14:paraId="2D33999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single" w:color="000000" w:sz="16" w:space="0"/>
              <w:bottom w:val="nil"/>
            </w:tcBorders>
            <w:shd w:val="clear" w:color="auto" w:fill="FFFFFF"/>
            <w:vAlign w:val="center"/>
          </w:tcPr>
          <w:p w14:paraId="2F9728E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-.465</w:t>
            </w:r>
          </w:p>
        </w:tc>
        <w:tc>
          <w:tcPr>
            <w:tcW w:w="1441" w:type="dxa"/>
            <w:tcBorders>
              <w:top w:val="single" w:color="000000" w:sz="16" w:space="0"/>
              <w:bottom w:val="nil"/>
            </w:tcBorders>
            <w:shd w:val="clear" w:color="auto" w:fill="FFFFFF"/>
            <w:vAlign w:val="center"/>
          </w:tcPr>
          <w:p w14:paraId="550996A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single" w:color="000000" w:sz="16" w:space="0"/>
              <w:bottom w:val="nil"/>
            </w:tcBorders>
            <w:shd w:val="clear" w:color="auto" w:fill="FFFFFF"/>
            <w:vAlign w:val="center"/>
          </w:tcPr>
          <w:p w14:paraId="6BE5C2A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-.056</w:t>
            </w:r>
          </w:p>
        </w:tc>
        <w:tc>
          <w:tcPr>
            <w:tcW w:w="1441" w:type="dxa"/>
            <w:tcBorders>
              <w:top w:val="single" w:color="000000" w:sz="16" w:space="0"/>
              <w:bottom w:val="nil"/>
              <w:right w:val="single" w:color="000000" w:sz="16" w:space="0"/>
            </w:tcBorders>
            <w:shd w:val="clear" w:color="auto" w:fill="FFFFFF"/>
            <w:vAlign w:val="center"/>
          </w:tcPr>
          <w:p w14:paraId="686AA5FD">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024F3EB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8" w:hRule="atLeast"/>
        </w:trPr>
        <w:tc>
          <w:tcPr>
            <w:tcW w:w="2284" w:type="dxa"/>
            <w:tcBorders>
              <w:top w:val="nil"/>
              <w:left w:val="single" w:color="000000" w:sz="16" w:space="0"/>
              <w:bottom w:val="nil"/>
              <w:right w:val="single" w:color="000000" w:sz="16" w:space="0"/>
            </w:tcBorders>
            <w:shd w:val="clear" w:color="auto" w:fill="FFFFFF"/>
          </w:tcPr>
          <w:p w14:paraId="5A35631B">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SP2</w:t>
            </w:r>
          </w:p>
        </w:tc>
        <w:tc>
          <w:tcPr>
            <w:tcW w:w="1379" w:type="dxa"/>
            <w:tcBorders>
              <w:top w:val="nil"/>
              <w:left w:val="single" w:color="000000" w:sz="16" w:space="0"/>
              <w:bottom w:val="nil"/>
            </w:tcBorders>
            <w:shd w:val="clear" w:color="auto" w:fill="FFFFFF"/>
            <w:vAlign w:val="center"/>
          </w:tcPr>
          <w:p w14:paraId="4D27FB1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11D7A97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-.277</w:t>
            </w:r>
          </w:p>
        </w:tc>
        <w:tc>
          <w:tcPr>
            <w:tcW w:w="1441" w:type="dxa"/>
            <w:tcBorders>
              <w:top w:val="nil"/>
              <w:bottom w:val="nil"/>
            </w:tcBorders>
            <w:shd w:val="clear" w:color="auto" w:fill="FFFFFF"/>
            <w:vAlign w:val="center"/>
          </w:tcPr>
          <w:p w14:paraId="198D48D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5C2F6D2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-.784</w:t>
            </w:r>
          </w:p>
        </w:tc>
        <w:tc>
          <w:tcPr>
            <w:tcW w:w="1441" w:type="dxa"/>
            <w:tcBorders>
              <w:top w:val="nil"/>
              <w:bottom w:val="nil"/>
              <w:right w:val="single" w:color="000000" w:sz="16" w:space="0"/>
            </w:tcBorders>
            <w:shd w:val="clear" w:color="auto" w:fill="FFFFFF"/>
            <w:vAlign w:val="center"/>
          </w:tcPr>
          <w:p w14:paraId="227BCC0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4A54A6E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3525332B">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SP3</w:t>
            </w:r>
          </w:p>
        </w:tc>
        <w:tc>
          <w:tcPr>
            <w:tcW w:w="1379" w:type="dxa"/>
            <w:tcBorders>
              <w:top w:val="nil"/>
              <w:left w:val="single" w:color="000000" w:sz="16" w:space="0"/>
              <w:bottom w:val="nil"/>
            </w:tcBorders>
            <w:shd w:val="clear" w:color="auto" w:fill="FFFFFF"/>
            <w:vAlign w:val="center"/>
          </w:tcPr>
          <w:p w14:paraId="6F28BFC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095321B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-.944</w:t>
            </w:r>
          </w:p>
        </w:tc>
        <w:tc>
          <w:tcPr>
            <w:tcW w:w="1441" w:type="dxa"/>
            <w:tcBorders>
              <w:top w:val="nil"/>
              <w:bottom w:val="nil"/>
            </w:tcBorders>
            <w:shd w:val="clear" w:color="auto" w:fill="FFFFFF"/>
            <w:vAlign w:val="center"/>
          </w:tcPr>
          <w:p w14:paraId="5542630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6EDE81D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1.089</w:t>
            </w:r>
          </w:p>
        </w:tc>
        <w:tc>
          <w:tcPr>
            <w:tcW w:w="1441" w:type="dxa"/>
            <w:tcBorders>
              <w:top w:val="nil"/>
              <w:bottom w:val="nil"/>
              <w:right w:val="single" w:color="000000" w:sz="16" w:space="0"/>
            </w:tcBorders>
            <w:shd w:val="clear" w:color="auto" w:fill="FFFFFF"/>
            <w:vAlign w:val="center"/>
          </w:tcPr>
          <w:p w14:paraId="69284E6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2B4581F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2C93AB75">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SP4</w:t>
            </w:r>
          </w:p>
        </w:tc>
        <w:tc>
          <w:tcPr>
            <w:tcW w:w="1379" w:type="dxa"/>
            <w:tcBorders>
              <w:top w:val="nil"/>
              <w:left w:val="single" w:color="000000" w:sz="16" w:space="0"/>
              <w:bottom w:val="nil"/>
            </w:tcBorders>
            <w:shd w:val="clear" w:color="auto" w:fill="FFFFFF"/>
            <w:vAlign w:val="center"/>
          </w:tcPr>
          <w:p w14:paraId="3825828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120DDC9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-.218</w:t>
            </w:r>
          </w:p>
        </w:tc>
        <w:tc>
          <w:tcPr>
            <w:tcW w:w="1441" w:type="dxa"/>
            <w:tcBorders>
              <w:top w:val="nil"/>
              <w:bottom w:val="nil"/>
            </w:tcBorders>
            <w:shd w:val="clear" w:color="auto" w:fill="FFFFFF"/>
            <w:vAlign w:val="center"/>
          </w:tcPr>
          <w:p w14:paraId="38D3B138">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2C42859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-.696</w:t>
            </w:r>
          </w:p>
        </w:tc>
        <w:tc>
          <w:tcPr>
            <w:tcW w:w="1441" w:type="dxa"/>
            <w:tcBorders>
              <w:top w:val="nil"/>
              <w:bottom w:val="nil"/>
              <w:right w:val="single" w:color="000000" w:sz="16" w:space="0"/>
            </w:tcBorders>
            <w:shd w:val="clear" w:color="auto" w:fill="FFFFFF"/>
            <w:vAlign w:val="center"/>
          </w:tcPr>
          <w:p w14:paraId="0F0AC57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246C9B2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8" w:hRule="atLeast"/>
        </w:trPr>
        <w:tc>
          <w:tcPr>
            <w:tcW w:w="2284" w:type="dxa"/>
            <w:tcBorders>
              <w:top w:val="nil"/>
              <w:left w:val="single" w:color="000000" w:sz="16" w:space="0"/>
              <w:bottom w:val="nil"/>
              <w:right w:val="single" w:color="000000" w:sz="16" w:space="0"/>
            </w:tcBorders>
            <w:shd w:val="clear" w:color="auto" w:fill="FFFFFF"/>
          </w:tcPr>
          <w:p w14:paraId="24982C50">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BI1</w:t>
            </w:r>
          </w:p>
        </w:tc>
        <w:tc>
          <w:tcPr>
            <w:tcW w:w="1379" w:type="dxa"/>
            <w:tcBorders>
              <w:top w:val="nil"/>
              <w:left w:val="single" w:color="000000" w:sz="16" w:space="0"/>
              <w:bottom w:val="nil"/>
            </w:tcBorders>
            <w:shd w:val="clear" w:color="auto" w:fill="FFFFFF"/>
            <w:vAlign w:val="center"/>
          </w:tcPr>
          <w:p w14:paraId="7CE8C064">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0829B98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-.731</w:t>
            </w:r>
          </w:p>
        </w:tc>
        <w:tc>
          <w:tcPr>
            <w:tcW w:w="1441" w:type="dxa"/>
            <w:tcBorders>
              <w:top w:val="nil"/>
              <w:bottom w:val="nil"/>
            </w:tcBorders>
            <w:shd w:val="clear" w:color="auto" w:fill="FFFFFF"/>
            <w:vAlign w:val="center"/>
          </w:tcPr>
          <w:p w14:paraId="43BF845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25444FE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.426</w:t>
            </w:r>
          </w:p>
        </w:tc>
        <w:tc>
          <w:tcPr>
            <w:tcW w:w="1441" w:type="dxa"/>
            <w:tcBorders>
              <w:top w:val="nil"/>
              <w:bottom w:val="nil"/>
              <w:right w:val="single" w:color="000000" w:sz="16" w:space="0"/>
            </w:tcBorders>
            <w:shd w:val="clear" w:color="auto" w:fill="FFFFFF"/>
            <w:vAlign w:val="center"/>
          </w:tcPr>
          <w:p w14:paraId="48BA0C0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231EFE1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7589C205">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BI2</w:t>
            </w:r>
          </w:p>
        </w:tc>
        <w:tc>
          <w:tcPr>
            <w:tcW w:w="1379" w:type="dxa"/>
            <w:tcBorders>
              <w:top w:val="nil"/>
              <w:left w:val="single" w:color="000000" w:sz="16" w:space="0"/>
              <w:bottom w:val="nil"/>
            </w:tcBorders>
            <w:shd w:val="clear" w:color="auto" w:fill="FFFFFF"/>
            <w:vAlign w:val="center"/>
          </w:tcPr>
          <w:p w14:paraId="40E52E4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332C57F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-.814</w:t>
            </w:r>
          </w:p>
        </w:tc>
        <w:tc>
          <w:tcPr>
            <w:tcW w:w="1441" w:type="dxa"/>
            <w:tcBorders>
              <w:top w:val="nil"/>
              <w:bottom w:val="nil"/>
            </w:tcBorders>
            <w:shd w:val="clear" w:color="auto" w:fill="FFFFFF"/>
            <w:vAlign w:val="center"/>
          </w:tcPr>
          <w:p w14:paraId="47369AB5">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14D9E9A6">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.704</w:t>
            </w:r>
          </w:p>
        </w:tc>
        <w:tc>
          <w:tcPr>
            <w:tcW w:w="1441" w:type="dxa"/>
            <w:tcBorders>
              <w:top w:val="nil"/>
              <w:bottom w:val="nil"/>
              <w:right w:val="single" w:color="000000" w:sz="16" w:space="0"/>
            </w:tcBorders>
            <w:shd w:val="clear" w:color="auto" w:fill="FFFFFF"/>
            <w:vAlign w:val="center"/>
          </w:tcPr>
          <w:p w14:paraId="06E53B4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4C3EB0E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7705704B">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BI3</w:t>
            </w:r>
          </w:p>
        </w:tc>
        <w:tc>
          <w:tcPr>
            <w:tcW w:w="1379" w:type="dxa"/>
            <w:tcBorders>
              <w:top w:val="nil"/>
              <w:left w:val="single" w:color="000000" w:sz="16" w:space="0"/>
              <w:bottom w:val="nil"/>
            </w:tcBorders>
            <w:shd w:val="clear" w:color="auto" w:fill="FFFFFF"/>
            <w:vAlign w:val="center"/>
          </w:tcPr>
          <w:p w14:paraId="26B1EE3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130BE53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-.698</w:t>
            </w:r>
          </w:p>
        </w:tc>
        <w:tc>
          <w:tcPr>
            <w:tcW w:w="1441" w:type="dxa"/>
            <w:tcBorders>
              <w:top w:val="nil"/>
              <w:bottom w:val="nil"/>
            </w:tcBorders>
            <w:shd w:val="clear" w:color="auto" w:fill="FFFFFF"/>
            <w:vAlign w:val="center"/>
          </w:tcPr>
          <w:p w14:paraId="4A65E5F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423342C4">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.201</w:t>
            </w:r>
          </w:p>
        </w:tc>
        <w:tc>
          <w:tcPr>
            <w:tcW w:w="1441" w:type="dxa"/>
            <w:tcBorders>
              <w:top w:val="nil"/>
              <w:bottom w:val="nil"/>
              <w:right w:val="single" w:color="000000" w:sz="16" w:space="0"/>
            </w:tcBorders>
            <w:shd w:val="clear" w:color="auto" w:fill="FFFFFF"/>
            <w:vAlign w:val="center"/>
          </w:tcPr>
          <w:p w14:paraId="4395287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0132355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8" w:hRule="atLeast"/>
        </w:trPr>
        <w:tc>
          <w:tcPr>
            <w:tcW w:w="2284" w:type="dxa"/>
            <w:tcBorders>
              <w:top w:val="nil"/>
              <w:left w:val="single" w:color="000000" w:sz="16" w:space="0"/>
              <w:bottom w:val="nil"/>
              <w:right w:val="single" w:color="000000" w:sz="16" w:space="0"/>
            </w:tcBorders>
            <w:shd w:val="clear" w:color="auto" w:fill="FFFFFF"/>
          </w:tcPr>
          <w:p w14:paraId="1C156CEE">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BI4</w:t>
            </w:r>
          </w:p>
        </w:tc>
        <w:tc>
          <w:tcPr>
            <w:tcW w:w="1379" w:type="dxa"/>
            <w:tcBorders>
              <w:top w:val="nil"/>
              <w:left w:val="single" w:color="000000" w:sz="16" w:space="0"/>
              <w:bottom w:val="nil"/>
            </w:tcBorders>
            <w:shd w:val="clear" w:color="auto" w:fill="FFFFFF"/>
            <w:vAlign w:val="center"/>
          </w:tcPr>
          <w:p w14:paraId="7D00A63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1CF5C8A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-.448</w:t>
            </w:r>
          </w:p>
        </w:tc>
        <w:tc>
          <w:tcPr>
            <w:tcW w:w="1441" w:type="dxa"/>
            <w:tcBorders>
              <w:top w:val="nil"/>
              <w:bottom w:val="nil"/>
            </w:tcBorders>
            <w:shd w:val="clear" w:color="auto" w:fill="FFFFFF"/>
            <w:vAlign w:val="center"/>
          </w:tcPr>
          <w:p w14:paraId="1C1F7088">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7D2CDE4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-.044</w:t>
            </w:r>
          </w:p>
        </w:tc>
        <w:tc>
          <w:tcPr>
            <w:tcW w:w="1441" w:type="dxa"/>
            <w:tcBorders>
              <w:top w:val="nil"/>
              <w:bottom w:val="nil"/>
              <w:right w:val="single" w:color="000000" w:sz="16" w:space="0"/>
            </w:tcBorders>
            <w:shd w:val="clear" w:color="auto" w:fill="FFFFFF"/>
            <w:vAlign w:val="center"/>
          </w:tcPr>
          <w:p w14:paraId="3D5857E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1D987F5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7E34B89F">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BI5</w:t>
            </w:r>
          </w:p>
        </w:tc>
        <w:tc>
          <w:tcPr>
            <w:tcW w:w="1379" w:type="dxa"/>
            <w:tcBorders>
              <w:top w:val="nil"/>
              <w:left w:val="single" w:color="000000" w:sz="16" w:space="0"/>
              <w:bottom w:val="nil"/>
            </w:tcBorders>
            <w:shd w:val="clear" w:color="auto" w:fill="FFFFFF"/>
            <w:vAlign w:val="center"/>
          </w:tcPr>
          <w:p w14:paraId="479B953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36B72755">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-.624</w:t>
            </w:r>
          </w:p>
        </w:tc>
        <w:tc>
          <w:tcPr>
            <w:tcW w:w="1441" w:type="dxa"/>
            <w:tcBorders>
              <w:top w:val="nil"/>
              <w:bottom w:val="nil"/>
            </w:tcBorders>
            <w:shd w:val="clear" w:color="auto" w:fill="FFFFFF"/>
            <w:vAlign w:val="center"/>
          </w:tcPr>
          <w:p w14:paraId="2B6CBA0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05286ED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.009</w:t>
            </w:r>
          </w:p>
        </w:tc>
        <w:tc>
          <w:tcPr>
            <w:tcW w:w="1441" w:type="dxa"/>
            <w:tcBorders>
              <w:top w:val="nil"/>
              <w:bottom w:val="nil"/>
              <w:right w:val="single" w:color="000000" w:sz="16" w:space="0"/>
            </w:tcBorders>
            <w:shd w:val="clear" w:color="auto" w:fill="FFFFFF"/>
            <w:vAlign w:val="center"/>
          </w:tcPr>
          <w:p w14:paraId="7B30E39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07592B9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7E58D6FB">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RI1</w:t>
            </w:r>
          </w:p>
        </w:tc>
        <w:tc>
          <w:tcPr>
            <w:tcW w:w="1379" w:type="dxa"/>
            <w:tcBorders>
              <w:top w:val="nil"/>
              <w:left w:val="single" w:color="000000" w:sz="16" w:space="0"/>
              <w:bottom w:val="nil"/>
            </w:tcBorders>
            <w:shd w:val="clear" w:color="auto" w:fill="FFFFFF"/>
            <w:vAlign w:val="center"/>
          </w:tcPr>
          <w:p w14:paraId="313C60D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745C8D3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-.566</w:t>
            </w:r>
          </w:p>
        </w:tc>
        <w:tc>
          <w:tcPr>
            <w:tcW w:w="1441" w:type="dxa"/>
            <w:tcBorders>
              <w:top w:val="nil"/>
              <w:bottom w:val="nil"/>
            </w:tcBorders>
            <w:shd w:val="clear" w:color="auto" w:fill="FFFFFF"/>
            <w:vAlign w:val="center"/>
          </w:tcPr>
          <w:p w14:paraId="1DA196A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5B1C3B7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441" w:type="dxa"/>
            <w:tcBorders>
              <w:top w:val="nil"/>
              <w:bottom w:val="nil"/>
              <w:right w:val="single" w:color="000000" w:sz="16" w:space="0"/>
            </w:tcBorders>
            <w:shd w:val="clear" w:color="auto" w:fill="FFFFFF"/>
            <w:vAlign w:val="center"/>
          </w:tcPr>
          <w:p w14:paraId="6522E93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25C8652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8" w:hRule="atLeast"/>
        </w:trPr>
        <w:tc>
          <w:tcPr>
            <w:tcW w:w="2284" w:type="dxa"/>
            <w:tcBorders>
              <w:top w:val="nil"/>
              <w:left w:val="single" w:color="000000" w:sz="16" w:space="0"/>
              <w:bottom w:val="nil"/>
              <w:right w:val="single" w:color="000000" w:sz="16" w:space="0"/>
            </w:tcBorders>
            <w:shd w:val="clear" w:color="auto" w:fill="FFFFFF"/>
          </w:tcPr>
          <w:p w14:paraId="02EAD099">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RI2</w:t>
            </w:r>
          </w:p>
        </w:tc>
        <w:tc>
          <w:tcPr>
            <w:tcW w:w="1379" w:type="dxa"/>
            <w:tcBorders>
              <w:top w:val="nil"/>
              <w:left w:val="single" w:color="000000" w:sz="16" w:space="0"/>
              <w:bottom w:val="nil"/>
            </w:tcBorders>
            <w:shd w:val="clear" w:color="auto" w:fill="FFFFFF"/>
            <w:vAlign w:val="center"/>
          </w:tcPr>
          <w:p w14:paraId="055137A8">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17D0D2B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-.429</w:t>
            </w:r>
          </w:p>
        </w:tc>
        <w:tc>
          <w:tcPr>
            <w:tcW w:w="1441" w:type="dxa"/>
            <w:tcBorders>
              <w:top w:val="nil"/>
              <w:bottom w:val="nil"/>
            </w:tcBorders>
            <w:shd w:val="clear" w:color="auto" w:fill="FFFFFF"/>
            <w:vAlign w:val="center"/>
          </w:tcPr>
          <w:p w14:paraId="4131A206">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2821971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.007</w:t>
            </w:r>
          </w:p>
        </w:tc>
        <w:tc>
          <w:tcPr>
            <w:tcW w:w="1441" w:type="dxa"/>
            <w:tcBorders>
              <w:top w:val="nil"/>
              <w:bottom w:val="nil"/>
              <w:right w:val="single" w:color="000000" w:sz="16" w:space="0"/>
            </w:tcBorders>
            <w:shd w:val="clear" w:color="auto" w:fill="FFFFFF"/>
            <w:vAlign w:val="center"/>
          </w:tcPr>
          <w:p w14:paraId="2BACF89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129E6B5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13DE90BF">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RI3</w:t>
            </w:r>
          </w:p>
        </w:tc>
        <w:tc>
          <w:tcPr>
            <w:tcW w:w="1379" w:type="dxa"/>
            <w:tcBorders>
              <w:top w:val="nil"/>
              <w:left w:val="single" w:color="000000" w:sz="16" w:space="0"/>
              <w:bottom w:val="nil"/>
            </w:tcBorders>
            <w:shd w:val="clear" w:color="auto" w:fill="FFFFFF"/>
            <w:vAlign w:val="center"/>
          </w:tcPr>
          <w:p w14:paraId="5C63AC9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76E17924">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-.182</w:t>
            </w:r>
          </w:p>
        </w:tc>
        <w:tc>
          <w:tcPr>
            <w:tcW w:w="1441" w:type="dxa"/>
            <w:tcBorders>
              <w:top w:val="nil"/>
              <w:bottom w:val="nil"/>
            </w:tcBorders>
            <w:shd w:val="clear" w:color="auto" w:fill="FFFFFF"/>
            <w:vAlign w:val="center"/>
          </w:tcPr>
          <w:p w14:paraId="42F15B2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4043CC5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-.358</w:t>
            </w:r>
          </w:p>
        </w:tc>
        <w:tc>
          <w:tcPr>
            <w:tcW w:w="1441" w:type="dxa"/>
            <w:tcBorders>
              <w:top w:val="nil"/>
              <w:bottom w:val="nil"/>
              <w:right w:val="single" w:color="000000" w:sz="16" w:space="0"/>
            </w:tcBorders>
            <w:shd w:val="clear" w:color="auto" w:fill="FFFFFF"/>
            <w:vAlign w:val="center"/>
          </w:tcPr>
          <w:p w14:paraId="04036DF8">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7757A2E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6288641C">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RI4</w:t>
            </w:r>
          </w:p>
        </w:tc>
        <w:tc>
          <w:tcPr>
            <w:tcW w:w="1379" w:type="dxa"/>
            <w:tcBorders>
              <w:top w:val="nil"/>
              <w:left w:val="single" w:color="000000" w:sz="16" w:space="0"/>
              <w:bottom w:val="nil"/>
            </w:tcBorders>
            <w:shd w:val="clear" w:color="auto" w:fill="FFFFFF"/>
            <w:vAlign w:val="center"/>
          </w:tcPr>
          <w:p w14:paraId="257563E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23869E0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-.599</w:t>
            </w:r>
          </w:p>
        </w:tc>
        <w:tc>
          <w:tcPr>
            <w:tcW w:w="1441" w:type="dxa"/>
            <w:tcBorders>
              <w:top w:val="nil"/>
              <w:bottom w:val="nil"/>
            </w:tcBorders>
            <w:shd w:val="clear" w:color="auto" w:fill="FFFFFF"/>
            <w:vAlign w:val="center"/>
          </w:tcPr>
          <w:p w14:paraId="7E69A88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3673BE34">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.248</w:t>
            </w:r>
          </w:p>
        </w:tc>
        <w:tc>
          <w:tcPr>
            <w:tcW w:w="1441" w:type="dxa"/>
            <w:tcBorders>
              <w:top w:val="nil"/>
              <w:bottom w:val="nil"/>
              <w:right w:val="single" w:color="000000" w:sz="16" w:space="0"/>
            </w:tcBorders>
            <w:shd w:val="clear" w:color="auto" w:fill="FFFFFF"/>
            <w:vAlign w:val="center"/>
          </w:tcPr>
          <w:p w14:paraId="1154A55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394164D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8" w:hRule="atLeast"/>
        </w:trPr>
        <w:tc>
          <w:tcPr>
            <w:tcW w:w="2284" w:type="dxa"/>
            <w:tcBorders>
              <w:top w:val="nil"/>
              <w:left w:val="single" w:color="000000" w:sz="16" w:space="0"/>
              <w:bottom w:val="nil"/>
              <w:right w:val="single" w:color="000000" w:sz="16" w:space="0"/>
            </w:tcBorders>
            <w:shd w:val="clear" w:color="auto" w:fill="FFFFFF"/>
          </w:tcPr>
          <w:p w14:paraId="7811E091">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IBB1</w:t>
            </w:r>
          </w:p>
        </w:tc>
        <w:tc>
          <w:tcPr>
            <w:tcW w:w="1379" w:type="dxa"/>
            <w:tcBorders>
              <w:top w:val="nil"/>
              <w:left w:val="single" w:color="000000" w:sz="16" w:space="0"/>
              <w:bottom w:val="nil"/>
            </w:tcBorders>
            <w:shd w:val="clear" w:color="auto" w:fill="FFFFFF"/>
            <w:vAlign w:val="center"/>
          </w:tcPr>
          <w:p w14:paraId="60E11AB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36CB3BB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-.171</w:t>
            </w:r>
          </w:p>
        </w:tc>
        <w:tc>
          <w:tcPr>
            <w:tcW w:w="1441" w:type="dxa"/>
            <w:tcBorders>
              <w:top w:val="nil"/>
              <w:bottom w:val="nil"/>
            </w:tcBorders>
            <w:shd w:val="clear" w:color="auto" w:fill="FFFFFF"/>
            <w:vAlign w:val="center"/>
          </w:tcPr>
          <w:p w14:paraId="2DBFD0A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32B3537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-.742</w:t>
            </w:r>
          </w:p>
        </w:tc>
        <w:tc>
          <w:tcPr>
            <w:tcW w:w="1441" w:type="dxa"/>
            <w:tcBorders>
              <w:top w:val="nil"/>
              <w:bottom w:val="nil"/>
              <w:right w:val="single" w:color="000000" w:sz="16" w:space="0"/>
            </w:tcBorders>
            <w:shd w:val="clear" w:color="auto" w:fill="FFFFFF"/>
            <w:vAlign w:val="center"/>
          </w:tcPr>
          <w:p w14:paraId="249668D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54507D9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1CC73AD1">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IBB2</w:t>
            </w:r>
          </w:p>
        </w:tc>
        <w:tc>
          <w:tcPr>
            <w:tcW w:w="1379" w:type="dxa"/>
            <w:tcBorders>
              <w:top w:val="nil"/>
              <w:left w:val="single" w:color="000000" w:sz="16" w:space="0"/>
              <w:bottom w:val="nil"/>
            </w:tcBorders>
            <w:shd w:val="clear" w:color="auto" w:fill="FFFFFF"/>
            <w:vAlign w:val="center"/>
          </w:tcPr>
          <w:p w14:paraId="2228372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7BD9654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-.380</w:t>
            </w:r>
          </w:p>
        </w:tc>
        <w:tc>
          <w:tcPr>
            <w:tcW w:w="1441" w:type="dxa"/>
            <w:tcBorders>
              <w:top w:val="nil"/>
              <w:bottom w:val="nil"/>
            </w:tcBorders>
            <w:shd w:val="clear" w:color="auto" w:fill="FFFFFF"/>
            <w:vAlign w:val="center"/>
          </w:tcPr>
          <w:p w14:paraId="5E0E596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6787FEA8">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-.467</w:t>
            </w:r>
          </w:p>
        </w:tc>
        <w:tc>
          <w:tcPr>
            <w:tcW w:w="1441" w:type="dxa"/>
            <w:tcBorders>
              <w:top w:val="nil"/>
              <w:bottom w:val="nil"/>
              <w:right w:val="single" w:color="000000" w:sz="16" w:space="0"/>
            </w:tcBorders>
            <w:shd w:val="clear" w:color="auto" w:fill="FFFFFF"/>
            <w:vAlign w:val="center"/>
          </w:tcPr>
          <w:p w14:paraId="67416F1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1D9BE82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nil"/>
              <w:right w:val="single" w:color="000000" w:sz="16" w:space="0"/>
            </w:tcBorders>
            <w:shd w:val="clear" w:color="auto" w:fill="FFFFFF"/>
          </w:tcPr>
          <w:p w14:paraId="2EEE9300">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IBB3</w:t>
            </w:r>
          </w:p>
        </w:tc>
        <w:tc>
          <w:tcPr>
            <w:tcW w:w="1379" w:type="dxa"/>
            <w:tcBorders>
              <w:top w:val="nil"/>
              <w:left w:val="single" w:color="000000" w:sz="16" w:space="0"/>
              <w:bottom w:val="nil"/>
            </w:tcBorders>
            <w:shd w:val="clear" w:color="auto" w:fill="FFFFFF"/>
            <w:vAlign w:val="center"/>
          </w:tcPr>
          <w:p w14:paraId="118A209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7B12416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-.460</w:t>
            </w:r>
          </w:p>
        </w:tc>
        <w:tc>
          <w:tcPr>
            <w:tcW w:w="1441" w:type="dxa"/>
            <w:tcBorders>
              <w:top w:val="nil"/>
              <w:bottom w:val="nil"/>
            </w:tcBorders>
            <w:shd w:val="clear" w:color="auto" w:fill="FFFFFF"/>
            <w:vAlign w:val="center"/>
          </w:tcPr>
          <w:p w14:paraId="066353B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2B8EC0B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-.292</w:t>
            </w:r>
          </w:p>
        </w:tc>
        <w:tc>
          <w:tcPr>
            <w:tcW w:w="1441" w:type="dxa"/>
            <w:tcBorders>
              <w:top w:val="nil"/>
              <w:bottom w:val="nil"/>
              <w:right w:val="single" w:color="000000" w:sz="16" w:space="0"/>
            </w:tcBorders>
            <w:shd w:val="clear" w:color="auto" w:fill="FFFFFF"/>
            <w:vAlign w:val="center"/>
          </w:tcPr>
          <w:p w14:paraId="1E82DE6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4C810D6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8" w:hRule="atLeast"/>
        </w:trPr>
        <w:tc>
          <w:tcPr>
            <w:tcW w:w="2284" w:type="dxa"/>
            <w:tcBorders>
              <w:top w:val="nil"/>
              <w:left w:val="single" w:color="000000" w:sz="16" w:space="0"/>
              <w:bottom w:val="nil"/>
              <w:right w:val="single" w:color="000000" w:sz="16" w:space="0"/>
            </w:tcBorders>
            <w:shd w:val="clear" w:color="auto" w:fill="FFFFFF"/>
          </w:tcPr>
          <w:p w14:paraId="01269B08">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IBB4</w:t>
            </w:r>
          </w:p>
        </w:tc>
        <w:tc>
          <w:tcPr>
            <w:tcW w:w="1379" w:type="dxa"/>
            <w:tcBorders>
              <w:top w:val="nil"/>
              <w:left w:val="single" w:color="000000" w:sz="16" w:space="0"/>
              <w:bottom w:val="nil"/>
            </w:tcBorders>
            <w:shd w:val="clear" w:color="auto" w:fill="FFFFFF"/>
            <w:vAlign w:val="center"/>
          </w:tcPr>
          <w:p w14:paraId="41163A7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nil"/>
            </w:tcBorders>
            <w:shd w:val="clear" w:color="auto" w:fill="FFFFFF"/>
            <w:vAlign w:val="center"/>
          </w:tcPr>
          <w:p w14:paraId="0CCE397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-.290</w:t>
            </w:r>
          </w:p>
        </w:tc>
        <w:tc>
          <w:tcPr>
            <w:tcW w:w="1441" w:type="dxa"/>
            <w:tcBorders>
              <w:top w:val="nil"/>
              <w:bottom w:val="nil"/>
            </w:tcBorders>
            <w:shd w:val="clear" w:color="auto" w:fill="FFFFFF"/>
            <w:vAlign w:val="center"/>
          </w:tcPr>
          <w:p w14:paraId="5E7FFCD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.153</w:t>
            </w:r>
          </w:p>
        </w:tc>
        <w:tc>
          <w:tcPr>
            <w:tcW w:w="1379" w:type="dxa"/>
            <w:tcBorders>
              <w:top w:val="nil"/>
              <w:bottom w:val="nil"/>
            </w:tcBorders>
            <w:shd w:val="clear" w:color="auto" w:fill="FFFFFF"/>
            <w:vAlign w:val="center"/>
          </w:tcPr>
          <w:p w14:paraId="6F13F08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-.756</w:t>
            </w:r>
          </w:p>
        </w:tc>
        <w:tc>
          <w:tcPr>
            <w:tcW w:w="1441" w:type="dxa"/>
            <w:tcBorders>
              <w:top w:val="nil"/>
              <w:bottom w:val="nil"/>
              <w:right w:val="single" w:color="000000" w:sz="16" w:space="0"/>
            </w:tcBorders>
            <w:shd w:val="clear" w:color="auto" w:fill="FFFFFF"/>
            <w:vAlign w:val="center"/>
          </w:tcPr>
          <w:p w14:paraId="6AFED01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.305</w:t>
            </w:r>
          </w:p>
        </w:tc>
      </w:tr>
      <w:tr w14:paraId="089F17E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5" w:hRule="atLeast"/>
        </w:trPr>
        <w:tc>
          <w:tcPr>
            <w:tcW w:w="2284" w:type="dxa"/>
            <w:tcBorders>
              <w:top w:val="nil"/>
              <w:left w:val="single" w:color="000000" w:sz="16" w:space="0"/>
              <w:bottom w:val="single" w:color="000000" w:sz="16" w:space="0"/>
              <w:right w:val="single" w:color="000000" w:sz="16" w:space="0"/>
            </w:tcBorders>
            <w:shd w:val="clear" w:color="auto" w:fill="FFFFFF"/>
          </w:tcPr>
          <w:p w14:paraId="0DEBA0DB">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Valid N (listwise)</w:t>
            </w:r>
          </w:p>
        </w:tc>
        <w:tc>
          <w:tcPr>
            <w:tcW w:w="1379" w:type="dxa"/>
            <w:tcBorders>
              <w:top w:val="nil"/>
              <w:left w:val="single" w:color="000000" w:sz="16" w:space="0"/>
              <w:bottom w:val="single" w:color="000000" w:sz="16" w:space="0"/>
            </w:tcBorders>
            <w:shd w:val="clear" w:color="auto" w:fill="FFFFFF"/>
            <w:vAlign w:val="center"/>
          </w:tcPr>
          <w:p w14:paraId="238697C6">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79" w:type="dxa"/>
            <w:tcBorders>
              <w:top w:val="nil"/>
              <w:bottom w:val="single" w:color="000000" w:sz="16" w:space="0"/>
            </w:tcBorders>
            <w:shd w:val="clear" w:color="auto" w:fill="FFFFFF"/>
            <w:vAlign w:val="center"/>
          </w:tcPr>
          <w:p w14:paraId="7D7952D4">
            <w:pPr>
              <w:autoSpaceDE w:val="0"/>
              <w:autoSpaceDN w:val="0"/>
              <w:adjustRightInd w:val="0"/>
              <w:spacing w:after="0" w:line="600" w:lineRule="auto"/>
              <w:rPr>
                <w:rFonts w:ascii="Times New Roman" w:hAnsi="Times New Roman" w:cs="Times New Roman"/>
              </w:rPr>
            </w:pPr>
          </w:p>
        </w:tc>
        <w:tc>
          <w:tcPr>
            <w:tcW w:w="1441" w:type="dxa"/>
            <w:tcBorders>
              <w:top w:val="nil"/>
              <w:bottom w:val="single" w:color="000000" w:sz="16" w:space="0"/>
            </w:tcBorders>
            <w:shd w:val="clear" w:color="auto" w:fill="FFFFFF"/>
            <w:vAlign w:val="center"/>
          </w:tcPr>
          <w:p w14:paraId="326B8F4B">
            <w:pPr>
              <w:autoSpaceDE w:val="0"/>
              <w:autoSpaceDN w:val="0"/>
              <w:adjustRightInd w:val="0"/>
              <w:spacing w:after="0" w:line="600" w:lineRule="auto"/>
              <w:rPr>
                <w:rFonts w:ascii="Times New Roman" w:hAnsi="Times New Roman" w:cs="Times New Roman"/>
              </w:rPr>
            </w:pPr>
          </w:p>
        </w:tc>
        <w:tc>
          <w:tcPr>
            <w:tcW w:w="1379" w:type="dxa"/>
            <w:tcBorders>
              <w:top w:val="nil"/>
              <w:bottom w:val="single" w:color="000000" w:sz="16" w:space="0"/>
            </w:tcBorders>
            <w:shd w:val="clear" w:color="auto" w:fill="FFFFFF"/>
            <w:vAlign w:val="center"/>
          </w:tcPr>
          <w:p w14:paraId="636508E2">
            <w:pPr>
              <w:autoSpaceDE w:val="0"/>
              <w:autoSpaceDN w:val="0"/>
              <w:adjustRightInd w:val="0"/>
              <w:spacing w:after="0" w:line="600" w:lineRule="auto"/>
              <w:rPr>
                <w:rFonts w:ascii="Times New Roman" w:hAnsi="Times New Roman" w:cs="Times New Roman"/>
              </w:rPr>
            </w:pPr>
          </w:p>
        </w:tc>
        <w:tc>
          <w:tcPr>
            <w:tcW w:w="1441" w:type="dxa"/>
            <w:tcBorders>
              <w:top w:val="nil"/>
              <w:bottom w:val="single" w:color="000000" w:sz="16" w:space="0"/>
              <w:right w:val="single" w:color="000000" w:sz="16" w:space="0"/>
            </w:tcBorders>
            <w:shd w:val="clear" w:color="auto" w:fill="FFFFFF"/>
            <w:vAlign w:val="center"/>
          </w:tcPr>
          <w:p w14:paraId="3612C1BC">
            <w:pPr>
              <w:autoSpaceDE w:val="0"/>
              <w:autoSpaceDN w:val="0"/>
              <w:adjustRightInd w:val="0"/>
              <w:spacing w:after="0" w:line="600" w:lineRule="auto"/>
              <w:rPr>
                <w:rFonts w:ascii="Times New Roman" w:hAnsi="Times New Roman" w:cs="Times New Roman"/>
              </w:rPr>
            </w:pPr>
          </w:p>
        </w:tc>
      </w:tr>
    </w:tbl>
    <w:p w14:paraId="5A649AC9">
      <w:pPr>
        <w:autoSpaceDE w:val="0"/>
        <w:autoSpaceDN w:val="0"/>
        <w:adjustRightInd w:val="0"/>
        <w:spacing w:after="0" w:line="600" w:lineRule="auto"/>
        <w:rPr>
          <w:rFonts w:ascii="Times New Roman" w:hAnsi="Times New Roman" w:cs="Times New Roman"/>
        </w:rPr>
      </w:pPr>
    </w:p>
    <w:p w14:paraId="091A4873">
      <w:pPr>
        <w:autoSpaceDE w:val="0"/>
        <w:autoSpaceDN w:val="0"/>
        <w:adjustRightInd w:val="0"/>
        <w:spacing w:after="0" w:line="600" w:lineRule="auto"/>
        <w:ind w:firstLine="720"/>
        <w:rPr>
          <w:rFonts w:ascii="Times New Roman" w:hAnsi="Times New Roman" w:cs="Times New Roman"/>
        </w:rPr>
      </w:pPr>
      <w:r>
        <w:rPr>
          <w:rFonts w:ascii="Times New Roman" w:hAnsi="Times New Roman" w:cs="Times New Roman"/>
        </w:rPr>
        <w:drawing>
          <wp:inline distT="0" distB="0" distL="0" distR="0">
            <wp:extent cx="4404360" cy="31610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434233" cy="3182419"/>
                    </a:xfrm>
                    <a:prstGeom prst="rect">
                      <a:avLst/>
                    </a:prstGeom>
                    <a:noFill/>
                    <a:ln>
                      <a:noFill/>
                    </a:ln>
                  </pic:spPr>
                </pic:pic>
              </a:graphicData>
            </a:graphic>
          </wp:inline>
        </w:drawing>
      </w:r>
    </w:p>
    <w:p w14:paraId="2D81E257">
      <w:pPr>
        <w:autoSpaceDE w:val="0"/>
        <w:autoSpaceDN w:val="0"/>
        <w:adjustRightInd w:val="0"/>
        <w:spacing w:after="0" w:line="600" w:lineRule="auto"/>
        <w:rPr>
          <w:rFonts w:ascii="Times New Roman" w:hAnsi="Times New Roman" w:cs="Times New Roman"/>
        </w:rPr>
      </w:pPr>
      <w:r>
        <w:rPr>
          <w:rFonts w:ascii="Times New Roman" w:hAnsi="Times New Roman" w:cs="Times New Roman"/>
        </w:rPr>
        <w:drawing>
          <wp:inline distT="0" distB="0" distL="0" distR="0">
            <wp:extent cx="4867275" cy="389382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867275" cy="3893820"/>
                    </a:xfrm>
                    <a:prstGeom prst="rect">
                      <a:avLst/>
                    </a:prstGeom>
                    <a:noFill/>
                    <a:ln>
                      <a:noFill/>
                    </a:ln>
                  </pic:spPr>
                </pic:pic>
              </a:graphicData>
            </a:graphic>
          </wp:inline>
        </w:drawing>
      </w:r>
    </w:p>
    <w:p w14:paraId="05798DB5">
      <w:pPr>
        <w:pStyle w:val="3"/>
        <w:spacing w:line="600" w:lineRule="auto"/>
        <w:rPr>
          <w:rFonts w:cs="Times New Roman"/>
          <w:sz w:val="22"/>
          <w:szCs w:val="22"/>
        </w:rPr>
      </w:pPr>
      <w:bookmarkStart w:id="31" w:name="_Toc197000231"/>
      <w:r>
        <w:rPr>
          <w:rFonts w:cs="Times New Roman"/>
          <w:sz w:val="22"/>
          <w:szCs w:val="22"/>
        </w:rPr>
        <w:t>Reliability Test:</w:t>
      </w:r>
      <w:bookmarkEnd w:id="31"/>
    </w:p>
    <w:p w14:paraId="71DD62A1">
      <w:pPr>
        <w:spacing w:line="600" w:lineRule="auto"/>
        <w:jc w:val="both"/>
        <w:rPr>
          <w:rFonts w:ascii="Times New Roman" w:hAnsi="Times New Roman" w:cs="Times New Roman"/>
        </w:rPr>
      </w:pPr>
      <w:r>
        <w:rPr>
          <w:rFonts w:ascii="Times New Roman" w:hAnsi="Times New Roman" w:cs="Times New Roman"/>
        </w:rPr>
        <w:t>A reliability analysis was conducted to evaluate the accuracy and consistency of the measures utilized in the study. According to Hair et al. (1998), a Cronbach’s Alpha value of ≥0.70 is considered acceptable. However, a value of ≥0.5 may indicate poor internal consistency (Cortina, 1993). Individual reliability checks were performed for each variable included in the study. The Cronbach’s Alpha values obtained were 0.526 for Sales &amp; Promotion (4 items), 0.653 for Revisit Intention (5 items), 0.708 for Brand Image (4 items), and 0.716 for Impulsive Buying Behavior (4 items). These values all meet the threshold for reliability, indicating that the data is dependable and consistent (Dittmar et al., 1995).</w:t>
      </w:r>
    </w:p>
    <w:p w14:paraId="72390BA8">
      <w:pPr>
        <w:pStyle w:val="4"/>
        <w:spacing w:line="600" w:lineRule="auto"/>
        <w:rPr>
          <w:rFonts w:cs="Times New Roman"/>
          <w:sz w:val="22"/>
          <w:szCs w:val="22"/>
        </w:rPr>
      </w:pPr>
      <w:bookmarkStart w:id="32" w:name="_Toc197000232"/>
      <w:r>
        <w:rPr>
          <w:rFonts w:cs="Times New Roman"/>
          <w:sz w:val="22"/>
          <w:szCs w:val="22"/>
        </w:rPr>
        <w:t>Correlation Analysis:</w:t>
      </w:r>
      <w:bookmarkEnd w:id="32"/>
    </w:p>
    <w:p w14:paraId="7AA9BF9E">
      <w:pPr>
        <w:spacing w:line="600" w:lineRule="auto"/>
        <w:jc w:val="both"/>
        <w:rPr>
          <w:rFonts w:ascii="Times New Roman" w:hAnsi="Times New Roman" w:cs="Times New Roman"/>
        </w:rPr>
      </w:pPr>
      <w:r>
        <w:rPr>
          <w:rFonts w:ascii="Times New Roman" w:hAnsi="Times New Roman" w:cs="Times New Roman"/>
        </w:rPr>
        <w:t>A correlation test was also performed to observe the correlation of variables between themselves and among other variables. The following table shows the correlation results.</w:t>
      </w:r>
    </w:p>
    <w:p w14:paraId="4D7EFA6E">
      <w:pPr>
        <w:autoSpaceDE w:val="0"/>
        <w:autoSpaceDN w:val="0"/>
        <w:adjustRightInd w:val="0"/>
        <w:spacing w:after="0" w:line="600" w:lineRule="auto"/>
        <w:rPr>
          <w:rFonts w:ascii="Times New Roman" w:hAnsi="Times New Roman" w:cs="Times New Roman"/>
        </w:rPr>
      </w:pPr>
    </w:p>
    <w:tbl>
      <w:tblPr>
        <w:tblStyle w:val="7"/>
        <w:tblW w:w="900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246"/>
        <w:gridCol w:w="2534"/>
        <w:gridCol w:w="1305"/>
        <w:gridCol w:w="1305"/>
        <w:gridCol w:w="1305"/>
        <w:gridCol w:w="1308"/>
      </w:tblGrid>
      <w:tr w14:paraId="6B5704E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87" w:hRule="atLeast"/>
        </w:trPr>
        <w:tc>
          <w:tcPr>
            <w:tcW w:w="9003" w:type="dxa"/>
            <w:gridSpan w:val="6"/>
            <w:tcBorders>
              <w:top w:val="nil"/>
              <w:left w:val="nil"/>
              <w:bottom w:val="nil"/>
              <w:right w:val="nil"/>
            </w:tcBorders>
            <w:shd w:val="clear" w:color="auto" w:fill="FFFFFF"/>
            <w:vAlign w:val="center"/>
          </w:tcPr>
          <w:p w14:paraId="1B5A1EA9">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b/>
                <w:bCs/>
                <w:color w:val="000000"/>
              </w:rPr>
              <w:t>Correlations</w:t>
            </w:r>
          </w:p>
        </w:tc>
      </w:tr>
      <w:tr w14:paraId="674622F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87" w:hRule="atLeast"/>
        </w:trPr>
        <w:tc>
          <w:tcPr>
            <w:tcW w:w="3780" w:type="dxa"/>
            <w:gridSpan w:val="2"/>
            <w:tcBorders>
              <w:top w:val="single" w:color="000000" w:sz="16" w:space="0"/>
              <w:left w:val="single" w:color="000000" w:sz="16" w:space="0"/>
              <w:bottom w:val="single" w:color="000000" w:sz="16" w:space="0"/>
              <w:right w:val="nil"/>
            </w:tcBorders>
            <w:shd w:val="clear" w:color="auto" w:fill="FFFFFF"/>
            <w:vAlign w:val="bottom"/>
          </w:tcPr>
          <w:p w14:paraId="0464AF2D">
            <w:pPr>
              <w:autoSpaceDE w:val="0"/>
              <w:autoSpaceDN w:val="0"/>
              <w:adjustRightInd w:val="0"/>
              <w:spacing w:after="0" w:line="600" w:lineRule="auto"/>
              <w:rPr>
                <w:rFonts w:ascii="Times New Roman" w:hAnsi="Times New Roman" w:cs="Times New Roman"/>
              </w:rPr>
            </w:pPr>
          </w:p>
        </w:tc>
        <w:tc>
          <w:tcPr>
            <w:tcW w:w="1305" w:type="dxa"/>
            <w:tcBorders>
              <w:top w:val="single" w:color="000000" w:sz="16" w:space="0"/>
              <w:left w:val="single" w:color="000000" w:sz="16" w:space="0"/>
              <w:bottom w:val="single" w:color="000000" w:sz="16" w:space="0"/>
            </w:tcBorders>
            <w:shd w:val="clear" w:color="auto" w:fill="FFFFFF"/>
            <w:vAlign w:val="bottom"/>
          </w:tcPr>
          <w:p w14:paraId="25A0F1F2">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Avg_SP</w:t>
            </w:r>
          </w:p>
        </w:tc>
        <w:tc>
          <w:tcPr>
            <w:tcW w:w="1305" w:type="dxa"/>
            <w:tcBorders>
              <w:top w:val="single" w:color="000000" w:sz="16" w:space="0"/>
              <w:bottom w:val="single" w:color="000000" w:sz="16" w:space="0"/>
            </w:tcBorders>
            <w:shd w:val="clear" w:color="auto" w:fill="FFFFFF"/>
            <w:vAlign w:val="bottom"/>
          </w:tcPr>
          <w:p w14:paraId="2A6E84EA">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Avg_BI</w:t>
            </w:r>
          </w:p>
        </w:tc>
        <w:tc>
          <w:tcPr>
            <w:tcW w:w="1305" w:type="dxa"/>
            <w:tcBorders>
              <w:top w:val="single" w:color="000000" w:sz="16" w:space="0"/>
              <w:bottom w:val="single" w:color="000000" w:sz="16" w:space="0"/>
            </w:tcBorders>
            <w:shd w:val="clear" w:color="auto" w:fill="FFFFFF"/>
            <w:vAlign w:val="bottom"/>
          </w:tcPr>
          <w:p w14:paraId="6CEDE118">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Avg_RI</w:t>
            </w:r>
          </w:p>
        </w:tc>
        <w:tc>
          <w:tcPr>
            <w:tcW w:w="1305" w:type="dxa"/>
            <w:tcBorders>
              <w:top w:val="single" w:color="000000" w:sz="16" w:space="0"/>
              <w:bottom w:val="single" w:color="000000" w:sz="16" w:space="0"/>
              <w:right w:val="single" w:color="000000" w:sz="16" w:space="0"/>
            </w:tcBorders>
            <w:shd w:val="clear" w:color="auto" w:fill="FFFFFF"/>
            <w:vAlign w:val="bottom"/>
          </w:tcPr>
          <w:p w14:paraId="7CE1389F">
            <w:pPr>
              <w:autoSpaceDE w:val="0"/>
              <w:autoSpaceDN w:val="0"/>
              <w:adjustRightInd w:val="0"/>
              <w:spacing w:after="0" w:line="600" w:lineRule="auto"/>
              <w:ind w:left="60" w:right="60"/>
              <w:jc w:val="center"/>
              <w:rPr>
                <w:rFonts w:ascii="Times New Roman" w:hAnsi="Times New Roman" w:cs="Times New Roman"/>
                <w:color w:val="000000"/>
              </w:rPr>
            </w:pPr>
            <w:r>
              <w:rPr>
                <w:rFonts w:ascii="Times New Roman" w:hAnsi="Times New Roman" w:cs="Times New Roman"/>
                <w:color w:val="000000"/>
              </w:rPr>
              <w:t>Avg_IBB</w:t>
            </w:r>
          </w:p>
        </w:tc>
      </w:tr>
      <w:tr w14:paraId="507EB30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87" w:hRule="atLeast"/>
        </w:trPr>
        <w:tc>
          <w:tcPr>
            <w:tcW w:w="1246" w:type="dxa"/>
            <w:vMerge w:val="restart"/>
            <w:tcBorders>
              <w:top w:val="single" w:color="000000" w:sz="16" w:space="0"/>
              <w:left w:val="single" w:color="000000" w:sz="16" w:space="0"/>
              <w:right w:val="nil"/>
            </w:tcBorders>
            <w:shd w:val="clear" w:color="auto" w:fill="FFFFFF"/>
          </w:tcPr>
          <w:p w14:paraId="08B88400">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Avg_SP</w:t>
            </w:r>
          </w:p>
        </w:tc>
        <w:tc>
          <w:tcPr>
            <w:tcW w:w="2534" w:type="dxa"/>
            <w:tcBorders>
              <w:top w:val="single" w:color="000000" w:sz="16" w:space="0"/>
              <w:left w:val="nil"/>
              <w:bottom w:val="nil"/>
              <w:right w:val="single" w:color="000000" w:sz="16" w:space="0"/>
            </w:tcBorders>
            <w:shd w:val="clear" w:color="auto" w:fill="FFFFFF"/>
          </w:tcPr>
          <w:p w14:paraId="29ACA9CD">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Pearson Correlation</w:t>
            </w:r>
          </w:p>
        </w:tc>
        <w:tc>
          <w:tcPr>
            <w:tcW w:w="1305" w:type="dxa"/>
            <w:tcBorders>
              <w:top w:val="single" w:color="000000" w:sz="16" w:space="0"/>
              <w:left w:val="single" w:color="000000" w:sz="16" w:space="0"/>
              <w:bottom w:val="nil"/>
            </w:tcBorders>
            <w:shd w:val="clear" w:color="auto" w:fill="FFFFFF"/>
            <w:vAlign w:val="center"/>
          </w:tcPr>
          <w:p w14:paraId="5FFAE0F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w:t>
            </w:r>
          </w:p>
        </w:tc>
        <w:tc>
          <w:tcPr>
            <w:tcW w:w="1305" w:type="dxa"/>
            <w:tcBorders>
              <w:top w:val="single" w:color="000000" w:sz="16" w:space="0"/>
              <w:bottom w:val="nil"/>
            </w:tcBorders>
            <w:shd w:val="clear" w:color="auto" w:fill="FFFFFF"/>
            <w:vAlign w:val="center"/>
          </w:tcPr>
          <w:p w14:paraId="3695F046">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.256</w:t>
            </w:r>
            <w:r>
              <w:rPr>
                <w:rFonts w:ascii="Times New Roman" w:hAnsi="Times New Roman" w:cs="Times New Roman"/>
                <w:color w:val="000000"/>
                <w:vertAlign w:val="superscript"/>
              </w:rPr>
              <w:t>**</w:t>
            </w:r>
          </w:p>
        </w:tc>
        <w:tc>
          <w:tcPr>
            <w:tcW w:w="1305" w:type="dxa"/>
            <w:tcBorders>
              <w:top w:val="single" w:color="000000" w:sz="16" w:space="0"/>
              <w:bottom w:val="nil"/>
            </w:tcBorders>
            <w:shd w:val="clear" w:color="auto" w:fill="FFFFFF"/>
            <w:vAlign w:val="center"/>
          </w:tcPr>
          <w:p w14:paraId="312F8745">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.192</w:t>
            </w:r>
            <w:r>
              <w:rPr>
                <w:rFonts w:ascii="Times New Roman" w:hAnsi="Times New Roman" w:cs="Times New Roman"/>
                <w:color w:val="000000"/>
                <w:vertAlign w:val="superscript"/>
              </w:rPr>
              <w:t>**</w:t>
            </w:r>
          </w:p>
        </w:tc>
        <w:tc>
          <w:tcPr>
            <w:tcW w:w="1305" w:type="dxa"/>
            <w:tcBorders>
              <w:top w:val="single" w:color="000000" w:sz="16" w:space="0"/>
              <w:bottom w:val="nil"/>
              <w:right w:val="single" w:color="000000" w:sz="16" w:space="0"/>
            </w:tcBorders>
            <w:shd w:val="clear" w:color="auto" w:fill="FFFFFF"/>
            <w:vAlign w:val="center"/>
          </w:tcPr>
          <w:p w14:paraId="076533B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.335</w:t>
            </w:r>
            <w:r>
              <w:rPr>
                <w:rFonts w:ascii="Times New Roman" w:hAnsi="Times New Roman" w:cs="Times New Roman"/>
                <w:color w:val="000000"/>
                <w:vertAlign w:val="superscript"/>
              </w:rPr>
              <w:t>**</w:t>
            </w:r>
          </w:p>
        </w:tc>
      </w:tr>
      <w:tr w14:paraId="0B5B595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0" w:hRule="atLeast"/>
        </w:trPr>
        <w:tc>
          <w:tcPr>
            <w:tcW w:w="1246" w:type="dxa"/>
            <w:vMerge w:val="continue"/>
            <w:tcBorders>
              <w:top w:val="single" w:color="000000" w:sz="16" w:space="0"/>
              <w:left w:val="single" w:color="000000" w:sz="16" w:space="0"/>
              <w:right w:val="nil"/>
            </w:tcBorders>
            <w:shd w:val="clear" w:color="auto" w:fill="FFFFFF"/>
          </w:tcPr>
          <w:p w14:paraId="27A7C7F3">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color="000000" w:sz="16" w:space="0"/>
            </w:tcBorders>
            <w:shd w:val="clear" w:color="auto" w:fill="FFFFFF"/>
          </w:tcPr>
          <w:p w14:paraId="6AAE8107">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Sig. (2-tailed)</w:t>
            </w:r>
          </w:p>
        </w:tc>
        <w:tc>
          <w:tcPr>
            <w:tcW w:w="1305" w:type="dxa"/>
            <w:tcBorders>
              <w:top w:val="nil"/>
              <w:left w:val="single" w:color="000000" w:sz="16" w:space="0"/>
              <w:bottom w:val="nil"/>
            </w:tcBorders>
            <w:shd w:val="clear" w:color="auto" w:fill="FFFFFF"/>
            <w:vAlign w:val="center"/>
          </w:tcPr>
          <w:p w14:paraId="4398DBE2">
            <w:pPr>
              <w:autoSpaceDE w:val="0"/>
              <w:autoSpaceDN w:val="0"/>
              <w:adjustRightInd w:val="0"/>
              <w:spacing w:after="0" w:line="600" w:lineRule="auto"/>
              <w:rPr>
                <w:rFonts w:ascii="Times New Roman" w:hAnsi="Times New Roman" w:cs="Times New Roman"/>
              </w:rPr>
            </w:pPr>
          </w:p>
        </w:tc>
        <w:tc>
          <w:tcPr>
            <w:tcW w:w="1305" w:type="dxa"/>
            <w:tcBorders>
              <w:top w:val="nil"/>
              <w:bottom w:val="nil"/>
            </w:tcBorders>
            <w:shd w:val="clear" w:color="auto" w:fill="FFFFFF"/>
            <w:vAlign w:val="center"/>
          </w:tcPr>
          <w:p w14:paraId="5A384DF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tcBorders>
            <w:shd w:val="clear" w:color="auto" w:fill="FFFFFF"/>
            <w:vAlign w:val="center"/>
          </w:tcPr>
          <w:p w14:paraId="3D14911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.002</w:t>
            </w:r>
          </w:p>
        </w:tc>
        <w:tc>
          <w:tcPr>
            <w:tcW w:w="1305" w:type="dxa"/>
            <w:tcBorders>
              <w:top w:val="nil"/>
              <w:bottom w:val="nil"/>
              <w:right w:val="single" w:color="000000" w:sz="16" w:space="0"/>
            </w:tcBorders>
            <w:shd w:val="clear" w:color="auto" w:fill="FFFFFF"/>
            <w:vAlign w:val="center"/>
          </w:tcPr>
          <w:p w14:paraId="590E0ED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r>
      <w:tr w14:paraId="1401D54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0" w:hRule="atLeast"/>
        </w:trPr>
        <w:tc>
          <w:tcPr>
            <w:tcW w:w="1246" w:type="dxa"/>
            <w:vMerge w:val="continue"/>
            <w:tcBorders>
              <w:top w:val="single" w:color="000000" w:sz="16" w:space="0"/>
              <w:left w:val="single" w:color="000000" w:sz="16" w:space="0"/>
              <w:right w:val="nil"/>
            </w:tcBorders>
            <w:shd w:val="clear" w:color="auto" w:fill="FFFFFF"/>
          </w:tcPr>
          <w:p w14:paraId="4A804523">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right w:val="single" w:color="000000" w:sz="16" w:space="0"/>
            </w:tcBorders>
            <w:shd w:val="clear" w:color="auto" w:fill="FFFFFF"/>
          </w:tcPr>
          <w:p w14:paraId="35E92F53">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N</w:t>
            </w:r>
          </w:p>
        </w:tc>
        <w:tc>
          <w:tcPr>
            <w:tcW w:w="1305" w:type="dxa"/>
            <w:tcBorders>
              <w:top w:val="nil"/>
              <w:left w:val="single" w:color="000000" w:sz="16" w:space="0"/>
            </w:tcBorders>
            <w:shd w:val="clear" w:color="auto" w:fill="FFFFFF"/>
            <w:vAlign w:val="center"/>
          </w:tcPr>
          <w:p w14:paraId="4DC9544D">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tcBorders>
            <w:shd w:val="clear" w:color="auto" w:fill="FFFFFF"/>
            <w:vAlign w:val="center"/>
          </w:tcPr>
          <w:p w14:paraId="3FB3DCF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tcBorders>
            <w:shd w:val="clear" w:color="auto" w:fill="FFFFFF"/>
            <w:vAlign w:val="center"/>
          </w:tcPr>
          <w:p w14:paraId="72301AF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right w:val="single" w:color="000000" w:sz="16" w:space="0"/>
            </w:tcBorders>
            <w:shd w:val="clear" w:color="auto" w:fill="FFFFFF"/>
            <w:vAlign w:val="center"/>
          </w:tcPr>
          <w:p w14:paraId="3A88250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r>
      <w:tr w14:paraId="61E2654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73" w:hRule="atLeast"/>
        </w:trPr>
        <w:tc>
          <w:tcPr>
            <w:tcW w:w="1246" w:type="dxa"/>
            <w:vMerge w:val="restart"/>
            <w:tcBorders>
              <w:top w:val="nil"/>
              <w:left w:val="single" w:color="000000" w:sz="16" w:space="0"/>
              <w:right w:val="nil"/>
            </w:tcBorders>
            <w:shd w:val="clear" w:color="auto" w:fill="FFFFFF"/>
          </w:tcPr>
          <w:p w14:paraId="255F4302">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Avg_BI</w:t>
            </w:r>
          </w:p>
        </w:tc>
        <w:tc>
          <w:tcPr>
            <w:tcW w:w="2534" w:type="dxa"/>
            <w:tcBorders>
              <w:top w:val="nil"/>
              <w:left w:val="nil"/>
              <w:bottom w:val="nil"/>
              <w:right w:val="single" w:color="000000" w:sz="16" w:space="0"/>
            </w:tcBorders>
            <w:shd w:val="clear" w:color="auto" w:fill="FFFFFF"/>
          </w:tcPr>
          <w:p w14:paraId="529A6B22">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Pearson Correlation</w:t>
            </w:r>
          </w:p>
        </w:tc>
        <w:tc>
          <w:tcPr>
            <w:tcW w:w="1305" w:type="dxa"/>
            <w:tcBorders>
              <w:top w:val="nil"/>
              <w:left w:val="single" w:color="000000" w:sz="16" w:space="0"/>
              <w:bottom w:val="nil"/>
            </w:tcBorders>
            <w:shd w:val="clear" w:color="auto" w:fill="FFFFFF"/>
            <w:vAlign w:val="center"/>
          </w:tcPr>
          <w:p w14:paraId="090CD52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.256</w:t>
            </w:r>
            <w:r>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4C5A6F9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w:t>
            </w:r>
          </w:p>
        </w:tc>
        <w:tc>
          <w:tcPr>
            <w:tcW w:w="1305" w:type="dxa"/>
            <w:tcBorders>
              <w:top w:val="nil"/>
              <w:bottom w:val="nil"/>
            </w:tcBorders>
            <w:shd w:val="clear" w:color="auto" w:fill="FFFFFF"/>
            <w:vAlign w:val="center"/>
          </w:tcPr>
          <w:p w14:paraId="4478E58D">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.502</w:t>
            </w:r>
            <w:r>
              <w:rPr>
                <w:rFonts w:ascii="Times New Roman" w:hAnsi="Times New Roman" w:cs="Times New Roman"/>
                <w:color w:val="000000"/>
                <w:vertAlign w:val="superscript"/>
              </w:rPr>
              <w:t>**</w:t>
            </w:r>
          </w:p>
        </w:tc>
        <w:tc>
          <w:tcPr>
            <w:tcW w:w="1305" w:type="dxa"/>
            <w:tcBorders>
              <w:top w:val="nil"/>
              <w:bottom w:val="nil"/>
              <w:right w:val="single" w:color="000000" w:sz="16" w:space="0"/>
            </w:tcBorders>
            <w:shd w:val="clear" w:color="auto" w:fill="FFFFFF"/>
            <w:vAlign w:val="center"/>
          </w:tcPr>
          <w:p w14:paraId="6D0B344D">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.402</w:t>
            </w:r>
            <w:r>
              <w:rPr>
                <w:rFonts w:ascii="Times New Roman" w:hAnsi="Times New Roman" w:cs="Times New Roman"/>
                <w:color w:val="000000"/>
                <w:vertAlign w:val="superscript"/>
              </w:rPr>
              <w:t>**</w:t>
            </w:r>
          </w:p>
        </w:tc>
      </w:tr>
      <w:tr w14:paraId="28B9B86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01" w:hRule="atLeast"/>
        </w:trPr>
        <w:tc>
          <w:tcPr>
            <w:tcW w:w="1246" w:type="dxa"/>
            <w:vMerge w:val="continue"/>
            <w:tcBorders>
              <w:top w:val="nil"/>
              <w:left w:val="single" w:color="000000" w:sz="16" w:space="0"/>
              <w:right w:val="nil"/>
            </w:tcBorders>
            <w:shd w:val="clear" w:color="auto" w:fill="FFFFFF"/>
          </w:tcPr>
          <w:p w14:paraId="45537569">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color="000000" w:sz="16" w:space="0"/>
            </w:tcBorders>
            <w:shd w:val="clear" w:color="auto" w:fill="FFFFFF"/>
          </w:tcPr>
          <w:p w14:paraId="2DCC0E38">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Sig. (2-tailed)</w:t>
            </w:r>
          </w:p>
        </w:tc>
        <w:tc>
          <w:tcPr>
            <w:tcW w:w="1305" w:type="dxa"/>
            <w:tcBorders>
              <w:top w:val="nil"/>
              <w:left w:val="single" w:color="000000" w:sz="16" w:space="0"/>
              <w:bottom w:val="nil"/>
            </w:tcBorders>
            <w:shd w:val="clear" w:color="auto" w:fill="FFFFFF"/>
            <w:vAlign w:val="center"/>
          </w:tcPr>
          <w:p w14:paraId="084A425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tcBorders>
            <w:shd w:val="clear" w:color="auto" w:fill="FFFFFF"/>
            <w:vAlign w:val="center"/>
          </w:tcPr>
          <w:p w14:paraId="23E03F87">
            <w:pPr>
              <w:autoSpaceDE w:val="0"/>
              <w:autoSpaceDN w:val="0"/>
              <w:adjustRightInd w:val="0"/>
              <w:spacing w:after="0" w:line="600" w:lineRule="auto"/>
              <w:rPr>
                <w:rFonts w:ascii="Times New Roman" w:hAnsi="Times New Roman" w:cs="Times New Roman"/>
              </w:rPr>
            </w:pPr>
          </w:p>
        </w:tc>
        <w:tc>
          <w:tcPr>
            <w:tcW w:w="1305" w:type="dxa"/>
            <w:tcBorders>
              <w:top w:val="nil"/>
              <w:bottom w:val="nil"/>
            </w:tcBorders>
            <w:shd w:val="clear" w:color="auto" w:fill="FFFFFF"/>
            <w:vAlign w:val="center"/>
          </w:tcPr>
          <w:p w14:paraId="6CF1E6CC">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right w:val="single" w:color="000000" w:sz="16" w:space="0"/>
            </w:tcBorders>
            <w:shd w:val="clear" w:color="auto" w:fill="FFFFFF"/>
            <w:vAlign w:val="center"/>
          </w:tcPr>
          <w:p w14:paraId="1730084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r>
      <w:tr w14:paraId="1DF2F30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6" w:hRule="atLeast"/>
        </w:trPr>
        <w:tc>
          <w:tcPr>
            <w:tcW w:w="1246" w:type="dxa"/>
            <w:vMerge w:val="continue"/>
            <w:tcBorders>
              <w:top w:val="nil"/>
              <w:left w:val="single" w:color="000000" w:sz="16" w:space="0"/>
              <w:right w:val="nil"/>
            </w:tcBorders>
            <w:shd w:val="clear" w:color="auto" w:fill="FFFFFF"/>
          </w:tcPr>
          <w:p w14:paraId="77E3F486">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right w:val="single" w:color="000000" w:sz="16" w:space="0"/>
            </w:tcBorders>
            <w:shd w:val="clear" w:color="auto" w:fill="FFFFFF"/>
          </w:tcPr>
          <w:p w14:paraId="7F289FDA">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N</w:t>
            </w:r>
          </w:p>
        </w:tc>
        <w:tc>
          <w:tcPr>
            <w:tcW w:w="1305" w:type="dxa"/>
            <w:tcBorders>
              <w:top w:val="nil"/>
              <w:left w:val="single" w:color="000000" w:sz="16" w:space="0"/>
            </w:tcBorders>
            <w:shd w:val="clear" w:color="auto" w:fill="FFFFFF"/>
            <w:vAlign w:val="center"/>
          </w:tcPr>
          <w:p w14:paraId="5489730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tcBorders>
            <w:shd w:val="clear" w:color="auto" w:fill="FFFFFF"/>
            <w:vAlign w:val="center"/>
          </w:tcPr>
          <w:p w14:paraId="380F48C9">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tcBorders>
            <w:shd w:val="clear" w:color="auto" w:fill="FFFFFF"/>
            <w:vAlign w:val="center"/>
          </w:tcPr>
          <w:p w14:paraId="3D680E0D">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right w:val="single" w:color="000000" w:sz="16" w:space="0"/>
            </w:tcBorders>
            <w:shd w:val="clear" w:color="auto" w:fill="FFFFFF"/>
            <w:vAlign w:val="center"/>
          </w:tcPr>
          <w:p w14:paraId="5BEFEA0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r>
      <w:tr w14:paraId="5F6E64A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73" w:hRule="atLeast"/>
        </w:trPr>
        <w:tc>
          <w:tcPr>
            <w:tcW w:w="1246" w:type="dxa"/>
            <w:vMerge w:val="restart"/>
            <w:tcBorders>
              <w:top w:val="nil"/>
              <w:left w:val="single" w:color="000000" w:sz="16" w:space="0"/>
              <w:right w:val="nil"/>
            </w:tcBorders>
            <w:shd w:val="clear" w:color="auto" w:fill="FFFFFF"/>
          </w:tcPr>
          <w:p w14:paraId="0C631D02">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Avg_RI</w:t>
            </w:r>
          </w:p>
        </w:tc>
        <w:tc>
          <w:tcPr>
            <w:tcW w:w="2534" w:type="dxa"/>
            <w:tcBorders>
              <w:top w:val="nil"/>
              <w:left w:val="nil"/>
              <w:bottom w:val="nil"/>
              <w:right w:val="single" w:color="000000" w:sz="16" w:space="0"/>
            </w:tcBorders>
            <w:shd w:val="clear" w:color="auto" w:fill="FFFFFF"/>
          </w:tcPr>
          <w:p w14:paraId="515C7CB0">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Pearson Correlation</w:t>
            </w:r>
          </w:p>
        </w:tc>
        <w:tc>
          <w:tcPr>
            <w:tcW w:w="1305" w:type="dxa"/>
            <w:tcBorders>
              <w:top w:val="nil"/>
              <w:left w:val="single" w:color="000000" w:sz="16" w:space="0"/>
              <w:bottom w:val="nil"/>
            </w:tcBorders>
            <w:shd w:val="clear" w:color="auto" w:fill="FFFFFF"/>
            <w:vAlign w:val="center"/>
          </w:tcPr>
          <w:p w14:paraId="64285728">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.192</w:t>
            </w:r>
            <w:r>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7AA496F5">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.502</w:t>
            </w:r>
            <w:r>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174037C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w:t>
            </w:r>
          </w:p>
        </w:tc>
        <w:tc>
          <w:tcPr>
            <w:tcW w:w="1305" w:type="dxa"/>
            <w:tcBorders>
              <w:top w:val="nil"/>
              <w:bottom w:val="nil"/>
              <w:right w:val="single" w:color="000000" w:sz="16" w:space="0"/>
            </w:tcBorders>
            <w:shd w:val="clear" w:color="auto" w:fill="FFFFFF"/>
            <w:vAlign w:val="center"/>
          </w:tcPr>
          <w:p w14:paraId="15A7BF9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.560</w:t>
            </w:r>
            <w:r>
              <w:rPr>
                <w:rFonts w:ascii="Times New Roman" w:hAnsi="Times New Roman" w:cs="Times New Roman"/>
                <w:color w:val="000000"/>
                <w:vertAlign w:val="superscript"/>
              </w:rPr>
              <w:t>**</w:t>
            </w:r>
          </w:p>
        </w:tc>
      </w:tr>
      <w:tr w14:paraId="01A4D58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01" w:hRule="atLeast"/>
        </w:trPr>
        <w:tc>
          <w:tcPr>
            <w:tcW w:w="1246" w:type="dxa"/>
            <w:vMerge w:val="continue"/>
            <w:tcBorders>
              <w:top w:val="nil"/>
              <w:left w:val="single" w:color="000000" w:sz="16" w:space="0"/>
              <w:right w:val="nil"/>
            </w:tcBorders>
            <w:shd w:val="clear" w:color="auto" w:fill="FFFFFF"/>
          </w:tcPr>
          <w:p w14:paraId="2917BE6C">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color="000000" w:sz="16" w:space="0"/>
            </w:tcBorders>
            <w:shd w:val="clear" w:color="auto" w:fill="FFFFFF"/>
          </w:tcPr>
          <w:p w14:paraId="0EF0FCB8">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Sig. (2-tailed)</w:t>
            </w:r>
          </w:p>
        </w:tc>
        <w:tc>
          <w:tcPr>
            <w:tcW w:w="1305" w:type="dxa"/>
            <w:tcBorders>
              <w:top w:val="nil"/>
              <w:left w:val="single" w:color="000000" w:sz="16" w:space="0"/>
              <w:bottom w:val="nil"/>
            </w:tcBorders>
            <w:shd w:val="clear" w:color="auto" w:fill="FFFFFF"/>
            <w:vAlign w:val="center"/>
          </w:tcPr>
          <w:p w14:paraId="4E1BDD42">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.002</w:t>
            </w:r>
          </w:p>
        </w:tc>
        <w:tc>
          <w:tcPr>
            <w:tcW w:w="1305" w:type="dxa"/>
            <w:tcBorders>
              <w:top w:val="nil"/>
              <w:bottom w:val="nil"/>
            </w:tcBorders>
            <w:shd w:val="clear" w:color="auto" w:fill="FFFFFF"/>
            <w:vAlign w:val="center"/>
          </w:tcPr>
          <w:p w14:paraId="1E041295">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tcBorders>
            <w:shd w:val="clear" w:color="auto" w:fill="FFFFFF"/>
            <w:vAlign w:val="center"/>
          </w:tcPr>
          <w:p w14:paraId="1D499D4C">
            <w:pPr>
              <w:autoSpaceDE w:val="0"/>
              <w:autoSpaceDN w:val="0"/>
              <w:adjustRightInd w:val="0"/>
              <w:spacing w:after="0" w:line="600" w:lineRule="auto"/>
              <w:rPr>
                <w:rFonts w:ascii="Times New Roman" w:hAnsi="Times New Roman" w:cs="Times New Roman"/>
              </w:rPr>
            </w:pPr>
          </w:p>
        </w:tc>
        <w:tc>
          <w:tcPr>
            <w:tcW w:w="1305" w:type="dxa"/>
            <w:tcBorders>
              <w:top w:val="nil"/>
              <w:bottom w:val="nil"/>
              <w:right w:val="single" w:color="000000" w:sz="16" w:space="0"/>
            </w:tcBorders>
            <w:shd w:val="clear" w:color="auto" w:fill="FFFFFF"/>
            <w:vAlign w:val="center"/>
          </w:tcPr>
          <w:p w14:paraId="2C2424C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r>
      <w:tr w14:paraId="3425EA8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16" w:hRule="atLeast"/>
        </w:trPr>
        <w:tc>
          <w:tcPr>
            <w:tcW w:w="1246" w:type="dxa"/>
            <w:vMerge w:val="continue"/>
            <w:tcBorders>
              <w:top w:val="nil"/>
              <w:left w:val="single" w:color="000000" w:sz="16" w:space="0"/>
              <w:right w:val="nil"/>
            </w:tcBorders>
            <w:shd w:val="clear" w:color="auto" w:fill="FFFFFF"/>
          </w:tcPr>
          <w:p w14:paraId="2BA00B43">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right w:val="single" w:color="000000" w:sz="16" w:space="0"/>
            </w:tcBorders>
            <w:shd w:val="clear" w:color="auto" w:fill="FFFFFF"/>
          </w:tcPr>
          <w:p w14:paraId="35DCC8CE">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N</w:t>
            </w:r>
          </w:p>
        </w:tc>
        <w:tc>
          <w:tcPr>
            <w:tcW w:w="1305" w:type="dxa"/>
            <w:tcBorders>
              <w:top w:val="nil"/>
              <w:left w:val="single" w:color="000000" w:sz="16" w:space="0"/>
            </w:tcBorders>
            <w:shd w:val="clear" w:color="auto" w:fill="FFFFFF"/>
            <w:vAlign w:val="center"/>
          </w:tcPr>
          <w:p w14:paraId="7210666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tcBorders>
            <w:shd w:val="clear" w:color="auto" w:fill="FFFFFF"/>
            <w:vAlign w:val="center"/>
          </w:tcPr>
          <w:p w14:paraId="7A358496">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tcBorders>
            <w:shd w:val="clear" w:color="auto" w:fill="FFFFFF"/>
            <w:vAlign w:val="center"/>
          </w:tcPr>
          <w:p w14:paraId="722C6267">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right w:val="single" w:color="000000" w:sz="16" w:space="0"/>
            </w:tcBorders>
            <w:shd w:val="clear" w:color="auto" w:fill="FFFFFF"/>
            <w:vAlign w:val="center"/>
          </w:tcPr>
          <w:p w14:paraId="2BC8099F">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r>
      <w:tr w14:paraId="234DA66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73" w:hRule="atLeast"/>
        </w:trPr>
        <w:tc>
          <w:tcPr>
            <w:tcW w:w="1246" w:type="dxa"/>
            <w:vMerge w:val="restart"/>
            <w:tcBorders>
              <w:top w:val="nil"/>
              <w:left w:val="single" w:color="000000" w:sz="16" w:space="0"/>
              <w:bottom w:val="single" w:color="000000" w:sz="16" w:space="0"/>
              <w:right w:val="nil"/>
            </w:tcBorders>
            <w:shd w:val="clear" w:color="auto" w:fill="FFFFFF"/>
          </w:tcPr>
          <w:p w14:paraId="2DA25D96">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Avg_IBB</w:t>
            </w:r>
          </w:p>
        </w:tc>
        <w:tc>
          <w:tcPr>
            <w:tcW w:w="2534" w:type="dxa"/>
            <w:tcBorders>
              <w:top w:val="nil"/>
              <w:left w:val="nil"/>
              <w:bottom w:val="nil"/>
              <w:right w:val="single" w:color="000000" w:sz="16" w:space="0"/>
            </w:tcBorders>
            <w:shd w:val="clear" w:color="auto" w:fill="FFFFFF"/>
          </w:tcPr>
          <w:p w14:paraId="48ED0D99">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Pearson Correlation</w:t>
            </w:r>
          </w:p>
        </w:tc>
        <w:tc>
          <w:tcPr>
            <w:tcW w:w="1305" w:type="dxa"/>
            <w:tcBorders>
              <w:top w:val="nil"/>
              <w:left w:val="single" w:color="000000" w:sz="16" w:space="0"/>
              <w:bottom w:val="nil"/>
            </w:tcBorders>
            <w:shd w:val="clear" w:color="auto" w:fill="FFFFFF"/>
            <w:vAlign w:val="center"/>
          </w:tcPr>
          <w:p w14:paraId="492F72B5">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.335</w:t>
            </w:r>
            <w:r>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3C50789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.402</w:t>
            </w:r>
            <w:r>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762E6BAD">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.560</w:t>
            </w:r>
            <w:r>
              <w:rPr>
                <w:rFonts w:ascii="Times New Roman" w:hAnsi="Times New Roman" w:cs="Times New Roman"/>
                <w:color w:val="000000"/>
                <w:vertAlign w:val="superscript"/>
              </w:rPr>
              <w:t>**</w:t>
            </w:r>
          </w:p>
        </w:tc>
        <w:tc>
          <w:tcPr>
            <w:tcW w:w="1305" w:type="dxa"/>
            <w:tcBorders>
              <w:top w:val="nil"/>
              <w:bottom w:val="nil"/>
              <w:right w:val="single" w:color="000000" w:sz="16" w:space="0"/>
            </w:tcBorders>
            <w:shd w:val="clear" w:color="auto" w:fill="FFFFFF"/>
            <w:vAlign w:val="center"/>
          </w:tcPr>
          <w:p w14:paraId="6DE5C89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1</w:t>
            </w:r>
          </w:p>
        </w:tc>
      </w:tr>
      <w:tr w14:paraId="58B332F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0" w:hRule="atLeast"/>
        </w:trPr>
        <w:tc>
          <w:tcPr>
            <w:tcW w:w="1246" w:type="dxa"/>
            <w:vMerge w:val="continue"/>
            <w:tcBorders>
              <w:top w:val="nil"/>
              <w:left w:val="single" w:color="000000" w:sz="16" w:space="0"/>
              <w:bottom w:val="single" w:color="000000" w:sz="16" w:space="0"/>
              <w:right w:val="nil"/>
            </w:tcBorders>
            <w:shd w:val="clear" w:color="auto" w:fill="FFFFFF"/>
          </w:tcPr>
          <w:p w14:paraId="74F6350E">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color="000000" w:sz="16" w:space="0"/>
            </w:tcBorders>
            <w:shd w:val="clear" w:color="auto" w:fill="FFFFFF"/>
          </w:tcPr>
          <w:p w14:paraId="245E404A">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Sig. (2-tailed)</w:t>
            </w:r>
          </w:p>
        </w:tc>
        <w:tc>
          <w:tcPr>
            <w:tcW w:w="1305" w:type="dxa"/>
            <w:tcBorders>
              <w:top w:val="nil"/>
              <w:left w:val="single" w:color="000000" w:sz="16" w:space="0"/>
              <w:bottom w:val="nil"/>
            </w:tcBorders>
            <w:shd w:val="clear" w:color="auto" w:fill="FFFFFF"/>
            <w:vAlign w:val="center"/>
          </w:tcPr>
          <w:p w14:paraId="4ED5276E">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tcBorders>
            <w:shd w:val="clear" w:color="auto" w:fill="FFFFFF"/>
            <w:vAlign w:val="center"/>
          </w:tcPr>
          <w:p w14:paraId="62568AEA">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tcBorders>
            <w:shd w:val="clear" w:color="auto" w:fill="FFFFFF"/>
            <w:vAlign w:val="center"/>
          </w:tcPr>
          <w:p w14:paraId="2D1C18B0">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.000</w:t>
            </w:r>
          </w:p>
        </w:tc>
        <w:tc>
          <w:tcPr>
            <w:tcW w:w="1305" w:type="dxa"/>
            <w:tcBorders>
              <w:top w:val="nil"/>
              <w:bottom w:val="nil"/>
              <w:right w:val="single" w:color="000000" w:sz="16" w:space="0"/>
            </w:tcBorders>
            <w:shd w:val="clear" w:color="auto" w:fill="FFFFFF"/>
            <w:vAlign w:val="center"/>
          </w:tcPr>
          <w:p w14:paraId="29EBDE12">
            <w:pPr>
              <w:autoSpaceDE w:val="0"/>
              <w:autoSpaceDN w:val="0"/>
              <w:adjustRightInd w:val="0"/>
              <w:spacing w:after="0" w:line="600" w:lineRule="auto"/>
              <w:rPr>
                <w:rFonts w:ascii="Times New Roman" w:hAnsi="Times New Roman" w:cs="Times New Roman"/>
              </w:rPr>
            </w:pPr>
          </w:p>
        </w:tc>
      </w:tr>
      <w:tr w14:paraId="05D05CF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430" w:hRule="atLeast"/>
        </w:trPr>
        <w:tc>
          <w:tcPr>
            <w:tcW w:w="1246" w:type="dxa"/>
            <w:vMerge w:val="continue"/>
            <w:tcBorders>
              <w:top w:val="nil"/>
              <w:left w:val="single" w:color="000000" w:sz="16" w:space="0"/>
              <w:bottom w:val="single" w:color="000000" w:sz="16" w:space="0"/>
              <w:right w:val="nil"/>
            </w:tcBorders>
            <w:shd w:val="clear" w:color="auto" w:fill="FFFFFF"/>
          </w:tcPr>
          <w:p w14:paraId="6DB783E0">
            <w:pPr>
              <w:autoSpaceDE w:val="0"/>
              <w:autoSpaceDN w:val="0"/>
              <w:adjustRightInd w:val="0"/>
              <w:spacing w:after="0" w:line="600" w:lineRule="auto"/>
              <w:rPr>
                <w:rFonts w:ascii="Times New Roman" w:hAnsi="Times New Roman" w:cs="Times New Roman"/>
              </w:rPr>
            </w:pPr>
          </w:p>
        </w:tc>
        <w:tc>
          <w:tcPr>
            <w:tcW w:w="2534" w:type="dxa"/>
            <w:tcBorders>
              <w:top w:val="nil"/>
              <w:left w:val="nil"/>
              <w:bottom w:val="single" w:color="000000" w:sz="16" w:space="0"/>
              <w:right w:val="single" w:color="000000" w:sz="16" w:space="0"/>
            </w:tcBorders>
            <w:shd w:val="clear" w:color="auto" w:fill="FFFFFF"/>
          </w:tcPr>
          <w:p w14:paraId="344B0729">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N</w:t>
            </w:r>
          </w:p>
        </w:tc>
        <w:tc>
          <w:tcPr>
            <w:tcW w:w="1305" w:type="dxa"/>
            <w:tcBorders>
              <w:top w:val="nil"/>
              <w:left w:val="single" w:color="000000" w:sz="16" w:space="0"/>
              <w:bottom w:val="single" w:color="000000" w:sz="16" w:space="0"/>
            </w:tcBorders>
            <w:shd w:val="clear" w:color="auto" w:fill="FFFFFF"/>
            <w:vAlign w:val="center"/>
          </w:tcPr>
          <w:p w14:paraId="3D5E8131">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bottom w:val="single" w:color="000000" w:sz="16" w:space="0"/>
            </w:tcBorders>
            <w:shd w:val="clear" w:color="auto" w:fill="FFFFFF"/>
            <w:vAlign w:val="center"/>
          </w:tcPr>
          <w:p w14:paraId="6D8F11B6">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bottom w:val="single" w:color="000000" w:sz="16" w:space="0"/>
            </w:tcBorders>
            <w:shd w:val="clear" w:color="auto" w:fill="FFFFFF"/>
            <w:vAlign w:val="center"/>
          </w:tcPr>
          <w:p w14:paraId="24A755F3">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c>
          <w:tcPr>
            <w:tcW w:w="1305" w:type="dxa"/>
            <w:tcBorders>
              <w:top w:val="nil"/>
              <w:bottom w:val="single" w:color="000000" w:sz="16" w:space="0"/>
              <w:right w:val="single" w:color="000000" w:sz="16" w:space="0"/>
            </w:tcBorders>
            <w:shd w:val="clear" w:color="auto" w:fill="FFFFFF"/>
            <w:vAlign w:val="center"/>
          </w:tcPr>
          <w:p w14:paraId="4299153B">
            <w:pPr>
              <w:autoSpaceDE w:val="0"/>
              <w:autoSpaceDN w:val="0"/>
              <w:adjustRightInd w:val="0"/>
              <w:spacing w:after="0" w:line="600" w:lineRule="auto"/>
              <w:ind w:left="60" w:right="60"/>
              <w:jc w:val="right"/>
              <w:rPr>
                <w:rFonts w:ascii="Times New Roman" w:hAnsi="Times New Roman" w:cs="Times New Roman"/>
                <w:color w:val="000000"/>
              </w:rPr>
            </w:pPr>
            <w:r>
              <w:rPr>
                <w:rFonts w:ascii="Times New Roman" w:hAnsi="Times New Roman" w:cs="Times New Roman"/>
                <w:color w:val="000000"/>
              </w:rPr>
              <w:t>253</w:t>
            </w:r>
          </w:p>
        </w:tc>
      </w:tr>
      <w:tr w14:paraId="0CB1FA3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87" w:hRule="atLeast"/>
        </w:trPr>
        <w:tc>
          <w:tcPr>
            <w:tcW w:w="9003" w:type="dxa"/>
            <w:gridSpan w:val="6"/>
            <w:tcBorders>
              <w:top w:val="nil"/>
              <w:left w:val="nil"/>
              <w:bottom w:val="nil"/>
              <w:right w:val="nil"/>
            </w:tcBorders>
            <w:shd w:val="clear" w:color="auto" w:fill="FFFFFF"/>
          </w:tcPr>
          <w:p w14:paraId="258C269C">
            <w:pPr>
              <w:autoSpaceDE w:val="0"/>
              <w:autoSpaceDN w:val="0"/>
              <w:adjustRightInd w:val="0"/>
              <w:spacing w:after="0" w:line="600" w:lineRule="auto"/>
              <w:ind w:left="60" w:right="60"/>
              <w:rPr>
                <w:rFonts w:ascii="Times New Roman" w:hAnsi="Times New Roman" w:cs="Times New Roman"/>
                <w:color w:val="000000"/>
              </w:rPr>
            </w:pPr>
            <w:r>
              <w:rPr>
                <w:rFonts w:ascii="Times New Roman" w:hAnsi="Times New Roman" w:cs="Times New Roman"/>
                <w:color w:val="000000"/>
              </w:rPr>
              <w:t>**. Correlation is significant at the 0.01 level (2-tailed).</w:t>
            </w:r>
          </w:p>
        </w:tc>
      </w:tr>
    </w:tbl>
    <w:p w14:paraId="22D853F7">
      <w:pPr>
        <w:autoSpaceDE w:val="0"/>
        <w:autoSpaceDN w:val="0"/>
        <w:adjustRightInd w:val="0"/>
        <w:spacing w:after="0" w:line="600" w:lineRule="auto"/>
        <w:rPr>
          <w:rFonts w:ascii="Times New Roman" w:hAnsi="Times New Roman" w:cs="Times New Roman"/>
        </w:rPr>
      </w:pPr>
    </w:p>
    <w:p w14:paraId="17561AE7">
      <w:pPr>
        <w:spacing w:line="600" w:lineRule="auto"/>
        <w:jc w:val="both"/>
        <w:rPr>
          <w:rFonts w:ascii="Times New Roman" w:hAnsi="Times New Roman" w:cs="Times New Roman"/>
        </w:rPr>
      </w:pPr>
      <w:r>
        <w:rPr>
          <w:rFonts w:ascii="Times New Roman" w:hAnsi="Times New Roman" w:cs="Times New Roman"/>
        </w:rPr>
        <w:t>Here,</w:t>
      </w:r>
    </w:p>
    <w:p w14:paraId="2C17CC0B">
      <w:pPr>
        <w:spacing w:line="600" w:lineRule="auto"/>
        <w:jc w:val="both"/>
        <w:rPr>
          <w:rFonts w:ascii="Times New Roman" w:hAnsi="Times New Roman" w:cs="Times New Roman"/>
        </w:rPr>
      </w:pPr>
      <w:r>
        <w:rPr>
          <w:rFonts w:ascii="Times New Roman" w:hAnsi="Times New Roman" w:cs="Times New Roman"/>
        </w:rPr>
        <w:t>Avg-SP: Sales &amp; Promotions</w:t>
      </w:r>
    </w:p>
    <w:p w14:paraId="5378A62E">
      <w:pPr>
        <w:spacing w:line="600" w:lineRule="auto"/>
        <w:jc w:val="both"/>
        <w:rPr>
          <w:rFonts w:ascii="Times New Roman" w:hAnsi="Times New Roman" w:cs="Times New Roman"/>
        </w:rPr>
      </w:pPr>
      <w:r>
        <w:rPr>
          <w:rFonts w:ascii="Times New Roman" w:hAnsi="Times New Roman" w:cs="Times New Roman"/>
        </w:rPr>
        <w:t>Avg-RI: Revisit Intention</w:t>
      </w:r>
    </w:p>
    <w:p w14:paraId="39656D8A">
      <w:pPr>
        <w:spacing w:line="600" w:lineRule="auto"/>
        <w:jc w:val="both"/>
        <w:rPr>
          <w:rFonts w:ascii="Times New Roman" w:hAnsi="Times New Roman" w:cs="Times New Roman"/>
        </w:rPr>
      </w:pPr>
      <w:r>
        <w:rPr>
          <w:rFonts w:ascii="Times New Roman" w:hAnsi="Times New Roman" w:cs="Times New Roman"/>
        </w:rPr>
        <w:t>Avg-BI: Brand Image</w:t>
      </w:r>
    </w:p>
    <w:p w14:paraId="6D7942D6">
      <w:pPr>
        <w:spacing w:line="600" w:lineRule="auto"/>
        <w:jc w:val="both"/>
        <w:rPr>
          <w:rFonts w:ascii="Times New Roman" w:hAnsi="Times New Roman" w:cs="Times New Roman"/>
        </w:rPr>
      </w:pPr>
      <w:r>
        <w:rPr>
          <w:rFonts w:ascii="Times New Roman" w:hAnsi="Times New Roman" w:cs="Times New Roman"/>
        </w:rPr>
        <w:t>Avg-IBB: Impulsive Buying Behavior</w:t>
      </w:r>
    </w:p>
    <w:p w14:paraId="6C2AC96B">
      <w:pPr>
        <w:spacing w:line="600" w:lineRule="auto"/>
        <w:jc w:val="both"/>
        <w:rPr>
          <w:rFonts w:ascii="Times New Roman" w:hAnsi="Times New Roman" w:cs="Times New Roman"/>
        </w:rPr>
      </w:pPr>
      <w:r>
        <w:rPr>
          <w:rFonts w:ascii="Times New Roman" w:hAnsi="Times New Roman" w:cs="Times New Roman"/>
        </w:rPr>
        <w:t>The correlation results show that Avg-SP is positively correlated with Avg-BI (r= 0.256, P&lt; 0.01),</w:t>
      </w:r>
    </w:p>
    <w:p w14:paraId="407E03A9">
      <w:pPr>
        <w:spacing w:line="600" w:lineRule="auto"/>
        <w:jc w:val="both"/>
        <w:rPr>
          <w:rFonts w:ascii="Times New Roman" w:hAnsi="Times New Roman" w:cs="Times New Roman"/>
        </w:rPr>
      </w:pPr>
      <w:r>
        <w:rPr>
          <w:rFonts w:ascii="Times New Roman" w:hAnsi="Times New Roman" w:cs="Times New Roman"/>
        </w:rPr>
        <w:t>Avg-RI (r= 0.192, P&lt;0.01) and Avg-IBB (r= 0.335, P&lt;0.01).</w:t>
      </w:r>
    </w:p>
    <w:p w14:paraId="3D5F328D">
      <w:pPr>
        <w:spacing w:line="600" w:lineRule="auto"/>
        <w:jc w:val="both"/>
        <w:rPr>
          <w:rFonts w:ascii="Times New Roman" w:hAnsi="Times New Roman" w:cs="Times New Roman"/>
        </w:rPr>
      </w:pPr>
      <w:r>
        <w:rPr>
          <w:rFonts w:ascii="Times New Roman" w:hAnsi="Times New Roman" w:cs="Times New Roman"/>
        </w:rPr>
        <w:t>The correlation results show that Avg-BI is positively correlated with Avg-RI (r=0.502, P&lt;0.01)</w:t>
      </w:r>
    </w:p>
    <w:p w14:paraId="082321FE">
      <w:pPr>
        <w:spacing w:line="600" w:lineRule="auto"/>
        <w:jc w:val="both"/>
        <w:rPr>
          <w:rFonts w:ascii="Times New Roman" w:hAnsi="Times New Roman" w:cs="Times New Roman"/>
        </w:rPr>
      </w:pPr>
      <w:r>
        <w:rPr>
          <w:rFonts w:ascii="Times New Roman" w:hAnsi="Times New Roman" w:cs="Times New Roman"/>
        </w:rPr>
        <w:t>And IBB (r= 0.402, P&lt;0.01).</w:t>
      </w:r>
    </w:p>
    <w:p w14:paraId="149CECE7">
      <w:pPr>
        <w:spacing w:line="600" w:lineRule="auto"/>
        <w:jc w:val="both"/>
        <w:rPr>
          <w:rFonts w:ascii="Times New Roman" w:hAnsi="Times New Roman" w:cs="Times New Roman"/>
        </w:rPr>
      </w:pPr>
      <w:r>
        <w:rPr>
          <w:rFonts w:ascii="Times New Roman" w:hAnsi="Times New Roman" w:cs="Times New Roman"/>
        </w:rPr>
        <w:t>The correlation results show that Avg-RI is positively correlated with Avg-IBB (r= 0.560, P&lt;0.01).</w:t>
      </w:r>
    </w:p>
    <w:p w14:paraId="6AC863CA">
      <w:pPr>
        <w:pStyle w:val="4"/>
        <w:spacing w:line="600" w:lineRule="auto"/>
        <w:rPr>
          <w:rFonts w:cs="Times New Roman"/>
          <w:sz w:val="22"/>
          <w:szCs w:val="22"/>
        </w:rPr>
      </w:pPr>
      <w:bookmarkStart w:id="33" w:name="_Toc197000233"/>
      <w:r>
        <w:rPr>
          <w:rFonts w:cs="Times New Roman"/>
          <w:sz w:val="22"/>
          <w:szCs w:val="22"/>
        </w:rPr>
        <w:t>Study Overview:</w:t>
      </w:r>
      <w:bookmarkEnd w:id="33"/>
    </w:p>
    <w:p w14:paraId="6F9EA3A8">
      <w:pPr>
        <w:spacing w:line="600" w:lineRule="auto"/>
        <w:jc w:val="both"/>
        <w:rPr>
          <w:rFonts w:ascii="Times New Roman" w:hAnsi="Times New Roman" w:cs="Times New Roman"/>
        </w:rPr>
      </w:pPr>
      <w:r>
        <w:rPr>
          <w:rFonts w:ascii="Times New Roman" w:hAnsi="Times New Roman" w:cs="Times New Roman"/>
        </w:rPr>
        <w:t>The research aimed to explore the impact of impulse buying behavior among customers. It suggests that sales, promotions, and revisit intentions positively influence impulsive buying behavior. There is also a strong correlation between sales, promotions, and revisit intentions, along with brand image and impulsive buying behavior. The results reveal the mediating role of revisit intentions on impulsive buying behavior. This study aims to offer valuable insights for marketers to boost productivity by increasing revisit intentions and impulsive buying behavior.</w:t>
      </w:r>
    </w:p>
    <w:p w14:paraId="33F95267">
      <w:pPr>
        <w:pStyle w:val="4"/>
        <w:spacing w:line="600" w:lineRule="auto"/>
        <w:rPr>
          <w:rFonts w:cs="Times New Roman"/>
          <w:sz w:val="22"/>
          <w:szCs w:val="22"/>
        </w:rPr>
      </w:pPr>
      <w:bookmarkStart w:id="34" w:name="_Toc197000234"/>
      <w:r>
        <w:rPr>
          <w:rFonts w:cs="Times New Roman"/>
          <w:sz w:val="22"/>
          <w:szCs w:val="22"/>
        </w:rPr>
        <w:t>Theoretical Contributions:</w:t>
      </w:r>
      <w:bookmarkEnd w:id="34"/>
    </w:p>
    <w:p w14:paraId="7B22EA67">
      <w:pPr>
        <w:spacing w:line="600" w:lineRule="auto"/>
        <w:jc w:val="both"/>
        <w:rPr>
          <w:rFonts w:ascii="Times New Roman" w:hAnsi="Times New Roman" w:cs="Times New Roman"/>
        </w:rPr>
      </w:pPr>
      <w:r>
        <w:rPr>
          <w:rFonts w:ascii="Times New Roman" w:hAnsi="Times New Roman" w:cs="Times New Roman"/>
        </w:rPr>
        <w:t>This study provides insights into how the shopping industry can influence customers' impulsive buying tendencies. It helps shopping industries and brands in developing new marketing strategies to enhance productivity and increase sales. Companies should focus on sales and promotions to entice customers to revisit their brands, improve brand image, and stimulate impulsive buying tendencies. The research delves into the necessity of these variables for the shopping industry. It elucidates the importance of studying customers' impulsive buying behavior, crucial for brands today (Megagnathia &amp; Bhakta, 2013). Many brands face challenges with customers' impulsive tendencies affecting revisits and profitability. This study aids researchers and brands in addressing these challenges, encouraging frequent brand revisits to maximize the value of customers' impulsive buying behaviors.</w:t>
      </w:r>
    </w:p>
    <w:p w14:paraId="35307457">
      <w:pPr>
        <w:pStyle w:val="4"/>
        <w:spacing w:line="600" w:lineRule="auto"/>
        <w:rPr>
          <w:rFonts w:cs="Times New Roman"/>
          <w:sz w:val="22"/>
          <w:szCs w:val="22"/>
        </w:rPr>
      </w:pPr>
      <w:bookmarkStart w:id="35" w:name="_Toc197000235"/>
      <w:r>
        <w:rPr>
          <w:rFonts w:cs="Times New Roman"/>
          <w:sz w:val="22"/>
          <w:szCs w:val="22"/>
        </w:rPr>
        <w:t>Practical Implications:</w:t>
      </w:r>
      <w:bookmarkEnd w:id="35"/>
    </w:p>
    <w:p w14:paraId="5C62BA90">
      <w:pPr>
        <w:spacing w:line="600" w:lineRule="auto"/>
        <w:jc w:val="both"/>
        <w:rPr>
          <w:rFonts w:ascii="Times New Roman" w:hAnsi="Times New Roman" w:cs="Times New Roman"/>
        </w:rPr>
      </w:pPr>
      <w:r>
        <w:rPr>
          <w:rFonts w:ascii="Times New Roman" w:hAnsi="Times New Roman" w:cs="Times New Roman"/>
        </w:rPr>
        <w:t>The research assists managers and brands in expanding their customer base by leveraging revisit intentions as a mediator and brand image as a moderator while utilizing sales and promotions to boost customers' impulsive buying tendencies. Ensuring a positive customer experience is vital for retaining customers and garnering positive word-of-mouth for the brand. The study emphasizes not only increasing customer base but also enhancing sales and promotions to drive impulsive purchases and attract more customers actively engaging in shopping activities. This research model enables managers to formulate effective marketing strategies that encourage prolonged customer engagement. Developing market-oriented products that cater to customer needs is essential for organizational management.</w:t>
      </w:r>
    </w:p>
    <w:p w14:paraId="23933BAE">
      <w:pPr>
        <w:pStyle w:val="4"/>
        <w:spacing w:line="600" w:lineRule="auto"/>
        <w:rPr>
          <w:rFonts w:cs="Times New Roman"/>
          <w:sz w:val="22"/>
          <w:szCs w:val="22"/>
        </w:rPr>
      </w:pPr>
      <w:bookmarkStart w:id="36" w:name="_Toc197000236"/>
      <w:r>
        <w:rPr>
          <w:rFonts w:cs="Times New Roman"/>
          <w:sz w:val="22"/>
          <w:szCs w:val="22"/>
        </w:rPr>
        <w:t>Practicalities:</w:t>
      </w:r>
      <w:bookmarkEnd w:id="36"/>
    </w:p>
    <w:p w14:paraId="771B60AD">
      <w:pPr>
        <w:spacing w:line="600" w:lineRule="auto"/>
        <w:jc w:val="both"/>
        <w:rPr>
          <w:rFonts w:ascii="Times New Roman" w:hAnsi="Times New Roman" w:cs="Times New Roman"/>
        </w:rPr>
      </w:pPr>
      <w:r>
        <w:rPr>
          <w:rFonts w:ascii="Times New Roman" w:hAnsi="Times New Roman" w:cs="Times New Roman"/>
        </w:rPr>
        <w:t>Data Collection Framework:</w:t>
      </w:r>
    </w:p>
    <w:p w14:paraId="533C4DA8">
      <w:pPr>
        <w:spacing w:line="600" w:lineRule="auto"/>
        <w:jc w:val="both"/>
        <w:rPr>
          <w:rFonts w:ascii="Times New Roman" w:hAnsi="Times New Roman" w:eastAsia="Times New Roman" w:cs="Times New Roman"/>
        </w:rPr>
      </w:pPr>
      <w:r>
        <w:rPr>
          <w:rFonts w:ascii="Times New Roman" w:hAnsi="Times New Roman" w:eastAsia="Times New Roman" w:cs="Times New Roman"/>
        </w:rPr>
        <w:t>We collected data within 3-4 weeks, including survey design, distribution, and response collection.</w:t>
      </w:r>
    </w:p>
    <w:p w14:paraId="225650D2">
      <w:pPr>
        <w:pStyle w:val="5"/>
        <w:spacing w:line="600" w:lineRule="auto"/>
        <w:rPr>
          <w:rFonts w:cs="Times New Roman"/>
        </w:rPr>
      </w:pPr>
      <w:r>
        <w:rPr>
          <w:rFonts w:cs="Times New Roman"/>
        </w:rPr>
        <w:t>Access to participants and Sources:</w:t>
      </w:r>
    </w:p>
    <w:p w14:paraId="53D657BC">
      <w:pPr>
        <w:spacing w:line="600" w:lineRule="auto"/>
        <w:jc w:val="both"/>
        <w:rPr>
          <w:rFonts w:ascii="Times New Roman" w:hAnsi="Times New Roman" w:cs="Times New Roman"/>
        </w:rPr>
      </w:pPr>
      <w:r>
        <w:rPr>
          <w:rFonts w:ascii="Times New Roman" w:hAnsi="Times New Roman" w:cs="Times New Roman"/>
        </w:rPr>
        <w:t>Through online surveys</w:t>
      </w:r>
    </w:p>
    <w:p w14:paraId="441E2CD2">
      <w:pPr>
        <w:pStyle w:val="5"/>
        <w:spacing w:line="600" w:lineRule="auto"/>
        <w:rPr>
          <w:rFonts w:cs="Times New Roman"/>
        </w:rPr>
      </w:pPr>
      <w:r>
        <w:rPr>
          <w:rFonts w:cs="Times New Roman"/>
        </w:rPr>
        <w:t>Potential Obstacles and Solutions:</w:t>
      </w:r>
    </w:p>
    <w:p w14:paraId="18E97D60">
      <w:pPr>
        <w:spacing w:after="0" w:line="600" w:lineRule="auto"/>
        <w:jc w:val="both"/>
        <w:rPr>
          <w:rFonts w:ascii="Times New Roman" w:hAnsi="Times New Roman" w:eastAsia="Times New Roman" w:cs="Times New Roman"/>
        </w:rPr>
      </w:pPr>
      <w:r>
        <w:rPr>
          <w:rFonts w:ascii="Times New Roman" w:hAnsi="Times New Roman" w:eastAsia="Times New Roman" w:cs="Times New Roman"/>
        </w:rPr>
        <w:t>Low response rate: We will offer them incentives and ensure a user-friendly survey.</w:t>
      </w:r>
    </w:p>
    <w:p w14:paraId="507B9D8C">
      <w:pPr>
        <w:spacing w:after="0" w:line="600" w:lineRule="auto"/>
        <w:jc w:val="both"/>
        <w:rPr>
          <w:rFonts w:ascii="Times New Roman" w:hAnsi="Times New Roman" w:eastAsia="Times New Roman" w:cs="Times New Roman"/>
        </w:rPr>
      </w:pPr>
      <w:r>
        <w:rPr>
          <w:rFonts w:ascii="Times New Roman" w:hAnsi="Times New Roman" w:eastAsia="Times New Roman" w:cs="Times New Roman"/>
        </w:rPr>
        <w:t xml:space="preserve">Immature responses: We have used multiple distribution channels </w:t>
      </w:r>
    </w:p>
    <w:p w14:paraId="37802A2A">
      <w:pPr>
        <w:pStyle w:val="5"/>
        <w:spacing w:line="600" w:lineRule="auto"/>
        <w:rPr>
          <w:rFonts w:cs="Times New Roman"/>
        </w:rPr>
      </w:pPr>
      <w:r>
        <w:rPr>
          <w:rFonts w:cs="Times New Roman"/>
        </w:rPr>
        <w:t>Academies and Researchers</w:t>
      </w:r>
    </w:p>
    <w:p w14:paraId="1FC78D5F">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Those studying consumer behavior, marketing, and psychology can profit from their studies' empirical findings and methods.</w:t>
      </w:r>
    </w:p>
    <w:p w14:paraId="20790D1F">
      <w:pPr>
        <w:pStyle w:val="2"/>
        <w:spacing w:line="600" w:lineRule="auto"/>
        <w:rPr>
          <w:rFonts w:eastAsia="Times New Roman" w:cs="Times New Roman"/>
          <w:sz w:val="22"/>
          <w:szCs w:val="22"/>
        </w:rPr>
      </w:pPr>
      <w:bookmarkStart w:id="37" w:name="_Toc197000237"/>
      <w:r>
        <w:rPr>
          <w:rFonts w:eastAsia="Times New Roman" w:cs="Times New Roman"/>
          <w:sz w:val="22"/>
          <w:szCs w:val="22"/>
        </w:rPr>
        <w:t>Gantt Chart</w:t>
      </w:r>
      <w:bookmarkEnd w:id="37"/>
    </w:p>
    <w:tbl>
      <w:tblPr>
        <w:tblStyle w:val="11"/>
        <w:tblW w:w="98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41"/>
        <w:gridCol w:w="789"/>
        <w:gridCol w:w="789"/>
        <w:gridCol w:w="789"/>
        <w:gridCol w:w="789"/>
        <w:gridCol w:w="789"/>
        <w:gridCol w:w="789"/>
        <w:gridCol w:w="789"/>
        <w:gridCol w:w="789"/>
        <w:gridCol w:w="789"/>
        <w:gridCol w:w="789"/>
      </w:tblGrid>
      <w:tr w14:paraId="0920D4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1" w:hRule="atLeast"/>
        </w:trPr>
        <w:tc>
          <w:tcPr>
            <w:tcW w:w="1941" w:type="dxa"/>
          </w:tcPr>
          <w:p w14:paraId="3515657B">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Task names</w:t>
            </w:r>
          </w:p>
        </w:tc>
        <w:tc>
          <w:tcPr>
            <w:tcW w:w="789" w:type="dxa"/>
          </w:tcPr>
          <w:p w14:paraId="10E2EF09">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1</w:t>
            </w:r>
          </w:p>
        </w:tc>
        <w:tc>
          <w:tcPr>
            <w:tcW w:w="789" w:type="dxa"/>
          </w:tcPr>
          <w:p w14:paraId="6CF8ED74">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2</w:t>
            </w:r>
          </w:p>
        </w:tc>
        <w:tc>
          <w:tcPr>
            <w:tcW w:w="789" w:type="dxa"/>
          </w:tcPr>
          <w:p w14:paraId="24BA7C65">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3</w:t>
            </w:r>
          </w:p>
        </w:tc>
        <w:tc>
          <w:tcPr>
            <w:tcW w:w="789" w:type="dxa"/>
          </w:tcPr>
          <w:p w14:paraId="2142EEE8">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4</w:t>
            </w:r>
          </w:p>
        </w:tc>
        <w:tc>
          <w:tcPr>
            <w:tcW w:w="789" w:type="dxa"/>
          </w:tcPr>
          <w:p w14:paraId="1FD4074F">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5</w:t>
            </w:r>
          </w:p>
        </w:tc>
        <w:tc>
          <w:tcPr>
            <w:tcW w:w="789" w:type="dxa"/>
          </w:tcPr>
          <w:p w14:paraId="2429310D">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6</w:t>
            </w:r>
          </w:p>
        </w:tc>
        <w:tc>
          <w:tcPr>
            <w:tcW w:w="789" w:type="dxa"/>
          </w:tcPr>
          <w:p w14:paraId="5B4B80E9">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7</w:t>
            </w:r>
          </w:p>
        </w:tc>
        <w:tc>
          <w:tcPr>
            <w:tcW w:w="789" w:type="dxa"/>
          </w:tcPr>
          <w:p w14:paraId="7A9D4588">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8</w:t>
            </w:r>
          </w:p>
        </w:tc>
        <w:tc>
          <w:tcPr>
            <w:tcW w:w="789" w:type="dxa"/>
          </w:tcPr>
          <w:p w14:paraId="7E8158E8">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9</w:t>
            </w:r>
          </w:p>
        </w:tc>
        <w:tc>
          <w:tcPr>
            <w:tcW w:w="789" w:type="dxa"/>
          </w:tcPr>
          <w:p w14:paraId="433CA8B4">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Week 10</w:t>
            </w:r>
          </w:p>
        </w:tc>
      </w:tr>
      <w:tr w14:paraId="29E9E4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6" w:hRule="atLeast"/>
        </w:trPr>
        <w:tc>
          <w:tcPr>
            <w:tcW w:w="1941" w:type="dxa"/>
          </w:tcPr>
          <w:p w14:paraId="4B95C2F8">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Introduction</w:t>
            </w:r>
          </w:p>
        </w:tc>
        <w:tc>
          <w:tcPr>
            <w:tcW w:w="789" w:type="dxa"/>
            <w:shd w:val="clear" w:color="auto" w:fill="BDD6EE" w:themeFill="accent5" w:themeFillTint="66"/>
          </w:tcPr>
          <w:p w14:paraId="4B657E62">
            <w:pPr>
              <w:spacing w:after="0" w:line="600" w:lineRule="auto"/>
              <w:jc w:val="both"/>
              <w:rPr>
                <w:rFonts w:ascii="Times New Roman" w:hAnsi="Times New Roman" w:eastAsia="Times New Roman" w:cs="Times New Roman"/>
                <w:color w:val="000000"/>
              </w:rPr>
            </w:pPr>
          </w:p>
        </w:tc>
        <w:tc>
          <w:tcPr>
            <w:tcW w:w="789" w:type="dxa"/>
          </w:tcPr>
          <w:p w14:paraId="0FAE4AB9">
            <w:pPr>
              <w:spacing w:after="0" w:line="600" w:lineRule="auto"/>
              <w:jc w:val="both"/>
              <w:rPr>
                <w:rFonts w:ascii="Times New Roman" w:hAnsi="Times New Roman" w:eastAsia="Times New Roman" w:cs="Times New Roman"/>
                <w:color w:val="000000"/>
              </w:rPr>
            </w:pPr>
          </w:p>
        </w:tc>
        <w:tc>
          <w:tcPr>
            <w:tcW w:w="789" w:type="dxa"/>
          </w:tcPr>
          <w:p w14:paraId="2C755BDF">
            <w:pPr>
              <w:spacing w:after="0" w:line="600" w:lineRule="auto"/>
              <w:jc w:val="both"/>
              <w:rPr>
                <w:rFonts w:ascii="Times New Roman" w:hAnsi="Times New Roman" w:eastAsia="Times New Roman" w:cs="Times New Roman"/>
                <w:color w:val="000000"/>
              </w:rPr>
            </w:pPr>
          </w:p>
        </w:tc>
        <w:tc>
          <w:tcPr>
            <w:tcW w:w="789" w:type="dxa"/>
          </w:tcPr>
          <w:p w14:paraId="2D524A7C">
            <w:pPr>
              <w:spacing w:after="0" w:line="600" w:lineRule="auto"/>
              <w:jc w:val="both"/>
              <w:rPr>
                <w:rFonts w:ascii="Times New Roman" w:hAnsi="Times New Roman" w:eastAsia="Times New Roman" w:cs="Times New Roman"/>
                <w:color w:val="000000"/>
              </w:rPr>
            </w:pPr>
          </w:p>
        </w:tc>
        <w:tc>
          <w:tcPr>
            <w:tcW w:w="789" w:type="dxa"/>
          </w:tcPr>
          <w:p w14:paraId="49005408">
            <w:pPr>
              <w:spacing w:after="0" w:line="600" w:lineRule="auto"/>
              <w:jc w:val="both"/>
              <w:rPr>
                <w:rFonts w:ascii="Times New Roman" w:hAnsi="Times New Roman" w:eastAsia="Times New Roman" w:cs="Times New Roman"/>
                <w:color w:val="000000"/>
              </w:rPr>
            </w:pPr>
          </w:p>
        </w:tc>
        <w:tc>
          <w:tcPr>
            <w:tcW w:w="789" w:type="dxa"/>
          </w:tcPr>
          <w:p w14:paraId="2CA4A0B5">
            <w:pPr>
              <w:spacing w:after="0" w:line="600" w:lineRule="auto"/>
              <w:jc w:val="both"/>
              <w:rPr>
                <w:rFonts w:ascii="Times New Roman" w:hAnsi="Times New Roman" w:eastAsia="Times New Roman" w:cs="Times New Roman"/>
                <w:color w:val="000000"/>
              </w:rPr>
            </w:pPr>
          </w:p>
        </w:tc>
        <w:tc>
          <w:tcPr>
            <w:tcW w:w="789" w:type="dxa"/>
          </w:tcPr>
          <w:p w14:paraId="42B60583">
            <w:pPr>
              <w:spacing w:after="0" w:line="600" w:lineRule="auto"/>
              <w:jc w:val="both"/>
              <w:rPr>
                <w:rFonts w:ascii="Times New Roman" w:hAnsi="Times New Roman" w:eastAsia="Times New Roman" w:cs="Times New Roman"/>
                <w:color w:val="000000"/>
              </w:rPr>
            </w:pPr>
          </w:p>
        </w:tc>
        <w:tc>
          <w:tcPr>
            <w:tcW w:w="789" w:type="dxa"/>
          </w:tcPr>
          <w:p w14:paraId="5BFE508C">
            <w:pPr>
              <w:spacing w:after="0" w:line="600" w:lineRule="auto"/>
              <w:jc w:val="both"/>
              <w:rPr>
                <w:rFonts w:ascii="Times New Roman" w:hAnsi="Times New Roman" w:eastAsia="Times New Roman" w:cs="Times New Roman"/>
                <w:color w:val="000000"/>
              </w:rPr>
            </w:pPr>
          </w:p>
        </w:tc>
        <w:tc>
          <w:tcPr>
            <w:tcW w:w="789" w:type="dxa"/>
          </w:tcPr>
          <w:p w14:paraId="46650285">
            <w:pPr>
              <w:spacing w:after="0" w:line="600" w:lineRule="auto"/>
              <w:jc w:val="both"/>
              <w:rPr>
                <w:rFonts w:ascii="Times New Roman" w:hAnsi="Times New Roman" w:eastAsia="Times New Roman" w:cs="Times New Roman"/>
                <w:color w:val="000000"/>
              </w:rPr>
            </w:pPr>
          </w:p>
        </w:tc>
        <w:tc>
          <w:tcPr>
            <w:tcW w:w="789" w:type="dxa"/>
          </w:tcPr>
          <w:p w14:paraId="2C1E853B">
            <w:pPr>
              <w:spacing w:after="0" w:line="600" w:lineRule="auto"/>
              <w:jc w:val="both"/>
              <w:rPr>
                <w:rFonts w:ascii="Times New Roman" w:hAnsi="Times New Roman" w:eastAsia="Times New Roman" w:cs="Times New Roman"/>
                <w:color w:val="000000"/>
              </w:rPr>
            </w:pPr>
          </w:p>
        </w:tc>
      </w:tr>
      <w:tr w14:paraId="185A4C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3" w:hRule="atLeast"/>
        </w:trPr>
        <w:tc>
          <w:tcPr>
            <w:tcW w:w="1941" w:type="dxa"/>
          </w:tcPr>
          <w:p w14:paraId="0CFF3BCD">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Literature review</w:t>
            </w:r>
          </w:p>
        </w:tc>
        <w:tc>
          <w:tcPr>
            <w:tcW w:w="789" w:type="dxa"/>
          </w:tcPr>
          <w:p w14:paraId="36A5DEB2">
            <w:pPr>
              <w:spacing w:after="0" w:line="600" w:lineRule="auto"/>
              <w:jc w:val="both"/>
              <w:rPr>
                <w:rFonts w:ascii="Times New Roman" w:hAnsi="Times New Roman" w:eastAsia="Times New Roman" w:cs="Times New Roman"/>
                <w:color w:val="000000"/>
              </w:rPr>
            </w:pPr>
          </w:p>
        </w:tc>
        <w:tc>
          <w:tcPr>
            <w:tcW w:w="1578" w:type="dxa"/>
            <w:gridSpan w:val="2"/>
            <w:shd w:val="clear" w:color="auto" w:fill="4472C4" w:themeFill="accent1"/>
          </w:tcPr>
          <w:p w14:paraId="145D277C">
            <w:pPr>
              <w:spacing w:after="0" w:line="600" w:lineRule="auto"/>
              <w:jc w:val="both"/>
              <w:rPr>
                <w:rFonts w:ascii="Times New Roman" w:hAnsi="Times New Roman" w:eastAsia="Times New Roman" w:cs="Times New Roman"/>
                <w:color w:val="000000"/>
              </w:rPr>
            </w:pPr>
          </w:p>
        </w:tc>
        <w:tc>
          <w:tcPr>
            <w:tcW w:w="789" w:type="dxa"/>
          </w:tcPr>
          <w:p w14:paraId="54C08B33">
            <w:pPr>
              <w:spacing w:after="0" w:line="600" w:lineRule="auto"/>
              <w:jc w:val="both"/>
              <w:rPr>
                <w:rFonts w:ascii="Times New Roman" w:hAnsi="Times New Roman" w:eastAsia="Times New Roman" w:cs="Times New Roman"/>
                <w:color w:val="000000"/>
              </w:rPr>
            </w:pPr>
          </w:p>
        </w:tc>
        <w:tc>
          <w:tcPr>
            <w:tcW w:w="789" w:type="dxa"/>
          </w:tcPr>
          <w:p w14:paraId="79A9047B">
            <w:pPr>
              <w:spacing w:after="0" w:line="600" w:lineRule="auto"/>
              <w:jc w:val="both"/>
              <w:rPr>
                <w:rFonts w:ascii="Times New Roman" w:hAnsi="Times New Roman" w:eastAsia="Times New Roman" w:cs="Times New Roman"/>
                <w:color w:val="000000"/>
              </w:rPr>
            </w:pPr>
          </w:p>
        </w:tc>
        <w:tc>
          <w:tcPr>
            <w:tcW w:w="789" w:type="dxa"/>
          </w:tcPr>
          <w:p w14:paraId="641DE488">
            <w:pPr>
              <w:spacing w:after="0" w:line="600" w:lineRule="auto"/>
              <w:jc w:val="both"/>
              <w:rPr>
                <w:rFonts w:ascii="Times New Roman" w:hAnsi="Times New Roman" w:eastAsia="Times New Roman" w:cs="Times New Roman"/>
                <w:color w:val="000000"/>
              </w:rPr>
            </w:pPr>
          </w:p>
        </w:tc>
        <w:tc>
          <w:tcPr>
            <w:tcW w:w="789" w:type="dxa"/>
          </w:tcPr>
          <w:p w14:paraId="69D52D5D">
            <w:pPr>
              <w:spacing w:after="0" w:line="600" w:lineRule="auto"/>
              <w:jc w:val="both"/>
              <w:rPr>
                <w:rFonts w:ascii="Times New Roman" w:hAnsi="Times New Roman" w:eastAsia="Times New Roman" w:cs="Times New Roman"/>
                <w:color w:val="000000"/>
              </w:rPr>
            </w:pPr>
          </w:p>
        </w:tc>
        <w:tc>
          <w:tcPr>
            <w:tcW w:w="789" w:type="dxa"/>
          </w:tcPr>
          <w:p w14:paraId="323A4192">
            <w:pPr>
              <w:spacing w:after="0" w:line="600" w:lineRule="auto"/>
              <w:jc w:val="both"/>
              <w:rPr>
                <w:rFonts w:ascii="Times New Roman" w:hAnsi="Times New Roman" w:eastAsia="Times New Roman" w:cs="Times New Roman"/>
                <w:color w:val="000000"/>
              </w:rPr>
            </w:pPr>
          </w:p>
        </w:tc>
        <w:tc>
          <w:tcPr>
            <w:tcW w:w="789" w:type="dxa"/>
          </w:tcPr>
          <w:p w14:paraId="7FF25062">
            <w:pPr>
              <w:spacing w:after="0" w:line="600" w:lineRule="auto"/>
              <w:jc w:val="both"/>
              <w:rPr>
                <w:rFonts w:ascii="Times New Roman" w:hAnsi="Times New Roman" w:eastAsia="Times New Roman" w:cs="Times New Roman"/>
                <w:color w:val="000000"/>
              </w:rPr>
            </w:pPr>
          </w:p>
        </w:tc>
        <w:tc>
          <w:tcPr>
            <w:tcW w:w="789" w:type="dxa"/>
          </w:tcPr>
          <w:p w14:paraId="0E02B159">
            <w:pPr>
              <w:spacing w:after="0" w:line="600" w:lineRule="auto"/>
              <w:jc w:val="both"/>
              <w:rPr>
                <w:rFonts w:ascii="Times New Roman" w:hAnsi="Times New Roman" w:eastAsia="Times New Roman" w:cs="Times New Roman"/>
                <w:color w:val="000000"/>
              </w:rPr>
            </w:pPr>
          </w:p>
        </w:tc>
      </w:tr>
      <w:tr w14:paraId="57F9C8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6" w:hRule="atLeast"/>
        </w:trPr>
        <w:tc>
          <w:tcPr>
            <w:tcW w:w="1941" w:type="dxa"/>
          </w:tcPr>
          <w:p w14:paraId="5B3A2675">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Methodology</w:t>
            </w:r>
          </w:p>
        </w:tc>
        <w:tc>
          <w:tcPr>
            <w:tcW w:w="789" w:type="dxa"/>
          </w:tcPr>
          <w:p w14:paraId="60E24745">
            <w:pPr>
              <w:spacing w:after="0" w:line="600" w:lineRule="auto"/>
              <w:jc w:val="both"/>
              <w:rPr>
                <w:rFonts w:ascii="Times New Roman" w:hAnsi="Times New Roman" w:eastAsia="Times New Roman" w:cs="Times New Roman"/>
                <w:color w:val="000000"/>
              </w:rPr>
            </w:pPr>
          </w:p>
        </w:tc>
        <w:tc>
          <w:tcPr>
            <w:tcW w:w="789" w:type="dxa"/>
          </w:tcPr>
          <w:p w14:paraId="63D50A11">
            <w:pPr>
              <w:spacing w:after="0" w:line="600" w:lineRule="auto"/>
              <w:jc w:val="both"/>
              <w:rPr>
                <w:rFonts w:ascii="Times New Roman" w:hAnsi="Times New Roman" w:eastAsia="Times New Roman" w:cs="Times New Roman"/>
                <w:color w:val="000000"/>
              </w:rPr>
            </w:pPr>
          </w:p>
        </w:tc>
        <w:tc>
          <w:tcPr>
            <w:tcW w:w="789" w:type="dxa"/>
          </w:tcPr>
          <w:p w14:paraId="7EF00C82">
            <w:pPr>
              <w:spacing w:after="0" w:line="600" w:lineRule="auto"/>
              <w:jc w:val="both"/>
              <w:rPr>
                <w:rFonts w:ascii="Times New Roman" w:hAnsi="Times New Roman" w:eastAsia="Times New Roman" w:cs="Times New Roman"/>
                <w:color w:val="000000"/>
              </w:rPr>
            </w:pPr>
          </w:p>
        </w:tc>
        <w:tc>
          <w:tcPr>
            <w:tcW w:w="2367" w:type="dxa"/>
            <w:gridSpan w:val="3"/>
            <w:shd w:val="clear" w:color="auto" w:fill="F4B083" w:themeFill="accent2" w:themeFillTint="99"/>
          </w:tcPr>
          <w:p w14:paraId="5A1CCB5D">
            <w:pPr>
              <w:spacing w:after="0" w:line="600" w:lineRule="auto"/>
              <w:jc w:val="both"/>
              <w:rPr>
                <w:rFonts w:ascii="Times New Roman" w:hAnsi="Times New Roman" w:eastAsia="Times New Roman" w:cs="Times New Roman"/>
                <w:color w:val="000000"/>
              </w:rPr>
            </w:pPr>
          </w:p>
        </w:tc>
        <w:tc>
          <w:tcPr>
            <w:tcW w:w="789" w:type="dxa"/>
          </w:tcPr>
          <w:p w14:paraId="1DB29D9B">
            <w:pPr>
              <w:spacing w:after="0" w:line="600" w:lineRule="auto"/>
              <w:jc w:val="both"/>
              <w:rPr>
                <w:rFonts w:ascii="Times New Roman" w:hAnsi="Times New Roman" w:eastAsia="Times New Roman" w:cs="Times New Roman"/>
                <w:color w:val="000000"/>
              </w:rPr>
            </w:pPr>
          </w:p>
        </w:tc>
        <w:tc>
          <w:tcPr>
            <w:tcW w:w="789" w:type="dxa"/>
          </w:tcPr>
          <w:p w14:paraId="68550F95">
            <w:pPr>
              <w:spacing w:after="0" w:line="600" w:lineRule="auto"/>
              <w:jc w:val="both"/>
              <w:rPr>
                <w:rFonts w:ascii="Times New Roman" w:hAnsi="Times New Roman" w:eastAsia="Times New Roman" w:cs="Times New Roman"/>
                <w:color w:val="000000"/>
              </w:rPr>
            </w:pPr>
          </w:p>
        </w:tc>
        <w:tc>
          <w:tcPr>
            <w:tcW w:w="789" w:type="dxa"/>
          </w:tcPr>
          <w:p w14:paraId="2243C3E3">
            <w:pPr>
              <w:spacing w:after="0" w:line="600" w:lineRule="auto"/>
              <w:jc w:val="both"/>
              <w:rPr>
                <w:rFonts w:ascii="Times New Roman" w:hAnsi="Times New Roman" w:eastAsia="Times New Roman" w:cs="Times New Roman"/>
                <w:color w:val="000000"/>
              </w:rPr>
            </w:pPr>
          </w:p>
        </w:tc>
        <w:tc>
          <w:tcPr>
            <w:tcW w:w="789" w:type="dxa"/>
          </w:tcPr>
          <w:p w14:paraId="1CBE9F81">
            <w:pPr>
              <w:spacing w:after="0" w:line="600" w:lineRule="auto"/>
              <w:jc w:val="both"/>
              <w:rPr>
                <w:rFonts w:ascii="Times New Roman" w:hAnsi="Times New Roman" w:eastAsia="Times New Roman" w:cs="Times New Roman"/>
                <w:color w:val="000000"/>
              </w:rPr>
            </w:pPr>
          </w:p>
        </w:tc>
      </w:tr>
      <w:tr w14:paraId="1C618C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3" w:hRule="atLeast"/>
        </w:trPr>
        <w:tc>
          <w:tcPr>
            <w:tcW w:w="1941" w:type="dxa"/>
          </w:tcPr>
          <w:p w14:paraId="24931EEF">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Data Analysis</w:t>
            </w:r>
          </w:p>
        </w:tc>
        <w:tc>
          <w:tcPr>
            <w:tcW w:w="789" w:type="dxa"/>
          </w:tcPr>
          <w:p w14:paraId="3B168B1F">
            <w:pPr>
              <w:spacing w:after="0" w:line="600" w:lineRule="auto"/>
              <w:jc w:val="both"/>
              <w:rPr>
                <w:rFonts w:ascii="Times New Roman" w:hAnsi="Times New Roman" w:eastAsia="Times New Roman" w:cs="Times New Roman"/>
                <w:color w:val="000000"/>
              </w:rPr>
            </w:pPr>
          </w:p>
        </w:tc>
        <w:tc>
          <w:tcPr>
            <w:tcW w:w="789" w:type="dxa"/>
          </w:tcPr>
          <w:p w14:paraId="6AE3E4FF">
            <w:pPr>
              <w:spacing w:after="0" w:line="600" w:lineRule="auto"/>
              <w:jc w:val="both"/>
              <w:rPr>
                <w:rFonts w:ascii="Times New Roman" w:hAnsi="Times New Roman" w:eastAsia="Times New Roman" w:cs="Times New Roman"/>
                <w:color w:val="000000"/>
              </w:rPr>
            </w:pPr>
          </w:p>
        </w:tc>
        <w:tc>
          <w:tcPr>
            <w:tcW w:w="789" w:type="dxa"/>
          </w:tcPr>
          <w:p w14:paraId="43D50871">
            <w:pPr>
              <w:spacing w:after="0" w:line="600" w:lineRule="auto"/>
              <w:jc w:val="both"/>
              <w:rPr>
                <w:rFonts w:ascii="Times New Roman" w:hAnsi="Times New Roman" w:eastAsia="Times New Roman" w:cs="Times New Roman"/>
                <w:color w:val="000000"/>
              </w:rPr>
            </w:pPr>
          </w:p>
        </w:tc>
        <w:tc>
          <w:tcPr>
            <w:tcW w:w="789" w:type="dxa"/>
          </w:tcPr>
          <w:p w14:paraId="5EB1AFFD">
            <w:pPr>
              <w:spacing w:after="0" w:line="600" w:lineRule="auto"/>
              <w:jc w:val="both"/>
              <w:rPr>
                <w:rFonts w:ascii="Times New Roman" w:hAnsi="Times New Roman" w:eastAsia="Times New Roman" w:cs="Times New Roman"/>
                <w:color w:val="000000"/>
              </w:rPr>
            </w:pPr>
          </w:p>
        </w:tc>
        <w:tc>
          <w:tcPr>
            <w:tcW w:w="789" w:type="dxa"/>
          </w:tcPr>
          <w:p w14:paraId="61B96E0D">
            <w:pPr>
              <w:spacing w:after="0" w:line="600" w:lineRule="auto"/>
              <w:jc w:val="both"/>
              <w:rPr>
                <w:rFonts w:ascii="Times New Roman" w:hAnsi="Times New Roman" w:eastAsia="Times New Roman" w:cs="Times New Roman"/>
                <w:color w:val="000000"/>
              </w:rPr>
            </w:pPr>
          </w:p>
        </w:tc>
        <w:tc>
          <w:tcPr>
            <w:tcW w:w="789" w:type="dxa"/>
          </w:tcPr>
          <w:p w14:paraId="21BFCD34">
            <w:pPr>
              <w:spacing w:after="0" w:line="600" w:lineRule="auto"/>
              <w:jc w:val="both"/>
              <w:rPr>
                <w:rFonts w:ascii="Times New Roman" w:hAnsi="Times New Roman" w:eastAsia="Times New Roman" w:cs="Times New Roman"/>
                <w:color w:val="000000"/>
              </w:rPr>
            </w:pPr>
          </w:p>
        </w:tc>
        <w:tc>
          <w:tcPr>
            <w:tcW w:w="1578" w:type="dxa"/>
            <w:gridSpan w:val="2"/>
            <w:shd w:val="clear" w:color="auto" w:fill="9CC2E5" w:themeFill="accent5" w:themeFillTint="99"/>
          </w:tcPr>
          <w:p w14:paraId="56300D9E">
            <w:pPr>
              <w:spacing w:after="0" w:line="600" w:lineRule="auto"/>
              <w:jc w:val="both"/>
              <w:rPr>
                <w:rFonts w:ascii="Times New Roman" w:hAnsi="Times New Roman" w:eastAsia="Times New Roman" w:cs="Times New Roman"/>
                <w:color w:val="000000"/>
              </w:rPr>
            </w:pPr>
          </w:p>
        </w:tc>
        <w:tc>
          <w:tcPr>
            <w:tcW w:w="789" w:type="dxa"/>
          </w:tcPr>
          <w:p w14:paraId="0C875C6A">
            <w:pPr>
              <w:spacing w:after="0" w:line="600" w:lineRule="auto"/>
              <w:jc w:val="both"/>
              <w:rPr>
                <w:rFonts w:ascii="Times New Roman" w:hAnsi="Times New Roman" w:eastAsia="Times New Roman" w:cs="Times New Roman"/>
                <w:color w:val="000000"/>
              </w:rPr>
            </w:pPr>
          </w:p>
        </w:tc>
        <w:tc>
          <w:tcPr>
            <w:tcW w:w="789" w:type="dxa"/>
          </w:tcPr>
          <w:p w14:paraId="3FF10535">
            <w:pPr>
              <w:spacing w:after="0" w:line="600" w:lineRule="auto"/>
              <w:jc w:val="both"/>
              <w:rPr>
                <w:rFonts w:ascii="Times New Roman" w:hAnsi="Times New Roman" w:eastAsia="Times New Roman" w:cs="Times New Roman"/>
                <w:color w:val="000000"/>
              </w:rPr>
            </w:pPr>
          </w:p>
        </w:tc>
      </w:tr>
      <w:tr w14:paraId="23685B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1" w:hRule="atLeast"/>
        </w:trPr>
        <w:tc>
          <w:tcPr>
            <w:tcW w:w="1941" w:type="dxa"/>
          </w:tcPr>
          <w:p w14:paraId="655DF108">
            <w:p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Conclusion &amp; Recommendation</w:t>
            </w:r>
          </w:p>
        </w:tc>
        <w:tc>
          <w:tcPr>
            <w:tcW w:w="789" w:type="dxa"/>
          </w:tcPr>
          <w:p w14:paraId="5FF49E3D">
            <w:pPr>
              <w:spacing w:after="0" w:line="600" w:lineRule="auto"/>
              <w:jc w:val="both"/>
              <w:rPr>
                <w:rFonts w:ascii="Times New Roman" w:hAnsi="Times New Roman" w:eastAsia="Times New Roman" w:cs="Times New Roman"/>
                <w:color w:val="000000"/>
              </w:rPr>
            </w:pPr>
          </w:p>
        </w:tc>
        <w:tc>
          <w:tcPr>
            <w:tcW w:w="789" w:type="dxa"/>
          </w:tcPr>
          <w:p w14:paraId="46677E4D">
            <w:pPr>
              <w:spacing w:after="0" w:line="600" w:lineRule="auto"/>
              <w:jc w:val="both"/>
              <w:rPr>
                <w:rFonts w:ascii="Times New Roman" w:hAnsi="Times New Roman" w:eastAsia="Times New Roman" w:cs="Times New Roman"/>
                <w:color w:val="000000"/>
              </w:rPr>
            </w:pPr>
          </w:p>
        </w:tc>
        <w:tc>
          <w:tcPr>
            <w:tcW w:w="789" w:type="dxa"/>
          </w:tcPr>
          <w:p w14:paraId="0B651848">
            <w:pPr>
              <w:spacing w:after="0" w:line="600" w:lineRule="auto"/>
              <w:jc w:val="both"/>
              <w:rPr>
                <w:rFonts w:ascii="Times New Roman" w:hAnsi="Times New Roman" w:eastAsia="Times New Roman" w:cs="Times New Roman"/>
                <w:color w:val="000000"/>
              </w:rPr>
            </w:pPr>
          </w:p>
        </w:tc>
        <w:tc>
          <w:tcPr>
            <w:tcW w:w="789" w:type="dxa"/>
          </w:tcPr>
          <w:p w14:paraId="4061407F">
            <w:pPr>
              <w:spacing w:after="0" w:line="600" w:lineRule="auto"/>
              <w:jc w:val="both"/>
              <w:rPr>
                <w:rFonts w:ascii="Times New Roman" w:hAnsi="Times New Roman" w:eastAsia="Times New Roman" w:cs="Times New Roman"/>
                <w:color w:val="000000"/>
              </w:rPr>
            </w:pPr>
          </w:p>
        </w:tc>
        <w:tc>
          <w:tcPr>
            <w:tcW w:w="789" w:type="dxa"/>
          </w:tcPr>
          <w:p w14:paraId="6DF426C5">
            <w:pPr>
              <w:spacing w:after="0" w:line="600" w:lineRule="auto"/>
              <w:jc w:val="both"/>
              <w:rPr>
                <w:rFonts w:ascii="Times New Roman" w:hAnsi="Times New Roman" w:eastAsia="Times New Roman" w:cs="Times New Roman"/>
                <w:color w:val="000000"/>
              </w:rPr>
            </w:pPr>
          </w:p>
        </w:tc>
        <w:tc>
          <w:tcPr>
            <w:tcW w:w="789" w:type="dxa"/>
          </w:tcPr>
          <w:p w14:paraId="4A803D37">
            <w:pPr>
              <w:spacing w:after="0" w:line="600" w:lineRule="auto"/>
              <w:jc w:val="both"/>
              <w:rPr>
                <w:rFonts w:ascii="Times New Roman" w:hAnsi="Times New Roman" w:eastAsia="Times New Roman" w:cs="Times New Roman"/>
                <w:color w:val="000000"/>
              </w:rPr>
            </w:pPr>
          </w:p>
        </w:tc>
        <w:tc>
          <w:tcPr>
            <w:tcW w:w="789" w:type="dxa"/>
          </w:tcPr>
          <w:p w14:paraId="34B94551">
            <w:pPr>
              <w:spacing w:after="0" w:line="600" w:lineRule="auto"/>
              <w:jc w:val="both"/>
              <w:rPr>
                <w:rFonts w:ascii="Times New Roman" w:hAnsi="Times New Roman" w:eastAsia="Times New Roman" w:cs="Times New Roman"/>
                <w:color w:val="000000"/>
              </w:rPr>
            </w:pPr>
          </w:p>
        </w:tc>
        <w:tc>
          <w:tcPr>
            <w:tcW w:w="789" w:type="dxa"/>
          </w:tcPr>
          <w:p w14:paraId="42A50234">
            <w:pPr>
              <w:spacing w:after="0" w:line="600" w:lineRule="auto"/>
              <w:jc w:val="both"/>
              <w:rPr>
                <w:rFonts w:ascii="Times New Roman" w:hAnsi="Times New Roman" w:eastAsia="Times New Roman" w:cs="Times New Roman"/>
                <w:color w:val="000000"/>
              </w:rPr>
            </w:pPr>
          </w:p>
        </w:tc>
        <w:tc>
          <w:tcPr>
            <w:tcW w:w="1578" w:type="dxa"/>
            <w:gridSpan w:val="2"/>
            <w:shd w:val="clear" w:color="auto" w:fill="FEF2CC" w:themeFill="accent4" w:themeFillTint="33"/>
          </w:tcPr>
          <w:p w14:paraId="4F524D32">
            <w:pPr>
              <w:spacing w:after="0" w:line="600" w:lineRule="auto"/>
              <w:jc w:val="both"/>
              <w:rPr>
                <w:rFonts w:ascii="Times New Roman" w:hAnsi="Times New Roman" w:eastAsia="Times New Roman" w:cs="Times New Roman"/>
                <w:color w:val="000000"/>
              </w:rPr>
            </w:pPr>
          </w:p>
        </w:tc>
      </w:tr>
    </w:tbl>
    <w:p w14:paraId="4B045799">
      <w:pPr>
        <w:spacing w:line="600" w:lineRule="auto"/>
        <w:jc w:val="both"/>
        <w:rPr>
          <w:rFonts w:ascii="Times New Roman" w:hAnsi="Times New Roman" w:cs="Times New Roman"/>
        </w:rPr>
      </w:pPr>
    </w:p>
    <w:p w14:paraId="529C179A">
      <w:pPr>
        <w:pStyle w:val="2"/>
        <w:spacing w:line="600" w:lineRule="auto"/>
        <w:rPr>
          <w:rFonts w:cs="Times New Roman"/>
          <w:sz w:val="22"/>
          <w:szCs w:val="22"/>
        </w:rPr>
      </w:pPr>
      <w:bookmarkStart w:id="38" w:name="_Toc197000238"/>
      <w:r>
        <w:rPr>
          <w:rFonts w:cs="Times New Roman"/>
          <w:sz w:val="22"/>
          <w:szCs w:val="22"/>
        </w:rPr>
        <w:t>Limitations and Future Directions:</w:t>
      </w:r>
      <w:bookmarkEnd w:id="38"/>
    </w:p>
    <w:p w14:paraId="2DA44A45">
      <w:pPr>
        <w:spacing w:line="600" w:lineRule="auto"/>
        <w:jc w:val="both"/>
        <w:rPr>
          <w:rFonts w:ascii="Times New Roman" w:hAnsi="Times New Roman" w:cs="Times New Roman"/>
        </w:rPr>
      </w:pPr>
      <w:r>
        <w:rPr>
          <w:rFonts w:ascii="Times New Roman" w:hAnsi="Times New Roman" w:cs="Times New Roman"/>
        </w:rPr>
        <w:t>Certain limitations exist in the study; data collection was limited to Lahore residents only, suggesting future studies should include other cities for broader insights. Convenience sampling was utilized, indicating the potential benefit of employing different sampling techniques in subsequent studies for diverse results. While this study focused on using revisit intention as a mediation variable to evaluate relationships with sales, promotions, and impulsive buying behavior, future studies may explore alternative mediation variables for further examination. Additionally, although this research employed quantitative methods, future studies could incorporate qualitative approaches to observe people's impulsive buying behaviors more comprehensively.</w:t>
      </w:r>
    </w:p>
    <w:p w14:paraId="0F8CCC31">
      <w:pPr>
        <w:pStyle w:val="4"/>
        <w:spacing w:line="600" w:lineRule="auto"/>
        <w:rPr>
          <w:rFonts w:cs="Times New Roman"/>
          <w:sz w:val="22"/>
          <w:szCs w:val="22"/>
        </w:rPr>
      </w:pPr>
      <w:bookmarkStart w:id="39" w:name="_Toc197000239"/>
      <w:r>
        <w:rPr>
          <w:rFonts w:cs="Times New Roman"/>
          <w:sz w:val="22"/>
          <w:szCs w:val="22"/>
        </w:rPr>
        <w:t>Research Gaps and Contribution:</w:t>
      </w:r>
      <w:bookmarkEnd w:id="39"/>
    </w:p>
    <w:p w14:paraId="0594AD4D">
      <w:pPr>
        <w:spacing w:after="0" w:line="600" w:lineRule="auto"/>
        <w:jc w:val="both"/>
        <w:textAlignment w:val="baseline"/>
        <w:rPr>
          <w:rFonts w:ascii="Times New Roman" w:hAnsi="Times New Roman" w:eastAsia="Times New Roman" w:cs="Times New Roman"/>
          <w:color w:val="000000"/>
        </w:rPr>
      </w:pPr>
      <w:r>
        <w:rPr>
          <w:rFonts w:ascii="Times New Roman" w:hAnsi="Times New Roman" w:eastAsia="Times New Roman" w:cs="Times New Roman"/>
          <w:color w:val="000000"/>
        </w:rPr>
        <w:t>While existing literature has explored the impact of personality traits on consumer behavior, there is a notable gap in understanding how these traits interact with specific marketing variables in the ZARA industry. This research aims to fill this gap by providing empirical evidence on the relationship between personality traits and consumer responses to sales promotions, brand image, revisit intention, and impulsive buying behavior. By doing so, it will offer valuable insights for both academic researchers and industry practitioners, highlighting the importance of considering psychological factors in marketing strategies.</w:t>
      </w:r>
    </w:p>
    <w:p w14:paraId="35B2917C">
      <w:pPr>
        <w:pStyle w:val="2"/>
        <w:spacing w:line="600" w:lineRule="auto"/>
        <w:rPr>
          <w:rFonts w:eastAsia="Times New Roman" w:cs="Times New Roman"/>
          <w:sz w:val="22"/>
          <w:szCs w:val="22"/>
        </w:rPr>
      </w:pPr>
      <w:bookmarkStart w:id="40" w:name="_Toc197000240"/>
      <w:r>
        <w:rPr>
          <w:rFonts w:eastAsia="Times New Roman" w:cs="Times New Roman"/>
          <w:sz w:val="22"/>
          <w:szCs w:val="22"/>
        </w:rPr>
        <w:t>Conclusion:</w:t>
      </w:r>
      <w:bookmarkEnd w:id="40"/>
    </w:p>
    <w:p w14:paraId="2FAF39D9">
      <w:pPr>
        <w:pStyle w:val="18"/>
        <w:numPr>
          <w:ilvl w:val="0"/>
          <w:numId w:val="5"/>
        </w:num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This study will identify key psychological factors that significantly impact consumer preferences and behavior related to sales and promotion, revisit intention, brand image, and impulsive buying behavior.</w:t>
      </w:r>
    </w:p>
    <w:p w14:paraId="704B111F">
      <w:pPr>
        <w:pStyle w:val="18"/>
        <w:numPr>
          <w:ilvl w:val="0"/>
          <w:numId w:val="5"/>
        </w:num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The research will explore how emotional triggers influence impulsive buying and how cognitive biases affect responses to sales promotions.</w:t>
      </w:r>
    </w:p>
    <w:p w14:paraId="0C8D484E">
      <w:pPr>
        <w:pStyle w:val="18"/>
        <w:numPr>
          <w:ilvl w:val="0"/>
          <w:numId w:val="5"/>
        </w:numPr>
        <w:spacing w:after="0" w:line="60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The study will analyze differences in purchase behaviors among various demographic groups, providing insights into how psychological factors influence the likelihood of revisiting stores and forming brand perceptions.</w:t>
      </w:r>
    </w:p>
    <w:p w14:paraId="6AFCF9D1">
      <w:pPr>
        <w:pStyle w:val="2"/>
        <w:spacing w:line="600" w:lineRule="auto"/>
        <w:rPr>
          <w:rFonts w:cs="Times New Roman"/>
          <w:sz w:val="22"/>
          <w:szCs w:val="22"/>
        </w:rPr>
      </w:pPr>
      <w:bookmarkStart w:id="41" w:name="_Toc197000241"/>
      <w:r>
        <w:rPr>
          <w:rFonts w:cs="Times New Roman"/>
          <w:sz w:val="22"/>
          <w:szCs w:val="22"/>
        </w:rPr>
        <w:t>Index:</w:t>
      </w:r>
      <w:bookmarkEnd w:id="41"/>
    </w:p>
    <w:p w14:paraId="0608AF28">
      <w:pPr>
        <w:pStyle w:val="5"/>
        <w:spacing w:line="600" w:lineRule="auto"/>
        <w:rPr>
          <w:rFonts w:cs="Times New Roman"/>
        </w:rPr>
      </w:pPr>
      <w:r>
        <w:rPr>
          <w:rFonts w:cs="Times New Roman"/>
        </w:rPr>
        <w:t>Sales &amp; Promotions:</w:t>
      </w:r>
    </w:p>
    <w:p w14:paraId="1634381F">
      <w:pPr>
        <w:pStyle w:val="18"/>
        <w:numPr>
          <w:ilvl w:val="0"/>
          <w:numId w:val="6"/>
        </w:numPr>
        <w:spacing w:line="600" w:lineRule="auto"/>
        <w:jc w:val="both"/>
        <w:rPr>
          <w:rFonts w:ascii="Times New Roman" w:hAnsi="Times New Roman" w:cs="Times New Roman"/>
        </w:rPr>
      </w:pPr>
      <w:r>
        <w:rPr>
          <w:rFonts w:ascii="Times New Roman" w:hAnsi="Times New Roman" w:cs="Times New Roman"/>
        </w:rPr>
        <w:t>Does ZARA offer discounts via email/website?</w:t>
      </w:r>
    </w:p>
    <w:p w14:paraId="6C59C5A4">
      <w:pPr>
        <w:pStyle w:val="18"/>
        <w:numPr>
          <w:ilvl w:val="0"/>
          <w:numId w:val="6"/>
        </w:numPr>
        <w:spacing w:line="600" w:lineRule="auto"/>
        <w:jc w:val="both"/>
        <w:rPr>
          <w:rFonts w:ascii="Times New Roman" w:hAnsi="Times New Roman" w:cs="Times New Roman"/>
        </w:rPr>
      </w:pPr>
      <w:r>
        <w:rPr>
          <w:rFonts w:ascii="Times New Roman" w:hAnsi="Times New Roman" w:cs="Times New Roman"/>
        </w:rPr>
        <w:t>Does ZARA offer giveaways on social media?</w:t>
      </w:r>
    </w:p>
    <w:p w14:paraId="4B001040">
      <w:pPr>
        <w:pStyle w:val="18"/>
        <w:numPr>
          <w:ilvl w:val="0"/>
          <w:numId w:val="6"/>
        </w:numPr>
        <w:spacing w:line="600" w:lineRule="auto"/>
        <w:jc w:val="both"/>
        <w:rPr>
          <w:rFonts w:ascii="Times New Roman" w:hAnsi="Times New Roman" w:cs="Times New Roman"/>
        </w:rPr>
      </w:pPr>
      <w:r>
        <w:rPr>
          <w:rFonts w:ascii="Times New Roman" w:hAnsi="Times New Roman" w:cs="Times New Roman"/>
        </w:rPr>
        <w:t>Does ZARA offer a discount on social media?</w:t>
      </w:r>
    </w:p>
    <w:p w14:paraId="5C7C41D6">
      <w:pPr>
        <w:pStyle w:val="18"/>
        <w:numPr>
          <w:ilvl w:val="0"/>
          <w:numId w:val="6"/>
        </w:numPr>
        <w:spacing w:line="600" w:lineRule="auto"/>
        <w:jc w:val="both"/>
        <w:rPr>
          <w:rFonts w:ascii="Times New Roman" w:hAnsi="Times New Roman" w:cs="Times New Roman"/>
        </w:rPr>
      </w:pPr>
      <w:r>
        <w:rPr>
          <w:rFonts w:ascii="Times New Roman" w:hAnsi="Times New Roman" w:cs="Times New Roman"/>
        </w:rPr>
        <w:t>Does ZARA announce trials for their new products on social media?</w:t>
      </w:r>
    </w:p>
    <w:p w14:paraId="25F69FBC">
      <w:pPr>
        <w:pStyle w:val="5"/>
        <w:spacing w:line="600" w:lineRule="auto"/>
        <w:rPr>
          <w:rFonts w:cs="Times New Roman"/>
        </w:rPr>
      </w:pPr>
      <w:r>
        <w:rPr>
          <w:rFonts w:cs="Times New Roman"/>
        </w:rPr>
        <w:t>Brand Image:</w:t>
      </w:r>
    </w:p>
    <w:p w14:paraId="015AC5D8">
      <w:pPr>
        <w:pStyle w:val="18"/>
        <w:numPr>
          <w:ilvl w:val="0"/>
          <w:numId w:val="7"/>
        </w:numPr>
        <w:spacing w:line="600" w:lineRule="auto"/>
        <w:jc w:val="both"/>
        <w:rPr>
          <w:rFonts w:ascii="Times New Roman" w:hAnsi="Times New Roman" w:cs="Times New Roman"/>
        </w:rPr>
      </w:pPr>
      <w:r>
        <w:rPr>
          <w:rFonts w:ascii="Times New Roman" w:hAnsi="Times New Roman" w:cs="Times New Roman"/>
        </w:rPr>
        <w:t>ZARA provides good-quality products.</w:t>
      </w:r>
    </w:p>
    <w:p w14:paraId="12649B15">
      <w:pPr>
        <w:pStyle w:val="18"/>
        <w:numPr>
          <w:ilvl w:val="0"/>
          <w:numId w:val="7"/>
        </w:numPr>
        <w:spacing w:line="600" w:lineRule="auto"/>
        <w:jc w:val="both"/>
        <w:rPr>
          <w:rFonts w:ascii="Times New Roman" w:hAnsi="Times New Roman" w:cs="Times New Roman"/>
        </w:rPr>
      </w:pPr>
      <w:r>
        <w:rPr>
          <w:rFonts w:ascii="Times New Roman" w:hAnsi="Times New Roman" w:cs="Times New Roman"/>
        </w:rPr>
        <w:t>ZARA products are readily available</w:t>
      </w:r>
    </w:p>
    <w:p w14:paraId="389E1D2B">
      <w:pPr>
        <w:pStyle w:val="18"/>
        <w:numPr>
          <w:ilvl w:val="0"/>
          <w:numId w:val="7"/>
        </w:numPr>
        <w:spacing w:line="600" w:lineRule="auto"/>
        <w:jc w:val="both"/>
        <w:rPr>
          <w:rFonts w:ascii="Times New Roman" w:hAnsi="Times New Roman" w:cs="Times New Roman"/>
        </w:rPr>
      </w:pPr>
      <w:r>
        <w:rPr>
          <w:rFonts w:ascii="Times New Roman" w:hAnsi="Times New Roman" w:cs="Times New Roman"/>
        </w:rPr>
        <w:t>ZARA provides very well-designed products.</w:t>
      </w:r>
    </w:p>
    <w:p w14:paraId="24D1C3DE">
      <w:pPr>
        <w:pStyle w:val="18"/>
        <w:numPr>
          <w:ilvl w:val="0"/>
          <w:numId w:val="7"/>
        </w:numPr>
        <w:spacing w:line="600" w:lineRule="auto"/>
        <w:jc w:val="both"/>
        <w:rPr>
          <w:rFonts w:ascii="Times New Roman" w:hAnsi="Times New Roman" w:cs="Times New Roman"/>
        </w:rPr>
      </w:pPr>
      <w:r>
        <w:rPr>
          <w:rFonts w:ascii="Times New Roman" w:hAnsi="Times New Roman" w:cs="Times New Roman"/>
        </w:rPr>
        <w:t>ZARA never lets down its customers</w:t>
      </w:r>
    </w:p>
    <w:p w14:paraId="1E53D126">
      <w:pPr>
        <w:pStyle w:val="18"/>
        <w:numPr>
          <w:ilvl w:val="0"/>
          <w:numId w:val="7"/>
        </w:numPr>
        <w:spacing w:line="600" w:lineRule="auto"/>
        <w:jc w:val="both"/>
        <w:rPr>
          <w:rFonts w:ascii="Times New Roman" w:hAnsi="Times New Roman" w:cs="Times New Roman"/>
        </w:rPr>
      </w:pPr>
      <w:r>
        <w:rPr>
          <w:rFonts w:ascii="Times New Roman" w:hAnsi="Times New Roman" w:cs="Times New Roman"/>
        </w:rPr>
        <w:t>ZARA is the leading brand in the industry.</w:t>
      </w:r>
    </w:p>
    <w:p w14:paraId="108B6CCF">
      <w:pPr>
        <w:pStyle w:val="5"/>
        <w:spacing w:line="600" w:lineRule="auto"/>
        <w:rPr>
          <w:rFonts w:cs="Times New Roman"/>
        </w:rPr>
      </w:pPr>
      <w:r>
        <w:rPr>
          <w:rFonts w:cs="Times New Roman"/>
        </w:rPr>
        <w:t>Revisit Intention:</w:t>
      </w:r>
    </w:p>
    <w:p w14:paraId="4FD9F80C">
      <w:pPr>
        <w:pStyle w:val="18"/>
        <w:numPr>
          <w:ilvl w:val="0"/>
          <w:numId w:val="8"/>
        </w:numPr>
        <w:spacing w:line="600" w:lineRule="auto"/>
        <w:jc w:val="both"/>
        <w:rPr>
          <w:rFonts w:ascii="Times New Roman" w:hAnsi="Times New Roman" w:cs="Times New Roman"/>
        </w:rPr>
      </w:pPr>
      <w:r>
        <w:rPr>
          <w:rFonts w:ascii="Times New Roman" w:hAnsi="Times New Roman" w:cs="Times New Roman"/>
        </w:rPr>
        <w:t>I would love to visit ZARA again in the future.</w:t>
      </w:r>
    </w:p>
    <w:p w14:paraId="780DBCB2">
      <w:pPr>
        <w:pStyle w:val="18"/>
        <w:numPr>
          <w:ilvl w:val="0"/>
          <w:numId w:val="8"/>
        </w:numPr>
        <w:spacing w:line="600" w:lineRule="auto"/>
        <w:jc w:val="both"/>
        <w:rPr>
          <w:rFonts w:ascii="Times New Roman" w:hAnsi="Times New Roman" w:cs="Times New Roman"/>
        </w:rPr>
      </w:pPr>
      <w:r>
        <w:rPr>
          <w:rFonts w:ascii="Times New Roman" w:hAnsi="Times New Roman" w:cs="Times New Roman"/>
        </w:rPr>
        <w:t>I would like to visit ZARA more often.</w:t>
      </w:r>
    </w:p>
    <w:p w14:paraId="420CFEC9">
      <w:pPr>
        <w:pStyle w:val="18"/>
        <w:numPr>
          <w:ilvl w:val="0"/>
          <w:numId w:val="8"/>
        </w:numPr>
        <w:spacing w:line="600" w:lineRule="auto"/>
        <w:jc w:val="both"/>
        <w:rPr>
          <w:rFonts w:ascii="Times New Roman" w:hAnsi="Times New Roman" w:cs="Times New Roman"/>
        </w:rPr>
      </w:pPr>
      <w:r>
        <w:rPr>
          <w:rFonts w:ascii="Times New Roman" w:hAnsi="Times New Roman" w:cs="Times New Roman"/>
        </w:rPr>
        <w:t>I would love to spend more money on ZARA</w:t>
      </w:r>
    </w:p>
    <w:p w14:paraId="07974442">
      <w:pPr>
        <w:pStyle w:val="18"/>
        <w:numPr>
          <w:ilvl w:val="0"/>
          <w:numId w:val="8"/>
        </w:numPr>
        <w:spacing w:line="600" w:lineRule="auto"/>
        <w:jc w:val="both"/>
        <w:rPr>
          <w:rFonts w:ascii="Times New Roman" w:hAnsi="Times New Roman" w:cs="Times New Roman"/>
        </w:rPr>
      </w:pPr>
      <w:r>
        <w:rPr>
          <w:rFonts w:ascii="Times New Roman" w:hAnsi="Times New Roman" w:cs="Times New Roman"/>
        </w:rPr>
        <w:t>I will recommend ZARA to my friends and others.</w:t>
      </w:r>
    </w:p>
    <w:p w14:paraId="51224648">
      <w:pPr>
        <w:pStyle w:val="5"/>
        <w:spacing w:line="600" w:lineRule="auto"/>
        <w:rPr>
          <w:rFonts w:cs="Times New Roman"/>
        </w:rPr>
      </w:pPr>
      <w:r>
        <w:rPr>
          <w:rFonts w:cs="Times New Roman"/>
        </w:rPr>
        <w:t>Impulsive Buying Behavior:</w:t>
      </w:r>
    </w:p>
    <w:p w14:paraId="2AEF1BBD">
      <w:pPr>
        <w:pStyle w:val="18"/>
        <w:numPr>
          <w:ilvl w:val="0"/>
          <w:numId w:val="9"/>
        </w:numPr>
        <w:spacing w:line="600" w:lineRule="auto"/>
        <w:jc w:val="both"/>
        <w:rPr>
          <w:rFonts w:ascii="Times New Roman" w:hAnsi="Times New Roman" w:cs="Times New Roman"/>
        </w:rPr>
      </w:pPr>
      <w:r>
        <w:rPr>
          <w:rFonts w:ascii="Times New Roman" w:hAnsi="Times New Roman" w:cs="Times New Roman"/>
        </w:rPr>
        <w:t>I bought many products at ZARA, although they weren't on my buying list.</w:t>
      </w:r>
    </w:p>
    <w:p w14:paraId="3207E47F">
      <w:pPr>
        <w:pStyle w:val="18"/>
        <w:numPr>
          <w:ilvl w:val="0"/>
          <w:numId w:val="9"/>
        </w:numPr>
        <w:spacing w:line="600" w:lineRule="auto"/>
        <w:jc w:val="both"/>
        <w:rPr>
          <w:rFonts w:ascii="Times New Roman" w:hAnsi="Times New Roman" w:cs="Times New Roman"/>
        </w:rPr>
      </w:pPr>
      <w:r>
        <w:rPr>
          <w:rFonts w:ascii="Times New Roman" w:hAnsi="Times New Roman" w:cs="Times New Roman"/>
        </w:rPr>
        <w:t>Whenever I visit ZARA, I experience several sudden urges to buy things.</w:t>
      </w:r>
    </w:p>
    <w:p w14:paraId="73D5B6DF">
      <w:pPr>
        <w:pStyle w:val="18"/>
        <w:numPr>
          <w:ilvl w:val="0"/>
          <w:numId w:val="9"/>
        </w:numPr>
        <w:spacing w:line="600" w:lineRule="auto"/>
        <w:jc w:val="both"/>
        <w:rPr>
          <w:rFonts w:ascii="Times New Roman" w:hAnsi="Times New Roman" w:cs="Times New Roman"/>
        </w:rPr>
      </w:pPr>
      <w:r>
        <w:rPr>
          <w:rFonts w:ascii="Times New Roman" w:hAnsi="Times New Roman" w:cs="Times New Roman"/>
        </w:rPr>
        <w:t>When I visited ZARA, I experienced a sudden desire to buy something.</w:t>
      </w:r>
    </w:p>
    <w:p w14:paraId="7967A112">
      <w:pPr>
        <w:pStyle w:val="18"/>
        <w:numPr>
          <w:ilvl w:val="0"/>
          <w:numId w:val="9"/>
        </w:numPr>
        <w:spacing w:line="600" w:lineRule="auto"/>
        <w:jc w:val="both"/>
        <w:rPr>
          <w:rFonts w:ascii="Times New Roman" w:hAnsi="Times New Roman" w:cs="Times New Roman"/>
        </w:rPr>
      </w:pPr>
      <w:r>
        <w:rPr>
          <w:rFonts w:ascii="Times New Roman" w:hAnsi="Times New Roman" w:cs="Times New Roman"/>
        </w:rPr>
        <w:t>We mostly buy things instinctively without thinking.</w:t>
      </w:r>
    </w:p>
    <w:p w14:paraId="1C023D6F">
      <w:pPr>
        <w:spacing w:line="600" w:lineRule="auto"/>
        <w:jc w:val="both"/>
        <w:rPr>
          <w:rFonts w:ascii="Times New Roman" w:hAnsi="Times New Roman" w:cs="Times New Roman"/>
        </w:rPr>
      </w:pPr>
    </w:p>
    <w:p w14:paraId="3BCE6AC4">
      <w:pPr>
        <w:spacing w:line="600" w:lineRule="auto"/>
        <w:jc w:val="both"/>
        <w:rPr>
          <w:rFonts w:ascii="Times New Roman" w:hAnsi="Times New Roman" w:cs="Times New Roman"/>
        </w:rPr>
      </w:pPr>
    </w:p>
    <w:p w14:paraId="079EFAB4">
      <w:pPr>
        <w:pStyle w:val="2"/>
        <w:spacing w:line="600" w:lineRule="auto"/>
        <w:rPr>
          <w:rFonts w:cs="Times New Roman"/>
          <w:sz w:val="22"/>
          <w:szCs w:val="22"/>
        </w:rPr>
      </w:pPr>
      <w:bookmarkStart w:id="42" w:name="_Toc197000242"/>
      <w:r>
        <w:rPr>
          <w:rFonts w:cs="Times New Roman"/>
          <w:sz w:val="22"/>
          <w:szCs w:val="22"/>
        </w:rPr>
        <w:t>References:</w:t>
      </w:r>
      <w:bookmarkEnd w:id="42"/>
    </w:p>
    <w:p w14:paraId="0D55E680">
      <w:pPr>
        <w:spacing w:line="600" w:lineRule="auto"/>
        <w:jc w:val="both"/>
        <w:rPr>
          <w:rFonts w:ascii="Times New Roman" w:hAnsi="Times New Roman" w:cs="Times New Roman"/>
        </w:rPr>
      </w:pPr>
      <w:r>
        <w:rPr>
          <w:rFonts w:ascii="Times New Roman" w:hAnsi="Times New Roman" w:cs="Times New Roman"/>
        </w:rPr>
        <w:t xml:space="preserve">Park, E.J., Kim, E.Y., Funches, V.M. &amp; Foxx, W. (2012) Apparel product attributes, web browsing, and e-impulse buying on shopping websites. </w:t>
      </w:r>
      <w:r>
        <w:rPr>
          <w:rFonts w:ascii="Times New Roman" w:hAnsi="Times New Roman" w:cs="Times New Roman"/>
          <w:i/>
          <w:iCs/>
        </w:rPr>
        <w:t>Journal of Business Research</w:t>
      </w:r>
      <w:r>
        <w:rPr>
          <w:rFonts w:ascii="Times New Roman" w:hAnsi="Times New Roman" w:cs="Times New Roman"/>
        </w:rPr>
        <w:t xml:space="preserve">, </w:t>
      </w:r>
      <w:r>
        <w:rPr>
          <w:rFonts w:ascii="Times New Roman" w:hAnsi="Times New Roman" w:cs="Times New Roman"/>
          <w:i/>
          <w:iCs/>
        </w:rPr>
        <w:t>65</w:t>
      </w:r>
      <w:r>
        <w:rPr>
          <w:rFonts w:ascii="Times New Roman" w:hAnsi="Times New Roman" w:cs="Times New Roman"/>
        </w:rPr>
        <w:t>(11), pp. 1583–1589.</w:t>
      </w:r>
    </w:p>
    <w:p w14:paraId="337884BB">
      <w:pPr>
        <w:spacing w:line="600" w:lineRule="auto"/>
        <w:jc w:val="both"/>
        <w:rPr>
          <w:rFonts w:ascii="Times New Roman" w:hAnsi="Times New Roman" w:cs="Times New Roman"/>
        </w:rPr>
      </w:pPr>
      <w:r>
        <w:rPr>
          <w:rFonts w:ascii="Times New Roman" w:hAnsi="Times New Roman" w:cs="Times New Roman"/>
        </w:rPr>
        <w:t xml:space="preserve">Iyer, G.R., Blut, M., Xiao, S.H. &amp; Grewal, D. (2019) Impulse buying: A meta-analytic review. </w:t>
      </w:r>
      <w:r>
        <w:rPr>
          <w:rFonts w:ascii="Times New Roman" w:hAnsi="Times New Roman" w:cs="Times New Roman"/>
          <w:i/>
          <w:iCs/>
        </w:rPr>
        <w:t>Journal of the Academy of Marketing Science</w:t>
      </w:r>
      <w:r>
        <w:rPr>
          <w:rFonts w:ascii="Times New Roman" w:hAnsi="Times New Roman" w:cs="Times New Roman"/>
        </w:rPr>
        <w:t xml:space="preserve">, </w:t>
      </w:r>
      <w:r>
        <w:rPr>
          <w:rFonts w:ascii="Times New Roman" w:hAnsi="Times New Roman" w:cs="Times New Roman"/>
          <w:i/>
          <w:iCs/>
        </w:rPr>
        <w:t>48</w:t>
      </w:r>
      <w:r>
        <w:rPr>
          <w:rFonts w:ascii="Times New Roman" w:hAnsi="Times New Roman" w:cs="Times New Roman"/>
        </w:rPr>
        <w:t>(3), pp. 1–21.</w:t>
      </w:r>
    </w:p>
    <w:p w14:paraId="3188D7AC">
      <w:pPr>
        <w:spacing w:line="600" w:lineRule="auto"/>
        <w:jc w:val="both"/>
        <w:rPr>
          <w:rFonts w:ascii="Times New Roman" w:hAnsi="Times New Roman" w:cs="Times New Roman"/>
        </w:rPr>
      </w:pPr>
      <w:r>
        <w:rPr>
          <w:rFonts w:ascii="Times New Roman" w:hAnsi="Times New Roman" w:cs="Times New Roman"/>
        </w:rPr>
        <w:t xml:space="preserve">Kotler, P., Bowen, J.T., Makens, J. &amp; Baloglu, S. (2017) </w:t>
      </w:r>
      <w:r>
        <w:rPr>
          <w:rFonts w:ascii="Times New Roman" w:hAnsi="Times New Roman" w:cs="Times New Roman"/>
          <w:i/>
          <w:iCs/>
        </w:rPr>
        <w:t>Marketing for Hospitality and Tourism</w:t>
      </w:r>
      <w:r>
        <w:rPr>
          <w:rFonts w:ascii="Times New Roman" w:hAnsi="Times New Roman" w:cs="Times New Roman"/>
        </w:rPr>
        <w:t>. Boston, MA: Pearson Education.</w:t>
      </w:r>
    </w:p>
    <w:p w14:paraId="69C69DE0">
      <w:pPr>
        <w:spacing w:line="600" w:lineRule="auto"/>
        <w:jc w:val="both"/>
        <w:rPr>
          <w:rFonts w:ascii="Times New Roman" w:hAnsi="Times New Roman" w:cs="Times New Roman"/>
        </w:rPr>
      </w:pPr>
      <w:r>
        <w:rPr>
          <w:rFonts w:ascii="Times New Roman" w:hAnsi="Times New Roman" w:cs="Times New Roman"/>
        </w:rPr>
        <w:t xml:space="preserve">Kacen, J.J. &amp; Lee, J.A. (2002). The influence of culture on consumer impulsive buying behavior. </w:t>
      </w:r>
      <w:r>
        <w:rPr>
          <w:rFonts w:ascii="Times New Roman" w:hAnsi="Times New Roman" w:cs="Times New Roman"/>
          <w:i/>
          <w:iCs/>
        </w:rPr>
        <w:t>Journal of Consumer Psychology</w:t>
      </w:r>
      <w:r>
        <w:rPr>
          <w:rFonts w:ascii="Times New Roman" w:hAnsi="Times New Roman" w:cs="Times New Roman"/>
        </w:rPr>
        <w:t xml:space="preserve">, </w:t>
      </w:r>
      <w:r>
        <w:rPr>
          <w:rFonts w:ascii="Times New Roman" w:hAnsi="Times New Roman" w:cs="Times New Roman"/>
          <w:i/>
          <w:iCs/>
        </w:rPr>
        <w:t>12</w:t>
      </w:r>
      <w:r>
        <w:rPr>
          <w:rFonts w:ascii="Times New Roman" w:hAnsi="Times New Roman" w:cs="Times New Roman"/>
        </w:rPr>
        <w:t>(2), pp. 163–176.</w:t>
      </w:r>
    </w:p>
    <w:p w14:paraId="03A383A7">
      <w:pPr>
        <w:spacing w:line="600" w:lineRule="auto"/>
        <w:jc w:val="both"/>
        <w:rPr>
          <w:rFonts w:ascii="Times New Roman" w:hAnsi="Times New Roman" w:cs="Times New Roman"/>
        </w:rPr>
      </w:pPr>
      <w:r>
        <w:rPr>
          <w:rFonts w:ascii="Times New Roman" w:hAnsi="Times New Roman" w:cs="Times New Roman"/>
        </w:rPr>
        <w:t xml:space="preserve">Niu, H.J. &amp; Wang, Y.D. (2009) Work experience effect on idolatry and the impulsive buying tendencies of adolescents. </w:t>
      </w:r>
      <w:r>
        <w:rPr>
          <w:rFonts w:ascii="Times New Roman" w:hAnsi="Times New Roman" w:cs="Times New Roman"/>
          <w:i/>
          <w:iCs/>
        </w:rPr>
        <w:t>Adolescence</w:t>
      </w:r>
      <w:r>
        <w:rPr>
          <w:rFonts w:ascii="Times New Roman" w:hAnsi="Times New Roman" w:cs="Times New Roman"/>
        </w:rPr>
        <w:t xml:space="preserve">, </w:t>
      </w:r>
      <w:r>
        <w:rPr>
          <w:rFonts w:ascii="Times New Roman" w:hAnsi="Times New Roman" w:cs="Times New Roman"/>
          <w:i/>
          <w:iCs/>
        </w:rPr>
        <w:t>44</w:t>
      </w:r>
      <w:r>
        <w:rPr>
          <w:rFonts w:ascii="Times New Roman" w:hAnsi="Times New Roman" w:cs="Times New Roman"/>
        </w:rPr>
        <w:t>(173), pp. 233–243.</w:t>
      </w:r>
    </w:p>
    <w:p w14:paraId="32FE5903">
      <w:pPr>
        <w:spacing w:line="600" w:lineRule="auto"/>
        <w:jc w:val="both"/>
        <w:rPr>
          <w:rFonts w:ascii="Times New Roman" w:hAnsi="Times New Roman" w:cs="Times New Roman"/>
        </w:rPr>
      </w:pPr>
      <w:r>
        <w:rPr>
          <w:rFonts w:ascii="Times New Roman" w:hAnsi="Times New Roman" w:cs="Times New Roman"/>
        </w:rPr>
        <w:t xml:space="preserve">Brockner, J. &amp; Houser, R. (1984). Perceived control as a determinant of the relationship between mood and social behavior. </w:t>
      </w:r>
      <w:r>
        <w:rPr>
          <w:rFonts w:ascii="Times New Roman" w:hAnsi="Times New Roman" w:cs="Times New Roman"/>
          <w:i/>
          <w:iCs/>
        </w:rPr>
        <w:t>Journal of Personality and Social Psychology</w:t>
      </w:r>
      <w:r>
        <w:rPr>
          <w:rFonts w:ascii="Times New Roman" w:hAnsi="Times New Roman" w:cs="Times New Roman"/>
        </w:rPr>
        <w:t xml:space="preserve">, </w:t>
      </w:r>
      <w:r>
        <w:rPr>
          <w:rFonts w:ascii="Times New Roman" w:hAnsi="Times New Roman" w:cs="Times New Roman"/>
          <w:i/>
          <w:iCs/>
        </w:rPr>
        <w:t>47</w:t>
      </w:r>
      <w:r>
        <w:rPr>
          <w:rFonts w:ascii="Times New Roman" w:hAnsi="Times New Roman" w:cs="Times New Roman"/>
        </w:rPr>
        <w:t>(6), pp. 1267–1278.</w:t>
      </w:r>
    </w:p>
    <w:p w14:paraId="62A99C88">
      <w:pPr>
        <w:spacing w:line="600" w:lineRule="auto"/>
        <w:jc w:val="both"/>
        <w:rPr>
          <w:rFonts w:ascii="Times New Roman" w:hAnsi="Times New Roman" w:cs="Times New Roman"/>
        </w:rPr>
      </w:pPr>
      <w:r>
        <w:rPr>
          <w:rFonts w:ascii="Times New Roman" w:hAnsi="Times New Roman" w:cs="Times New Roman"/>
        </w:rPr>
        <w:t xml:space="preserve">Beatty, S.E. &amp; Ferrell, M.E. (1998) Impulse buying: Modeling its precursors. </w:t>
      </w:r>
      <w:r>
        <w:rPr>
          <w:rFonts w:ascii="Times New Roman" w:hAnsi="Times New Roman" w:cs="Times New Roman"/>
          <w:i/>
          <w:iCs/>
        </w:rPr>
        <w:t>Journal of Retailing</w:t>
      </w:r>
      <w:r>
        <w:rPr>
          <w:rFonts w:ascii="Times New Roman" w:hAnsi="Times New Roman" w:cs="Times New Roman"/>
        </w:rPr>
        <w:t xml:space="preserve">, </w:t>
      </w:r>
      <w:r>
        <w:rPr>
          <w:rFonts w:ascii="Times New Roman" w:hAnsi="Times New Roman" w:cs="Times New Roman"/>
          <w:i/>
          <w:iCs/>
        </w:rPr>
        <w:t>74</w:t>
      </w:r>
      <w:r>
        <w:rPr>
          <w:rFonts w:ascii="Times New Roman" w:hAnsi="Times New Roman" w:cs="Times New Roman"/>
        </w:rPr>
        <w:t>(2), pp. 169–191.</w:t>
      </w:r>
    </w:p>
    <w:p w14:paraId="1FE70272">
      <w:pPr>
        <w:spacing w:line="600" w:lineRule="auto"/>
        <w:jc w:val="both"/>
        <w:rPr>
          <w:rFonts w:ascii="Times New Roman" w:hAnsi="Times New Roman" w:cs="Times New Roman"/>
        </w:rPr>
      </w:pPr>
      <w:r>
        <w:rPr>
          <w:rFonts w:ascii="Times New Roman" w:hAnsi="Times New Roman" w:cs="Times New Roman"/>
        </w:rPr>
        <w:t xml:space="preserve">Rook, D.W. &amp; Fisher, R.J. (1995). Normative influences on impulsive buying behavior. </w:t>
      </w:r>
      <w:r>
        <w:rPr>
          <w:rFonts w:ascii="Times New Roman" w:hAnsi="Times New Roman" w:cs="Times New Roman"/>
          <w:i/>
          <w:iCs/>
        </w:rPr>
        <w:t>Journal of Consumer Research</w:t>
      </w:r>
      <w:r>
        <w:rPr>
          <w:rFonts w:ascii="Times New Roman" w:hAnsi="Times New Roman" w:cs="Times New Roman"/>
        </w:rPr>
        <w:t xml:space="preserve">, </w:t>
      </w:r>
      <w:r>
        <w:rPr>
          <w:rFonts w:ascii="Times New Roman" w:hAnsi="Times New Roman" w:cs="Times New Roman"/>
          <w:i/>
          <w:iCs/>
        </w:rPr>
        <w:t>22</w:t>
      </w:r>
      <w:r>
        <w:rPr>
          <w:rFonts w:ascii="Times New Roman" w:hAnsi="Times New Roman" w:cs="Times New Roman"/>
        </w:rPr>
        <w:t>(3), pp. 305–313.</w:t>
      </w:r>
    </w:p>
    <w:p w14:paraId="7C559E9C">
      <w:pPr>
        <w:spacing w:line="600" w:lineRule="auto"/>
        <w:jc w:val="both"/>
        <w:rPr>
          <w:rFonts w:ascii="Times New Roman" w:hAnsi="Times New Roman" w:cs="Times New Roman"/>
        </w:rPr>
      </w:pPr>
      <w:r>
        <w:rPr>
          <w:rFonts w:ascii="Times New Roman" w:hAnsi="Times New Roman" w:cs="Times New Roman"/>
        </w:rPr>
        <w:t xml:space="preserve">Sherman, E., Mathur, A. &amp; Smith, R.B. (1997) Store environment and consumer purchase behavior: Mediating role of consumer emotions. </w:t>
      </w:r>
      <w:r>
        <w:rPr>
          <w:rFonts w:ascii="Times New Roman" w:hAnsi="Times New Roman" w:cs="Times New Roman"/>
          <w:i/>
          <w:iCs/>
        </w:rPr>
        <w:t>Psychology and Marketing</w:t>
      </w:r>
      <w:r>
        <w:rPr>
          <w:rFonts w:ascii="Times New Roman" w:hAnsi="Times New Roman" w:cs="Times New Roman"/>
        </w:rPr>
        <w:t xml:space="preserve">, </w:t>
      </w:r>
      <w:r>
        <w:rPr>
          <w:rFonts w:ascii="Times New Roman" w:hAnsi="Times New Roman" w:cs="Times New Roman"/>
          <w:i/>
          <w:iCs/>
        </w:rPr>
        <w:t>14</w:t>
      </w:r>
      <w:r>
        <w:rPr>
          <w:rFonts w:ascii="Times New Roman" w:hAnsi="Times New Roman" w:cs="Times New Roman"/>
        </w:rPr>
        <w:t>(4), pp. 361–379.</w:t>
      </w:r>
    </w:p>
    <w:p w14:paraId="7BB2C6A5">
      <w:pPr>
        <w:spacing w:line="600" w:lineRule="auto"/>
        <w:jc w:val="both"/>
        <w:rPr>
          <w:rFonts w:ascii="Times New Roman" w:hAnsi="Times New Roman" w:cs="Times New Roman"/>
        </w:rPr>
      </w:pPr>
      <w:r>
        <w:rPr>
          <w:rFonts w:ascii="Times New Roman" w:hAnsi="Times New Roman" w:cs="Times New Roman"/>
        </w:rPr>
        <w:t xml:space="preserve">Amos, C., Holmes, G.R. &amp; Keneson, W.C. (2014) A meta-analysis of consumer impulse buying. </w:t>
      </w:r>
      <w:r>
        <w:rPr>
          <w:rFonts w:ascii="Times New Roman" w:hAnsi="Times New Roman" w:cs="Times New Roman"/>
          <w:i/>
          <w:iCs/>
        </w:rPr>
        <w:t>Journal of Retailing and Consumer Services</w:t>
      </w:r>
      <w:r>
        <w:rPr>
          <w:rFonts w:ascii="Times New Roman" w:hAnsi="Times New Roman" w:cs="Times New Roman"/>
        </w:rPr>
        <w:t xml:space="preserve">, </w:t>
      </w:r>
      <w:r>
        <w:rPr>
          <w:rFonts w:ascii="Times New Roman" w:hAnsi="Times New Roman" w:cs="Times New Roman"/>
          <w:i/>
          <w:iCs/>
        </w:rPr>
        <w:t>21</w:t>
      </w:r>
      <w:r>
        <w:rPr>
          <w:rFonts w:ascii="Times New Roman" w:hAnsi="Times New Roman" w:cs="Times New Roman"/>
        </w:rPr>
        <w:t>(2), pp. 86–97.</w:t>
      </w:r>
    </w:p>
    <w:p w14:paraId="147BB170">
      <w:pPr>
        <w:spacing w:line="600" w:lineRule="auto"/>
        <w:jc w:val="both"/>
        <w:rPr>
          <w:rFonts w:ascii="Times New Roman" w:hAnsi="Times New Roman" w:cs="Times New Roman"/>
        </w:rPr>
      </w:pPr>
      <w:r>
        <w:rPr>
          <w:rFonts w:ascii="Times New Roman" w:hAnsi="Times New Roman" w:cs="Times New Roman"/>
        </w:rPr>
        <w:t xml:space="preserve">Arnold, M.J. &amp; Reynolds, K.E. (2003). Hedonic shopping motivations. </w:t>
      </w:r>
      <w:r>
        <w:rPr>
          <w:rFonts w:ascii="Times New Roman" w:hAnsi="Times New Roman" w:cs="Times New Roman"/>
          <w:i/>
          <w:iCs/>
        </w:rPr>
        <w:t>Journal of Retailing</w:t>
      </w:r>
      <w:r>
        <w:rPr>
          <w:rFonts w:ascii="Times New Roman" w:hAnsi="Times New Roman" w:cs="Times New Roman"/>
        </w:rPr>
        <w:t xml:space="preserve">, </w:t>
      </w:r>
      <w:r>
        <w:rPr>
          <w:rFonts w:ascii="Times New Roman" w:hAnsi="Times New Roman" w:cs="Times New Roman"/>
          <w:i/>
          <w:iCs/>
        </w:rPr>
        <w:t>108</w:t>
      </w:r>
      <w:r>
        <w:rPr>
          <w:rFonts w:ascii="Times New Roman" w:hAnsi="Times New Roman" w:cs="Times New Roman"/>
        </w:rPr>
        <w:t>(2), pp.1–20.</w:t>
      </w:r>
    </w:p>
    <w:p w14:paraId="6852D526">
      <w:pPr>
        <w:spacing w:line="600" w:lineRule="auto"/>
        <w:jc w:val="both"/>
        <w:rPr>
          <w:rFonts w:ascii="Times New Roman" w:hAnsi="Times New Roman" w:cs="Times New Roman"/>
        </w:rPr>
      </w:pPr>
      <w:r>
        <w:rPr>
          <w:rFonts w:ascii="Times New Roman" w:hAnsi="Times New Roman" w:cs="Times New Roman"/>
        </w:rPr>
        <w:t xml:space="preserve">Babin, B.J. &amp; Attaway, J.S. (2000). Atmospheric affect as a tool for creating value and gaining share of customer. </w:t>
      </w:r>
      <w:r>
        <w:rPr>
          <w:rFonts w:ascii="Times New Roman" w:hAnsi="Times New Roman" w:cs="Times New Roman"/>
          <w:i/>
          <w:iCs/>
        </w:rPr>
        <w:t>Journal of Business Research</w:t>
      </w:r>
      <w:r>
        <w:rPr>
          <w:rFonts w:ascii="Times New Roman" w:hAnsi="Times New Roman" w:cs="Times New Roman"/>
        </w:rPr>
        <w:t xml:space="preserve">, </w:t>
      </w:r>
      <w:r>
        <w:rPr>
          <w:rFonts w:ascii="Times New Roman" w:hAnsi="Times New Roman" w:cs="Times New Roman"/>
          <w:i/>
          <w:iCs/>
        </w:rPr>
        <w:t>49</w:t>
      </w:r>
      <w:r>
        <w:rPr>
          <w:rFonts w:ascii="Times New Roman" w:hAnsi="Times New Roman" w:cs="Times New Roman"/>
        </w:rPr>
        <w:t>(2), pp. 91–99.</w:t>
      </w:r>
    </w:p>
    <w:p w14:paraId="4CC80D3D">
      <w:pPr>
        <w:spacing w:line="600" w:lineRule="auto"/>
        <w:jc w:val="both"/>
        <w:rPr>
          <w:rFonts w:ascii="Times New Roman" w:hAnsi="Times New Roman" w:cs="Times New Roman"/>
        </w:rPr>
      </w:pPr>
      <w:r>
        <w:rPr>
          <w:rFonts w:ascii="Times New Roman" w:hAnsi="Times New Roman" w:cs="Times New Roman"/>
        </w:rPr>
        <w:t xml:space="preserve">Baker, J., Parasuraman, A., Grewal, D. &amp; Voss, G.B. (1992) The influence of store environment on quality inferences and store image. </w:t>
      </w:r>
      <w:r>
        <w:rPr>
          <w:rFonts w:ascii="Times New Roman" w:hAnsi="Times New Roman" w:cs="Times New Roman"/>
          <w:i/>
          <w:iCs/>
        </w:rPr>
        <w:t>Journal of the Academy of Marketing Science</w:t>
      </w:r>
      <w:r>
        <w:rPr>
          <w:rFonts w:ascii="Times New Roman" w:hAnsi="Times New Roman" w:cs="Times New Roman"/>
        </w:rPr>
        <w:t xml:space="preserve">, </w:t>
      </w:r>
      <w:r>
        <w:rPr>
          <w:rFonts w:ascii="Times New Roman" w:hAnsi="Times New Roman" w:cs="Times New Roman"/>
          <w:i/>
          <w:iCs/>
        </w:rPr>
        <w:t>20</w:t>
      </w:r>
      <w:r>
        <w:rPr>
          <w:rFonts w:ascii="Times New Roman" w:hAnsi="Times New Roman" w:cs="Times New Roman"/>
        </w:rPr>
        <w:t>(4), pp. 323–338.</w:t>
      </w:r>
    </w:p>
    <w:p w14:paraId="31B0AF5C">
      <w:pPr>
        <w:spacing w:line="600" w:lineRule="auto"/>
        <w:jc w:val="both"/>
        <w:rPr>
          <w:rFonts w:ascii="Times New Roman" w:hAnsi="Times New Roman" w:cs="Times New Roman"/>
        </w:rPr>
      </w:pPr>
      <w:r>
        <w:rPr>
          <w:rFonts w:ascii="Times New Roman" w:hAnsi="Times New Roman" w:cs="Times New Roman"/>
        </w:rPr>
        <w:t xml:space="preserve">Hausman, A. (2000). A multi-method investigation of consumer motivations in impulse buying behavior. </w:t>
      </w:r>
      <w:r>
        <w:rPr>
          <w:rFonts w:ascii="Times New Roman" w:hAnsi="Times New Roman" w:cs="Times New Roman"/>
          <w:i/>
          <w:iCs/>
        </w:rPr>
        <w:t>Journal of Consumer Marketing</w:t>
      </w:r>
      <w:r>
        <w:rPr>
          <w:rFonts w:ascii="Times New Roman" w:hAnsi="Times New Roman" w:cs="Times New Roman"/>
        </w:rPr>
        <w:t xml:space="preserve">, </w:t>
      </w:r>
      <w:r>
        <w:rPr>
          <w:rFonts w:ascii="Times New Roman" w:hAnsi="Times New Roman" w:cs="Times New Roman"/>
          <w:i/>
          <w:iCs/>
        </w:rPr>
        <w:t>17</w:t>
      </w:r>
      <w:r>
        <w:rPr>
          <w:rFonts w:ascii="Times New Roman" w:hAnsi="Times New Roman" w:cs="Times New Roman"/>
        </w:rPr>
        <w:t>(5), pp. 403–426.</w:t>
      </w:r>
    </w:p>
    <w:p w14:paraId="624419DC">
      <w:pPr>
        <w:spacing w:line="600" w:lineRule="auto"/>
        <w:jc w:val="both"/>
        <w:rPr>
          <w:rFonts w:ascii="Times New Roman" w:hAnsi="Times New Roman" w:cs="Times New Roman"/>
        </w:rPr>
      </w:pPr>
      <w:r>
        <w:rPr>
          <w:rFonts w:ascii="Times New Roman" w:hAnsi="Times New Roman" w:cs="Times New Roman"/>
        </w:rPr>
        <w:t xml:space="preserve">Jones, M.A., Reynolds, K.E., Weun, S. &amp; Beatty, S.E. (2003). The product-specific nature of the impulse buying tendency. </w:t>
      </w:r>
      <w:r>
        <w:rPr>
          <w:rFonts w:ascii="Times New Roman" w:hAnsi="Times New Roman" w:cs="Times New Roman"/>
          <w:i/>
          <w:iCs/>
        </w:rPr>
        <w:t>Journal of Business Research</w:t>
      </w:r>
      <w:r>
        <w:rPr>
          <w:rFonts w:ascii="Times New Roman" w:hAnsi="Times New Roman" w:cs="Times New Roman"/>
        </w:rPr>
        <w:t xml:space="preserve">, </w:t>
      </w:r>
      <w:r>
        <w:rPr>
          <w:rFonts w:ascii="Times New Roman" w:hAnsi="Times New Roman" w:cs="Times New Roman"/>
          <w:i/>
          <w:iCs/>
        </w:rPr>
        <w:t>56</w:t>
      </w:r>
      <w:r>
        <w:rPr>
          <w:rFonts w:ascii="Times New Roman" w:hAnsi="Times New Roman" w:cs="Times New Roman"/>
        </w:rPr>
        <w:t>(7), pp. 505–511.</w:t>
      </w:r>
    </w:p>
    <w:p w14:paraId="69A10B06">
      <w:pPr>
        <w:spacing w:line="600" w:lineRule="auto"/>
        <w:jc w:val="both"/>
        <w:rPr>
          <w:rFonts w:ascii="Times New Roman" w:hAnsi="Times New Roman" w:cs="Times New Roman"/>
        </w:rPr>
      </w:pPr>
      <w:r>
        <w:rPr>
          <w:rFonts w:ascii="Times New Roman" w:hAnsi="Times New Roman" w:cs="Times New Roman"/>
        </w:rPr>
        <w:t xml:space="preserve">Weun, S., Jones, M.A. &amp; Beatty, S.E. (1998). Development and validation of the impulse buying tendency scale. </w:t>
      </w:r>
      <w:r>
        <w:rPr>
          <w:rFonts w:ascii="Times New Roman" w:hAnsi="Times New Roman" w:cs="Times New Roman"/>
          <w:i/>
          <w:iCs/>
        </w:rPr>
        <w:t>Psychological Reports</w:t>
      </w:r>
      <w:r>
        <w:rPr>
          <w:rFonts w:ascii="Times New Roman" w:hAnsi="Times New Roman" w:cs="Times New Roman"/>
        </w:rPr>
        <w:t xml:space="preserve">, </w:t>
      </w:r>
      <w:r>
        <w:rPr>
          <w:rFonts w:ascii="Times New Roman" w:hAnsi="Times New Roman" w:cs="Times New Roman"/>
          <w:i/>
          <w:iCs/>
        </w:rPr>
        <w:t>82</w:t>
      </w:r>
      <w:r>
        <w:rPr>
          <w:rFonts w:ascii="Times New Roman" w:hAnsi="Times New Roman" w:cs="Times New Roman"/>
        </w:rPr>
        <w:t>(3), pp. 1123–1133.</w:t>
      </w:r>
    </w:p>
    <w:p w14:paraId="6230D9EB">
      <w:pPr>
        <w:spacing w:line="600" w:lineRule="auto"/>
        <w:jc w:val="both"/>
        <w:rPr>
          <w:rFonts w:ascii="Times New Roman" w:hAnsi="Times New Roman" w:cs="Times New Roman"/>
        </w:rPr>
      </w:pPr>
      <w:r>
        <w:rPr>
          <w:rFonts w:ascii="Times New Roman" w:hAnsi="Times New Roman" w:cs="Times New Roman"/>
        </w:rPr>
        <w:t xml:space="preserve">Zhang, K.Z., Xu, H., Zhao, S. &amp; Yu, Y. (2018). Online reviews and impulse buying behavior: The role of browsing and impulsiveness. </w:t>
      </w:r>
      <w:r>
        <w:rPr>
          <w:rFonts w:ascii="Times New Roman" w:hAnsi="Times New Roman" w:cs="Times New Roman"/>
          <w:i/>
          <w:iCs/>
        </w:rPr>
        <w:t>Internet Research</w:t>
      </w:r>
      <w:r>
        <w:rPr>
          <w:rFonts w:ascii="Times New Roman" w:hAnsi="Times New Roman" w:cs="Times New Roman"/>
        </w:rPr>
        <w:t xml:space="preserve">, </w:t>
      </w:r>
      <w:r>
        <w:rPr>
          <w:rFonts w:ascii="Times New Roman" w:hAnsi="Times New Roman" w:cs="Times New Roman"/>
          <w:i/>
          <w:iCs/>
        </w:rPr>
        <w:t>28</w:t>
      </w:r>
      <w:r>
        <w:rPr>
          <w:rFonts w:ascii="Times New Roman" w:hAnsi="Times New Roman" w:cs="Times New Roman"/>
        </w:rPr>
        <w:t>(3), pp. 522–543.</w:t>
      </w:r>
    </w:p>
    <w:p w14:paraId="0724E610">
      <w:pPr>
        <w:spacing w:line="600" w:lineRule="auto"/>
        <w:jc w:val="both"/>
        <w:rPr>
          <w:rFonts w:ascii="Times New Roman" w:hAnsi="Times New Roman" w:cs="Times New Roman"/>
        </w:rPr>
      </w:pPr>
      <w:r>
        <w:rPr>
          <w:rFonts w:ascii="Times New Roman" w:hAnsi="Times New Roman" w:cs="Times New Roman"/>
        </w:rPr>
        <w:t xml:space="preserve">Jiang, Y., Miao, M., Jalees, T. &amp; Zaman, S.I. (2019). Analysis of the moral mechanism to purchase counterfeit luxury goods: Evidence from China. </w:t>
      </w:r>
      <w:r>
        <w:rPr>
          <w:rFonts w:ascii="Times New Roman" w:hAnsi="Times New Roman" w:cs="Times New Roman"/>
          <w:i/>
          <w:iCs/>
        </w:rPr>
        <w:t>Asia Pacific Journal of Marketing and Logistics</w:t>
      </w:r>
      <w:r>
        <w:rPr>
          <w:rFonts w:ascii="Times New Roman" w:hAnsi="Times New Roman" w:cs="Times New Roman"/>
        </w:rPr>
        <w:t xml:space="preserve">, </w:t>
      </w:r>
      <w:r>
        <w:rPr>
          <w:rFonts w:ascii="Times New Roman" w:hAnsi="Times New Roman" w:cs="Times New Roman"/>
          <w:i/>
          <w:iCs/>
        </w:rPr>
        <w:t>31</w:t>
      </w:r>
      <w:r>
        <w:rPr>
          <w:rFonts w:ascii="Times New Roman" w:hAnsi="Times New Roman" w:cs="Times New Roman"/>
        </w:rPr>
        <w:t>(3), pp. 647–669.</w:t>
      </w:r>
    </w:p>
    <w:p w14:paraId="2D9AB78D">
      <w:pPr>
        <w:spacing w:line="600" w:lineRule="auto"/>
        <w:jc w:val="both"/>
        <w:rPr>
          <w:rFonts w:ascii="Times New Roman" w:hAnsi="Times New Roman" w:cs="Times New Roman"/>
        </w:rPr>
      </w:pPr>
      <w:r>
        <w:rPr>
          <w:rFonts w:ascii="Times New Roman" w:hAnsi="Times New Roman" w:cs="Times New Roman"/>
        </w:rPr>
        <w:t xml:space="preserve">Smith, W. (1989). Trends in retail lighting: An intelligent design approach. </w:t>
      </w:r>
      <w:r>
        <w:rPr>
          <w:rFonts w:ascii="Times New Roman" w:hAnsi="Times New Roman" w:cs="Times New Roman"/>
          <w:i/>
          <w:iCs/>
        </w:rPr>
        <w:t>International Journal of Retail &amp; Distribution Management</w:t>
      </w:r>
      <w:r>
        <w:rPr>
          <w:rFonts w:ascii="Times New Roman" w:hAnsi="Times New Roman" w:cs="Times New Roman"/>
        </w:rPr>
        <w:t xml:space="preserve">, </w:t>
      </w:r>
      <w:r>
        <w:rPr>
          <w:rFonts w:ascii="Times New Roman" w:hAnsi="Times New Roman" w:cs="Times New Roman"/>
          <w:i/>
          <w:iCs/>
        </w:rPr>
        <w:t>17</w:t>
      </w:r>
      <w:r>
        <w:rPr>
          <w:rFonts w:ascii="Times New Roman" w:hAnsi="Times New Roman" w:cs="Times New Roman"/>
        </w:rPr>
        <w:t>(5), pp. 30–32.</w:t>
      </w:r>
    </w:p>
    <w:p w14:paraId="2380577E">
      <w:pPr>
        <w:spacing w:line="600" w:lineRule="auto"/>
        <w:jc w:val="both"/>
        <w:rPr>
          <w:rFonts w:ascii="Times New Roman" w:hAnsi="Times New Roman" w:cs="Times New Roman"/>
        </w:rPr>
      </w:pPr>
      <w:r>
        <w:rPr>
          <w:rFonts w:ascii="Times New Roman" w:hAnsi="Times New Roman" w:cs="Times New Roman"/>
        </w:rPr>
        <w:t xml:space="preserve">Mattila, A.S. &amp; Wirtz, J. (2001). Congruency of scent and music as a driver of in-store evaluations and behavior. </w:t>
      </w:r>
      <w:r>
        <w:rPr>
          <w:rFonts w:ascii="Times New Roman" w:hAnsi="Times New Roman" w:cs="Times New Roman"/>
          <w:i/>
          <w:iCs/>
        </w:rPr>
        <w:t>Journal of Retailing</w:t>
      </w:r>
      <w:r>
        <w:rPr>
          <w:rFonts w:ascii="Times New Roman" w:hAnsi="Times New Roman" w:cs="Times New Roman"/>
        </w:rPr>
        <w:t xml:space="preserve">, </w:t>
      </w:r>
      <w:r>
        <w:rPr>
          <w:rFonts w:ascii="Times New Roman" w:hAnsi="Times New Roman" w:cs="Times New Roman"/>
          <w:i/>
          <w:iCs/>
        </w:rPr>
        <w:t>77</w:t>
      </w:r>
      <w:r>
        <w:rPr>
          <w:rFonts w:ascii="Times New Roman" w:hAnsi="Times New Roman" w:cs="Times New Roman"/>
        </w:rPr>
        <w:t>(2), pp. 273–289.</w:t>
      </w:r>
    </w:p>
    <w:p w14:paraId="0DA94A41">
      <w:pPr>
        <w:spacing w:line="600" w:lineRule="auto"/>
        <w:jc w:val="both"/>
        <w:rPr>
          <w:rFonts w:ascii="Times New Roman" w:hAnsi="Times New Roman" w:cs="Times New Roman"/>
        </w:rPr>
      </w:pPr>
      <w:r>
        <w:rPr>
          <w:rFonts w:ascii="Times New Roman" w:hAnsi="Times New Roman" w:cs="Times New Roman"/>
        </w:rPr>
        <w:t xml:space="preserve">Xiao, S.H. &amp; Nicholson, M. (2011) Mapping impulse buying: A behavior analysis framework for services marketing and consumer research. </w:t>
      </w:r>
      <w:r>
        <w:rPr>
          <w:rFonts w:ascii="Times New Roman" w:hAnsi="Times New Roman" w:cs="Times New Roman"/>
          <w:i/>
          <w:iCs/>
        </w:rPr>
        <w:t>The Service Industries Journal</w:t>
      </w:r>
      <w:r>
        <w:rPr>
          <w:rFonts w:ascii="Times New Roman" w:hAnsi="Times New Roman" w:cs="Times New Roman"/>
        </w:rPr>
        <w:t xml:space="preserve">, </w:t>
      </w:r>
      <w:r>
        <w:rPr>
          <w:rFonts w:ascii="Times New Roman" w:hAnsi="Times New Roman" w:cs="Times New Roman"/>
          <w:i/>
          <w:iCs/>
        </w:rPr>
        <w:t>31</w:t>
      </w:r>
      <w:r>
        <w:rPr>
          <w:rFonts w:ascii="Times New Roman" w:hAnsi="Times New Roman" w:cs="Times New Roman"/>
        </w:rPr>
        <w:t>(15), pp. 2515–2528.</w:t>
      </w:r>
    </w:p>
    <w:p w14:paraId="32924C0C">
      <w:pPr>
        <w:spacing w:line="600" w:lineRule="auto"/>
        <w:jc w:val="both"/>
        <w:rPr>
          <w:rFonts w:ascii="Times New Roman" w:hAnsi="Times New Roman" w:cs="Times New Roman"/>
        </w:rPr>
      </w:pPr>
      <w:r>
        <w:rPr>
          <w:rFonts w:ascii="Times New Roman" w:hAnsi="Times New Roman" w:cs="Times New Roman"/>
        </w:rPr>
        <w:t xml:space="preserve">Lin, C.H. &amp; Chuang, S.C. (2005). The effect of individual differences on adolescent impulsive buying behavior. </w:t>
      </w:r>
      <w:r>
        <w:rPr>
          <w:rFonts w:ascii="Times New Roman" w:hAnsi="Times New Roman" w:cs="Times New Roman"/>
          <w:i/>
          <w:iCs/>
        </w:rPr>
        <w:t>Adolescence</w:t>
      </w:r>
      <w:r>
        <w:rPr>
          <w:rFonts w:ascii="Times New Roman" w:hAnsi="Times New Roman" w:cs="Times New Roman"/>
        </w:rPr>
        <w:t xml:space="preserve">, </w:t>
      </w:r>
      <w:r>
        <w:rPr>
          <w:rFonts w:ascii="Times New Roman" w:hAnsi="Times New Roman" w:cs="Times New Roman"/>
          <w:i/>
          <w:iCs/>
        </w:rPr>
        <w:t>40</w:t>
      </w:r>
      <w:r>
        <w:rPr>
          <w:rFonts w:ascii="Times New Roman" w:hAnsi="Times New Roman" w:cs="Times New Roman"/>
        </w:rPr>
        <w:t>(159), pp. 551–558.</w:t>
      </w:r>
    </w:p>
    <w:p w14:paraId="317C372F">
      <w:pPr>
        <w:spacing w:line="600" w:lineRule="auto"/>
        <w:jc w:val="both"/>
        <w:rPr>
          <w:rFonts w:ascii="Times New Roman" w:hAnsi="Times New Roman" w:cs="Times New Roman"/>
        </w:rPr>
      </w:pPr>
      <w:r>
        <w:rPr>
          <w:rFonts w:ascii="Times New Roman" w:hAnsi="Times New Roman" w:cs="Times New Roman"/>
        </w:rPr>
        <w:t xml:space="preserve">Lee, J.A. &amp; Kacen, J.J. (2008). Cultural influences on consumer satisfaction with impulse and planned purchase decisions. </w:t>
      </w:r>
      <w:r>
        <w:rPr>
          <w:rFonts w:ascii="Times New Roman" w:hAnsi="Times New Roman" w:cs="Times New Roman"/>
          <w:i/>
          <w:iCs/>
        </w:rPr>
        <w:t>Journal of Business Research</w:t>
      </w:r>
      <w:r>
        <w:rPr>
          <w:rFonts w:ascii="Times New Roman" w:hAnsi="Times New Roman" w:cs="Times New Roman"/>
        </w:rPr>
        <w:t xml:space="preserve">, </w:t>
      </w:r>
      <w:r>
        <w:rPr>
          <w:rFonts w:ascii="Times New Roman" w:hAnsi="Times New Roman" w:cs="Times New Roman"/>
          <w:i/>
          <w:iCs/>
        </w:rPr>
        <w:t>61</w:t>
      </w:r>
      <w:r>
        <w:rPr>
          <w:rFonts w:ascii="Times New Roman" w:hAnsi="Times New Roman" w:cs="Times New Roman"/>
        </w:rPr>
        <w:t>(3), pp. 265–272.</w:t>
      </w:r>
    </w:p>
    <w:p w14:paraId="055DE337">
      <w:pPr>
        <w:spacing w:line="600" w:lineRule="auto"/>
        <w:jc w:val="both"/>
        <w:rPr>
          <w:rFonts w:ascii="Times New Roman" w:hAnsi="Times New Roman" w:cs="Times New Roman"/>
        </w:rPr>
      </w:pPr>
      <w:r>
        <w:rPr>
          <w:rFonts w:ascii="Times New Roman" w:hAnsi="Times New Roman" w:cs="Times New Roman"/>
        </w:rPr>
        <w:t xml:space="preserve">Hu, H. &amp; Jasper, C.J. (2006). Social cues in the store environment and their impacts on store image. </w:t>
      </w:r>
      <w:r>
        <w:rPr>
          <w:rFonts w:ascii="Times New Roman" w:hAnsi="Times New Roman" w:cs="Times New Roman"/>
          <w:i/>
          <w:iCs/>
        </w:rPr>
        <w:t>International Journal of Retail &amp; Distribution Management</w:t>
      </w:r>
      <w:r>
        <w:rPr>
          <w:rFonts w:ascii="Times New Roman" w:hAnsi="Times New Roman" w:cs="Times New Roman"/>
        </w:rPr>
        <w:t xml:space="preserve">, </w:t>
      </w:r>
      <w:r>
        <w:rPr>
          <w:rFonts w:ascii="Times New Roman" w:hAnsi="Times New Roman" w:cs="Times New Roman"/>
          <w:i/>
          <w:iCs/>
        </w:rPr>
        <w:t>34</w:t>
      </w:r>
      <w:r>
        <w:rPr>
          <w:rFonts w:ascii="Times New Roman" w:hAnsi="Times New Roman" w:cs="Times New Roman"/>
        </w:rPr>
        <w:t>(1), pp. 25–48.</w:t>
      </w:r>
    </w:p>
    <w:p w14:paraId="7DE25FFC">
      <w:pPr>
        <w:spacing w:line="600" w:lineRule="auto"/>
        <w:jc w:val="both"/>
        <w:rPr>
          <w:rFonts w:ascii="Times New Roman" w:hAnsi="Times New Roman" w:cs="Times New Roman"/>
        </w:rPr>
      </w:pPr>
      <w:r>
        <w:rPr>
          <w:rFonts w:ascii="Times New Roman" w:hAnsi="Times New Roman" w:cs="Times New Roman"/>
        </w:rPr>
        <w:t xml:space="preserve">Karmali, N. (2007). Meet Coke's next boss? An interview with Muhtar Kent, CEO - Coca-Cola. </w:t>
      </w:r>
      <w:r>
        <w:rPr>
          <w:rFonts w:ascii="Times New Roman" w:hAnsi="Times New Roman" w:cs="Times New Roman"/>
          <w:i/>
          <w:iCs/>
        </w:rPr>
        <w:t>Business India</w:t>
      </w:r>
      <w:r>
        <w:rPr>
          <w:rFonts w:ascii="Times New Roman" w:hAnsi="Times New Roman" w:cs="Times New Roman"/>
        </w:rPr>
        <w:t>, December, pp. 18.</w:t>
      </w:r>
    </w:p>
    <w:p w14:paraId="708950C9">
      <w:pPr>
        <w:spacing w:line="600" w:lineRule="auto"/>
        <w:jc w:val="both"/>
        <w:rPr>
          <w:rFonts w:ascii="Times New Roman" w:hAnsi="Times New Roman" w:cs="Times New Roman"/>
        </w:rPr>
      </w:pPr>
      <w:r>
        <w:rPr>
          <w:rFonts w:ascii="Times New Roman" w:hAnsi="Times New Roman" w:cs="Times New Roman"/>
        </w:rPr>
        <w:t xml:space="preserve">Xiao, S.H. &amp; Nicholson, M. (2013) A multidisciplinary cognitive behavioral framework of impulse buying: A systematic review of the literature. </w:t>
      </w:r>
      <w:r>
        <w:rPr>
          <w:rFonts w:ascii="Times New Roman" w:hAnsi="Times New Roman" w:cs="Times New Roman"/>
          <w:i/>
          <w:iCs/>
        </w:rPr>
        <w:t>International Journal of Management Reviews</w:t>
      </w:r>
      <w:r>
        <w:rPr>
          <w:rFonts w:ascii="Times New Roman" w:hAnsi="Times New Roman" w:cs="Times New Roman"/>
        </w:rPr>
        <w:t xml:space="preserve">, </w:t>
      </w:r>
      <w:r>
        <w:rPr>
          <w:rFonts w:ascii="Times New Roman" w:hAnsi="Times New Roman" w:cs="Times New Roman"/>
          <w:i/>
          <w:iCs/>
        </w:rPr>
        <w:t>15</w:t>
      </w:r>
      <w:r>
        <w:rPr>
          <w:rFonts w:ascii="Times New Roman" w:hAnsi="Times New Roman" w:cs="Times New Roman"/>
        </w:rPr>
        <w:t>(3), pp. 333–356.</w:t>
      </w:r>
    </w:p>
    <w:p w14:paraId="5EED342A">
      <w:pPr>
        <w:spacing w:line="600" w:lineRule="auto"/>
        <w:jc w:val="both"/>
        <w:rPr>
          <w:rFonts w:ascii="Times New Roman" w:hAnsi="Times New Roman" w:cs="Times New Roman"/>
        </w:rPr>
      </w:pPr>
      <w:r>
        <w:rPr>
          <w:rFonts w:ascii="Times New Roman" w:hAnsi="Times New Roman" w:cs="Times New Roman"/>
        </w:rPr>
        <w:t xml:space="preserve">Ahn, J. &amp; Kwon, J. (2020). The role of trait and emotion in cruise customers' impulsive buying behavior: An empirical study. </w:t>
      </w:r>
      <w:r>
        <w:rPr>
          <w:rFonts w:ascii="Times New Roman" w:hAnsi="Times New Roman" w:cs="Times New Roman"/>
          <w:i/>
          <w:iCs/>
        </w:rPr>
        <w:t>Journal of Strategic Marketing</w:t>
      </w:r>
      <w:r>
        <w:rPr>
          <w:rFonts w:ascii="Times New Roman" w:hAnsi="Times New Roman" w:cs="Times New Roman"/>
        </w:rPr>
        <w:t xml:space="preserve">, </w:t>
      </w:r>
      <w:r>
        <w:rPr>
          <w:rFonts w:ascii="Times New Roman" w:hAnsi="Times New Roman" w:cs="Times New Roman"/>
          <w:i/>
          <w:iCs/>
        </w:rPr>
        <w:t>1</w:t>
      </w:r>
      <w:r>
        <w:rPr>
          <w:rFonts w:ascii="Times New Roman" w:hAnsi="Times New Roman" w:cs="Times New Roman"/>
        </w:rPr>
        <w:t>, pp. 1–14.</w:t>
      </w:r>
    </w:p>
    <w:p w14:paraId="4CF726EB">
      <w:pPr>
        <w:spacing w:line="600" w:lineRule="auto"/>
        <w:jc w:val="both"/>
        <w:rPr>
          <w:rFonts w:ascii="Times New Roman" w:hAnsi="Times New Roman" w:cs="Times New Roman"/>
        </w:rPr>
      </w:pPr>
      <w:r>
        <w:rPr>
          <w:rFonts w:ascii="Times New Roman" w:hAnsi="Times New Roman" w:cs="Times New Roman"/>
        </w:rPr>
        <w:t xml:space="preserve">Stern, H. (1962) The significance of impulse buying today. </w:t>
      </w:r>
      <w:r>
        <w:rPr>
          <w:rFonts w:ascii="Times New Roman" w:hAnsi="Times New Roman" w:cs="Times New Roman"/>
          <w:i/>
          <w:iCs/>
        </w:rPr>
        <w:t>Journal of Marketing</w:t>
      </w:r>
      <w:r>
        <w:rPr>
          <w:rFonts w:ascii="Times New Roman" w:hAnsi="Times New Roman" w:cs="Times New Roman"/>
        </w:rPr>
        <w:t xml:space="preserve">, </w:t>
      </w:r>
      <w:r>
        <w:rPr>
          <w:rFonts w:ascii="Times New Roman" w:hAnsi="Times New Roman" w:cs="Times New Roman"/>
          <w:i/>
          <w:iCs/>
        </w:rPr>
        <w:t>26</w:t>
      </w:r>
      <w:r>
        <w:rPr>
          <w:rFonts w:ascii="Times New Roman" w:hAnsi="Times New Roman" w:cs="Times New Roman"/>
        </w:rPr>
        <w:t>(2), pp. 59–62.</w:t>
      </w:r>
    </w:p>
    <w:p w14:paraId="409CE248">
      <w:pPr>
        <w:spacing w:line="600" w:lineRule="auto"/>
        <w:jc w:val="both"/>
        <w:rPr>
          <w:rFonts w:ascii="Times New Roman" w:hAnsi="Times New Roman" w:cs="Times New Roman"/>
        </w:rPr>
      </w:pPr>
      <w:r>
        <w:rPr>
          <w:rFonts w:ascii="Times New Roman" w:hAnsi="Times New Roman" w:cs="Times New Roman"/>
        </w:rPr>
        <w:t xml:space="preserve">Mishra, A., Mishra, H. &amp; Masters, T. (2012). The influence of bite-size on quantity of food consumed: A field study. </w:t>
      </w:r>
      <w:r>
        <w:rPr>
          <w:rFonts w:ascii="Times New Roman" w:hAnsi="Times New Roman" w:cs="Times New Roman"/>
          <w:i/>
          <w:iCs/>
        </w:rPr>
        <w:t>Journal of Consumer Research</w:t>
      </w:r>
      <w:r>
        <w:rPr>
          <w:rFonts w:ascii="Times New Roman" w:hAnsi="Times New Roman" w:cs="Times New Roman"/>
        </w:rPr>
        <w:t xml:space="preserve">, </w:t>
      </w:r>
      <w:r>
        <w:rPr>
          <w:rFonts w:ascii="Times New Roman" w:hAnsi="Times New Roman" w:cs="Times New Roman"/>
          <w:i/>
          <w:iCs/>
        </w:rPr>
        <w:t>38</w:t>
      </w:r>
      <w:r>
        <w:rPr>
          <w:rFonts w:ascii="Times New Roman" w:hAnsi="Times New Roman" w:cs="Times New Roman"/>
        </w:rPr>
        <w:t>(5), pp. 791–795.</w:t>
      </w:r>
    </w:p>
    <w:p w14:paraId="5DA1C6FC">
      <w:pPr>
        <w:spacing w:line="600" w:lineRule="auto"/>
        <w:jc w:val="both"/>
        <w:rPr>
          <w:rFonts w:ascii="Times New Roman" w:hAnsi="Times New Roman" w:cs="Times New Roman"/>
        </w:rPr>
      </w:pPr>
      <w:r>
        <w:rPr>
          <w:rFonts w:ascii="Times New Roman" w:hAnsi="Times New Roman" w:cs="Times New Roman"/>
        </w:rPr>
        <w:t xml:space="preserve">Chiu, W., Oh, G.E. &amp; Cho, H. (2022). Impact of COVID-19 on consumers' impulse buying behavior of fitness products: A moderated mediation model. </w:t>
      </w:r>
      <w:r>
        <w:rPr>
          <w:rFonts w:ascii="Times New Roman" w:hAnsi="Times New Roman" w:cs="Times New Roman"/>
          <w:i/>
          <w:iCs/>
        </w:rPr>
        <w:t>Journal of Consumer Behavior</w:t>
      </w:r>
      <w:r>
        <w:rPr>
          <w:rFonts w:ascii="Times New Roman" w:hAnsi="Times New Roman" w:cs="Times New Roman"/>
        </w:rPr>
        <w:t xml:space="preserve">, </w:t>
      </w:r>
      <w:r>
        <w:rPr>
          <w:rFonts w:ascii="Times New Roman" w:hAnsi="Times New Roman" w:cs="Times New Roman"/>
          <w:i/>
          <w:iCs/>
        </w:rPr>
        <w:t>21</w:t>
      </w:r>
      <w:r>
        <w:rPr>
          <w:rFonts w:ascii="Times New Roman" w:hAnsi="Times New Roman" w:cs="Times New Roman"/>
        </w:rPr>
        <w:t>(2), pp. 245–258.</w:t>
      </w:r>
    </w:p>
    <w:p w14:paraId="225BA1CB">
      <w:pPr>
        <w:spacing w:line="600" w:lineRule="auto"/>
        <w:jc w:val="both"/>
        <w:rPr>
          <w:rFonts w:ascii="Times New Roman" w:hAnsi="Times New Roman" w:cs="Times New Roman"/>
        </w:rPr>
      </w:pPr>
      <w:r>
        <w:rPr>
          <w:rFonts w:ascii="Times New Roman" w:hAnsi="Times New Roman" w:cs="Times New Roman"/>
        </w:rPr>
        <w:t xml:space="preserve">Badgaiyan, A.J. &amp; Verma, A. (2014). Intrinsic factors affecting impulsive buying behavior—evidence from India. </w:t>
      </w:r>
      <w:r>
        <w:rPr>
          <w:rFonts w:ascii="Times New Roman" w:hAnsi="Times New Roman" w:cs="Times New Roman"/>
          <w:i/>
          <w:iCs/>
        </w:rPr>
        <w:t>Journal of Retailing and Consumer Services</w:t>
      </w:r>
      <w:r>
        <w:rPr>
          <w:rFonts w:ascii="Times New Roman" w:hAnsi="Times New Roman" w:cs="Times New Roman"/>
        </w:rPr>
        <w:t xml:space="preserve">, </w:t>
      </w:r>
      <w:r>
        <w:rPr>
          <w:rFonts w:ascii="Times New Roman" w:hAnsi="Times New Roman" w:cs="Times New Roman"/>
          <w:i/>
          <w:iCs/>
        </w:rPr>
        <w:t>21</w:t>
      </w:r>
      <w:r>
        <w:rPr>
          <w:rFonts w:ascii="Times New Roman" w:hAnsi="Times New Roman" w:cs="Times New Roman"/>
        </w:rPr>
        <w:t>(4), pp. 537–549.</w:t>
      </w:r>
    </w:p>
    <w:p w14:paraId="305A9FF8">
      <w:pPr>
        <w:spacing w:line="600" w:lineRule="auto"/>
        <w:jc w:val="both"/>
        <w:rPr>
          <w:rFonts w:ascii="Times New Roman" w:hAnsi="Times New Roman" w:cs="Times New Roman"/>
        </w:rPr>
      </w:pPr>
      <w:r>
        <w:rPr>
          <w:rFonts w:ascii="Times New Roman" w:hAnsi="Times New Roman" w:cs="Times New Roman"/>
        </w:rPr>
        <w:t xml:space="preserve">Ailawadi, K.L., Neslin, S.A. &amp; Gedenk, K. (2001). Pursuing the value-conscious consumer: Store brands versus national brand promotions. </w:t>
      </w:r>
      <w:r>
        <w:rPr>
          <w:rFonts w:ascii="Times New Roman" w:hAnsi="Times New Roman" w:cs="Times New Roman"/>
          <w:i/>
          <w:iCs/>
        </w:rPr>
        <w:t>Journal of Marketing</w:t>
      </w:r>
      <w:r>
        <w:rPr>
          <w:rFonts w:ascii="Times New Roman" w:hAnsi="Times New Roman" w:cs="Times New Roman"/>
        </w:rPr>
        <w:t xml:space="preserve">, </w:t>
      </w:r>
      <w:r>
        <w:rPr>
          <w:rFonts w:ascii="Times New Roman" w:hAnsi="Times New Roman" w:cs="Times New Roman"/>
          <w:i/>
          <w:iCs/>
        </w:rPr>
        <w:t>65</w:t>
      </w:r>
      <w:r>
        <w:rPr>
          <w:rFonts w:ascii="Times New Roman" w:hAnsi="Times New Roman" w:cs="Times New Roman"/>
        </w:rPr>
        <w:t>(1), pp. 71–89.</w:t>
      </w:r>
    </w:p>
    <w:p w14:paraId="1FB7C1EA">
      <w:pPr>
        <w:spacing w:line="600" w:lineRule="auto"/>
        <w:jc w:val="both"/>
        <w:rPr>
          <w:rFonts w:ascii="Times New Roman" w:hAnsi="Times New Roman" w:cs="Times New Roman"/>
        </w:rPr>
      </w:pPr>
      <w:r>
        <w:rPr>
          <w:rFonts w:ascii="Times New Roman" w:hAnsi="Times New Roman" w:cs="Times New Roman"/>
        </w:rPr>
        <w:t xml:space="preserve">Ndubisi, N.O. &amp; Moi, C.T. (2006). Awareness and usage of promotional tools by Malaysian consumers: The case of low involvement products. </w:t>
      </w:r>
      <w:r>
        <w:rPr>
          <w:rFonts w:ascii="Times New Roman" w:hAnsi="Times New Roman" w:cs="Times New Roman"/>
          <w:i/>
          <w:iCs/>
        </w:rPr>
        <w:t>Management Research News</w:t>
      </w:r>
      <w:r>
        <w:rPr>
          <w:rFonts w:ascii="Times New Roman" w:hAnsi="Times New Roman" w:cs="Times New Roman"/>
        </w:rPr>
        <w:t xml:space="preserve">, </w:t>
      </w:r>
      <w:r>
        <w:rPr>
          <w:rFonts w:ascii="Times New Roman" w:hAnsi="Times New Roman" w:cs="Times New Roman"/>
          <w:i/>
          <w:iCs/>
        </w:rPr>
        <w:t>29</w:t>
      </w:r>
      <w:r>
        <w:rPr>
          <w:rFonts w:ascii="Times New Roman" w:hAnsi="Times New Roman" w:cs="Times New Roman"/>
        </w:rPr>
        <w:t>(1/2), pp .28–40.</w:t>
      </w:r>
    </w:p>
    <w:p w14:paraId="6796F929">
      <w:pPr>
        <w:spacing w:line="600" w:lineRule="auto"/>
        <w:jc w:val="both"/>
        <w:rPr>
          <w:rFonts w:ascii="Times New Roman" w:hAnsi="Times New Roman" w:cs="Times New Roman"/>
        </w:rPr>
      </w:pPr>
      <w:r>
        <w:rPr>
          <w:rFonts w:ascii="Times New Roman" w:hAnsi="Times New Roman" w:cs="Times New Roman"/>
        </w:rPr>
        <w:t xml:space="preserve">Chandon, P., Wansink, B. &amp; Laurent, G. (2000) A benefit congruency framework of sales promotion effectiveness. </w:t>
      </w:r>
      <w:r>
        <w:rPr>
          <w:rFonts w:ascii="Times New Roman" w:hAnsi="Times New Roman" w:cs="Times New Roman"/>
          <w:i/>
          <w:iCs/>
        </w:rPr>
        <w:t>Journal of Marketing</w:t>
      </w:r>
      <w:r>
        <w:rPr>
          <w:rFonts w:ascii="Times New Roman" w:hAnsi="Times New Roman" w:cs="Times New Roman"/>
        </w:rPr>
        <w:t xml:space="preserve">, </w:t>
      </w:r>
      <w:r>
        <w:rPr>
          <w:rFonts w:ascii="Times New Roman" w:hAnsi="Times New Roman" w:cs="Times New Roman"/>
          <w:i/>
          <w:iCs/>
        </w:rPr>
        <w:t>64</w:t>
      </w:r>
      <w:r>
        <w:rPr>
          <w:rFonts w:ascii="Times New Roman" w:hAnsi="Times New Roman" w:cs="Times New Roman"/>
        </w:rPr>
        <w:t>(4), pp. 65–81.</w:t>
      </w:r>
    </w:p>
    <w:p w14:paraId="25E17ADB">
      <w:pPr>
        <w:spacing w:line="600" w:lineRule="auto"/>
        <w:jc w:val="both"/>
        <w:rPr>
          <w:rFonts w:ascii="Times New Roman" w:hAnsi="Times New Roman" w:cs="Times New Roman"/>
        </w:rPr>
      </w:pPr>
      <w:r>
        <w:rPr>
          <w:rFonts w:ascii="Times New Roman" w:hAnsi="Times New Roman" w:cs="Times New Roman"/>
        </w:rPr>
        <w:t xml:space="preserve">d’Astous, A. &amp; Jacob, I. (2002). Understanding consumer reactions to premium-based promotional offers. </w:t>
      </w:r>
      <w:r>
        <w:rPr>
          <w:rFonts w:ascii="Times New Roman" w:hAnsi="Times New Roman" w:cs="Times New Roman"/>
          <w:i/>
          <w:iCs/>
        </w:rPr>
        <w:t>European Journal of Marketing</w:t>
      </w:r>
      <w:r>
        <w:rPr>
          <w:rFonts w:ascii="Times New Roman" w:hAnsi="Times New Roman" w:cs="Times New Roman"/>
        </w:rPr>
        <w:t xml:space="preserve">, </w:t>
      </w:r>
      <w:r>
        <w:rPr>
          <w:rFonts w:ascii="Times New Roman" w:hAnsi="Times New Roman" w:cs="Times New Roman"/>
          <w:i/>
          <w:iCs/>
        </w:rPr>
        <w:t>36</w:t>
      </w:r>
      <w:r>
        <w:rPr>
          <w:rFonts w:ascii="Times New Roman" w:hAnsi="Times New Roman" w:cs="Times New Roman"/>
        </w:rPr>
        <w:t>(11/12), pp. 1270–1286.</w:t>
      </w:r>
    </w:p>
    <w:p w14:paraId="5632D8AF">
      <w:pPr>
        <w:spacing w:line="600" w:lineRule="auto"/>
        <w:jc w:val="both"/>
        <w:rPr>
          <w:rFonts w:ascii="Times New Roman" w:hAnsi="Times New Roman" w:cs="Times New Roman"/>
        </w:rPr>
      </w:pPr>
      <w:r>
        <w:rPr>
          <w:rFonts w:ascii="Times New Roman" w:hAnsi="Times New Roman" w:cs="Times New Roman"/>
        </w:rPr>
        <w:t xml:space="preserve">Kotler, P. &amp; Keller, K.L. (2012). Promotion strategies and consumer behavior. </w:t>
      </w:r>
      <w:r>
        <w:rPr>
          <w:rFonts w:ascii="Times New Roman" w:hAnsi="Times New Roman" w:cs="Times New Roman"/>
          <w:i/>
          <w:iCs/>
        </w:rPr>
        <w:t>Journal of Marketing Perspectives</w:t>
      </w:r>
      <w:r>
        <w:rPr>
          <w:rFonts w:ascii="Times New Roman" w:hAnsi="Times New Roman" w:cs="Times New Roman"/>
        </w:rPr>
        <w:t xml:space="preserve">, </w:t>
      </w:r>
      <w:r>
        <w:rPr>
          <w:rFonts w:ascii="Times New Roman" w:hAnsi="Times New Roman" w:cs="Times New Roman"/>
          <w:i/>
          <w:iCs/>
        </w:rPr>
        <w:t>14</w:t>
      </w:r>
      <w:r>
        <w:rPr>
          <w:rFonts w:ascii="Times New Roman" w:hAnsi="Times New Roman" w:cs="Times New Roman"/>
        </w:rPr>
        <w:t>(2), pp .89–97.</w:t>
      </w:r>
    </w:p>
    <w:p w14:paraId="77AF8318">
      <w:pPr>
        <w:spacing w:line="600" w:lineRule="auto"/>
        <w:jc w:val="both"/>
        <w:rPr>
          <w:rFonts w:ascii="Times New Roman" w:hAnsi="Times New Roman" w:cs="Times New Roman"/>
        </w:rPr>
      </w:pPr>
      <w:r>
        <w:rPr>
          <w:rFonts w:ascii="Times New Roman" w:hAnsi="Times New Roman" w:cs="Times New Roman"/>
        </w:rPr>
        <w:t xml:space="preserve">Peattie, K. &amp; Peattie, S. (2009). Sales promotion in service marketing. </w:t>
      </w:r>
      <w:r>
        <w:rPr>
          <w:rFonts w:ascii="Times New Roman" w:hAnsi="Times New Roman" w:cs="Times New Roman"/>
          <w:i/>
          <w:iCs/>
        </w:rPr>
        <w:t>Journal of Services Marketing</w:t>
      </w:r>
      <w:r>
        <w:rPr>
          <w:rFonts w:ascii="Times New Roman" w:hAnsi="Times New Roman" w:cs="Times New Roman"/>
        </w:rPr>
        <w:t xml:space="preserve">, </w:t>
      </w:r>
      <w:r>
        <w:rPr>
          <w:rFonts w:ascii="Times New Roman" w:hAnsi="Times New Roman" w:cs="Times New Roman"/>
          <w:i/>
          <w:iCs/>
        </w:rPr>
        <w:t>23</w:t>
      </w:r>
      <w:r>
        <w:rPr>
          <w:rFonts w:ascii="Times New Roman" w:hAnsi="Times New Roman" w:cs="Times New Roman"/>
        </w:rPr>
        <w:t>(4), pp. 230–237.</w:t>
      </w:r>
    </w:p>
    <w:p w14:paraId="23452189">
      <w:pPr>
        <w:spacing w:line="600" w:lineRule="auto"/>
        <w:jc w:val="both"/>
        <w:rPr>
          <w:rFonts w:ascii="Times New Roman" w:hAnsi="Times New Roman" w:cs="Times New Roman"/>
        </w:rPr>
      </w:pPr>
      <w:r>
        <w:rPr>
          <w:rFonts w:ascii="Times New Roman" w:hAnsi="Times New Roman" w:cs="Times New Roman"/>
        </w:rPr>
        <w:t xml:space="preserve">Gilbert, D.C. &amp; Jackaria, N. (2002) The efficacy of sales promotions in UK supermarkets: A consumer view. </w:t>
      </w:r>
      <w:r>
        <w:rPr>
          <w:rFonts w:ascii="Times New Roman" w:hAnsi="Times New Roman" w:cs="Times New Roman"/>
          <w:i/>
          <w:iCs/>
        </w:rPr>
        <w:t>International Journal of Retail &amp; Distribution Management</w:t>
      </w:r>
      <w:r>
        <w:rPr>
          <w:rFonts w:ascii="Times New Roman" w:hAnsi="Times New Roman" w:cs="Times New Roman"/>
        </w:rPr>
        <w:t xml:space="preserve">, </w:t>
      </w:r>
      <w:r>
        <w:rPr>
          <w:rFonts w:ascii="Times New Roman" w:hAnsi="Times New Roman" w:cs="Times New Roman"/>
          <w:i/>
          <w:iCs/>
        </w:rPr>
        <w:t>30</w:t>
      </w:r>
      <w:r>
        <w:rPr>
          <w:rFonts w:ascii="Times New Roman" w:hAnsi="Times New Roman" w:cs="Times New Roman"/>
        </w:rPr>
        <w:t>(6), pp. 315–322.</w:t>
      </w:r>
    </w:p>
    <w:p w14:paraId="2E245B50">
      <w:pPr>
        <w:spacing w:line="600" w:lineRule="auto"/>
        <w:jc w:val="both"/>
        <w:rPr>
          <w:rFonts w:ascii="Times New Roman" w:hAnsi="Times New Roman" w:cs="Times New Roman"/>
        </w:rPr>
      </w:pPr>
      <w:r>
        <w:rPr>
          <w:rFonts w:ascii="Times New Roman" w:hAnsi="Times New Roman" w:cs="Times New Roman"/>
        </w:rPr>
        <w:t xml:space="preserve">Shimp, T.A. &amp; Andrews, J.C. (2013). Advertising, promotion, and other aspects of integrated marketing communications. </w:t>
      </w:r>
      <w:r>
        <w:rPr>
          <w:rFonts w:ascii="Times New Roman" w:hAnsi="Times New Roman" w:cs="Times New Roman"/>
          <w:i/>
          <w:iCs/>
        </w:rPr>
        <w:t>Journal of Advertising Research</w:t>
      </w:r>
      <w:r>
        <w:rPr>
          <w:rFonts w:ascii="Times New Roman" w:hAnsi="Times New Roman" w:cs="Times New Roman"/>
        </w:rPr>
        <w:t xml:space="preserve">, </w:t>
      </w:r>
      <w:r>
        <w:rPr>
          <w:rFonts w:ascii="Times New Roman" w:hAnsi="Times New Roman" w:cs="Times New Roman"/>
          <w:i/>
          <w:iCs/>
        </w:rPr>
        <w:t>53</w:t>
      </w:r>
      <w:r>
        <w:rPr>
          <w:rFonts w:ascii="Times New Roman" w:hAnsi="Times New Roman" w:cs="Times New Roman"/>
        </w:rPr>
        <w:t>(3), pp. 339–341.</w:t>
      </w:r>
    </w:p>
    <w:p w14:paraId="6E0E81A8">
      <w:pPr>
        <w:spacing w:line="600" w:lineRule="auto"/>
        <w:jc w:val="both"/>
        <w:rPr>
          <w:rFonts w:ascii="Times New Roman" w:hAnsi="Times New Roman" w:cs="Times New Roman"/>
        </w:rPr>
      </w:pPr>
      <w:r>
        <w:rPr>
          <w:rFonts w:ascii="Times New Roman" w:hAnsi="Times New Roman" w:cs="Times New Roman"/>
        </w:rPr>
        <w:t xml:space="preserve">Aaker, D.A. (1996). Measuring brand equity across products and markets. </w:t>
      </w:r>
      <w:r>
        <w:rPr>
          <w:rFonts w:ascii="Times New Roman" w:hAnsi="Times New Roman" w:cs="Times New Roman"/>
          <w:i/>
          <w:iCs/>
        </w:rPr>
        <w:t>California Management Review</w:t>
      </w:r>
      <w:r>
        <w:rPr>
          <w:rFonts w:ascii="Times New Roman" w:hAnsi="Times New Roman" w:cs="Times New Roman"/>
        </w:rPr>
        <w:t>, 38(3), pp. 102–120.</w:t>
      </w:r>
    </w:p>
    <w:p w14:paraId="3D910656">
      <w:pPr>
        <w:spacing w:line="600" w:lineRule="auto"/>
        <w:jc w:val="both"/>
        <w:rPr>
          <w:rFonts w:ascii="Times New Roman" w:hAnsi="Times New Roman" w:cs="Times New Roman"/>
        </w:rPr>
      </w:pPr>
      <w:r>
        <w:rPr>
          <w:rFonts w:ascii="Times New Roman" w:hAnsi="Times New Roman" w:cs="Times New Roman"/>
        </w:rPr>
        <w:t xml:space="preserve">Keller, K.L. (1993). Conceptualizing, measuring, and managing customer-based brand equity. </w:t>
      </w:r>
      <w:r>
        <w:rPr>
          <w:rFonts w:ascii="Times New Roman" w:hAnsi="Times New Roman" w:cs="Times New Roman"/>
          <w:i/>
          <w:iCs/>
        </w:rPr>
        <w:t>Journal of Marketing</w:t>
      </w:r>
      <w:r>
        <w:rPr>
          <w:rFonts w:ascii="Times New Roman" w:hAnsi="Times New Roman" w:cs="Times New Roman"/>
        </w:rPr>
        <w:t>, 57(1), pp. 1–22.</w:t>
      </w:r>
    </w:p>
    <w:p w14:paraId="7FACF844">
      <w:pPr>
        <w:spacing w:line="600" w:lineRule="auto"/>
        <w:jc w:val="both"/>
        <w:rPr>
          <w:rFonts w:ascii="Times New Roman" w:hAnsi="Times New Roman" w:cs="Times New Roman"/>
        </w:rPr>
      </w:pPr>
      <w:r>
        <w:rPr>
          <w:rFonts w:ascii="Times New Roman" w:hAnsi="Times New Roman" w:cs="Times New Roman"/>
        </w:rPr>
        <w:t xml:space="preserve">Keller, K.L. &amp; Lehmann, D.R. (2006). Brands and branding: Research findings and future priorities. </w:t>
      </w:r>
      <w:r>
        <w:rPr>
          <w:rFonts w:ascii="Times New Roman" w:hAnsi="Times New Roman" w:cs="Times New Roman"/>
          <w:i/>
          <w:iCs/>
        </w:rPr>
        <w:t>Marketing Science</w:t>
      </w:r>
      <w:r>
        <w:rPr>
          <w:rFonts w:ascii="Times New Roman" w:hAnsi="Times New Roman" w:cs="Times New Roman"/>
        </w:rPr>
        <w:t>, 25(6), pp. 740–759.</w:t>
      </w:r>
    </w:p>
    <w:p w14:paraId="29BD3F8B">
      <w:pPr>
        <w:spacing w:line="600" w:lineRule="auto"/>
        <w:jc w:val="both"/>
        <w:rPr>
          <w:rFonts w:ascii="Times New Roman" w:hAnsi="Times New Roman" w:cs="Times New Roman"/>
        </w:rPr>
      </w:pPr>
      <w:r>
        <w:rPr>
          <w:rFonts w:ascii="Times New Roman" w:hAnsi="Times New Roman" w:cs="Times New Roman"/>
        </w:rPr>
        <w:t xml:space="preserve">Kim, H.B., Gon Kim, W. &amp; An, J.A. (2003). The effect of consumer-based brand equity on firms’ financial performance. </w:t>
      </w:r>
      <w:r>
        <w:rPr>
          <w:rFonts w:ascii="Times New Roman" w:hAnsi="Times New Roman" w:cs="Times New Roman"/>
          <w:i/>
          <w:iCs/>
        </w:rPr>
        <w:t>Journal of Consumer Marketing</w:t>
      </w:r>
      <w:r>
        <w:rPr>
          <w:rFonts w:ascii="Times New Roman" w:hAnsi="Times New Roman" w:cs="Times New Roman"/>
        </w:rPr>
        <w:t>, 20(4), pp. 335–351.</w:t>
      </w:r>
    </w:p>
    <w:p w14:paraId="5C3B6E44">
      <w:pPr>
        <w:spacing w:line="600" w:lineRule="auto"/>
        <w:jc w:val="both"/>
        <w:rPr>
          <w:rFonts w:ascii="Times New Roman" w:hAnsi="Times New Roman" w:cs="Times New Roman"/>
        </w:rPr>
      </w:pPr>
      <w:r>
        <w:rPr>
          <w:rFonts w:ascii="Times New Roman" w:hAnsi="Times New Roman" w:cs="Times New Roman"/>
        </w:rPr>
        <w:t xml:space="preserve">Low, G.S. &amp; Lamb, C.W. (2000). The measurement and dimensionality of brand associations. </w:t>
      </w:r>
      <w:r>
        <w:rPr>
          <w:rFonts w:ascii="Times New Roman" w:hAnsi="Times New Roman" w:cs="Times New Roman"/>
          <w:i/>
          <w:iCs/>
        </w:rPr>
        <w:t>Journal of Product &amp; Brand Management</w:t>
      </w:r>
      <w:r>
        <w:rPr>
          <w:rFonts w:ascii="Times New Roman" w:hAnsi="Times New Roman" w:cs="Times New Roman"/>
        </w:rPr>
        <w:t>, 9(6), pp. 350–368.</w:t>
      </w:r>
    </w:p>
    <w:p w14:paraId="6F021E70">
      <w:pPr>
        <w:spacing w:line="600" w:lineRule="auto"/>
        <w:jc w:val="both"/>
        <w:rPr>
          <w:rFonts w:ascii="Times New Roman" w:hAnsi="Times New Roman" w:cs="Times New Roman"/>
        </w:rPr>
      </w:pPr>
      <w:r>
        <w:rPr>
          <w:rFonts w:ascii="Times New Roman" w:hAnsi="Times New Roman" w:cs="Times New Roman"/>
        </w:rPr>
        <w:t xml:space="preserve">Park, C.S. &amp; Srinivasan, V. (1994). A survey-based method for measuring and understanding brand equity and its extendibility. </w:t>
      </w:r>
      <w:r>
        <w:rPr>
          <w:rFonts w:ascii="Times New Roman" w:hAnsi="Times New Roman" w:cs="Times New Roman"/>
          <w:i/>
          <w:iCs/>
        </w:rPr>
        <w:t>Journal of Marketing Research</w:t>
      </w:r>
      <w:r>
        <w:rPr>
          <w:rFonts w:ascii="Times New Roman" w:hAnsi="Times New Roman" w:cs="Times New Roman"/>
        </w:rPr>
        <w:t>, 31(2), pp. 271–288.</w:t>
      </w:r>
    </w:p>
    <w:p w14:paraId="3F569291">
      <w:pPr>
        <w:spacing w:line="600" w:lineRule="auto"/>
        <w:jc w:val="both"/>
        <w:rPr>
          <w:rFonts w:ascii="Times New Roman" w:hAnsi="Times New Roman" w:cs="Times New Roman"/>
        </w:rPr>
      </w:pPr>
      <w:r>
        <w:rPr>
          <w:rFonts w:ascii="Times New Roman" w:hAnsi="Times New Roman" w:cs="Times New Roman"/>
        </w:rPr>
        <w:t xml:space="preserve">Tong, X. &amp; Hawley, J.M. (2009). Measuring customer-based brand equity: Empirical evidence from the sportswear market in China. </w:t>
      </w:r>
      <w:r>
        <w:rPr>
          <w:rFonts w:ascii="Times New Roman" w:hAnsi="Times New Roman" w:cs="Times New Roman"/>
          <w:i/>
          <w:iCs/>
        </w:rPr>
        <w:t>Journal of Product &amp; Brand Management</w:t>
      </w:r>
      <w:r>
        <w:rPr>
          <w:rFonts w:ascii="Times New Roman" w:hAnsi="Times New Roman" w:cs="Times New Roman"/>
        </w:rPr>
        <w:t>, 18(4), pp. 262–271.</w:t>
      </w:r>
    </w:p>
    <w:p w14:paraId="10DA553A">
      <w:pPr>
        <w:spacing w:line="600" w:lineRule="auto"/>
        <w:jc w:val="both"/>
        <w:rPr>
          <w:rFonts w:ascii="Times New Roman" w:hAnsi="Times New Roman" w:cs="Times New Roman"/>
        </w:rPr>
      </w:pPr>
      <w:r>
        <w:rPr>
          <w:rFonts w:ascii="Times New Roman" w:hAnsi="Times New Roman" w:cs="Times New Roman"/>
        </w:rPr>
        <w:t xml:space="preserve">Baker, D.A. &amp; Crompton, J.L. (2000). Quality, satisfaction and behavioral intentions. </w:t>
      </w:r>
      <w:r>
        <w:rPr>
          <w:rFonts w:ascii="Times New Roman" w:hAnsi="Times New Roman" w:cs="Times New Roman"/>
          <w:i/>
          <w:iCs/>
        </w:rPr>
        <w:t>Annals of Tourism Research</w:t>
      </w:r>
      <w:r>
        <w:rPr>
          <w:rFonts w:ascii="Times New Roman" w:hAnsi="Times New Roman" w:cs="Times New Roman"/>
        </w:rPr>
        <w:t>, 27(3), pp. 785–804.</w:t>
      </w:r>
    </w:p>
    <w:p w14:paraId="23043EF4">
      <w:pPr>
        <w:spacing w:line="600" w:lineRule="auto"/>
        <w:jc w:val="both"/>
        <w:rPr>
          <w:rFonts w:ascii="Times New Roman" w:hAnsi="Times New Roman" w:cs="Times New Roman"/>
        </w:rPr>
      </w:pPr>
      <w:r>
        <w:rPr>
          <w:rFonts w:ascii="Times New Roman" w:hAnsi="Times New Roman" w:cs="Times New Roman"/>
        </w:rPr>
        <w:t xml:space="preserve">Chen, C.F. &amp; Tsai, D. (2007). How destination image and evaluative factors affect behavioral intentions? </w:t>
      </w:r>
      <w:r>
        <w:rPr>
          <w:rFonts w:ascii="Times New Roman" w:hAnsi="Times New Roman" w:cs="Times New Roman"/>
          <w:i/>
          <w:iCs/>
        </w:rPr>
        <w:t>Tourism Management</w:t>
      </w:r>
      <w:r>
        <w:rPr>
          <w:rFonts w:ascii="Times New Roman" w:hAnsi="Times New Roman" w:cs="Times New Roman"/>
        </w:rPr>
        <w:t>, 28(4), pp. 1115–1122.</w:t>
      </w:r>
    </w:p>
    <w:p w14:paraId="74EFE8E9">
      <w:pPr>
        <w:spacing w:line="600" w:lineRule="auto"/>
        <w:jc w:val="both"/>
        <w:rPr>
          <w:rFonts w:ascii="Times New Roman" w:hAnsi="Times New Roman" w:cs="Times New Roman"/>
        </w:rPr>
      </w:pPr>
      <w:r>
        <w:rPr>
          <w:rFonts w:ascii="Times New Roman" w:hAnsi="Times New Roman" w:cs="Times New Roman"/>
        </w:rPr>
        <w:t xml:space="preserve">Jin, N., Lee, S. &amp; Lee, H. (2015). The effect of experience quality on perceived value, satisfaction, image and behavioral intention of water park patrons: New versus repeat visitors. </w:t>
      </w:r>
      <w:r>
        <w:rPr>
          <w:rFonts w:ascii="Times New Roman" w:hAnsi="Times New Roman" w:cs="Times New Roman"/>
          <w:i/>
          <w:iCs/>
        </w:rPr>
        <w:t>International Journal of Tourism Research</w:t>
      </w:r>
      <w:r>
        <w:rPr>
          <w:rFonts w:ascii="Times New Roman" w:hAnsi="Times New Roman" w:cs="Times New Roman"/>
        </w:rPr>
        <w:t>, 17(1), pp. 82–95.</w:t>
      </w:r>
    </w:p>
    <w:p w14:paraId="32C71D6B">
      <w:pPr>
        <w:spacing w:line="600" w:lineRule="auto"/>
        <w:jc w:val="both"/>
        <w:rPr>
          <w:rFonts w:ascii="Times New Roman" w:hAnsi="Times New Roman" w:cs="Times New Roman"/>
        </w:rPr>
      </w:pPr>
      <w:r>
        <w:rPr>
          <w:rFonts w:ascii="Times New Roman" w:hAnsi="Times New Roman" w:cs="Times New Roman"/>
        </w:rPr>
        <w:t xml:space="preserve">Prayag, G. (2009). Tourists’ evaluations of destination image, satisfaction, and future behavioral intentions—the case of Mauritius. </w:t>
      </w:r>
      <w:r>
        <w:rPr>
          <w:rFonts w:ascii="Times New Roman" w:hAnsi="Times New Roman" w:cs="Times New Roman"/>
          <w:i/>
          <w:iCs/>
        </w:rPr>
        <w:t>Journal of Travel &amp; Tourism Marketing</w:t>
      </w:r>
      <w:r>
        <w:rPr>
          <w:rFonts w:ascii="Times New Roman" w:hAnsi="Times New Roman" w:cs="Times New Roman"/>
        </w:rPr>
        <w:t>, 26(8), pp. 836–853.</w:t>
      </w:r>
    </w:p>
    <w:p w14:paraId="1BC06592">
      <w:pPr>
        <w:spacing w:line="600" w:lineRule="auto"/>
        <w:jc w:val="both"/>
        <w:rPr>
          <w:rFonts w:ascii="Times New Roman" w:hAnsi="Times New Roman" w:cs="Times New Roman"/>
        </w:rPr>
      </w:pPr>
      <w:r>
        <w:rPr>
          <w:rFonts w:ascii="Times New Roman" w:hAnsi="Times New Roman" w:cs="Times New Roman"/>
        </w:rPr>
        <w:t xml:space="preserve">Ryu, K., Han, H. &amp; Kim, T.H. (2008). The relationships among overall quick-casual restaurant image, perceived value, customer satisfaction, and behavioral intentions. </w:t>
      </w:r>
      <w:r>
        <w:rPr>
          <w:rFonts w:ascii="Times New Roman" w:hAnsi="Times New Roman" w:cs="Times New Roman"/>
          <w:i/>
          <w:iCs/>
        </w:rPr>
        <w:t>International Journal of Hospitality Management</w:t>
      </w:r>
      <w:r>
        <w:rPr>
          <w:rFonts w:ascii="Times New Roman" w:hAnsi="Times New Roman" w:cs="Times New Roman"/>
        </w:rPr>
        <w:t>, 27(3), pp. 459–469.</w:t>
      </w:r>
    </w:p>
    <w:p w14:paraId="3F054165">
      <w:pPr>
        <w:spacing w:line="600" w:lineRule="auto"/>
        <w:jc w:val="both"/>
        <w:rPr>
          <w:rFonts w:ascii="Times New Roman" w:hAnsi="Times New Roman" w:cs="Times New Roman"/>
        </w:rPr>
      </w:pPr>
      <w:r>
        <w:rPr>
          <w:rFonts w:ascii="Times New Roman" w:hAnsi="Times New Roman" w:cs="Times New Roman"/>
        </w:rPr>
        <w:t xml:space="preserve">Yoon, Y. &amp; Uysal, M. (2005). An examination of the effects of motivation and satisfaction on destination loyalty: A structural model. </w:t>
      </w:r>
      <w:r>
        <w:rPr>
          <w:rFonts w:ascii="Times New Roman" w:hAnsi="Times New Roman" w:cs="Times New Roman"/>
          <w:i/>
          <w:iCs/>
        </w:rPr>
        <w:t>Tourism Management</w:t>
      </w:r>
      <w:r>
        <w:rPr>
          <w:rFonts w:ascii="Times New Roman" w:hAnsi="Times New Roman" w:cs="Times New Roman"/>
        </w:rPr>
        <w:t>, 26(1), pp. 45–56.</w:t>
      </w:r>
    </w:p>
    <w:p w14:paraId="47AA91BD">
      <w:pPr>
        <w:spacing w:line="600" w:lineRule="auto"/>
        <w:jc w:val="both"/>
        <w:rPr>
          <w:rFonts w:ascii="Times New Roman" w:hAnsi="Times New Roman" w:cs="Times New Roman"/>
        </w:rPr>
      </w:pPr>
      <w:r>
        <w:rPr>
          <w:rFonts w:ascii="Times New Roman" w:hAnsi="Times New Roman" w:cs="Times New Roman"/>
        </w:rPr>
        <w:t xml:space="preserve">Zhang, H., Fu, X., Cai, L.A. &amp; Lu, L. (2014). Destination image and tourist loyalty: A meta-analysis. </w:t>
      </w:r>
      <w:r>
        <w:rPr>
          <w:rFonts w:ascii="Times New Roman" w:hAnsi="Times New Roman" w:cs="Times New Roman"/>
          <w:i/>
          <w:iCs/>
        </w:rPr>
        <w:t>Tourism Management</w:t>
      </w:r>
      <w:r>
        <w:rPr>
          <w:rFonts w:ascii="Times New Roman" w:hAnsi="Times New Roman" w:cs="Times New Roman"/>
        </w:rPr>
        <w:t>, 40, pp. 213–223.</w:t>
      </w:r>
    </w:p>
    <w:p w14:paraId="3888CBBC">
      <w:pPr>
        <w:spacing w:line="600" w:lineRule="auto"/>
        <w:jc w:val="both"/>
        <w:rPr>
          <w:rFonts w:ascii="Times New Roman" w:hAnsi="Times New Roman" w:cs="Times New Roman"/>
        </w:rPr>
      </w:pPr>
      <w:r>
        <w:rPr>
          <w:rFonts w:ascii="Times New Roman" w:hAnsi="Times New Roman" w:cs="Times New Roman"/>
        </w:rPr>
        <w:t xml:space="preserve">Amos, C., Holmes, G.R. &amp; Keneson, W.C. (2014). A meta-analysis of consumer impulse buying. </w:t>
      </w:r>
      <w:r>
        <w:rPr>
          <w:rFonts w:ascii="Times New Roman" w:hAnsi="Times New Roman" w:cs="Times New Roman"/>
          <w:i/>
          <w:iCs/>
        </w:rPr>
        <w:t>Journal of Retailing and Consumer Services</w:t>
      </w:r>
      <w:r>
        <w:rPr>
          <w:rFonts w:ascii="Times New Roman" w:hAnsi="Times New Roman" w:cs="Times New Roman"/>
        </w:rPr>
        <w:t>, 21(2), pp. 86–97.</w:t>
      </w:r>
    </w:p>
    <w:p w14:paraId="72FCC0F0">
      <w:pPr>
        <w:spacing w:line="600" w:lineRule="auto"/>
        <w:jc w:val="both"/>
        <w:rPr>
          <w:rFonts w:ascii="Times New Roman" w:hAnsi="Times New Roman" w:cs="Times New Roman"/>
        </w:rPr>
      </w:pPr>
      <w:r>
        <w:rPr>
          <w:rFonts w:ascii="Times New Roman" w:hAnsi="Times New Roman" w:cs="Times New Roman"/>
        </w:rPr>
        <w:t xml:space="preserve">Beatty, S.E. &amp; Ferrell, M.E. (1998). Impulse buying: Modeling its precursors. </w:t>
      </w:r>
      <w:r>
        <w:rPr>
          <w:rFonts w:ascii="Times New Roman" w:hAnsi="Times New Roman" w:cs="Times New Roman"/>
          <w:i/>
          <w:iCs/>
        </w:rPr>
        <w:t>Journal of Retailing</w:t>
      </w:r>
      <w:r>
        <w:rPr>
          <w:rFonts w:ascii="Times New Roman" w:hAnsi="Times New Roman" w:cs="Times New Roman"/>
        </w:rPr>
        <w:t>, 74(2), pp. 169–191.</w:t>
      </w:r>
    </w:p>
    <w:p w14:paraId="6582A8A1">
      <w:pPr>
        <w:spacing w:line="600" w:lineRule="auto"/>
        <w:jc w:val="both"/>
        <w:rPr>
          <w:rFonts w:ascii="Times New Roman" w:hAnsi="Times New Roman" w:cs="Times New Roman"/>
        </w:rPr>
      </w:pPr>
      <w:r>
        <w:rPr>
          <w:rFonts w:ascii="Times New Roman" w:hAnsi="Times New Roman" w:cs="Times New Roman"/>
        </w:rPr>
        <w:t xml:space="preserve">Dittmar, H., Beattie, J. &amp; Friese, S. (1995). Gender identity and material symbols: Objects and decision considerations in impulse purchases. </w:t>
      </w:r>
      <w:r>
        <w:rPr>
          <w:rFonts w:ascii="Times New Roman" w:hAnsi="Times New Roman" w:cs="Times New Roman"/>
          <w:i/>
          <w:iCs/>
        </w:rPr>
        <w:t>Journal of Economic Psychology</w:t>
      </w:r>
      <w:r>
        <w:rPr>
          <w:rFonts w:ascii="Times New Roman" w:hAnsi="Times New Roman" w:cs="Times New Roman"/>
        </w:rPr>
        <w:t>, 16(3), pp. 491–511.</w:t>
      </w:r>
    </w:p>
    <w:p w14:paraId="608C02A0">
      <w:pPr>
        <w:spacing w:line="600" w:lineRule="auto"/>
        <w:jc w:val="both"/>
        <w:rPr>
          <w:rFonts w:ascii="Times New Roman" w:hAnsi="Times New Roman" w:cs="Times New Roman"/>
        </w:rPr>
      </w:pPr>
      <w:r>
        <w:rPr>
          <w:rFonts w:ascii="Times New Roman" w:hAnsi="Times New Roman" w:cs="Times New Roman"/>
        </w:rPr>
        <w:t xml:space="preserve">Hausman, A. (2000). A multi-method investigation of consumer motivations in impulse buying behavior. </w:t>
      </w:r>
      <w:r>
        <w:rPr>
          <w:rFonts w:ascii="Times New Roman" w:hAnsi="Times New Roman" w:cs="Times New Roman"/>
          <w:i/>
          <w:iCs/>
        </w:rPr>
        <w:t>Journal of Consumer Marketing</w:t>
      </w:r>
      <w:r>
        <w:rPr>
          <w:rFonts w:ascii="Times New Roman" w:hAnsi="Times New Roman" w:cs="Times New Roman"/>
        </w:rPr>
        <w:t>, 17(5), pp. 403–419.</w:t>
      </w:r>
    </w:p>
    <w:p w14:paraId="764DA1AB">
      <w:pPr>
        <w:spacing w:line="600" w:lineRule="auto"/>
        <w:jc w:val="both"/>
        <w:rPr>
          <w:rFonts w:ascii="Times New Roman" w:hAnsi="Times New Roman" w:cs="Times New Roman"/>
        </w:rPr>
      </w:pPr>
      <w:r>
        <w:rPr>
          <w:rFonts w:ascii="Times New Roman" w:hAnsi="Times New Roman" w:cs="Times New Roman"/>
        </w:rPr>
        <w:t xml:space="preserve">Muruganantham, G. &amp; Bhakat, R.S. (2013). A review of impulse buying behavior. </w:t>
      </w:r>
      <w:r>
        <w:rPr>
          <w:rFonts w:ascii="Times New Roman" w:hAnsi="Times New Roman" w:cs="Times New Roman"/>
          <w:i/>
          <w:iCs/>
        </w:rPr>
        <w:t>International Journal of Marketing Studies</w:t>
      </w:r>
      <w:r>
        <w:rPr>
          <w:rFonts w:ascii="Times New Roman" w:hAnsi="Times New Roman" w:cs="Times New Roman"/>
        </w:rPr>
        <w:t>, 5(3), pp. 149–160.</w:t>
      </w:r>
    </w:p>
    <w:p w14:paraId="1B400C64">
      <w:pPr>
        <w:spacing w:line="600" w:lineRule="auto"/>
        <w:jc w:val="both"/>
        <w:rPr>
          <w:rFonts w:ascii="Times New Roman" w:hAnsi="Times New Roman" w:cs="Times New Roman"/>
        </w:rPr>
      </w:pPr>
      <w:r>
        <w:rPr>
          <w:rFonts w:ascii="Times New Roman" w:hAnsi="Times New Roman" w:cs="Times New Roman"/>
        </w:rPr>
        <w:t xml:space="preserve">Rook, D.W. &amp; Fisher, R.J. (1995). Normative influences on impulsive buying behavior. </w:t>
      </w:r>
      <w:r>
        <w:rPr>
          <w:rFonts w:ascii="Times New Roman" w:hAnsi="Times New Roman" w:cs="Times New Roman"/>
          <w:i/>
          <w:iCs/>
        </w:rPr>
        <w:t>Journal of Consumer Research</w:t>
      </w:r>
      <w:r>
        <w:rPr>
          <w:rFonts w:ascii="Times New Roman" w:hAnsi="Times New Roman" w:cs="Times New Roman"/>
        </w:rPr>
        <w:t>, 22(3), pp. 305–313.</w:t>
      </w:r>
    </w:p>
    <w:p w14:paraId="03282821">
      <w:pPr>
        <w:spacing w:line="600" w:lineRule="auto"/>
        <w:jc w:val="both"/>
        <w:rPr>
          <w:rFonts w:ascii="Times New Roman" w:hAnsi="Times New Roman" w:cs="Times New Roman"/>
        </w:rPr>
      </w:pPr>
      <w:r>
        <w:rPr>
          <w:rFonts w:ascii="Times New Roman" w:hAnsi="Times New Roman" w:cs="Times New Roman"/>
        </w:rPr>
        <w:t xml:space="preserve">Verplanken, B. &amp; Herabadi, A.G. (2001). Individual differences in impulse buying tendency: Feeling and no thinking. </w:t>
      </w:r>
      <w:r>
        <w:rPr>
          <w:rFonts w:ascii="Times New Roman" w:hAnsi="Times New Roman" w:cs="Times New Roman"/>
          <w:i/>
          <w:iCs/>
        </w:rPr>
        <w:t>European Journal of Personality</w:t>
      </w:r>
      <w:r>
        <w:rPr>
          <w:rFonts w:ascii="Times New Roman" w:hAnsi="Times New Roman" w:cs="Times New Roman"/>
        </w:rPr>
        <w:t>, 15(S1), pp. 71–83.</w:t>
      </w:r>
    </w:p>
    <w:p w14:paraId="36983EA0">
      <w:pPr>
        <w:spacing w:line="600" w:lineRule="auto"/>
        <w:jc w:val="both"/>
        <w:rPr>
          <w:rFonts w:ascii="Times New Roman" w:hAnsi="Times New Roman" w:cs="Times New Roman"/>
        </w:rPr>
      </w:pPr>
      <w:r>
        <w:rPr>
          <w:rFonts w:ascii="Times New Roman" w:hAnsi="Times New Roman" w:cs="Times New Roman"/>
        </w:rPr>
        <w:t xml:space="preserve">Youn, S. &amp; Faber, R.J. (2000). Impulse buying: Its relation to personality traits and cues. </w:t>
      </w:r>
      <w:r>
        <w:rPr>
          <w:rFonts w:ascii="Times New Roman" w:hAnsi="Times New Roman" w:cs="Times New Roman"/>
          <w:i/>
          <w:iCs/>
        </w:rPr>
        <w:t>Advances in Consumer Research</w:t>
      </w:r>
      <w:r>
        <w:rPr>
          <w:rFonts w:ascii="Times New Roman" w:hAnsi="Times New Roman" w:cs="Times New Roman"/>
        </w:rPr>
        <w:t>, 27, pp. 179–185</w:t>
      </w:r>
    </w:p>
    <w:p w14:paraId="68275F22">
      <w:pPr>
        <w:spacing w:line="600" w:lineRule="auto"/>
        <w:jc w:val="both"/>
        <w:rPr>
          <w:rFonts w:ascii="Times New Roman" w:hAnsi="Times New Roman" w:cs="Times New Roman"/>
        </w:rPr>
      </w:pPr>
    </w:p>
    <w:p w14:paraId="276E1700">
      <w:pPr>
        <w:spacing w:line="600" w:lineRule="auto"/>
        <w:jc w:val="both"/>
        <w:rPr>
          <w:rFonts w:ascii="Times New Roman" w:hAnsi="Times New Roman" w:cs="Times New Roman"/>
        </w:rPr>
      </w:pPr>
    </w:p>
    <w:p w14:paraId="517A77A3">
      <w:pPr>
        <w:spacing w:line="600" w:lineRule="auto"/>
        <w:jc w:val="both"/>
        <w:rPr>
          <w:rFonts w:ascii="Times New Roman" w:hAnsi="Times New Roman" w:cs="Times New Roman"/>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Vrinda">
    <w:altName w:val="Segoe UI Symbol"/>
    <w:panose1 w:val="020B0502040204020203"/>
    <w:charset w:val="00"/>
    <w:family w:val="swiss"/>
    <w:pitch w:val="default"/>
    <w:sig w:usb0="00000000" w:usb1="00000000" w:usb2="00000000" w:usb3="00000000" w:csb0="00000001" w:csb1="00000000"/>
  </w:font>
  <w:font w:name="Calibri">
    <w:panose1 w:val="020F0502020204030204"/>
    <w:charset w:val="00"/>
    <w:family w:val="auto"/>
    <w:pitch w:val="default"/>
    <w:sig w:usb0="E4002EFF" w:usb1="C200247B" w:usb2="00000009" w:usb3="00000000" w:csb0="200001FF" w:csb1="00000000"/>
  </w:font>
  <w:font w:name="DengXian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decorative"/>
    <w:pitch w:val="default"/>
    <w:sig w:usb0="00000000" w:usb1="00000000" w:usb2="00000000" w:usb3="00000000" w:csb0="80000000" w:csb1="00000000"/>
  </w:font>
  <w:font w:name="Wingdings">
    <w:panose1 w:val="05000000000000000000"/>
    <w:charset w:val="4D"/>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25723234"/>
      <w:docPartObj>
        <w:docPartGallery w:val="AutoText"/>
      </w:docPartObj>
    </w:sdtPr>
    <w:sdtEndPr>
      <w:rPr>
        <w:color w:val="808080" w:themeColor="background1" w:themeShade="80"/>
        <w:spacing w:val="60"/>
      </w:rPr>
    </w:sdtEndPr>
    <w:sdtContent>
      <w:p w14:paraId="603EFA52">
        <w:pPr>
          <w:pStyle w:val="8"/>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044B9E45">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2A6894"/>
    <w:multiLevelType w:val="multilevel"/>
    <w:tmpl w:val="012A689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70A3BB7"/>
    <w:multiLevelType w:val="multilevel"/>
    <w:tmpl w:val="070A3BB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146B7509"/>
    <w:multiLevelType w:val="multilevel"/>
    <w:tmpl w:val="146B7509"/>
    <w:lvl w:ilvl="0" w:tentative="0">
      <w:start w:val="1"/>
      <w:numFmt w:val="bullet"/>
      <w:lvlText w:val=""/>
      <w:lvlJc w:val="left"/>
      <w:pPr>
        <w:ind w:left="1080" w:hanging="72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18564A20"/>
    <w:multiLevelType w:val="multilevel"/>
    <w:tmpl w:val="18564A2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1DA744B8"/>
    <w:multiLevelType w:val="multilevel"/>
    <w:tmpl w:val="1DA744B8"/>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5">
    <w:nsid w:val="309C1DCA"/>
    <w:multiLevelType w:val="multilevel"/>
    <w:tmpl w:val="309C1DC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3AE64E79"/>
    <w:multiLevelType w:val="multilevel"/>
    <w:tmpl w:val="3AE64E79"/>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7">
    <w:nsid w:val="40B763CF"/>
    <w:multiLevelType w:val="multilevel"/>
    <w:tmpl w:val="40B763C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8">
    <w:nsid w:val="664B142B"/>
    <w:multiLevelType w:val="multilevel"/>
    <w:tmpl w:val="664B142B"/>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0"/>
  </w:num>
  <w:num w:numId="3">
    <w:abstractNumId w:val="1"/>
  </w:num>
  <w:num w:numId="4">
    <w:abstractNumId w:val="4"/>
  </w:num>
  <w:num w:numId="5">
    <w:abstractNumId w:val="5"/>
  </w:num>
  <w:num w:numId="6">
    <w:abstractNumId w:val="7"/>
  </w:num>
  <w:num w:numId="7">
    <w:abstractNumId w:val="8"/>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282"/>
    <w:rsid w:val="00022582"/>
    <w:rsid w:val="000335FA"/>
    <w:rsid w:val="00057362"/>
    <w:rsid w:val="000636DD"/>
    <w:rsid w:val="00075E7A"/>
    <w:rsid w:val="00085149"/>
    <w:rsid w:val="000863E3"/>
    <w:rsid w:val="000B2976"/>
    <w:rsid w:val="000C54B1"/>
    <w:rsid w:val="000F3834"/>
    <w:rsid w:val="00106925"/>
    <w:rsid w:val="00112844"/>
    <w:rsid w:val="00143903"/>
    <w:rsid w:val="00181F56"/>
    <w:rsid w:val="001E63EE"/>
    <w:rsid w:val="001F4495"/>
    <w:rsid w:val="00211D3F"/>
    <w:rsid w:val="00277403"/>
    <w:rsid w:val="003121D8"/>
    <w:rsid w:val="00362604"/>
    <w:rsid w:val="00377542"/>
    <w:rsid w:val="0039626D"/>
    <w:rsid w:val="003C19FC"/>
    <w:rsid w:val="00400FBE"/>
    <w:rsid w:val="00402C99"/>
    <w:rsid w:val="00404CA3"/>
    <w:rsid w:val="00424DE2"/>
    <w:rsid w:val="004C00A2"/>
    <w:rsid w:val="004F196A"/>
    <w:rsid w:val="005518DE"/>
    <w:rsid w:val="005D4F44"/>
    <w:rsid w:val="005F28C0"/>
    <w:rsid w:val="005F2FE9"/>
    <w:rsid w:val="0067369D"/>
    <w:rsid w:val="006804FD"/>
    <w:rsid w:val="00693581"/>
    <w:rsid w:val="00693F5E"/>
    <w:rsid w:val="00714A1E"/>
    <w:rsid w:val="0073664B"/>
    <w:rsid w:val="00763A4A"/>
    <w:rsid w:val="007B43FD"/>
    <w:rsid w:val="007E26AE"/>
    <w:rsid w:val="007F33F0"/>
    <w:rsid w:val="0081544E"/>
    <w:rsid w:val="00817F27"/>
    <w:rsid w:val="0087199A"/>
    <w:rsid w:val="00890627"/>
    <w:rsid w:val="008C5E91"/>
    <w:rsid w:val="00924E6F"/>
    <w:rsid w:val="00934301"/>
    <w:rsid w:val="009375C0"/>
    <w:rsid w:val="00952662"/>
    <w:rsid w:val="00963C25"/>
    <w:rsid w:val="009745DE"/>
    <w:rsid w:val="009A5374"/>
    <w:rsid w:val="009F66C0"/>
    <w:rsid w:val="00A31E13"/>
    <w:rsid w:val="00A50605"/>
    <w:rsid w:val="00A82AF3"/>
    <w:rsid w:val="00AE637B"/>
    <w:rsid w:val="00AE77B1"/>
    <w:rsid w:val="00AF1987"/>
    <w:rsid w:val="00B130ED"/>
    <w:rsid w:val="00B26D06"/>
    <w:rsid w:val="00B4458C"/>
    <w:rsid w:val="00B4510A"/>
    <w:rsid w:val="00B60ACC"/>
    <w:rsid w:val="00B723F9"/>
    <w:rsid w:val="00B84618"/>
    <w:rsid w:val="00BA0F05"/>
    <w:rsid w:val="00BA2BCA"/>
    <w:rsid w:val="00BD11AF"/>
    <w:rsid w:val="00C27211"/>
    <w:rsid w:val="00C37984"/>
    <w:rsid w:val="00C620E5"/>
    <w:rsid w:val="00C63976"/>
    <w:rsid w:val="00C904AE"/>
    <w:rsid w:val="00CA1DE5"/>
    <w:rsid w:val="00CA5450"/>
    <w:rsid w:val="00CF7686"/>
    <w:rsid w:val="00D03CD6"/>
    <w:rsid w:val="00D57282"/>
    <w:rsid w:val="00DA4CB5"/>
    <w:rsid w:val="00DB3727"/>
    <w:rsid w:val="00DC70F2"/>
    <w:rsid w:val="00E37B3A"/>
    <w:rsid w:val="00EB6B72"/>
    <w:rsid w:val="00EC7D42"/>
    <w:rsid w:val="00EE7B77"/>
    <w:rsid w:val="00F33120"/>
    <w:rsid w:val="00F46EDE"/>
    <w:rsid w:val="00F56BA0"/>
    <w:rsid w:val="00F82C59"/>
    <w:rsid w:val="00FE0394"/>
    <w:rsid w:val="430449D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9"/>
    <w:qFormat/>
    <w:uiPriority w:val="9"/>
    <w:pPr>
      <w:keepNext/>
      <w:keepLines/>
      <w:spacing w:before="240" w:after="0" w:line="360" w:lineRule="auto"/>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20"/>
    <w:unhideWhenUsed/>
    <w:qFormat/>
    <w:uiPriority w:val="9"/>
    <w:pPr>
      <w:keepNext/>
      <w:keepLines/>
      <w:spacing w:before="40" w:after="0" w:line="360" w:lineRule="auto"/>
      <w:outlineLvl w:val="1"/>
    </w:pPr>
    <w:rPr>
      <w:rFonts w:ascii="Times New Roman" w:hAnsi="Times New Roman" w:eastAsiaTheme="majorEastAsia" w:cstheme="majorBidi"/>
      <w:b/>
      <w:sz w:val="26"/>
      <w:szCs w:val="26"/>
    </w:rPr>
  </w:style>
  <w:style w:type="paragraph" w:styleId="4">
    <w:name w:val="heading 3"/>
    <w:basedOn w:val="1"/>
    <w:next w:val="1"/>
    <w:link w:val="22"/>
    <w:unhideWhenUsed/>
    <w:qFormat/>
    <w:uiPriority w:val="9"/>
    <w:pPr>
      <w:keepNext/>
      <w:keepLines/>
      <w:spacing w:before="40" w:after="0" w:line="360" w:lineRule="auto"/>
      <w:outlineLvl w:val="2"/>
    </w:pPr>
    <w:rPr>
      <w:rFonts w:ascii="Times New Roman" w:hAnsi="Times New Roman" w:eastAsiaTheme="majorEastAsia" w:cstheme="majorBidi"/>
      <w:b/>
      <w:color w:val="000000" w:themeColor="text1"/>
      <w:sz w:val="24"/>
      <w:szCs w:val="24"/>
      <w14:textFill>
        <w14:solidFill>
          <w14:schemeClr w14:val="tx1"/>
        </w14:solidFill>
      </w14:textFill>
    </w:rPr>
  </w:style>
  <w:style w:type="paragraph" w:styleId="5">
    <w:name w:val="heading 4"/>
    <w:basedOn w:val="1"/>
    <w:next w:val="1"/>
    <w:link w:val="23"/>
    <w:unhideWhenUsed/>
    <w:qFormat/>
    <w:uiPriority w:val="9"/>
    <w:pPr>
      <w:keepNext/>
      <w:keepLines/>
      <w:spacing w:before="40" w:after="0" w:line="360" w:lineRule="auto"/>
      <w:outlineLvl w:val="3"/>
    </w:pPr>
    <w:rPr>
      <w:rFonts w:ascii="Times New Roman" w:hAnsi="Times New Roman" w:eastAsiaTheme="majorEastAsia" w:cstheme="majorBidi"/>
      <w:b/>
      <w:iCs/>
      <w:color w:val="000000" w:themeColor="text1"/>
      <w14:textFill>
        <w14:solidFill>
          <w14:schemeClr w14:val="tx1"/>
        </w14:solidFill>
      </w14:textFill>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link w:val="17"/>
    <w:unhideWhenUsed/>
    <w:uiPriority w:val="99"/>
    <w:pPr>
      <w:tabs>
        <w:tab w:val="center" w:pos="4680"/>
        <w:tab w:val="right" w:pos="9360"/>
      </w:tabs>
      <w:spacing w:after="0" w:line="240" w:lineRule="auto"/>
    </w:pPr>
  </w:style>
  <w:style w:type="paragraph" w:styleId="9">
    <w:name w:val="header"/>
    <w:basedOn w:val="1"/>
    <w:link w:val="16"/>
    <w:unhideWhenUsed/>
    <w:qFormat/>
    <w:uiPriority w:val="99"/>
    <w:pPr>
      <w:tabs>
        <w:tab w:val="center" w:pos="4680"/>
        <w:tab w:val="right" w:pos="9360"/>
      </w:tabs>
      <w:spacing w:after="0" w:line="240" w:lineRule="auto"/>
    </w:pPr>
  </w:style>
  <w:style w:type="character" w:styleId="10">
    <w:name w:val="Hyperlink"/>
    <w:basedOn w:val="6"/>
    <w:unhideWhenUsed/>
    <w:uiPriority w:val="99"/>
    <w:rPr>
      <w:color w:val="0563C1" w:themeColor="hyperlink"/>
      <w:u w:val="single"/>
      <w14:textFill>
        <w14:solidFill>
          <w14:schemeClr w14:val="hlink"/>
        </w14:solidFill>
      </w14:textFill>
    </w:rPr>
  </w:style>
  <w:style w:type="table" w:styleId="11">
    <w:name w:val="Table Grid"/>
    <w:basedOn w:val="7"/>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itle"/>
    <w:basedOn w:val="1"/>
    <w:next w:val="1"/>
    <w:link w:val="21"/>
    <w:qFormat/>
    <w:uiPriority w:val="10"/>
    <w:pPr>
      <w:spacing w:after="0" w:line="360" w:lineRule="auto"/>
      <w:contextualSpacing/>
    </w:pPr>
    <w:rPr>
      <w:rFonts w:ascii="Times New Roman" w:hAnsi="Times New Roman" w:eastAsiaTheme="majorEastAsia" w:cstheme="majorBidi"/>
      <w:b/>
      <w:spacing w:val="-10"/>
      <w:kern w:val="28"/>
      <w:sz w:val="24"/>
      <w:szCs w:val="56"/>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20"/>
    </w:pPr>
  </w:style>
  <w:style w:type="paragraph" w:styleId="15">
    <w:name w:val="toc 3"/>
    <w:basedOn w:val="1"/>
    <w:next w:val="1"/>
    <w:autoRedefine/>
    <w:unhideWhenUsed/>
    <w:uiPriority w:val="39"/>
    <w:pPr>
      <w:spacing w:after="100"/>
      <w:ind w:left="440"/>
    </w:pPr>
  </w:style>
  <w:style w:type="character" w:customStyle="1" w:styleId="16">
    <w:name w:val="Header Char"/>
    <w:basedOn w:val="6"/>
    <w:link w:val="9"/>
    <w:uiPriority w:val="99"/>
  </w:style>
  <w:style w:type="character" w:customStyle="1" w:styleId="17">
    <w:name w:val="Footer Char"/>
    <w:basedOn w:val="6"/>
    <w:link w:val="8"/>
    <w:uiPriority w:val="99"/>
  </w:style>
  <w:style w:type="paragraph" w:styleId="18">
    <w:name w:val="List Paragraph"/>
    <w:basedOn w:val="1"/>
    <w:qFormat/>
    <w:uiPriority w:val="34"/>
    <w:pPr>
      <w:ind w:left="720"/>
      <w:contextualSpacing/>
    </w:pPr>
  </w:style>
  <w:style w:type="character" w:customStyle="1" w:styleId="19">
    <w:name w:val="Heading 1 Char"/>
    <w:basedOn w:val="6"/>
    <w:link w:val="2"/>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20">
    <w:name w:val="Heading 2 Char"/>
    <w:basedOn w:val="6"/>
    <w:link w:val="3"/>
    <w:qFormat/>
    <w:uiPriority w:val="9"/>
    <w:rPr>
      <w:rFonts w:ascii="Times New Roman" w:hAnsi="Times New Roman" w:eastAsiaTheme="majorEastAsia" w:cstheme="majorBidi"/>
      <w:b/>
      <w:sz w:val="26"/>
      <w:szCs w:val="26"/>
    </w:rPr>
  </w:style>
  <w:style w:type="character" w:customStyle="1" w:styleId="21">
    <w:name w:val="Title Char"/>
    <w:basedOn w:val="6"/>
    <w:link w:val="12"/>
    <w:uiPriority w:val="10"/>
    <w:rPr>
      <w:rFonts w:ascii="Times New Roman" w:hAnsi="Times New Roman" w:eastAsiaTheme="majorEastAsia" w:cstheme="majorBidi"/>
      <w:b/>
      <w:spacing w:val="-10"/>
      <w:kern w:val="28"/>
      <w:sz w:val="24"/>
      <w:szCs w:val="56"/>
    </w:rPr>
  </w:style>
  <w:style w:type="character" w:customStyle="1" w:styleId="22">
    <w:name w:val="Heading 3 Char"/>
    <w:basedOn w:val="6"/>
    <w:link w:val="4"/>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23">
    <w:name w:val="Heading 4 Char"/>
    <w:basedOn w:val="6"/>
    <w:link w:val="5"/>
    <w:qFormat/>
    <w:uiPriority w:val="9"/>
    <w:rPr>
      <w:rFonts w:ascii="Times New Roman" w:hAnsi="Times New Roman" w:eastAsiaTheme="majorEastAsia" w:cstheme="majorBidi"/>
      <w:b/>
      <w:iCs/>
      <w:color w:val="000000" w:themeColor="text1"/>
      <w14:textFill>
        <w14:solidFill>
          <w14:schemeClr w14:val="tx1"/>
        </w14:solidFill>
      </w14:textFill>
    </w:rPr>
  </w:style>
  <w:style w:type="paragraph" w:customStyle="1" w:styleId="24">
    <w:name w:val="TOC Heading"/>
    <w:basedOn w:val="2"/>
    <w:next w:val="1"/>
    <w:unhideWhenUsed/>
    <w:qFormat/>
    <w:uiPriority w:val="39"/>
    <w:pPr>
      <w:spacing w:line="259" w:lineRule="auto"/>
      <w:outlineLvl w:val="9"/>
    </w:pPr>
    <w:rPr>
      <w:rFonts w:asciiTheme="majorHAnsi" w:hAnsiTheme="majorHAnsi"/>
      <w:b w:val="0"/>
      <w:color w:val="2F5597" w:themeColor="accent1" w:themeShade="BF"/>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The11</b:Tag>
    <b:SourceType>JournalArticle</b:SourceType>
    <b:Guid>{CB382C44-2EBB-4C0E-BD67-567EAD45EC21}</b:Guid>
    <b:Title>The viability of crowdsourcing for survey research</b:Title>
    <b:JournalName>Behavior Research Method</b:JournalName>
    <b:Year>2011</b:Year>
    <b:Pages>800-813</b:Pages>
    <b:Volume>43</b:Volume>
    <b:Issue>12</b:Issue>
    <b:Author>
      <b:Author>
        <b:NameList>
          <b:Person>
            <b:Last>Behrend</b:Last>
            <b:First>T.S.</b:First>
          </b:Person>
          <b:Person>
            <b:Last>Sharek</b:Last>
            <b:First>D.J.</b:First>
          </b:Person>
        </b:NameList>
      </b:Author>
    </b:Author>
    <b:RefOrder>7</b:RefOrder>
  </b:Source>
  <b:Source>
    <b:Tag>Mar95</b:Tag>
    <b:SourceType>JournalArticle</b:SourceType>
    <b:Guid>{DDC426AA-4FFA-43F7-91C2-39644358E070}</b:Guid>
    <b:Title>Hedonic shopping motivations</b:Title>
    <b:JournalName>Journal of Retailing</b:JournalName>
    <b:Year>2013</b:Year>
    <b:Pages>77-95</b:Pages>
    <b:Volume>79</b:Volume>
    <b:Issue>2</b:Issue>
    <b:Author>
      <b:Author>
        <b:NameList>
          <b:Person>
            <b:Last>Mark J. Arnold</b:Last>
          </b:Person>
          <b:Person>
            <b:Last>Kristy E.</b:Last>
            <b:First>Reynolds</b:First>
          </b:Person>
        </b:NameList>
      </b:Author>
    </b:Author>
    <b:RefOrder>5</b:RefOrder>
  </b:Source>
  <b:Source>
    <b:Tag>JWA18</b:Tag>
    <b:SourceType>JournalArticle</b:SourceType>
    <b:Guid>{4A8DBABC-8187-45EA-8E7B-B5D3406ACB48}</b:Guid>
    <b:Title>Pleasure principles: A review of research on hedonic consumption</b:Title>
    <b:JournalName>Journal of Consumer Psychology</b:JournalName>
    <b:Year>2018</b:Year>
    <b:Pages>2-18</b:Pages>
    <b:Volume>23</b:Volume>
    <b:Issue>1</b:Issue>
    <b:Author>
      <b:Author>
        <b:NameList>
          <b:Person>
            <b:Last>Alba</b:Last>
            <b:First>J.W.</b:First>
          </b:Person>
          <b:Person>
            <b:Last>Williams</b:Last>
            <b:First>E.F.</b:First>
          </b:Person>
        </b:NameList>
      </b:Author>
    </b:Author>
    <b:RefOrder>3</b:RefOrder>
  </b:Source>
  <b:Source>
    <b:Tag>Amo14</b:Tag>
    <b:SourceType>JournalArticle</b:SourceType>
    <b:Guid>{B314C918-530C-4191-B0B2-899D5F34C4EF}</b:Guid>
    <b:Title>A meta-analysis of consumer impulse buying</b:Title>
    <b:JournalName>Journal of Retailing and Consumer Services</b:JournalName>
    <b:Year>2014</b:Year>
    <b:Pages>86-97</b:Pages>
    <b:Volume>21</b:Volume>
    <b:Issue>2</b:Issue>
    <b:Author>
      <b:Author>
        <b:NameList>
          <b:Person>
            <b:Last>Amos</b:Last>
            <b:First>Clinten</b:First>
          </b:Person>
          <b:Person>
            <b:Last>Gary,R</b:Last>
            <b:First>Holmes</b:First>
          </b:Person>
        </b:NameList>
      </b:Author>
    </b:Author>
    <b:RefOrder>4</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BBB68F0-F438-4B01-A89D-FC0FF6DF046E}">
  <ds:schemaRefs/>
</ds:datastoreItem>
</file>

<file path=docProps/app.xml><?xml version="1.0" encoding="utf-8"?>
<Properties xmlns="http://schemas.openxmlformats.org/officeDocument/2006/extended-properties" xmlns:vt="http://schemas.openxmlformats.org/officeDocument/2006/docPropsVTypes">
  <Template>Normal.dotm</Template>
  <Pages>41</Pages>
  <Words>7804</Words>
  <Characters>44483</Characters>
  <Lines>370</Lines>
  <Paragraphs>104</Paragraphs>
  <TotalTime>0</TotalTime>
  <ScaleCrop>false</ScaleCrop>
  <LinksUpToDate>false</LinksUpToDate>
  <CharactersWithSpaces>52183</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2025-05-01T15:46:00Z</dcterms:created>
  <dc:creator>muhammadmujtaba470@gmail.com</dc:creator>
  <cp:lastModifiedBy>Maggie</cp:lastModifiedBy>
  <dcterms:modified xsi:type="dcterms:W3CDTF">2026-03-10T09:44:15Z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904534133e39516a8ca2824c7c1641c59bb69be5755f7b29014d76c904ccbfe1</vt:lpwstr>
  </property>
  <property fmtid="{D5CDD505-2E9C-101B-9397-08002B2CF9AE}" pid="3" name="KSOProductBuildVer">
    <vt:lpwstr>1033-12.2.0.23196</vt:lpwstr>
  </property>
  <property fmtid="{D5CDD505-2E9C-101B-9397-08002B2CF9AE}" pid="4" name="ICV">
    <vt:lpwstr>A7A68F7C359449B494C247E99A268AFC_12</vt:lpwstr>
  </property>
</Properties>
</file>