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42788" w14:textId="4EEB3A5C" w:rsidR="00865F64" w:rsidRDefault="00300BF4" w:rsidP="00300BF4">
      <w:pPr>
        <w:jc w:val="center"/>
        <w:rPr>
          <w:b/>
          <w:bCs/>
          <w:u w:val="single"/>
        </w:rPr>
      </w:pPr>
      <w:r w:rsidRPr="001D61FC">
        <w:rPr>
          <w:b/>
          <w:bCs/>
          <w:u w:val="single"/>
        </w:rPr>
        <w:t xml:space="preserve">Matthew Morris </w:t>
      </w:r>
      <w:r w:rsidR="001D61FC">
        <w:rPr>
          <w:b/>
          <w:bCs/>
          <w:u w:val="single"/>
        </w:rPr>
        <w:t>–</w:t>
      </w:r>
      <w:r w:rsidRPr="001D61FC">
        <w:rPr>
          <w:b/>
          <w:bCs/>
          <w:u w:val="single"/>
        </w:rPr>
        <w:t xml:space="preserve"> 1908777</w:t>
      </w:r>
    </w:p>
    <w:p w14:paraId="62AD3919" w14:textId="248DD717" w:rsidR="00603FF5" w:rsidRDefault="00603FF5" w:rsidP="00761B1A">
      <w:pPr>
        <w:jc w:val="center"/>
      </w:pPr>
      <w:r>
        <w:t>Consider how useful Childe’s criteria for the emergence of towns and/or states are for interpreting the emergence of social complexity in the East Mediterranean in the Bronze Age. Answer with reference to a case study of your choice from the Aegean, or Near East/Cyprus, or Egypt</w:t>
      </w:r>
      <w:r w:rsidR="00761B1A">
        <w:t>.</w:t>
      </w:r>
    </w:p>
    <w:p w14:paraId="068A3520" w14:textId="02D62FD0" w:rsidR="00B662F7" w:rsidRDefault="009A219E" w:rsidP="00761B1A">
      <w:r>
        <w:t xml:space="preserve">When considering the value of childes criteria it is hard to generalise what makes a society socially complex. Yet </w:t>
      </w:r>
      <w:r w:rsidR="000D234D">
        <w:t>while Childe’s</w:t>
      </w:r>
      <w:r>
        <w:t xml:space="preserve"> criteria does allow room for </w:t>
      </w:r>
      <w:r w:rsidR="001B6535">
        <w:t>criticism</w:t>
      </w:r>
      <w:r>
        <w:t xml:space="preserve">, it also does </w:t>
      </w:r>
      <w:r w:rsidR="000D234D">
        <w:t xml:space="preserve">provide </w:t>
      </w:r>
      <w:r w:rsidR="006436EA">
        <w:t>markers. Such</w:t>
      </w:r>
      <w:r w:rsidR="000D234D">
        <w:t xml:space="preserve"> as Emergence of Craftsmen class through high quality art and pottery</w:t>
      </w:r>
      <w:r w:rsidR="006436EA">
        <w:t>; (Kradin</w:t>
      </w:r>
      <w:r w:rsidR="001E549A">
        <w:t>,</w:t>
      </w:r>
      <w:r w:rsidR="006436EA">
        <w:t xml:space="preserve"> 2006)</w:t>
      </w:r>
      <w:r w:rsidR="000D234D">
        <w:t>.</w:t>
      </w:r>
      <w:r>
        <w:t xml:space="preserve"> </w:t>
      </w:r>
      <w:r w:rsidR="006436EA">
        <w:t>These markers allow</w:t>
      </w:r>
      <w:r>
        <w:t xml:space="preserve"> </w:t>
      </w:r>
      <w:r w:rsidR="006436EA">
        <w:t>individuals</w:t>
      </w:r>
      <w:r>
        <w:t xml:space="preserve"> to identify the emergence of more complex societies</w:t>
      </w:r>
      <w:r w:rsidR="000D234D">
        <w:t xml:space="preserve"> from a western perspective.</w:t>
      </w:r>
      <w:r w:rsidR="006436EA">
        <w:t xml:space="preserve"> I believe </w:t>
      </w:r>
      <w:r w:rsidR="003D332E">
        <w:t>C</w:t>
      </w:r>
      <w:r w:rsidR="006436EA">
        <w:t>hilde</w:t>
      </w:r>
      <w:r w:rsidR="003D332E">
        <w:t>’s</w:t>
      </w:r>
      <w:r w:rsidR="006436EA">
        <w:t xml:space="preserve"> list does however focus heavily on the idea </w:t>
      </w:r>
      <w:r w:rsidR="003D332E">
        <w:t>of the material;</w:t>
      </w:r>
      <w:r w:rsidR="006436EA">
        <w:t xml:space="preserve"> which</w:t>
      </w:r>
      <w:r w:rsidR="003D332E">
        <w:t xml:space="preserve"> while informative, does not fully inform you on everything about a culture. Due to the transitory nature and high level of interactivity with each other. Societal social structure cannot always be assumed from what you find and its location in the Eastern Mediterranean during the LBAII to</w:t>
      </w:r>
      <w:r w:rsidR="00F77D75">
        <w:t xml:space="preserve"> LBAIII.</w:t>
      </w:r>
      <w:r w:rsidR="00B662F7">
        <w:t xml:space="preserve"> Much of Childe’s Criteria has been enhanced by colleagues and critics, to include modern perspectives, and additional criteria for the analysis of civilisations. Many of Which are beneficial to the analysis of social complexity. Including, class society, political hierarchy and administration. </w:t>
      </w:r>
    </w:p>
    <w:p w14:paraId="0E5C3D64" w14:textId="025B6B0D" w:rsidR="0061416E" w:rsidRDefault="006436EA" w:rsidP="00761B1A">
      <w:r>
        <w:t>When considering the social complexity in the East Mediterranean bronze age. There is a strong relation between political development, social position, technical prowess, and the population levels within a</w:t>
      </w:r>
      <w:r w:rsidR="00DC0B3B">
        <w:t xml:space="preserve"> </w:t>
      </w:r>
      <w:r>
        <w:t>state</w:t>
      </w:r>
      <w:r w:rsidR="009156E3">
        <w:t xml:space="preserve"> </w:t>
      </w:r>
      <w:r w:rsidR="001E549A">
        <w:t>(Kradin, 2006)</w:t>
      </w:r>
      <w:r w:rsidR="009156E3">
        <w:t xml:space="preserve">. Within Cyprus </w:t>
      </w:r>
      <w:r w:rsidR="007A2309">
        <w:t xml:space="preserve">archaeological excavations and analysis has revealed a ‘number of significant innovations’ (Knapp 2007). With variation in </w:t>
      </w:r>
      <w:r w:rsidR="00BD1DE5">
        <w:t>‘burial practices, writing, and intensification of metallurgical production and export’ (Knapp 2007).  With references back to childes criteria for emergence of towns and states</w:t>
      </w:r>
      <w:r w:rsidR="0047235D">
        <w:t xml:space="preserve">. Kradin’s </w:t>
      </w:r>
      <w:r w:rsidR="0061416E">
        <w:t xml:space="preserve">revival and modern entries, define the nature of Childe’s criteria for emergence </w:t>
      </w:r>
      <w:r w:rsidR="00E456A7">
        <w:t xml:space="preserve">of </w:t>
      </w:r>
      <w:r w:rsidR="0061416E">
        <w:t xml:space="preserve">towns and states. </w:t>
      </w:r>
      <w:r w:rsidR="00E456A7">
        <w:t>This s</w:t>
      </w:r>
      <w:r w:rsidR="00DC7828">
        <w:t xml:space="preserve">hows </w:t>
      </w:r>
      <w:r w:rsidR="0047235D">
        <w:t>certainly from the growing population</w:t>
      </w:r>
      <w:r w:rsidR="00E456A7">
        <w:t xml:space="preserve"> and</w:t>
      </w:r>
      <w:r w:rsidR="0047235D">
        <w:t xml:space="preserve"> the ‘appearance of urbans centres;</w:t>
      </w:r>
      <w:r w:rsidR="0061416E">
        <w:t>’</w:t>
      </w:r>
      <w:r w:rsidR="00BA2998">
        <w:t xml:space="preserve"> (Kradin, 2006) as</w:t>
      </w:r>
      <w:r w:rsidR="0061416E">
        <w:t xml:space="preserve"> well as ‘appearance of written language;’ Further-more, from both the metallurgical and burial perspective it could be assumed that other criteria could also be fulfilled. Such as; ‘appearance of distant trade;’</w:t>
      </w:r>
      <w:r w:rsidR="00BA2998" w:rsidRPr="00BA2998">
        <w:t xml:space="preserve"> </w:t>
      </w:r>
      <w:r w:rsidR="00BA2998" w:rsidRPr="00BA2998">
        <w:t>(Kradin, 2006)</w:t>
      </w:r>
      <w:r w:rsidR="0061416E">
        <w:t>, ‘isolating of ruling groups</w:t>
      </w:r>
      <w:r w:rsidR="00424C56">
        <w:t>- ‘</w:t>
      </w:r>
      <w:r w:rsidR="0061416E">
        <w:t>, a</w:t>
      </w:r>
      <w:r w:rsidR="00424C56">
        <w:t>nd ‘</w:t>
      </w:r>
      <w:r w:rsidR="0061416E">
        <w:t>full time specialists</w:t>
      </w:r>
      <w:r w:rsidR="00424C56">
        <w:t>’</w:t>
      </w:r>
      <w:r w:rsidR="00BA2998">
        <w:t xml:space="preserve"> </w:t>
      </w:r>
      <w:r w:rsidR="00BA2998" w:rsidRPr="00BA2998">
        <w:t>(Kradin, 2006)</w:t>
      </w:r>
      <w:r w:rsidR="00424C56">
        <w:t xml:space="preserve">. In relation to judging the potential value of Childes criteria when looking at Cyprus, it does offer a lot of useful surface insight, </w:t>
      </w:r>
      <w:r w:rsidR="00CE66BC">
        <w:t>which can be used to then compare cultures o</w:t>
      </w:r>
      <w:r w:rsidR="00DC0B3B">
        <w:t>n</w:t>
      </w:r>
      <w:r w:rsidR="00CE66BC">
        <w:t xml:space="preserve"> </w:t>
      </w:r>
      <w:r w:rsidR="00DC0B3B">
        <w:t>a</w:t>
      </w:r>
      <w:r w:rsidR="00CE66BC">
        <w:t xml:space="preserve"> </w:t>
      </w:r>
      <w:r w:rsidR="00DC0B3B">
        <w:t xml:space="preserve">theoretically </w:t>
      </w:r>
      <w:r w:rsidR="00CE66BC">
        <w:t xml:space="preserve">equal scale of civility and social complexity, or at least in theory. </w:t>
      </w:r>
      <w:r w:rsidR="00E456A7">
        <w:t xml:space="preserve">Yet some aspects may be subject to more criticism, such as ‘state formation’ and ‘development of the sophisticated artistic style. This could be highly subjective to the time period of said cultures discovery and analysis, and other evidence available to modern scholars. </w:t>
      </w:r>
    </w:p>
    <w:p w14:paraId="08267278" w14:textId="0193C6D5" w:rsidR="00152206" w:rsidRDefault="00152206" w:rsidP="00761B1A">
      <w:r>
        <w:t xml:space="preserve">Art is a </w:t>
      </w:r>
      <w:r w:rsidR="00A850BB">
        <w:t xml:space="preserve">process of expression, of both an individual and by extension the society that raised them. It is a physically representation of a culture’s beliefs, economy, traditions and world perspective. In terms of the use this presents in social complexity it offers a very precise glance into ‘culture’ at the time of said artworks creation. Cypriot pottery is described </w:t>
      </w:r>
      <w:r w:rsidR="00C70BAC">
        <w:t>in</w:t>
      </w:r>
      <w:r w:rsidR="00A850BB">
        <w:t xml:space="preserve"> both the EBA and MBA as being ‘exuberant and imaginative in shape and decoration’</w:t>
      </w:r>
      <w:r w:rsidR="00BB1C44">
        <w:t xml:space="preserve"> </w:t>
      </w:r>
      <w:r w:rsidR="00A850BB">
        <w:t>(</w:t>
      </w:r>
      <w:r w:rsidR="00BB1C44">
        <w:t>Hemingway 2004)</w:t>
      </w:r>
      <w:r w:rsidR="00A850BB">
        <w:t xml:space="preserve">. Further reinforcing the idea of the skilled craftsmen contributing to social growth and societal structure through their manufactory and selling of goods across the Eastern Mediterranean. </w:t>
      </w:r>
      <w:r w:rsidR="00170A8F">
        <w:t>The trading of pottery and goods lead to stronger relationships and bonds with other cultural groups.</w:t>
      </w:r>
      <w:r w:rsidR="00E034B3">
        <w:t xml:space="preserve"> Childe’s issue is he does not form the relationship between art and culture and vaguely classifies it as ‘ development of the sophisticated artistic style’ (Kradin, 2006).</w:t>
      </w:r>
      <w:bookmarkStart w:id="0" w:name="_GoBack"/>
      <w:bookmarkEnd w:id="0"/>
    </w:p>
    <w:p w14:paraId="18356622" w14:textId="40794EF4" w:rsidR="00024B5D" w:rsidRDefault="00024B5D" w:rsidP="00761B1A">
      <w:r>
        <w:t xml:space="preserve">One point understated by Childe’s was that of ‘appearance of distant trade’, this categorization is to vague and general. </w:t>
      </w:r>
      <w:r w:rsidR="007C1BC3">
        <w:t xml:space="preserve">Trade is an intrinsic part of human social nature, it allowed previously unknown but resources rich areas to prosper with interaction with different cultural and social groups. In the case of Cyprus, Whipps </w:t>
      </w:r>
      <w:r w:rsidR="00B505C7">
        <w:t xml:space="preserve">(2008) </w:t>
      </w:r>
      <w:r w:rsidR="007C1BC3">
        <w:t xml:space="preserve">calls it a ‘former backwater island, Cyprus had become a major </w:t>
      </w:r>
      <w:r w:rsidR="007C1BC3">
        <w:lastRenderedPageBreak/>
        <w:t>Mediterranean player by ferrying its vast copper resources to the near east and Egypt</w:t>
      </w:r>
      <w:r w:rsidR="00B505C7">
        <w:t xml:space="preserve">’. </w:t>
      </w:r>
      <w:r w:rsidR="00B3486A">
        <w:t>In which i</w:t>
      </w:r>
      <w:r w:rsidR="00B479A4">
        <w:t>t</w:t>
      </w:r>
      <w:r w:rsidR="00B3486A">
        <w:t xml:space="preserve"> became economically rich, allowing it to grow both in both cultural and</w:t>
      </w:r>
      <w:r w:rsidR="00B479A4">
        <w:t xml:space="preserve"> in</w:t>
      </w:r>
      <w:r w:rsidR="00B3486A">
        <w:t xml:space="preserve"> social complexity. </w:t>
      </w:r>
      <w:r w:rsidR="00B505C7">
        <w:t xml:space="preserve"> Childes</w:t>
      </w:r>
      <w:r w:rsidR="00B3486A">
        <w:t xml:space="preserve"> criteria </w:t>
      </w:r>
      <w:r w:rsidR="00B505C7">
        <w:t xml:space="preserve">doesn’t mention or build upon in what trade can entail, </w:t>
      </w:r>
      <w:r w:rsidR="00B3486A">
        <w:t xml:space="preserve">and the social impacts of the cross culturalism the people would </w:t>
      </w:r>
      <w:r w:rsidR="00B479A4">
        <w:t>have</w:t>
      </w:r>
      <w:r w:rsidR="00B3486A">
        <w:t xml:space="preserve"> experience</w:t>
      </w:r>
      <w:r w:rsidR="00B479A4">
        <w:t>d</w:t>
      </w:r>
      <w:r w:rsidR="00B3486A">
        <w:t>.</w:t>
      </w:r>
      <w:r w:rsidR="006A2190">
        <w:t xml:space="preserve"> In argument against childes point is the social nature of which as cities grew, they realized they could acquire goods otherwise unavailable to them through distant cities, where the different environment offered different goods (Whipps</w:t>
      </w:r>
      <w:r w:rsidR="00F77D75">
        <w:t>,</w:t>
      </w:r>
      <w:r w:rsidR="006A2190">
        <w:t xml:space="preserve"> 2008).  Through this desire for otherwise unobtainable and arguabl</w:t>
      </w:r>
      <w:r w:rsidR="00B479A4">
        <w:t xml:space="preserve">e </w:t>
      </w:r>
      <w:r w:rsidR="006A2190">
        <w:t xml:space="preserve">desire for luxury goods, it could be assumed in Cyprus there was a certain level of social investment into cross culturalism and a complex system of trade in which goods also arrived alongside ideologies, technologies as well as ethnic groups and culture.  </w:t>
      </w:r>
    </w:p>
    <w:p w14:paraId="160BCA16" w14:textId="4D68639D" w:rsidR="001B7D53" w:rsidRDefault="00B479A4" w:rsidP="00761B1A">
      <w:r>
        <w:t>Childe’s criteria</w:t>
      </w:r>
      <w:r w:rsidR="00D57EA8">
        <w:t xml:space="preserve"> offers use</w:t>
      </w:r>
      <w:r w:rsidR="00264EAF">
        <w:t>,</w:t>
      </w:r>
      <w:r w:rsidR="00EE608F">
        <w:t xml:space="preserve"> when analysing Cypriot </w:t>
      </w:r>
      <w:r w:rsidR="0076385A">
        <w:t xml:space="preserve">social and cultural </w:t>
      </w:r>
      <w:r w:rsidR="00EE608F">
        <w:t xml:space="preserve">development, as he states for a </w:t>
      </w:r>
      <w:r>
        <w:t>‘sizeable surplus product</w:t>
      </w:r>
      <w:r w:rsidR="00EE608F">
        <w:t>’ as well as the need for ‘full time- craftsmen, merchants, officials, and priests</w:t>
      </w:r>
      <w:r w:rsidR="00264EAF">
        <w:t xml:space="preserve">. </w:t>
      </w:r>
      <w:r w:rsidR="00EE608F">
        <w:t xml:space="preserve"> As </w:t>
      </w:r>
      <w:r w:rsidR="00264EAF">
        <w:t>aforementioned</w:t>
      </w:r>
      <w:r w:rsidR="00EE608F">
        <w:t xml:space="preserve"> by the growth of trade, social interaction between more groups meant the exchanging of ideas, population growth and greater need for people to manage and distribute product</w:t>
      </w:r>
      <w:r w:rsidR="00264EAF">
        <w:t>s</w:t>
      </w:r>
      <w:r w:rsidR="00EE608F">
        <w:t xml:space="preserve">.  Further discussed </w:t>
      </w:r>
      <w:r w:rsidR="0076385A">
        <w:t>by</w:t>
      </w:r>
      <w:r w:rsidR="00EE608F">
        <w:t xml:space="preserve"> Zaccagnini</w:t>
      </w:r>
      <w:r w:rsidR="0076385A">
        <w:t>’s</w:t>
      </w:r>
      <w:r w:rsidR="00EE608F">
        <w:t xml:space="preserve"> (1990) review of Knapp</w:t>
      </w:r>
      <w:r w:rsidR="0076385A">
        <w:t xml:space="preserve">’s </w:t>
      </w:r>
      <w:r w:rsidR="00EE608F">
        <w:t xml:space="preserve">work was he agreed the ‘paramount importance of Cyprus’ (Zaccagnini 1990) as a valued source for copper in the near eastern and Levantine. </w:t>
      </w:r>
      <w:r w:rsidR="0076385A">
        <w:t xml:space="preserve">When interpreting the social complexity inferred by Childe, it can be difficult to distinguish if he understood the importance of social and cultural ties. As the relationship between many of the Eastern </w:t>
      </w:r>
      <w:r w:rsidR="00264EAF">
        <w:t>Mediterranean peoples was built upon ‘Cultural and social interaction (which) involved, trade, mercantile operations, migration and colonization</w:t>
      </w:r>
      <w:r w:rsidR="00FE17B6">
        <w:t xml:space="preserve"> and/or military engagement</w:t>
      </w:r>
      <w:r w:rsidR="00264EAF">
        <w:t>’ (Orphanides</w:t>
      </w:r>
      <w:r w:rsidR="00694F20">
        <w:t xml:space="preserve"> 2017</w:t>
      </w:r>
      <w:r w:rsidR="00264EAF">
        <w:t xml:space="preserve">). Childe’s criteria does mention Trade and mercantile activities, albeit briefly. The idea of migration, colonization and cross-culturalism is not present in his list. </w:t>
      </w:r>
      <w:r w:rsidR="007121C7">
        <w:t xml:space="preserve">As noted with ‘Cypriot artisans travelled abroad as well- some Cypriot metalsmiths may have settled as far west as Sicily and Sardinia’ (Hemingway 2004). </w:t>
      </w:r>
      <w:r w:rsidR="00264EAF">
        <w:t xml:space="preserve">When assessing the value of the criteria in its interpretation of both bronze age Mediterranean and </w:t>
      </w:r>
      <w:r w:rsidR="00FE17B6">
        <w:t xml:space="preserve">Cyprus </w:t>
      </w:r>
      <w:r w:rsidR="001B7D53">
        <w:t>it</w:t>
      </w:r>
      <w:r w:rsidR="00FE17B6">
        <w:t xml:space="preserve"> removes an important perspective</w:t>
      </w:r>
      <w:r w:rsidR="001B7D53">
        <w:t xml:space="preserve"> being</w:t>
      </w:r>
      <w:r w:rsidR="00FE17B6">
        <w:t xml:space="preserve"> the impact a geographical </w:t>
      </w:r>
      <w:r w:rsidR="001B7D53">
        <w:t xml:space="preserve">area, and what levels of cross culturalism and thus social complexity can represent. </w:t>
      </w:r>
      <w:r w:rsidR="00CC6EAF">
        <w:t>Being that of a socially aware and equally complex society</w:t>
      </w:r>
      <w:r w:rsidR="00C4024F">
        <w:t xml:space="preserve"> that may not have all the other criteria</w:t>
      </w:r>
      <w:r w:rsidR="00CC6EAF">
        <w:t xml:space="preserve">. </w:t>
      </w:r>
    </w:p>
    <w:p w14:paraId="6C0B430C" w14:textId="4F85A0D4" w:rsidR="00BC01C8" w:rsidRDefault="00E61944" w:rsidP="00761B1A">
      <w:r>
        <w:t>Childe</w:t>
      </w:r>
      <w:r w:rsidR="00382580">
        <w:t>’</w:t>
      </w:r>
      <w:r>
        <w:t xml:space="preserve">s criteria does </w:t>
      </w:r>
      <w:r w:rsidR="00DF43C3">
        <w:t>not make mention</w:t>
      </w:r>
      <w:r>
        <w:t xml:space="preserve"> </w:t>
      </w:r>
      <w:r w:rsidR="00DF43C3">
        <w:t xml:space="preserve">of any </w:t>
      </w:r>
      <w:r>
        <w:t>measure of social or cultural interaction</w:t>
      </w:r>
      <w:r w:rsidR="00DF43C3">
        <w:t>,</w:t>
      </w:r>
      <w:r>
        <w:t xml:space="preserve"> and when assessing places in the Mediterranean this of great value as Cyprus</w:t>
      </w:r>
      <w:r w:rsidR="00E724DC">
        <w:t>’s</w:t>
      </w:r>
      <w:r>
        <w:t xml:space="preserve"> archaeological record is described as ‘(Cyprus is) rich, diverse well published and frequently enigmatic- Regarded by many as “bridge” between western Asia and the Aegean” (Knapp 1994) . </w:t>
      </w:r>
      <w:r w:rsidR="00FD41E3">
        <w:t>Social complexity did not simply emerge within the Mediterranean, it was an evolutionary process as groups gathered and urban centres grew, thus culture</w:t>
      </w:r>
      <w:r w:rsidR="000028D4">
        <w:t>s formed</w:t>
      </w:r>
      <w:r w:rsidR="00FD41E3">
        <w:t>.</w:t>
      </w:r>
      <w:r w:rsidR="00045980">
        <w:t xml:space="preserve"> From an evolutionary and philosophical perspective these developments of town and city areas aided in the development of social complexity. As th</w:t>
      </w:r>
      <w:r w:rsidR="008E41FB">
        <w:t>e</w:t>
      </w:r>
      <w:r w:rsidR="00045980">
        <w:t>s</w:t>
      </w:r>
      <w:r w:rsidR="008E41FB">
        <w:t xml:space="preserve">e </w:t>
      </w:r>
      <w:r w:rsidR="00045980">
        <w:t>development</w:t>
      </w:r>
      <w:r w:rsidR="008E41FB">
        <w:t>s in urban areas took place</w:t>
      </w:r>
      <w:r w:rsidR="000028D4">
        <w:t>,</w:t>
      </w:r>
      <w:r w:rsidR="008E41FB">
        <w:t xml:space="preserve"> the process saw</w:t>
      </w:r>
      <w:r w:rsidR="000028D4">
        <w:t xml:space="preserve"> the</w:t>
      </w:r>
      <w:r w:rsidR="008E41FB">
        <w:t xml:space="preserve"> creation </w:t>
      </w:r>
      <w:r w:rsidR="000028D4">
        <w:t>of; full</w:t>
      </w:r>
      <w:r w:rsidR="008E41FB">
        <w:t xml:space="preserve"> time specialists</w:t>
      </w:r>
      <w:r w:rsidR="00045980">
        <w:t xml:space="preserve">, trade, </w:t>
      </w:r>
      <w:r w:rsidR="008E41FB">
        <w:t>military expansion</w:t>
      </w:r>
      <w:r w:rsidR="000028D4">
        <w:t>,</w:t>
      </w:r>
      <w:r w:rsidR="00E724DC">
        <w:t xml:space="preserve"> to name a few</w:t>
      </w:r>
      <w:r w:rsidR="000028D4">
        <w:t xml:space="preserve"> indicating the spread</w:t>
      </w:r>
      <w:r w:rsidR="00C52692">
        <w:t>, if not creation</w:t>
      </w:r>
      <w:r w:rsidR="000028D4">
        <w:t xml:space="preserve"> of ‘Social networks, or the arrangements of people into complex social structures</w:t>
      </w:r>
      <w:r w:rsidR="00050367">
        <w:t>’</w:t>
      </w:r>
      <w:r w:rsidR="000028D4">
        <w:t xml:space="preserve"> (Arizona State University 20</w:t>
      </w:r>
      <w:r w:rsidR="00BC01C8">
        <w:t>20</w:t>
      </w:r>
      <w:r w:rsidR="000028D4">
        <w:t xml:space="preserve">). When </w:t>
      </w:r>
      <w:r w:rsidR="00C52692">
        <w:t>used in unison with</w:t>
      </w:r>
      <w:r w:rsidR="000028D4">
        <w:t xml:space="preserve"> </w:t>
      </w:r>
      <w:r w:rsidR="00382580">
        <w:t>C</w:t>
      </w:r>
      <w:r w:rsidR="000028D4">
        <w:t>hilde</w:t>
      </w:r>
      <w:r w:rsidR="00382580">
        <w:t>’s</w:t>
      </w:r>
      <w:r w:rsidR="000028D4">
        <w:t xml:space="preserve"> criteria it</w:t>
      </w:r>
      <w:r w:rsidR="00C52692">
        <w:t xml:space="preserve"> does aid the interpretation for how </w:t>
      </w:r>
      <w:r w:rsidR="00272D9F">
        <w:t xml:space="preserve">the emergence of cities and towns may have </w:t>
      </w:r>
      <w:r w:rsidR="00BC01C8">
        <w:t>affected</w:t>
      </w:r>
      <w:r w:rsidR="00E724DC">
        <w:t>,</w:t>
      </w:r>
      <w:r w:rsidR="00272D9F">
        <w:t xml:space="preserve"> both social development and complexity. </w:t>
      </w:r>
      <w:r w:rsidR="00BC01C8">
        <w:t>Indicating the criteria can be of use when looking for ways to identify the level of social advancement, but only when paired with additional and more modern research.</w:t>
      </w:r>
    </w:p>
    <w:p w14:paraId="5D523542" w14:textId="6DB3A9DC" w:rsidR="00BC01C8" w:rsidRDefault="00E724DC" w:rsidP="00761B1A">
      <w:r>
        <w:t>In critique of Childe</w:t>
      </w:r>
      <w:r w:rsidR="00382580">
        <w:t>’s</w:t>
      </w:r>
      <w:r>
        <w:t xml:space="preserve"> classifications which could be argued to be an antiquated guide </w:t>
      </w:r>
      <w:r w:rsidR="003801EF">
        <w:t>with in being created in the 1950’s. Rupp calls the new methods put forward in the nineteen sixties to eighties ‘the demise of archaeology’s narrow focus on the description and classification of material remains, and instead on the reconstruction of culture history’ (Rupp 1993)</w:t>
      </w:r>
      <w:r w:rsidR="00103592">
        <w:t>. Childe</w:t>
      </w:r>
      <w:r w:rsidR="00382580">
        <w:t>’s</w:t>
      </w:r>
      <w:r w:rsidR="00103592">
        <w:t xml:space="preserve"> criteria does raise    </w:t>
      </w:r>
      <w:r w:rsidR="00103592">
        <w:lastRenderedPageBreak/>
        <w:t>concern when try</w:t>
      </w:r>
      <w:r w:rsidR="000C7C75">
        <w:t>ing</w:t>
      </w:r>
      <w:r w:rsidR="00103592">
        <w:t xml:space="preserve"> to interpret against a more modern perspective</w:t>
      </w:r>
      <w:r w:rsidR="000C7C75">
        <w:t>;</w:t>
      </w:r>
      <w:r w:rsidR="00103592">
        <w:t xml:space="preserve"> to reconstruct a culture. As his research is based upon what is archaeological visible</w:t>
      </w:r>
      <w:r w:rsidR="00696E95">
        <w:t>,</w:t>
      </w:r>
      <w:r w:rsidR="00103592">
        <w:t xml:space="preserve"> and </w:t>
      </w:r>
      <w:r w:rsidR="00696E95">
        <w:t xml:space="preserve">not the cultural, economic and social </w:t>
      </w:r>
      <w:r w:rsidR="00103592">
        <w:t xml:space="preserve">mechanisms that bring about societal </w:t>
      </w:r>
      <w:r w:rsidR="00696E95">
        <w:t xml:space="preserve">complexity and change. </w:t>
      </w:r>
    </w:p>
    <w:p w14:paraId="2119493B" w14:textId="1514FABE" w:rsidR="00382580" w:rsidRDefault="007A09F7" w:rsidP="00761B1A">
      <w:r>
        <w:t xml:space="preserve">A feature that should be considered is, the geographical location as well as the environmental stimuli in which said culture are present. In relation to Cyprus, its location between the cultures of the Eastern Mediterranean gave it great access to other cultures across the bronze age world. The coastal settlements in Cyprus gave rise to much trade and contact between other bronze age cultures. Including the Mycenae who experience </w:t>
      </w:r>
      <w:r w:rsidR="00B35065">
        <w:t xml:space="preserve">large amounts of social and cultural interaction with each other. With evidence of close contact between both Mycenaeans and Cypriot peoples through ‘mainland pottery marked with Cypriot signs’ (Sienkiewicz 2020). In </w:t>
      </w:r>
      <w:r w:rsidR="00822578">
        <w:t>Childe’s</w:t>
      </w:r>
      <w:r w:rsidR="00B35065">
        <w:t xml:space="preserve"> interpretation this would simply come under the generalisation of ‘appearance of distant trade’ and possibly ‘sophisticated art style’</w:t>
      </w:r>
      <w:r w:rsidR="00822578">
        <w:t>.</w:t>
      </w:r>
      <w:r w:rsidR="008B627A">
        <w:t xml:space="preserve"> </w:t>
      </w:r>
      <w:r w:rsidR="00822578">
        <w:t>Y</w:t>
      </w:r>
      <w:r w:rsidR="008B627A">
        <w:t xml:space="preserve">et this materialism creates questions </w:t>
      </w:r>
      <w:r w:rsidR="00822578">
        <w:t>about the social lives, hierarchies, and the structure</w:t>
      </w:r>
      <w:r w:rsidR="00BD4B77">
        <w:t>,</w:t>
      </w:r>
      <w:r w:rsidR="00822578">
        <w:t xml:space="preserve"> in this case in which th</w:t>
      </w:r>
      <w:r w:rsidR="00695497">
        <w:t xml:space="preserve">e way </w:t>
      </w:r>
      <w:r w:rsidR="00822578">
        <w:t xml:space="preserve">Cypriot peoples lived their lives, </w:t>
      </w:r>
      <w:r w:rsidR="008B627A">
        <w:t xml:space="preserve">which on a social level Childe does not address. </w:t>
      </w:r>
    </w:p>
    <w:p w14:paraId="76CE1680" w14:textId="2B9FDD21" w:rsidR="00DC0B3B" w:rsidRDefault="00F40479" w:rsidP="00761B1A">
      <w:r>
        <w:t>Childe’s criteria’s inclusion of written language is surprisingly useful</w:t>
      </w:r>
      <w:r w:rsidR="00A1033D">
        <w:t xml:space="preserve"> as in relation to many cultures it allows assessment of a certain level of intelligence as well the ability to store, information, improving technology due to being able to spread ideas. Improving the capabilities to trade and organise by keeping written track of goods. Through the translation of this information we can find out, social, cultural and economic knowledge about the civilisation. Yet the issue with Cypriot-Minoan languages is the lack of translation for Linear A and its offshoots. </w:t>
      </w:r>
      <w:r w:rsidR="00120E32">
        <w:t>W</w:t>
      </w:r>
      <w:r w:rsidR="00A1033D">
        <w:t>hile information cannot be directly accessed it can be assumed</w:t>
      </w:r>
      <w:r w:rsidR="00097D3D">
        <w:t xml:space="preserve"> (like many other ancient </w:t>
      </w:r>
      <w:r w:rsidR="00853FA5">
        <w:t>writing forms</w:t>
      </w:r>
      <w:r w:rsidR="00097D3D">
        <w:t>)</w:t>
      </w:r>
      <w:r w:rsidR="00A1033D">
        <w:t xml:space="preserve"> that the purpose of these found examples of written text allowed </w:t>
      </w:r>
      <w:r w:rsidR="0010670B">
        <w:t xml:space="preserve">communication </w:t>
      </w:r>
      <w:r w:rsidR="00853FA5">
        <w:t xml:space="preserve">and the </w:t>
      </w:r>
      <w:r w:rsidR="0010670B">
        <w:t xml:space="preserve">tracking of information. </w:t>
      </w:r>
      <w:r w:rsidR="00853FA5">
        <w:t>Thus,</w:t>
      </w:r>
      <w:r w:rsidR="00097D3D">
        <w:t xml:space="preserve"> in relation to Childe’s criteria, social complexity can also be deduced from the ability, to organize people, money and land through, and thus more complex social structures </w:t>
      </w:r>
      <w:r w:rsidR="00853FA5">
        <w:t>using</w:t>
      </w:r>
      <w:r w:rsidR="00097D3D">
        <w:t xml:space="preserve"> written language. </w:t>
      </w:r>
    </w:p>
    <w:p w14:paraId="1830D7BB" w14:textId="76AFF8E6" w:rsidR="00CC4B9D" w:rsidRDefault="00E56642" w:rsidP="00761B1A">
      <w:r>
        <w:t xml:space="preserve">Written language also reinforces the idea of culture and social complexity as from this early writing literature can form, which express both religious and cultural beliefs. A good example </w:t>
      </w:r>
      <w:r w:rsidR="005A017B">
        <w:t>is the use of written language in Egypt</w:t>
      </w:r>
      <w:r w:rsidR="00305037">
        <w:t xml:space="preserve">, Baines calls its first development ‘integral to the self-definition of Egyptian culture- especially in terms of display where it is was part of a system of pictorial representation’ (Baines 1983). Meaning that </w:t>
      </w:r>
      <w:r w:rsidR="00C55E6C">
        <w:t xml:space="preserve">Egyptian self-identity, placed a lot of value on their written word, further inferred is the nature of which </w:t>
      </w:r>
      <w:r w:rsidR="00305037">
        <w:t xml:space="preserve">Egyptians defined their culture and consequently </w:t>
      </w:r>
      <w:r w:rsidR="00C55E6C">
        <w:t xml:space="preserve">their society due to the nature of written text. </w:t>
      </w:r>
      <w:r w:rsidR="009359DF">
        <w:t xml:space="preserve">Childes original point may have not been what can be deduced from written language, more what the literal translations of texts is. An argument that Childe’s criteria is still appropriate for an interpretation of social </w:t>
      </w:r>
      <w:r w:rsidR="0089528F">
        <w:t>complexity,</w:t>
      </w:r>
      <w:r w:rsidR="009359DF">
        <w:t xml:space="preserve"> due to the value placed on written language in his principles for civilisations.  </w:t>
      </w:r>
    </w:p>
    <w:p w14:paraId="242B9884" w14:textId="77777777" w:rsidR="00854B20" w:rsidRDefault="00014065" w:rsidP="00761B1A">
      <w:r>
        <w:t>It should be noted</w:t>
      </w:r>
      <w:r w:rsidR="0089528F">
        <w:t xml:space="preserve"> Childe’s</w:t>
      </w:r>
      <w:r>
        <w:t xml:space="preserve"> criteria when used as interpretation of the East Mediterranean, does lack fundamentally in its understanding. Childe simply looks for the material manifestation of goods, as is expected of an archaeologist in the 1950’s, yet the criteria, when combined with peer improvements and appropriate modern perspective, it can allow a perspective of a very broad and varied interpretation</w:t>
      </w:r>
      <w:r w:rsidR="00123FE2">
        <w:t>, showing the nature of these cross-cultural  ties, both in the nature of Cyprus</w:t>
      </w:r>
      <w:r w:rsidR="00854B20">
        <w:t>-</w:t>
      </w:r>
      <w:r w:rsidR="00123FE2">
        <w:t xml:space="preserve">Mycenae and the wider Mediterranean. </w:t>
      </w:r>
      <w:r>
        <w:t xml:space="preserve"> Yet if just considering Childe’s criteria alone, we do see that many of those, must have been supported by a complex social structure in order to have successfully worked. Included but not limited to; appearance of distant trade, full time specialists, </w:t>
      </w:r>
      <w:r w:rsidR="0081104E">
        <w:t>appearance of written language and sophisticated art styles</w:t>
      </w:r>
      <w:r w:rsidR="00854B20">
        <w:t>. Yet despite this improvement, Childe’s Criteria is a good basis for initial interpretation of a civilisation as it allows clear and general points to be established, through defined categories. But should not be used independently.</w:t>
      </w:r>
    </w:p>
    <w:p w14:paraId="14244DDE" w14:textId="624158D6" w:rsidR="00DC0B3B" w:rsidRPr="00A73823" w:rsidRDefault="00864FFA" w:rsidP="00761B1A">
      <w:pPr>
        <w:rPr>
          <w:rFonts w:ascii="Arial" w:hAnsi="Arial" w:cs="Arial"/>
          <w:sz w:val="20"/>
          <w:szCs w:val="20"/>
        </w:rPr>
      </w:pPr>
      <w:r w:rsidRPr="00A73823">
        <w:rPr>
          <w:rFonts w:ascii="Arial" w:hAnsi="Arial" w:cs="Arial"/>
          <w:sz w:val="20"/>
          <w:szCs w:val="20"/>
        </w:rPr>
        <w:lastRenderedPageBreak/>
        <w:t>References:</w:t>
      </w:r>
    </w:p>
    <w:p w14:paraId="65F86377" w14:textId="51EFB399" w:rsidR="00EC25FC" w:rsidRPr="00A73823" w:rsidRDefault="00EC25FC" w:rsidP="00761B1A">
      <w:pPr>
        <w:rPr>
          <w:rFonts w:ascii="Arial" w:hAnsi="Arial" w:cs="Arial"/>
          <w:sz w:val="20"/>
          <w:szCs w:val="20"/>
        </w:rPr>
      </w:pPr>
      <w:r w:rsidRPr="00A73823">
        <w:rPr>
          <w:rFonts w:ascii="Arial" w:hAnsi="Arial" w:cs="Arial"/>
          <w:color w:val="333333"/>
          <w:sz w:val="20"/>
          <w:szCs w:val="20"/>
          <w:shd w:val="clear" w:color="auto" w:fill="FFFFFF"/>
        </w:rPr>
        <w:t xml:space="preserve">Arizona State University, (2020), The Emergence of Social Complexity in Middle-Range Society: Cyprus During the Prehistoric Bronze Age, </w:t>
      </w:r>
      <w:bookmarkStart w:id="1" w:name="_Hlk38408108"/>
      <w:r w:rsidRPr="00A73823">
        <w:rPr>
          <w:rFonts w:ascii="Arial" w:hAnsi="Arial" w:cs="Arial"/>
          <w:color w:val="333333"/>
          <w:sz w:val="20"/>
          <w:szCs w:val="20"/>
          <w:shd w:val="clear" w:color="auto" w:fill="FFFFFF"/>
        </w:rPr>
        <w:t>[</w:t>
      </w:r>
      <w:r w:rsidR="00CE5E9D">
        <w:rPr>
          <w:rFonts w:ascii="Arial" w:hAnsi="Arial" w:cs="Arial"/>
          <w:color w:val="333333"/>
          <w:sz w:val="20"/>
          <w:szCs w:val="20"/>
          <w:shd w:val="clear" w:color="auto" w:fill="FFFFFF"/>
        </w:rPr>
        <w:t>a</w:t>
      </w:r>
      <w:r w:rsidRPr="00A73823">
        <w:rPr>
          <w:rFonts w:ascii="Arial" w:hAnsi="Arial" w:cs="Arial"/>
          <w:color w:val="333333"/>
          <w:sz w:val="20"/>
          <w:szCs w:val="20"/>
          <w:shd w:val="clear" w:color="auto" w:fill="FFFFFF"/>
        </w:rPr>
        <w:t xml:space="preserve">ccessed online], </w:t>
      </w:r>
      <w:r w:rsidR="009B43D9">
        <w:rPr>
          <w:rFonts w:ascii="Arial" w:hAnsi="Arial" w:cs="Arial"/>
          <w:color w:val="333333"/>
          <w:sz w:val="20"/>
          <w:szCs w:val="20"/>
          <w:shd w:val="clear" w:color="auto" w:fill="FFFFFF"/>
        </w:rPr>
        <w:t xml:space="preserve">- 21/04/20 </w:t>
      </w:r>
      <w:bookmarkEnd w:id="1"/>
      <w:r w:rsidRPr="00A73823">
        <w:rPr>
          <w:rFonts w:ascii="Arial" w:hAnsi="Arial" w:cs="Arial"/>
          <w:sz w:val="20"/>
          <w:szCs w:val="20"/>
        </w:rPr>
        <w:t>https://shesc.asu.edu/research/research-topic/emergence-social-complexity-middle-range-society-cyprus-during-prehistoric</w:t>
      </w:r>
    </w:p>
    <w:p w14:paraId="050CCACA" w14:textId="037CB198" w:rsidR="00EC25FC" w:rsidRPr="00A73823" w:rsidRDefault="00EC25FC" w:rsidP="000C7C75">
      <w:pPr>
        <w:rPr>
          <w:rFonts w:ascii="Arial" w:hAnsi="Arial" w:cs="Arial"/>
          <w:sz w:val="20"/>
          <w:szCs w:val="20"/>
        </w:rPr>
      </w:pPr>
      <w:r w:rsidRPr="00A73823">
        <w:rPr>
          <w:rFonts w:ascii="Arial" w:hAnsi="Arial" w:cs="Arial"/>
          <w:color w:val="333333"/>
          <w:sz w:val="20"/>
          <w:szCs w:val="20"/>
          <w:shd w:val="clear" w:color="auto" w:fill="FFFFFF"/>
        </w:rPr>
        <w:t xml:space="preserve">Baines, J. (1983) </w:t>
      </w:r>
      <w:r w:rsidRPr="00A73823">
        <w:rPr>
          <w:rFonts w:ascii="Arial" w:hAnsi="Arial" w:cs="Arial"/>
          <w:color w:val="333333"/>
          <w:sz w:val="20"/>
          <w:szCs w:val="20"/>
          <w:shd w:val="clear" w:color="auto" w:fill="FFFFFF"/>
        </w:rPr>
        <w:t>Literacy and Ancient Egyptian</w:t>
      </w:r>
      <w:r w:rsidRPr="00A73823">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Published by: Royal Anthropological Institute of Great Britain and Ireland</w:t>
      </w:r>
      <w:r w:rsidRPr="00A73823">
        <w:rPr>
          <w:rFonts w:ascii="Arial" w:hAnsi="Arial" w:cs="Arial"/>
          <w:color w:val="333333"/>
          <w:sz w:val="20"/>
          <w:szCs w:val="20"/>
          <w:shd w:val="clear" w:color="auto" w:fill="FFFFFF"/>
        </w:rPr>
        <w:t xml:space="preserve"> Society, Vol.</w:t>
      </w:r>
      <w:r w:rsidRPr="00A73823">
        <w:rPr>
          <w:rFonts w:ascii="Arial" w:hAnsi="Arial" w:cs="Arial"/>
          <w:color w:val="333333"/>
          <w:sz w:val="20"/>
          <w:szCs w:val="20"/>
          <w:shd w:val="clear" w:color="auto" w:fill="FFFFFF"/>
        </w:rPr>
        <w:t xml:space="preserve"> 18</w:t>
      </w:r>
      <w:r w:rsidRPr="00A73823">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pp. 572-599</w:t>
      </w:r>
      <w:r w:rsidRPr="00A73823">
        <w:rPr>
          <w:rFonts w:ascii="Arial" w:hAnsi="Arial" w:cs="Arial"/>
          <w:color w:val="333333"/>
          <w:sz w:val="20"/>
          <w:szCs w:val="20"/>
          <w:shd w:val="clear" w:color="auto" w:fill="FFFFFF"/>
        </w:rPr>
        <w:t xml:space="preserve">. </w:t>
      </w:r>
      <w:r w:rsidR="009B43D9">
        <w:rPr>
          <w:rFonts w:ascii="Arial" w:hAnsi="Arial" w:cs="Arial"/>
          <w:color w:val="333333"/>
          <w:sz w:val="20"/>
          <w:szCs w:val="20"/>
          <w:shd w:val="clear" w:color="auto" w:fill="FFFFFF"/>
        </w:rPr>
        <w:t xml:space="preserve">[accessed online] – 21/04/20 </w:t>
      </w:r>
      <w:r w:rsidRPr="00A73823">
        <w:rPr>
          <w:rFonts w:ascii="Arial" w:hAnsi="Arial" w:cs="Arial"/>
          <w:sz w:val="20"/>
          <w:szCs w:val="20"/>
        </w:rPr>
        <w:t>https://www.jstor.org/stable/2801598?seq=1#metadata_info_tab_contents</w:t>
      </w:r>
    </w:p>
    <w:p w14:paraId="56CC52D7" w14:textId="658EC932" w:rsidR="00EC25FC" w:rsidRDefault="00EC25FC" w:rsidP="000C7C75">
      <w:r>
        <w:t xml:space="preserve">Hemingway, C. Hemingway, S. (2004), </w:t>
      </w:r>
      <w:r w:rsidRPr="00A850BB">
        <w:t>Prehistoric Cypriot Art and Culture</w:t>
      </w:r>
      <w:r>
        <w:t xml:space="preserve">, In Heilbrunn Timeline of Art History, </w:t>
      </w:r>
      <w:r w:rsidR="009B43D9">
        <w:t>published</w:t>
      </w:r>
      <w:r>
        <w:t>: New York, The Metropolitan Museum of Art</w:t>
      </w:r>
      <w:r w:rsidR="009B43D9">
        <w:t xml:space="preserve">, </w:t>
      </w:r>
      <w:r w:rsidR="009B43D9" w:rsidRPr="009B43D9">
        <w:t xml:space="preserve">[accessed online], - 21/04/20 </w:t>
      </w:r>
      <w:r w:rsidRPr="00CB3AF5">
        <w:t>https://www.metmuseum.org/toah/hd/pcyp/hd_pcyp.htm</w:t>
      </w:r>
      <w:r>
        <w:t>.</w:t>
      </w:r>
    </w:p>
    <w:p w14:paraId="7792E96E" w14:textId="3B065D7E" w:rsidR="00EC25FC" w:rsidRDefault="00EC25FC" w:rsidP="000C7C75">
      <w:r w:rsidRPr="00A73823">
        <w:rPr>
          <w:rFonts w:ascii="Arial" w:hAnsi="Arial" w:cs="Arial"/>
          <w:sz w:val="20"/>
          <w:szCs w:val="20"/>
        </w:rPr>
        <w:t xml:space="preserve">Knapp, B. A. (2007) </w:t>
      </w:r>
      <w:r w:rsidRPr="00A73823">
        <w:rPr>
          <w:rFonts w:ascii="Arial" w:hAnsi="Arial" w:cs="Arial"/>
          <w:sz w:val="20"/>
          <w:szCs w:val="20"/>
        </w:rPr>
        <w:t>Production, exchange and socio-political complexity on Bronze Age Cyprus</w:t>
      </w:r>
      <w:r w:rsidRPr="00A73823">
        <w:rPr>
          <w:rFonts w:ascii="Arial" w:hAnsi="Arial" w:cs="Arial"/>
          <w:sz w:val="20"/>
          <w:szCs w:val="20"/>
        </w:rPr>
        <w:t>, Published by: Oxford Journal of Archaeology, Vol. 5, pp. 35</w:t>
      </w:r>
      <w:r>
        <w:t>-60.</w:t>
      </w:r>
      <w:r w:rsidR="009B43D9">
        <w:t xml:space="preserve"> </w:t>
      </w:r>
      <w:hyperlink r:id="rId5" w:history="1">
        <w:r w:rsidR="009B43D9" w:rsidRPr="009B43D9">
          <w:rPr>
            <w:rStyle w:val="Hyperlink"/>
            <w:color w:val="auto"/>
            <w:u w:val="none"/>
          </w:rPr>
          <w:t>https://www.researchgate.net/publication/229611045_Production_exchange_and_socio-political_complexity_on_Bronze_Age_Cyprus</w:t>
        </w:r>
      </w:hyperlink>
      <w:r w:rsidR="009B43D9" w:rsidRPr="009B43D9">
        <w:t xml:space="preserve"> </w:t>
      </w:r>
      <w:r w:rsidR="009B43D9" w:rsidRPr="009B43D9">
        <w:t>[accessed online], - 21/04/20</w:t>
      </w:r>
    </w:p>
    <w:p w14:paraId="5A120D4E" w14:textId="728C7118" w:rsidR="00EC25FC" w:rsidRPr="00A73823" w:rsidRDefault="00EC25FC" w:rsidP="002F62A9">
      <w:pPr>
        <w:rPr>
          <w:rFonts w:ascii="Arial" w:hAnsi="Arial" w:cs="Arial"/>
          <w:color w:val="333333"/>
          <w:sz w:val="20"/>
          <w:szCs w:val="20"/>
          <w:shd w:val="clear" w:color="auto" w:fill="FFFFFF"/>
        </w:rPr>
      </w:pPr>
      <w:r w:rsidRPr="00A73823">
        <w:rPr>
          <w:rFonts w:ascii="Arial" w:hAnsi="Arial" w:cs="Arial"/>
          <w:sz w:val="20"/>
          <w:szCs w:val="20"/>
        </w:rPr>
        <w:t xml:space="preserve">Knapp, B. A. Steve O. Held &amp; Sturt W. Manning (1994), The Prehistory of Cyprus: Problems and Prospects, Journal of World Prehistory, </w:t>
      </w:r>
      <w:r w:rsidRPr="00A73823">
        <w:rPr>
          <w:rFonts w:ascii="Arial" w:hAnsi="Arial" w:cs="Arial"/>
          <w:color w:val="333333"/>
          <w:sz w:val="20"/>
          <w:szCs w:val="20"/>
          <w:shd w:val="clear" w:color="auto" w:fill="FFFFFF"/>
        </w:rPr>
        <w:t>Vol. 8, pp. 377-453, Published by: Springer,</w:t>
      </w:r>
      <w:r w:rsidR="00407A5F" w:rsidRPr="00407A5F">
        <w:t xml:space="preserve"> </w:t>
      </w:r>
      <w:r w:rsidR="00407A5F" w:rsidRPr="00407A5F">
        <w:t>https://www.jstor.org/stable/25800656?seq=1#metadata_info_tab_contents</w:t>
      </w:r>
      <w:r w:rsidRPr="00A73823">
        <w:rPr>
          <w:rFonts w:ascii="Arial" w:hAnsi="Arial" w:cs="Arial"/>
          <w:color w:val="333333"/>
          <w:sz w:val="20"/>
          <w:szCs w:val="20"/>
          <w:shd w:val="clear" w:color="auto" w:fill="FFFFFF"/>
        </w:rPr>
        <w:t xml:space="preserve"> </w:t>
      </w:r>
      <w:r w:rsidR="009B43D9" w:rsidRPr="009B43D9">
        <w:rPr>
          <w:rFonts w:ascii="Arial" w:hAnsi="Arial" w:cs="Arial"/>
          <w:color w:val="333333"/>
          <w:sz w:val="20"/>
          <w:szCs w:val="20"/>
          <w:shd w:val="clear" w:color="auto" w:fill="FFFFFF"/>
        </w:rPr>
        <w:t>[accessed online], - 21/04/20</w:t>
      </w:r>
      <w:r w:rsidR="009B43D9">
        <w:rPr>
          <w:rFonts w:ascii="Arial" w:hAnsi="Arial" w:cs="Arial"/>
          <w:color w:val="333333"/>
          <w:sz w:val="20"/>
          <w:szCs w:val="20"/>
          <w:shd w:val="clear" w:color="auto" w:fill="FFFFFF"/>
        </w:rPr>
        <w:t xml:space="preserve">, </w:t>
      </w:r>
    </w:p>
    <w:p w14:paraId="01955C5B" w14:textId="1BF3C3C3" w:rsidR="00EC25FC" w:rsidRPr="00A73823" w:rsidRDefault="00EC25FC" w:rsidP="00761B1A">
      <w:pPr>
        <w:rPr>
          <w:rFonts w:ascii="Arial" w:hAnsi="Arial" w:cs="Arial"/>
          <w:sz w:val="20"/>
          <w:szCs w:val="20"/>
        </w:rPr>
      </w:pPr>
      <w:r w:rsidRPr="00A73823">
        <w:rPr>
          <w:rFonts w:ascii="Arial" w:hAnsi="Arial" w:cs="Arial"/>
          <w:sz w:val="20"/>
          <w:szCs w:val="20"/>
        </w:rPr>
        <w:t xml:space="preserve">Kradin, N. N. (2006), Social Evolution &amp; History, published by: Uchitel Publishing House, Volume 5, </w:t>
      </w:r>
      <w:r w:rsidR="009B43D9" w:rsidRPr="009B43D9">
        <w:rPr>
          <w:rFonts w:ascii="Arial" w:hAnsi="Arial" w:cs="Arial"/>
          <w:sz w:val="20"/>
          <w:szCs w:val="20"/>
        </w:rPr>
        <w:t>[accessed online], - 21/04/20</w:t>
      </w:r>
      <w:r w:rsidR="009B43D9">
        <w:rPr>
          <w:rFonts w:ascii="Arial" w:hAnsi="Arial" w:cs="Arial"/>
          <w:sz w:val="20"/>
          <w:szCs w:val="20"/>
        </w:rPr>
        <w:t xml:space="preserve">, </w:t>
      </w:r>
      <w:r w:rsidRPr="00A73823">
        <w:rPr>
          <w:rFonts w:ascii="Arial" w:hAnsi="Arial" w:cs="Arial"/>
          <w:sz w:val="20"/>
          <w:szCs w:val="20"/>
        </w:rPr>
        <w:t xml:space="preserve">https://www.sociostudies.org/journal/articles/140526/ </w:t>
      </w:r>
    </w:p>
    <w:p w14:paraId="5A04BB91" w14:textId="4CBDEC73" w:rsidR="00EC25FC" w:rsidRPr="00A73823" w:rsidRDefault="00EC25FC" w:rsidP="002F62A9">
      <w:pPr>
        <w:rPr>
          <w:rFonts w:ascii="Arial" w:hAnsi="Arial" w:cs="Arial"/>
          <w:sz w:val="20"/>
          <w:szCs w:val="20"/>
        </w:rPr>
      </w:pPr>
      <w:r w:rsidRPr="00A73823">
        <w:rPr>
          <w:rFonts w:ascii="Arial" w:hAnsi="Arial" w:cs="Arial"/>
          <w:sz w:val="20"/>
          <w:szCs w:val="20"/>
        </w:rPr>
        <w:t xml:space="preserve">Orphanides A. G. (2017), Late Bronze Age Socio-Economic and Political Organization, and the Hellenization of Cyprus, Athens Journal of History, Volume 3, Issue 1, Pages 7-20, </w:t>
      </w:r>
      <w:r w:rsidR="0009583E" w:rsidRPr="0009583E">
        <w:t>https://www.athensjournals.gr/history/2017-3-1-1-Orphanides.pdf</w:t>
      </w:r>
      <w:r w:rsidR="0009583E" w:rsidRPr="00A73823">
        <w:rPr>
          <w:rFonts w:ascii="Arial" w:hAnsi="Arial" w:cs="Arial"/>
          <w:sz w:val="20"/>
          <w:szCs w:val="20"/>
        </w:rPr>
        <w:t xml:space="preserve"> </w:t>
      </w:r>
      <w:r w:rsidR="0009583E">
        <w:rPr>
          <w:rFonts w:ascii="Arial" w:hAnsi="Arial" w:cs="Arial"/>
          <w:sz w:val="20"/>
          <w:szCs w:val="20"/>
        </w:rPr>
        <w:t>[</w:t>
      </w:r>
      <w:r w:rsidRPr="00A73823">
        <w:rPr>
          <w:rFonts w:ascii="Arial" w:hAnsi="Arial" w:cs="Arial"/>
          <w:sz w:val="20"/>
          <w:szCs w:val="20"/>
        </w:rPr>
        <w:t>accessed online]</w:t>
      </w:r>
      <w:r w:rsidR="00686C1A">
        <w:rPr>
          <w:rFonts w:ascii="Arial" w:hAnsi="Arial" w:cs="Arial"/>
          <w:sz w:val="20"/>
          <w:szCs w:val="20"/>
        </w:rPr>
        <w:t xml:space="preserve"> – 21/04/20</w:t>
      </w:r>
    </w:p>
    <w:p w14:paraId="029C7F79" w14:textId="548E46F8" w:rsidR="00EC25FC" w:rsidRPr="00A73823" w:rsidRDefault="00EC25FC" w:rsidP="000C7C75">
      <w:pPr>
        <w:rPr>
          <w:rFonts w:ascii="Arial" w:hAnsi="Arial" w:cs="Arial"/>
          <w:color w:val="333333"/>
          <w:sz w:val="20"/>
          <w:szCs w:val="20"/>
          <w:shd w:val="clear" w:color="auto" w:fill="FFFFFF"/>
        </w:rPr>
      </w:pPr>
      <w:r w:rsidRPr="00A73823">
        <w:rPr>
          <w:rFonts w:ascii="Arial" w:hAnsi="Arial" w:cs="Arial"/>
          <w:sz w:val="20"/>
          <w:szCs w:val="20"/>
        </w:rPr>
        <w:t>Rupp. D. W. (), Aspects of Social complexity in Cyprus: Socioeconomic Interaction and Integration in the Fourth through second Millennia B.C.E* Bulletin of the American Schools of Oriental Research No. 292, Perspectives on Cypriot Social Complexity, Published by: The University of Chicago Press on behalf of The American Schools of Oriental Research,</w:t>
      </w:r>
      <w:r w:rsidRPr="00A73823">
        <w:rPr>
          <w:rFonts w:ascii="Arial" w:hAnsi="Arial" w:cs="Arial"/>
          <w:color w:val="333333"/>
          <w:sz w:val="20"/>
          <w:szCs w:val="20"/>
          <w:shd w:val="clear" w:color="auto" w:fill="FFFFFF"/>
        </w:rPr>
        <w:t xml:space="preserve"> pp. 1-8,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r w:rsidR="0009583E">
        <w:rPr>
          <w:rFonts w:ascii="Arial" w:hAnsi="Arial" w:cs="Arial"/>
          <w:sz w:val="20"/>
          <w:szCs w:val="20"/>
        </w:rPr>
        <w:t xml:space="preserve"> </w:t>
      </w:r>
      <w:r w:rsidRPr="00A73823">
        <w:rPr>
          <w:rFonts w:ascii="Arial" w:hAnsi="Arial" w:cs="Arial"/>
          <w:color w:val="333333"/>
          <w:sz w:val="20"/>
          <w:szCs w:val="20"/>
          <w:shd w:val="clear" w:color="auto" w:fill="FFFFFF"/>
        </w:rPr>
        <w:t>https://www.jstor.org/stable/1357244?seq=1#metadata_info_tab_contents</w:t>
      </w:r>
    </w:p>
    <w:p w14:paraId="48D30313" w14:textId="6E20BAFB" w:rsidR="00EC25FC" w:rsidRPr="00A73823" w:rsidRDefault="00EC25FC" w:rsidP="000C7C75">
      <w:pPr>
        <w:rPr>
          <w:rFonts w:ascii="Arial" w:hAnsi="Arial" w:cs="Arial"/>
          <w:color w:val="333333"/>
          <w:sz w:val="20"/>
          <w:szCs w:val="20"/>
          <w:shd w:val="clear" w:color="auto" w:fill="FFFFFF"/>
        </w:rPr>
      </w:pPr>
      <w:r w:rsidRPr="00A73823">
        <w:rPr>
          <w:rFonts w:ascii="Arial" w:hAnsi="Arial" w:cs="Arial"/>
          <w:color w:val="333333"/>
          <w:sz w:val="20"/>
          <w:szCs w:val="20"/>
          <w:shd w:val="clear" w:color="auto" w:fill="FFFFFF"/>
        </w:rPr>
        <w:t xml:space="preserve">Sienkiewicz, J. (2020) The Role of Cyprus in the Development of Mycenaean Trade, Academia, </w:t>
      </w:r>
      <w:r w:rsidR="009B43D9" w:rsidRPr="009B43D9">
        <w:rPr>
          <w:rFonts w:ascii="Arial" w:hAnsi="Arial" w:cs="Arial"/>
          <w:color w:val="333333"/>
          <w:sz w:val="20"/>
          <w:szCs w:val="20"/>
          <w:shd w:val="clear" w:color="auto" w:fill="FFFFFF"/>
        </w:rPr>
        <w:t>[accessed online], - 21/04/20</w:t>
      </w:r>
      <w:r w:rsidR="009B43D9">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https://www.academia.edu/6854593/The_Role_of_Cyprus_in_the_Development_of_Mycenaean_Trade</w:t>
      </w:r>
    </w:p>
    <w:p w14:paraId="6229B9A2" w14:textId="0F535975" w:rsidR="00EC25FC" w:rsidRPr="00A73823" w:rsidRDefault="00EC25FC" w:rsidP="00761B1A">
      <w:pPr>
        <w:rPr>
          <w:rFonts w:ascii="Arial" w:hAnsi="Arial" w:cs="Arial"/>
          <w:sz w:val="20"/>
          <w:szCs w:val="20"/>
        </w:rPr>
      </w:pPr>
      <w:r w:rsidRPr="00A73823">
        <w:rPr>
          <w:rFonts w:ascii="Arial" w:hAnsi="Arial" w:cs="Arial"/>
          <w:sz w:val="20"/>
          <w:szCs w:val="20"/>
        </w:rPr>
        <w:t xml:space="preserve">Whipps, H. (2008) How Ancient Trade Changed the world, https://www.livescience.com/4823-ancient-trade-changed-world.html,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p>
    <w:p w14:paraId="75C36280" w14:textId="6B96ED86" w:rsidR="00EC25FC" w:rsidRPr="00A73823" w:rsidRDefault="00EC25FC" w:rsidP="00761B1A">
      <w:pPr>
        <w:rPr>
          <w:rFonts w:ascii="Arial" w:hAnsi="Arial" w:cs="Arial"/>
          <w:sz w:val="20"/>
          <w:szCs w:val="20"/>
        </w:rPr>
      </w:pPr>
      <w:r w:rsidRPr="00A73823">
        <w:rPr>
          <w:rFonts w:ascii="Arial" w:hAnsi="Arial" w:cs="Arial"/>
          <w:sz w:val="20"/>
          <w:szCs w:val="20"/>
        </w:rPr>
        <w:t xml:space="preserve">Zaccagnini, C. (1990), Review: The Transition from Bronze to Iron in the Near East and in the Levant: Marginal Notes, published by: American Oriental Society, Vol. 110, pp. 493-502, https://www.jstor.org/stable/603190?seq=3#metadata_info_tab_contents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p>
    <w:p w14:paraId="49719799" w14:textId="77777777" w:rsidR="00DF71D7" w:rsidRDefault="00DF71D7" w:rsidP="000C7C75"/>
    <w:p w14:paraId="2AB65F02" w14:textId="2FFA09F8" w:rsidR="000D234D" w:rsidRDefault="000D234D" w:rsidP="00761B1A"/>
    <w:p w14:paraId="265D4D95" w14:textId="77777777" w:rsidR="006436EA" w:rsidRDefault="006436EA" w:rsidP="00761B1A"/>
    <w:p w14:paraId="397F3A64" w14:textId="77777777" w:rsidR="000D234D" w:rsidRDefault="000D234D" w:rsidP="00761B1A"/>
    <w:p w14:paraId="5F2AC0B4" w14:textId="77777777" w:rsidR="000D234D" w:rsidRDefault="000D234D" w:rsidP="00761B1A"/>
    <w:p w14:paraId="55564DB0" w14:textId="6AEF4641" w:rsidR="000D234D" w:rsidRDefault="000D234D" w:rsidP="00761B1A"/>
    <w:p w14:paraId="78672C56" w14:textId="77777777" w:rsidR="000D234D" w:rsidRDefault="000D234D" w:rsidP="00761B1A"/>
    <w:p w14:paraId="5E69028B" w14:textId="7D9374EB" w:rsidR="00761B1A" w:rsidRDefault="00761B1A" w:rsidP="001D61FC"/>
    <w:p w14:paraId="1CF96731" w14:textId="77777777" w:rsidR="00761B1A" w:rsidRDefault="00761B1A" w:rsidP="001D61FC"/>
    <w:p w14:paraId="0DDAC226" w14:textId="1EA94C0F" w:rsidR="001D61FC" w:rsidRPr="001D61FC" w:rsidRDefault="001D61FC" w:rsidP="001D61FC"/>
    <w:sectPr w:rsidR="001D61FC" w:rsidRPr="001D6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E49DA"/>
    <w:multiLevelType w:val="multilevel"/>
    <w:tmpl w:val="04D4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BF4"/>
    <w:rsid w:val="000028D4"/>
    <w:rsid w:val="00014065"/>
    <w:rsid w:val="00024B5D"/>
    <w:rsid w:val="00045980"/>
    <w:rsid w:val="00050367"/>
    <w:rsid w:val="0009583E"/>
    <w:rsid w:val="00097D3D"/>
    <w:rsid w:val="000C7C75"/>
    <w:rsid w:val="000D234D"/>
    <w:rsid w:val="00103592"/>
    <w:rsid w:val="0010670B"/>
    <w:rsid w:val="00120E32"/>
    <w:rsid w:val="00123FE2"/>
    <w:rsid w:val="00152206"/>
    <w:rsid w:val="00170A8F"/>
    <w:rsid w:val="001B6535"/>
    <w:rsid w:val="001B7D53"/>
    <w:rsid w:val="001D61FC"/>
    <w:rsid w:val="001E549A"/>
    <w:rsid w:val="001E7CAA"/>
    <w:rsid w:val="00206C4C"/>
    <w:rsid w:val="00264EAF"/>
    <w:rsid w:val="00272D9F"/>
    <w:rsid w:val="002D30C5"/>
    <w:rsid w:val="002F62A9"/>
    <w:rsid w:val="00300BF4"/>
    <w:rsid w:val="00305037"/>
    <w:rsid w:val="003801EF"/>
    <w:rsid w:val="00382580"/>
    <w:rsid w:val="003D332E"/>
    <w:rsid w:val="00407A5F"/>
    <w:rsid w:val="00424C56"/>
    <w:rsid w:val="00470D16"/>
    <w:rsid w:val="0047235D"/>
    <w:rsid w:val="00514B35"/>
    <w:rsid w:val="00563EAB"/>
    <w:rsid w:val="005A017B"/>
    <w:rsid w:val="00603FF5"/>
    <w:rsid w:val="0061416E"/>
    <w:rsid w:val="006436EA"/>
    <w:rsid w:val="00686C1A"/>
    <w:rsid w:val="00694F20"/>
    <w:rsid w:val="00695497"/>
    <w:rsid w:val="00696E95"/>
    <w:rsid w:val="006A1793"/>
    <w:rsid w:val="006A2190"/>
    <w:rsid w:val="006E5694"/>
    <w:rsid w:val="007121C7"/>
    <w:rsid w:val="00761B1A"/>
    <w:rsid w:val="0076385A"/>
    <w:rsid w:val="00777CB7"/>
    <w:rsid w:val="007A09F7"/>
    <w:rsid w:val="007A2309"/>
    <w:rsid w:val="007C1BC3"/>
    <w:rsid w:val="007E21ED"/>
    <w:rsid w:val="0081104E"/>
    <w:rsid w:val="00822578"/>
    <w:rsid w:val="00853FA5"/>
    <w:rsid w:val="00854B20"/>
    <w:rsid w:val="00864FFA"/>
    <w:rsid w:val="00865F64"/>
    <w:rsid w:val="0089528F"/>
    <w:rsid w:val="008B627A"/>
    <w:rsid w:val="008E41FB"/>
    <w:rsid w:val="009156E3"/>
    <w:rsid w:val="009359DF"/>
    <w:rsid w:val="00936426"/>
    <w:rsid w:val="009A219E"/>
    <w:rsid w:val="009B43D9"/>
    <w:rsid w:val="00A0067E"/>
    <w:rsid w:val="00A1033D"/>
    <w:rsid w:val="00A73823"/>
    <w:rsid w:val="00A850BB"/>
    <w:rsid w:val="00B12C0C"/>
    <w:rsid w:val="00B3486A"/>
    <w:rsid w:val="00B35065"/>
    <w:rsid w:val="00B479A4"/>
    <w:rsid w:val="00B505C7"/>
    <w:rsid w:val="00B662F7"/>
    <w:rsid w:val="00BA2998"/>
    <w:rsid w:val="00BB1C44"/>
    <w:rsid w:val="00BC01C8"/>
    <w:rsid w:val="00BD1DE5"/>
    <w:rsid w:val="00BD4B77"/>
    <w:rsid w:val="00C2458F"/>
    <w:rsid w:val="00C4024F"/>
    <w:rsid w:val="00C52692"/>
    <w:rsid w:val="00C53391"/>
    <w:rsid w:val="00C55E6C"/>
    <w:rsid w:val="00C70BAC"/>
    <w:rsid w:val="00CB2E62"/>
    <w:rsid w:val="00CB3AF5"/>
    <w:rsid w:val="00CB65B1"/>
    <w:rsid w:val="00CC4B9D"/>
    <w:rsid w:val="00CC6EAF"/>
    <w:rsid w:val="00CE5E9D"/>
    <w:rsid w:val="00CE66BC"/>
    <w:rsid w:val="00D57EA8"/>
    <w:rsid w:val="00DB2FDF"/>
    <w:rsid w:val="00DC0B3B"/>
    <w:rsid w:val="00DC7828"/>
    <w:rsid w:val="00DF43C3"/>
    <w:rsid w:val="00DF6C49"/>
    <w:rsid w:val="00DF71D7"/>
    <w:rsid w:val="00E034B3"/>
    <w:rsid w:val="00E456A7"/>
    <w:rsid w:val="00E56642"/>
    <w:rsid w:val="00E61944"/>
    <w:rsid w:val="00E724DC"/>
    <w:rsid w:val="00EC25FC"/>
    <w:rsid w:val="00EC4AF0"/>
    <w:rsid w:val="00EE608F"/>
    <w:rsid w:val="00F40479"/>
    <w:rsid w:val="00F51251"/>
    <w:rsid w:val="00F77D75"/>
    <w:rsid w:val="00FD41E3"/>
    <w:rsid w:val="00FE1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B1D57"/>
  <w15:chartTrackingRefBased/>
  <w15:docId w15:val="{8C38B46E-D8B7-4664-8C09-EFA336309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7CB7"/>
    <w:rPr>
      <w:color w:val="0563C1" w:themeColor="hyperlink"/>
      <w:u w:val="single"/>
    </w:rPr>
  </w:style>
  <w:style w:type="character" w:styleId="UnresolvedMention">
    <w:name w:val="Unresolved Mention"/>
    <w:basedOn w:val="DefaultParagraphFont"/>
    <w:uiPriority w:val="99"/>
    <w:semiHidden/>
    <w:unhideWhenUsed/>
    <w:rsid w:val="00777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68428">
      <w:bodyDiv w:val="1"/>
      <w:marLeft w:val="0"/>
      <w:marRight w:val="0"/>
      <w:marTop w:val="0"/>
      <w:marBottom w:val="0"/>
      <w:divBdr>
        <w:top w:val="none" w:sz="0" w:space="0" w:color="auto"/>
        <w:left w:val="none" w:sz="0" w:space="0" w:color="auto"/>
        <w:bottom w:val="none" w:sz="0" w:space="0" w:color="auto"/>
        <w:right w:val="none" w:sz="0" w:space="0" w:color="auto"/>
      </w:divBdr>
    </w:div>
    <w:div w:id="51387739">
      <w:bodyDiv w:val="1"/>
      <w:marLeft w:val="0"/>
      <w:marRight w:val="0"/>
      <w:marTop w:val="0"/>
      <w:marBottom w:val="0"/>
      <w:divBdr>
        <w:top w:val="none" w:sz="0" w:space="0" w:color="auto"/>
        <w:left w:val="none" w:sz="0" w:space="0" w:color="auto"/>
        <w:bottom w:val="none" w:sz="0" w:space="0" w:color="auto"/>
        <w:right w:val="none" w:sz="0" w:space="0" w:color="auto"/>
      </w:divBdr>
    </w:div>
    <w:div w:id="565578646">
      <w:bodyDiv w:val="1"/>
      <w:marLeft w:val="0"/>
      <w:marRight w:val="0"/>
      <w:marTop w:val="0"/>
      <w:marBottom w:val="0"/>
      <w:divBdr>
        <w:top w:val="none" w:sz="0" w:space="0" w:color="auto"/>
        <w:left w:val="none" w:sz="0" w:space="0" w:color="auto"/>
        <w:bottom w:val="none" w:sz="0" w:space="0" w:color="auto"/>
        <w:right w:val="none" w:sz="0" w:space="0" w:color="auto"/>
      </w:divBdr>
    </w:div>
    <w:div w:id="1193572220">
      <w:bodyDiv w:val="1"/>
      <w:marLeft w:val="0"/>
      <w:marRight w:val="0"/>
      <w:marTop w:val="0"/>
      <w:marBottom w:val="0"/>
      <w:divBdr>
        <w:top w:val="none" w:sz="0" w:space="0" w:color="auto"/>
        <w:left w:val="none" w:sz="0" w:space="0" w:color="auto"/>
        <w:bottom w:val="none" w:sz="0" w:space="0" w:color="auto"/>
        <w:right w:val="none" w:sz="0" w:space="0" w:color="auto"/>
      </w:divBdr>
    </w:div>
    <w:div w:id="1274821666">
      <w:bodyDiv w:val="1"/>
      <w:marLeft w:val="0"/>
      <w:marRight w:val="0"/>
      <w:marTop w:val="0"/>
      <w:marBottom w:val="0"/>
      <w:divBdr>
        <w:top w:val="none" w:sz="0" w:space="0" w:color="auto"/>
        <w:left w:val="none" w:sz="0" w:space="0" w:color="auto"/>
        <w:bottom w:val="none" w:sz="0" w:space="0" w:color="auto"/>
        <w:right w:val="none" w:sz="0" w:space="0" w:color="auto"/>
      </w:divBdr>
    </w:div>
    <w:div w:id="1714570812">
      <w:bodyDiv w:val="1"/>
      <w:marLeft w:val="0"/>
      <w:marRight w:val="0"/>
      <w:marTop w:val="0"/>
      <w:marBottom w:val="0"/>
      <w:divBdr>
        <w:top w:val="none" w:sz="0" w:space="0" w:color="auto"/>
        <w:left w:val="none" w:sz="0" w:space="0" w:color="auto"/>
        <w:bottom w:val="none" w:sz="0" w:space="0" w:color="auto"/>
        <w:right w:val="none" w:sz="0" w:space="0" w:color="auto"/>
      </w:divBdr>
    </w:div>
    <w:div w:id="2116827874">
      <w:bodyDiv w:val="1"/>
      <w:marLeft w:val="0"/>
      <w:marRight w:val="0"/>
      <w:marTop w:val="0"/>
      <w:marBottom w:val="0"/>
      <w:divBdr>
        <w:top w:val="none" w:sz="0" w:space="0" w:color="auto"/>
        <w:left w:val="none" w:sz="0" w:space="0" w:color="auto"/>
        <w:bottom w:val="none" w:sz="0" w:space="0" w:color="auto"/>
        <w:right w:val="none" w:sz="0" w:space="0" w:color="auto"/>
      </w:divBdr>
      <w:divsChild>
        <w:div w:id="1561597239">
          <w:marLeft w:val="0"/>
          <w:marRight w:val="0"/>
          <w:marTop w:val="0"/>
          <w:marBottom w:val="0"/>
          <w:divBdr>
            <w:top w:val="none" w:sz="0" w:space="0" w:color="auto"/>
            <w:left w:val="none" w:sz="0" w:space="0" w:color="auto"/>
            <w:bottom w:val="none" w:sz="0" w:space="0" w:color="auto"/>
            <w:right w:val="none" w:sz="0" w:space="0" w:color="auto"/>
          </w:divBdr>
        </w:div>
        <w:div w:id="551041054">
          <w:marLeft w:val="0"/>
          <w:marRight w:val="0"/>
          <w:marTop w:val="0"/>
          <w:marBottom w:val="0"/>
          <w:divBdr>
            <w:top w:val="none" w:sz="0" w:space="0" w:color="auto"/>
            <w:left w:val="none" w:sz="0" w:space="0" w:color="auto"/>
            <w:bottom w:val="none" w:sz="0" w:space="0" w:color="auto"/>
            <w:right w:val="none" w:sz="0" w:space="0" w:color="auto"/>
          </w:divBdr>
          <w:divsChild>
            <w:div w:id="191797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229611045_Production_exchange_and_socio-political_complexity_on_Bronze_Age_Cypr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5</Pages>
  <Words>2391</Words>
  <Characters>13631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74</cp:revision>
  <dcterms:created xsi:type="dcterms:W3CDTF">2020-04-21T16:00:00Z</dcterms:created>
  <dcterms:modified xsi:type="dcterms:W3CDTF">2020-04-21T23:43:00Z</dcterms:modified>
</cp:coreProperties>
</file>