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FECF2" w14:textId="77777777" w:rsidR="0018383A" w:rsidRPr="000F5219" w:rsidRDefault="0018383A" w:rsidP="00B06CBA">
      <w:pPr>
        <w:pStyle w:val="NormalWeb"/>
        <w:spacing w:before="0" w:beforeAutospacing="0" w:after="0" w:afterAutospacing="0" w:line="360" w:lineRule="auto"/>
        <w:contextualSpacing/>
        <w:jc w:val="both"/>
        <w:rPr>
          <w:rStyle w:val="Strong"/>
          <w:color w:val="000000" w:themeColor="text1"/>
        </w:rPr>
      </w:pPr>
    </w:p>
    <w:p w14:paraId="32E31EAF" w14:textId="77777777" w:rsidR="0018383A" w:rsidRPr="000F5219" w:rsidRDefault="0018383A" w:rsidP="00B06CBA">
      <w:pPr>
        <w:pStyle w:val="NormalWeb"/>
        <w:spacing w:before="0" w:beforeAutospacing="0" w:after="0" w:afterAutospacing="0" w:line="360" w:lineRule="auto"/>
        <w:contextualSpacing/>
        <w:jc w:val="both"/>
        <w:rPr>
          <w:rStyle w:val="Strong"/>
          <w:color w:val="000000" w:themeColor="text1"/>
        </w:rPr>
      </w:pPr>
    </w:p>
    <w:p w14:paraId="47DB71B7" w14:textId="77777777" w:rsidR="0018383A" w:rsidRPr="00D66576" w:rsidRDefault="0018383A" w:rsidP="00B06CBA">
      <w:pPr>
        <w:pStyle w:val="NormalWeb"/>
        <w:spacing w:before="0" w:beforeAutospacing="0" w:after="0" w:afterAutospacing="0" w:line="360" w:lineRule="auto"/>
        <w:contextualSpacing/>
        <w:jc w:val="center"/>
        <w:rPr>
          <w:rStyle w:val="Strong"/>
          <w:rFonts w:ascii="Arial" w:hAnsi="Arial" w:cs="Arial"/>
          <w:color w:val="000000" w:themeColor="text1"/>
          <w:sz w:val="28"/>
          <w:szCs w:val="28"/>
        </w:rPr>
      </w:pPr>
    </w:p>
    <w:p w14:paraId="3BBF53EE" w14:textId="2805F968" w:rsidR="0018383A" w:rsidRPr="00D66576" w:rsidRDefault="0018383A" w:rsidP="00B06CBA">
      <w:pPr>
        <w:pStyle w:val="NormalWeb"/>
        <w:spacing w:before="0" w:beforeAutospacing="0" w:after="0" w:afterAutospacing="0" w:line="360" w:lineRule="auto"/>
        <w:contextualSpacing/>
        <w:jc w:val="center"/>
        <w:rPr>
          <w:rFonts w:ascii="Arial" w:hAnsi="Arial" w:cs="Arial"/>
          <w:color w:val="000000" w:themeColor="text1"/>
          <w:sz w:val="28"/>
          <w:szCs w:val="28"/>
        </w:rPr>
      </w:pPr>
      <w:r w:rsidRPr="00D66576">
        <w:rPr>
          <w:rStyle w:val="Strong"/>
          <w:rFonts w:ascii="Arial" w:hAnsi="Arial" w:cs="Arial"/>
          <w:color w:val="000000" w:themeColor="text1"/>
          <w:sz w:val="28"/>
          <w:szCs w:val="28"/>
        </w:rPr>
        <w:t>GLOBAL BUSINESS ENVIRONMENT</w:t>
      </w:r>
      <w:r w:rsidRPr="00D66576">
        <w:rPr>
          <w:rFonts w:ascii="Arial" w:hAnsi="Arial" w:cs="Arial"/>
          <w:color w:val="000000" w:themeColor="text1"/>
          <w:sz w:val="28"/>
          <w:szCs w:val="28"/>
        </w:rPr>
        <w:br/>
      </w:r>
      <w:r w:rsidRPr="00D66576">
        <w:rPr>
          <w:rStyle w:val="Strong"/>
          <w:rFonts w:ascii="Arial" w:hAnsi="Arial" w:cs="Arial"/>
          <w:color w:val="000000" w:themeColor="text1"/>
          <w:sz w:val="28"/>
          <w:szCs w:val="28"/>
        </w:rPr>
        <w:t>Module Code:</w:t>
      </w:r>
      <w:r w:rsidRPr="00D66576">
        <w:rPr>
          <w:rFonts w:ascii="Arial" w:hAnsi="Arial" w:cs="Arial"/>
          <w:color w:val="000000" w:themeColor="text1"/>
          <w:sz w:val="28"/>
          <w:szCs w:val="28"/>
        </w:rPr>
        <w:t xml:space="preserve"> LCBB4016</w:t>
      </w:r>
    </w:p>
    <w:p w14:paraId="3603B5A4" w14:textId="77777777" w:rsidR="0018383A" w:rsidRPr="00D66576" w:rsidRDefault="0018383A" w:rsidP="00B06CBA">
      <w:pPr>
        <w:pStyle w:val="NormalWeb"/>
        <w:spacing w:before="0" w:beforeAutospacing="0" w:after="0" w:afterAutospacing="0" w:line="360" w:lineRule="auto"/>
        <w:contextualSpacing/>
        <w:jc w:val="center"/>
        <w:rPr>
          <w:rFonts w:ascii="Arial" w:hAnsi="Arial" w:cs="Arial"/>
          <w:color w:val="000000" w:themeColor="text1"/>
          <w:sz w:val="28"/>
          <w:szCs w:val="28"/>
        </w:rPr>
      </w:pPr>
      <w:r w:rsidRPr="00D66576">
        <w:rPr>
          <w:rStyle w:val="Strong"/>
          <w:rFonts w:ascii="Arial" w:hAnsi="Arial" w:cs="Arial"/>
          <w:color w:val="000000" w:themeColor="text1"/>
          <w:sz w:val="28"/>
          <w:szCs w:val="28"/>
        </w:rPr>
        <w:t>Component 2: Coursework Essay</w:t>
      </w:r>
    </w:p>
    <w:p w14:paraId="475C28CC" w14:textId="215E7216" w:rsidR="0018383A" w:rsidRPr="00D66576" w:rsidRDefault="0018383A" w:rsidP="00B06CBA">
      <w:pPr>
        <w:pStyle w:val="NormalWeb"/>
        <w:spacing w:before="0" w:beforeAutospacing="0" w:after="0" w:afterAutospacing="0" w:line="360" w:lineRule="auto"/>
        <w:contextualSpacing/>
        <w:jc w:val="center"/>
        <w:rPr>
          <w:rFonts w:ascii="Arial" w:hAnsi="Arial" w:cs="Arial"/>
          <w:color w:val="000000" w:themeColor="text1"/>
          <w:sz w:val="28"/>
          <w:szCs w:val="28"/>
        </w:rPr>
      </w:pPr>
      <w:r w:rsidRPr="00D66576">
        <w:rPr>
          <w:rStyle w:val="Strong"/>
          <w:rFonts w:ascii="Arial" w:hAnsi="Arial" w:cs="Arial"/>
          <w:color w:val="000000" w:themeColor="text1"/>
          <w:sz w:val="28"/>
          <w:szCs w:val="28"/>
        </w:rPr>
        <w:t>Essay Title:</w:t>
      </w:r>
      <w:r w:rsidR="00472B60" w:rsidRPr="00D66576">
        <w:rPr>
          <w:rStyle w:val="Emphasis"/>
          <w:rFonts w:ascii="Arial" w:hAnsi="Arial" w:cs="Arial"/>
          <w:color w:val="000000" w:themeColor="text1"/>
          <w:sz w:val="28"/>
          <w:szCs w:val="28"/>
        </w:rPr>
        <w:t xml:space="preserve"> </w:t>
      </w:r>
      <w:r w:rsidRPr="00D66576">
        <w:rPr>
          <w:rStyle w:val="Emphasis"/>
          <w:rFonts w:ascii="Arial" w:hAnsi="Arial" w:cs="Arial"/>
          <w:i w:val="0"/>
          <w:iCs w:val="0"/>
          <w:color w:val="000000" w:themeColor="text1"/>
          <w:sz w:val="28"/>
          <w:szCs w:val="28"/>
        </w:rPr>
        <w:t>The impact of AI adoption, geopolitical supply-chain disruption and sustainability demands on AstraZeneca’s international strategy and operations</w:t>
      </w:r>
    </w:p>
    <w:p w14:paraId="3595FA3E" w14:textId="5C6C0ADF" w:rsidR="0018383A" w:rsidRPr="00D66576" w:rsidRDefault="0018383A" w:rsidP="00B06CBA">
      <w:pPr>
        <w:pStyle w:val="NormalWeb"/>
        <w:spacing w:before="0" w:beforeAutospacing="0" w:after="0" w:afterAutospacing="0" w:line="360" w:lineRule="auto"/>
        <w:contextualSpacing/>
        <w:jc w:val="center"/>
        <w:rPr>
          <w:rFonts w:ascii="Arial" w:hAnsi="Arial" w:cs="Arial"/>
          <w:color w:val="000000" w:themeColor="text1"/>
          <w:sz w:val="28"/>
          <w:szCs w:val="28"/>
        </w:rPr>
      </w:pPr>
      <w:r w:rsidRPr="00D66576">
        <w:rPr>
          <w:rStyle w:val="Strong"/>
          <w:rFonts w:ascii="Arial" w:hAnsi="Arial" w:cs="Arial"/>
          <w:color w:val="000000" w:themeColor="text1"/>
          <w:sz w:val="28"/>
          <w:szCs w:val="28"/>
        </w:rPr>
        <w:t>Student Name:</w:t>
      </w:r>
      <w:r w:rsidRPr="00D66576">
        <w:rPr>
          <w:rFonts w:ascii="Arial" w:hAnsi="Arial" w:cs="Arial"/>
          <w:color w:val="000000" w:themeColor="text1"/>
          <w:sz w:val="28"/>
          <w:szCs w:val="28"/>
        </w:rPr>
        <w:t xml:space="preserve"> </w:t>
      </w:r>
      <w:r w:rsidR="00D66576" w:rsidRPr="00D66576">
        <w:rPr>
          <w:rFonts w:ascii="Arial" w:hAnsi="Arial" w:cs="Arial"/>
          <w:color w:val="000000" w:themeColor="text1"/>
          <w:sz w:val="28"/>
          <w:szCs w:val="28"/>
        </w:rPr>
        <w:t>Roger Aznar Montero</w:t>
      </w:r>
      <w:r w:rsidR="00D66576" w:rsidRPr="00D66576">
        <w:rPr>
          <w:rFonts w:ascii="Arial" w:hAnsi="Arial" w:cs="Arial"/>
          <w:color w:val="000000" w:themeColor="text1"/>
          <w:sz w:val="28"/>
          <w:szCs w:val="28"/>
        </w:rPr>
        <w:tab/>
      </w:r>
      <w:r w:rsidRPr="00D66576">
        <w:rPr>
          <w:rFonts w:ascii="Arial" w:hAnsi="Arial" w:cs="Arial"/>
          <w:color w:val="000000" w:themeColor="text1"/>
          <w:sz w:val="28"/>
          <w:szCs w:val="28"/>
        </w:rPr>
        <w:br/>
      </w:r>
      <w:r w:rsidRPr="00D66576">
        <w:rPr>
          <w:rStyle w:val="Strong"/>
          <w:rFonts w:ascii="Arial" w:hAnsi="Arial" w:cs="Arial"/>
          <w:color w:val="000000" w:themeColor="text1"/>
          <w:sz w:val="28"/>
          <w:szCs w:val="28"/>
        </w:rPr>
        <w:t>Student ID:</w:t>
      </w:r>
      <w:r w:rsidRPr="00D66576">
        <w:rPr>
          <w:rFonts w:ascii="Arial" w:hAnsi="Arial" w:cs="Arial"/>
          <w:color w:val="000000" w:themeColor="text1"/>
          <w:sz w:val="28"/>
          <w:szCs w:val="28"/>
        </w:rPr>
        <w:t xml:space="preserve"> </w:t>
      </w:r>
      <w:r w:rsidR="00D66576">
        <w:rPr>
          <w:rFonts w:ascii="Arial" w:hAnsi="Arial" w:cs="Arial"/>
          <w:color w:val="000000" w:themeColor="text1"/>
          <w:sz w:val="28"/>
          <w:szCs w:val="28"/>
        </w:rPr>
        <w:t>2442798</w:t>
      </w:r>
      <w:r w:rsidRPr="00D66576">
        <w:rPr>
          <w:rFonts w:ascii="Arial" w:hAnsi="Arial" w:cs="Arial"/>
          <w:color w:val="000000" w:themeColor="text1"/>
          <w:sz w:val="28"/>
          <w:szCs w:val="28"/>
        </w:rPr>
        <w:br/>
      </w:r>
      <w:proofErr w:type="spellStart"/>
      <w:r w:rsidRPr="00D66576">
        <w:rPr>
          <w:rStyle w:val="Strong"/>
          <w:rFonts w:ascii="Arial" w:hAnsi="Arial" w:cs="Arial"/>
          <w:color w:val="000000" w:themeColor="text1"/>
          <w:sz w:val="28"/>
          <w:szCs w:val="28"/>
        </w:rPr>
        <w:t>Programme</w:t>
      </w:r>
      <w:proofErr w:type="spellEnd"/>
      <w:r w:rsidRPr="00D66576">
        <w:rPr>
          <w:rStyle w:val="Strong"/>
          <w:rFonts w:ascii="Arial" w:hAnsi="Arial" w:cs="Arial"/>
          <w:color w:val="000000" w:themeColor="text1"/>
          <w:sz w:val="28"/>
          <w:szCs w:val="28"/>
        </w:rPr>
        <w:t>:</w:t>
      </w:r>
      <w:r w:rsidRPr="00D66576">
        <w:rPr>
          <w:rFonts w:ascii="Arial" w:hAnsi="Arial" w:cs="Arial"/>
          <w:color w:val="000000" w:themeColor="text1"/>
          <w:sz w:val="28"/>
          <w:szCs w:val="28"/>
        </w:rPr>
        <w:t xml:space="preserve"> BA (Hons) Business Management</w:t>
      </w:r>
      <w:r w:rsidRPr="00D66576">
        <w:rPr>
          <w:rFonts w:ascii="Arial" w:hAnsi="Arial" w:cs="Arial"/>
          <w:color w:val="000000" w:themeColor="text1"/>
          <w:sz w:val="28"/>
          <w:szCs w:val="28"/>
        </w:rPr>
        <w:br/>
      </w:r>
      <w:r w:rsidRPr="00D66576">
        <w:rPr>
          <w:rStyle w:val="Strong"/>
          <w:rFonts w:ascii="Arial" w:hAnsi="Arial" w:cs="Arial"/>
          <w:color w:val="000000" w:themeColor="text1"/>
          <w:sz w:val="28"/>
          <w:szCs w:val="28"/>
        </w:rPr>
        <w:t>Module Leader/Lecturer:</w:t>
      </w:r>
      <w:r w:rsidRPr="00D66576">
        <w:rPr>
          <w:rFonts w:ascii="Arial" w:hAnsi="Arial" w:cs="Arial"/>
          <w:color w:val="000000" w:themeColor="text1"/>
          <w:sz w:val="28"/>
          <w:szCs w:val="28"/>
        </w:rPr>
        <w:t xml:space="preserve"> </w:t>
      </w:r>
      <w:r w:rsidR="00CD6827" w:rsidRPr="00CD6827">
        <w:rPr>
          <w:rFonts w:ascii="Arial" w:hAnsi="Arial" w:cs="Arial"/>
          <w:color w:val="000000" w:themeColor="text1"/>
          <w:sz w:val="28"/>
          <w:szCs w:val="28"/>
        </w:rPr>
        <w:t xml:space="preserve">Oluwagbenga </w:t>
      </w:r>
      <w:proofErr w:type="spellStart"/>
      <w:r w:rsidR="00CD6827" w:rsidRPr="00CD6827">
        <w:rPr>
          <w:rFonts w:ascii="Arial" w:hAnsi="Arial" w:cs="Arial"/>
          <w:color w:val="000000" w:themeColor="text1"/>
          <w:sz w:val="28"/>
          <w:szCs w:val="28"/>
        </w:rPr>
        <w:t>Seyingbo</w:t>
      </w:r>
      <w:proofErr w:type="spellEnd"/>
      <w:r w:rsidRPr="00D66576">
        <w:rPr>
          <w:rFonts w:ascii="Arial" w:hAnsi="Arial" w:cs="Arial"/>
          <w:color w:val="000000" w:themeColor="text1"/>
          <w:sz w:val="28"/>
          <w:szCs w:val="28"/>
        </w:rPr>
        <w:br/>
      </w:r>
      <w:r w:rsidRPr="00D66576">
        <w:rPr>
          <w:rStyle w:val="Strong"/>
          <w:rFonts w:ascii="Arial" w:hAnsi="Arial" w:cs="Arial"/>
          <w:color w:val="000000" w:themeColor="text1"/>
          <w:sz w:val="28"/>
          <w:szCs w:val="28"/>
        </w:rPr>
        <w:t>Submission Date:</w:t>
      </w:r>
      <w:r w:rsidRPr="00D66576">
        <w:rPr>
          <w:rFonts w:ascii="Arial" w:hAnsi="Arial" w:cs="Arial"/>
          <w:color w:val="000000" w:themeColor="text1"/>
          <w:sz w:val="28"/>
          <w:szCs w:val="28"/>
        </w:rPr>
        <w:t xml:space="preserve"> 26 April 2026</w:t>
      </w:r>
      <w:r w:rsidRPr="00D66576">
        <w:rPr>
          <w:rFonts w:ascii="Arial" w:hAnsi="Arial" w:cs="Arial"/>
          <w:color w:val="000000" w:themeColor="text1"/>
          <w:sz w:val="28"/>
          <w:szCs w:val="28"/>
        </w:rPr>
        <w:br/>
      </w:r>
    </w:p>
    <w:p w14:paraId="572BA6BB" w14:textId="4CF09B54" w:rsidR="0018383A" w:rsidRPr="00AD4660" w:rsidRDefault="0018383A" w:rsidP="00B06CBA">
      <w:pPr>
        <w:spacing w:after="0" w:line="360" w:lineRule="auto"/>
        <w:contextualSpacing/>
        <w:jc w:val="both"/>
        <w:rPr>
          <w:rFonts w:ascii="Arial" w:eastAsia="Times New Roman" w:hAnsi="Arial" w:cs="Arial"/>
          <w:color w:val="000000" w:themeColor="text1"/>
          <w:kern w:val="0"/>
          <w:sz w:val="24"/>
          <w:szCs w:val="24"/>
          <w14:ligatures w14:val="none"/>
        </w:rPr>
      </w:pPr>
      <w:r w:rsidRPr="000F5219">
        <w:rPr>
          <w:rFonts w:ascii="Times New Roman" w:hAnsi="Times New Roman" w:cs="Times New Roman"/>
          <w:color w:val="000000" w:themeColor="text1"/>
          <w:sz w:val="24"/>
          <w:szCs w:val="24"/>
        </w:rPr>
        <w:br w:type="page"/>
      </w:r>
    </w:p>
    <w:sdt>
      <w:sdtPr>
        <w:rPr>
          <w:rFonts w:ascii="Arial" w:eastAsiaTheme="minorHAnsi" w:hAnsi="Arial" w:cs="Arial"/>
          <w:b w:val="0"/>
          <w:bCs w:val="0"/>
          <w:i w:val="0"/>
          <w:iCs w:val="0"/>
          <w:color w:val="auto"/>
          <w:kern w:val="2"/>
          <w:sz w:val="22"/>
          <w:szCs w:val="22"/>
          <w14:ligatures w14:val="standardContextual"/>
        </w:rPr>
        <w:id w:val="377593743"/>
        <w:docPartObj>
          <w:docPartGallery w:val="Table of Contents"/>
          <w:docPartUnique/>
        </w:docPartObj>
      </w:sdtPr>
      <w:sdtEndPr>
        <w:rPr>
          <w:rFonts w:asciiTheme="minorHAnsi" w:hAnsiTheme="minorHAnsi" w:cstheme="minorBidi"/>
          <w:noProof/>
        </w:rPr>
      </w:sdtEndPr>
      <w:sdtContent>
        <w:p w14:paraId="3685AD0D" w14:textId="1C077C0D" w:rsidR="0018383A" w:rsidRPr="00AD4660" w:rsidRDefault="00B06CBA" w:rsidP="00B06CBA">
          <w:pPr>
            <w:pStyle w:val="TOCHeading"/>
            <w:spacing w:before="0" w:beforeAutospacing="0" w:after="0" w:afterAutospacing="0" w:line="360" w:lineRule="auto"/>
            <w:contextualSpacing/>
            <w:jc w:val="center"/>
            <w:rPr>
              <w:rFonts w:ascii="Arial" w:hAnsi="Arial" w:cs="Arial"/>
              <w:i w:val="0"/>
              <w:iCs w:val="0"/>
            </w:rPr>
          </w:pPr>
          <w:r w:rsidRPr="00AD4660">
            <w:rPr>
              <w:rFonts w:ascii="Arial" w:hAnsi="Arial" w:cs="Arial"/>
              <w:i w:val="0"/>
              <w:iCs w:val="0"/>
            </w:rPr>
            <w:t>TABLE OF CONTENTS</w:t>
          </w:r>
        </w:p>
        <w:p w14:paraId="215050C5" w14:textId="73098A15" w:rsidR="00C77A07" w:rsidRPr="00AD4660" w:rsidRDefault="0018383A">
          <w:pPr>
            <w:pStyle w:val="TOC1"/>
            <w:tabs>
              <w:tab w:val="right" w:leader="dot" w:pos="9350"/>
            </w:tabs>
            <w:rPr>
              <w:rFonts w:ascii="Arial" w:eastAsiaTheme="minorEastAsia" w:hAnsi="Arial" w:cs="Arial"/>
              <w:noProof/>
              <w:color w:val="000000" w:themeColor="text1"/>
              <w:sz w:val="24"/>
              <w:szCs w:val="24"/>
            </w:rPr>
          </w:pPr>
          <w:r w:rsidRPr="00AD4660">
            <w:rPr>
              <w:rFonts w:ascii="Arial" w:hAnsi="Arial" w:cs="Arial"/>
              <w:color w:val="000000" w:themeColor="text1"/>
              <w:sz w:val="24"/>
              <w:szCs w:val="24"/>
            </w:rPr>
            <w:fldChar w:fldCharType="begin"/>
          </w:r>
          <w:r w:rsidRPr="00AD4660">
            <w:rPr>
              <w:rFonts w:ascii="Arial" w:hAnsi="Arial" w:cs="Arial"/>
              <w:color w:val="000000" w:themeColor="text1"/>
              <w:sz w:val="24"/>
              <w:szCs w:val="24"/>
            </w:rPr>
            <w:instrText xml:space="preserve"> TOC \o "1-3" \h \z \u </w:instrText>
          </w:r>
          <w:r w:rsidRPr="00AD4660">
            <w:rPr>
              <w:rFonts w:ascii="Arial" w:hAnsi="Arial" w:cs="Arial"/>
              <w:color w:val="000000" w:themeColor="text1"/>
              <w:sz w:val="24"/>
              <w:szCs w:val="24"/>
            </w:rPr>
            <w:fldChar w:fldCharType="separate"/>
          </w:r>
          <w:hyperlink w:anchor="_Toc227761522" w:history="1">
            <w:r w:rsidR="00C77A07" w:rsidRPr="00AD4660">
              <w:rPr>
                <w:rStyle w:val="Hyperlink"/>
                <w:rFonts w:ascii="Arial" w:hAnsi="Arial" w:cs="Arial"/>
                <w:noProof/>
                <w:color w:val="000000" w:themeColor="text1"/>
                <w:sz w:val="24"/>
                <w:szCs w:val="24"/>
              </w:rPr>
              <w:t>Introduction</w:t>
            </w:r>
            <w:r w:rsidR="00C77A07" w:rsidRPr="00AD4660">
              <w:rPr>
                <w:rFonts w:ascii="Arial" w:hAnsi="Arial" w:cs="Arial"/>
                <w:noProof/>
                <w:webHidden/>
                <w:color w:val="000000" w:themeColor="text1"/>
                <w:sz w:val="24"/>
                <w:szCs w:val="24"/>
              </w:rPr>
              <w:tab/>
            </w:r>
            <w:r w:rsidR="00C77A07" w:rsidRPr="00AD4660">
              <w:rPr>
                <w:rFonts w:ascii="Arial" w:hAnsi="Arial" w:cs="Arial"/>
                <w:noProof/>
                <w:webHidden/>
                <w:color w:val="000000" w:themeColor="text1"/>
                <w:sz w:val="24"/>
                <w:szCs w:val="24"/>
              </w:rPr>
              <w:fldChar w:fldCharType="begin"/>
            </w:r>
            <w:r w:rsidR="00C77A07" w:rsidRPr="00AD4660">
              <w:rPr>
                <w:rFonts w:ascii="Arial" w:hAnsi="Arial" w:cs="Arial"/>
                <w:noProof/>
                <w:webHidden/>
                <w:color w:val="000000" w:themeColor="text1"/>
                <w:sz w:val="24"/>
                <w:szCs w:val="24"/>
              </w:rPr>
              <w:instrText xml:space="preserve"> PAGEREF _Toc227761522 \h </w:instrText>
            </w:r>
            <w:r w:rsidR="00C77A07" w:rsidRPr="00AD4660">
              <w:rPr>
                <w:rFonts w:ascii="Arial" w:hAnsi="Arial" w:cs="Arial"/>
                <w:noProof/>
                <w:webHidden/>
                <w:color w:val="000000" w:themeColor="text1"/>
                <w:sz w:val="24"/>
                <w:szCs w:val="24"/>
              </w:rPr>
            </w:r>
            <w:r w:rsidR="00C77A07" w:rsidRPr="00AD4660">
              <w:rPr>
                <w:rFonts w:ascii="Arial" w:hAnsi="Arial" w:cs="Arial"/>
                <w:noProof/>
                <w:webHidden/>
                <w:color w:val="000000" w:themeColor="text1"/>
                <w:sz w:val="24"/>
                <w:szCs w:val="24"/>
              </w:rPr>
              <w:fldChar w:fldCharType="separate"/>
            </w:r>
            <w:r w:rsidR="00C77A07" w:rsidRPr="00AD4660">
              <w:rPr>
                <w:rFonts w:ascii="Arial" w:hAnsi="Arial" w:cs="Arial"/>
                <w:noProof/>
                <w:webHidden/>
                <w:color w:val="000000" w:themeColor="text1"/>
                <w:sz w:val="24"/>
                <w:szCs w:val="24"/>
              </w:rPr>
              <w:t>3</w:t>
            </w:r>
            <w:r w:rsidR="00C77A07" w:rsidRPr="00AD4660">
              <w:rPr>
                <w:rFonts w:ascii="Arial" w:hAnsi="Arial" w:cs="Arial"/>
                <w:noProof/>
                <w:webHidden/>
                <w:color w:val="000000" w:themeColor="text1"/>
                <w:sz w:val="24"/>
                <w:szCs w:val="24"/>
              </w:rPr>
              <w:fldChar w:fldCharType="end"/>
            </w:r>
          </w:hyperlink>
        </w:p>
        <w:p w14:paraId="21374B84" w14:textId="071A6582"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23" w:history="1">
            <w:r w:rsidRPr="00AD4660">
              <w:rPr>
                <w:rStyle w:val="Hyperlink"/>
                <w:rFonts w:ascii="Arial" w:hAnsi="Arial" w:cs="Arial"/>
                <w:noProof/>
                <w:color w:val="000000" w:themeColor="text1"/>
                <w:sz w:val="24"/>
                <w:szCs w:val="24"/>
              </w:rPr>
              <w:t>1. Company background</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_Toc227761523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3</w:t>
            </w:r>
            <w:r w:rsidRPr="00AD4660">
              <w:rPr>
                <w:rFonts w:ascii="Arial" w:hAnsi="Arial" w:cs="Arial"/>
                <w:noProof/>
                <w:webHidden/>
                <w:color w:val="000000" w:themeColor="text1"/>
                <w:sz w:val="24"/>
                <w:szCs w:val="24"/>
              </w:rPr>
              <w:fldChar w:fldCharType="end"/>
            </w:r>
          </w:hyperlink>
        </w:p>
        <w:p w14:paraId="6158D866" w14:textId="6BB227D3"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24" w:history="1">
            <w:r w:rsidRPr="00AD4660">
              <w:rPr>
                <w:rStyle w:val="Hyperlink"/>
                <w:rFonts w:ascii="Arial" w:hAnsi="Arial" w:cs="Arial"/>
                <w:noProof/>
                <w:color w:val="000000" w:themeColor="text1"/>
                <w:sz w:val="24"/>
                <w:szCs w:val="24"/>
              </w:rPr>
              <w:t>2. Opportunities by Current Global Forces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_Toc227761524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5</w:t>
            </w:r>
            <w:r w:rsidRPr="00AD4660">
              <w:rPr>
                <w:rFonts w:ascii="Arial" w:hAnsi="Arial" w:cs="Arial"/>
                <w:noProof/>
                <w:webHidden/>
                <w:color w:val="000000" w:themeColor="text1"/>
                <w:sz w:val="24"/>
                <w:szCs w:val="24"/>
              </w:rPr>
              <w:fldChar w:fldCharType="end"/>
            </w:r>
          </w:hyperlink>
        </w:p>
        <w:p w14:paraId="2872ABE7" w14:textId="61D8F8E4" w:rsidR="00C77A07" w:rsidRPr="00AD4660" w:rsidRDefault="00C77A07">
          <w:pPr>
            <w:pStyle w:val="TOC2"/>
            <w:tabs>
              <w:tab w:val="right" w:leader="dot" w:pos="9350"/>
            </w:tabs>
            <w:rPr>
              <w:rFonts w:ascii="Arial" w:eastAsiaTheme="minorEastAsia" w:hAnsi="Arial" w:cs="Arial"/>
              <w:noProof/>
              <w:color w:val="000000" w:themeColor="text1"/>
              <w:sz w:val="24"/>
              <w:szCs w:val="24"/>
            </w:rPr>
          </w:pPr>
          <w:hyperlink w:anchor="_Toc227761525" w:history="1">
            <w:r w:rsidRPr="00AD4660">
              <w:rPr>
                <w:rStyle w:val="Hyperlink"/>
                <w:rFonts w:ascii="Arial" w:hAnsi="Arial" w:cs="Arial"/>
                <w:noProof/>
                <w:color w:val="000000" w:themeColor="text1"/>
                <w:sz w:val="24"/>
                <w:szCs w:val="24"/>
              </w:rPr>
              <w:t>AI opportunities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_Toc227761525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5</w:t>
            </w:r>
            <w:r w:rsidRPr="00AD4660">
              <w:rPr>
                <w:rFonts w:ascii="Arial" w:hAnsi="Arial" w:cs="Arial"/>
                <w:noProof/>
                <w:webHidden/>
                <w:color w:val="000000" w:themeColor="text1"/>
                <w:sz w:val="24"/>
                <w:szCs w:val="24"/>
              </w:rPr>
              <w:fldChar w:fldCharType="end"/>
            </w:r>
          </w:hyperlink>
        </w:p>
        <w:p w14:paraId="52399781" w14:textId="1F69C97B" w:rsidR="00C77A07" w:rsidRPr="00AD4660" w:rsidRDefault="00C77A07">
          <w:pPr>
            <w:pStyle w:val="TOC2"/>
            <w:tabs>
              <w:tab w:val="right" w:leader="dot" w:pos="9350"/>
            </w:tabs>
            <w:rPr>
              <w:rFonts w:ascii="Arial" w:eastAsiaTheme="minorEastAsia" w:hAnsi="Arial" w:cs="Arial"/>
              <w:noProof/>
              <w:color w:val="000000" w:themeColor="text1"/>
              <w:sz w:val="24"/>
              <w:szCs w:val="24"/>
            </w:rPr>
          </w:pPr>
          <w:hyperlink w:anchor="_Toc227761526" w:history="1">
            <w:r w:rsidRPr="00AD4660">
              <w:rPr>
                <w:rStyle w:val="Hyperlink"/>
                <w:rFonts w:ascii="Arial" w:hAnsi="Arial" w:cs="Arial"/>
                <w:noProof/>
                <w:color w:val="000000" w:themeColor="text1"/>
                <w:sz w:val="24"/>
                <w:szCs w:val="24"/>
              </w:rPr>
              <w:t>Geopolitical and Supply-chain Opportunities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_Toc227761526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5</w:t>
            </w:r>
            <w:r w:rsidRPr="00AD4660">
              <w:rPr>
                <w:rFonts w:ascii="Arial" w:hAnsi="Arial" w:cs="Arial"/>
                <w:noProof/>
                <w:webHidden/>
                <w:color w:val="000000" w:themeColor="text1"/>
                <w:sz w:val="24"/>
                <w:szCs w:val="24"/>
              </w:rPr>
              <w:fldChar w:fldCharType="end"/>
            </w:r>
          </w:hyperlink>
        </w:p>
        <w:p w14:paraId="067620DC" w14:textId="0AC88BED" w:rsidR="00C77A07" w:rsidRPr="00AD4660" w:rsidRDefault="00C77A07">
          <w:pPr>
            <w:pStyle w:val="TOC2"/>
            <w:tabs>
              <w:tab w:val="right" w:leader="dot" w:pos="9350"/>
            </w:tabs>
            <w:rPr>
              <w:rFonts w:ascii="Arial" w:eastAsiaTheme="minorEastAsia" w:hAnsi="Arial" w:cs="Arial"/>
              <w:noProof/>
              <w:color w:val="000000" w:themeColor="text1"/>
              <w:sz w:val="24"/>
              <w:szCs w:val="24"/>
            </w:rPr>
          </w:pPr>
          <w:hyperlink w:anchor="_Toc227761527" w:history="1">
            <w:r w:rsidRPr="00AD4660">
              <w:rPr>
                <w:rStyle w:val="Hyperlink"/>
                <w:rFonts w:ascii="Arial" w:hAnsi="Arial" w:cs="Arial"/>
                <w:noProof/>
                <w:color w:val="000000" w:themeColor="text1"/>
                <w:sz w:val="24"/>
                <w:szCs w:val="24"/>
              </w:rPr>
              <w:t>Sustainability and Regulatory Opportunities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_Toc227761527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6</w:t>
            </w:r>
            <w:r w:rsidRPr="00AD4660">
              <w:rPr>
                <w:rFonts w:ascii="Arial" w:hAnsi="Arial" w:cs="Arial"/>
                <w:noProof/>
                <w:webHidden/>
                <w:color w:val="000000" w:themeColor="text1"/>
                <w:sz w:val="24"/>
                <w:szCs w:val="24"/>
              </w:rPr>
              <w:fldChar w:fldCharType="end"/>
            </w:r>
          </w:hyperlink>
        </w:p>
        <w:p w14:paraId="7CD74819" w14:textId="53FFFD9A"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28" w:history="1">
            <w:r w:rsidRPr="00AD4660">
              <w:rPr>
                <w:rStyle w:val="Hyperlink"/>
                <w:rFonts w:ascii="Arial" w:hAnsi="Arial" w:cs="Arial"/>
                <w:noProof/>
                <w:color w:val="000000" w:themeColor="text1"/>
                <w:sz w:val="24"/>
                <w:szCs w:val="24"/>
              </w:rPr>
              <w:t>3. Challenges by Current Global Forces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_Toc227761528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6</w:t>
            </w:r>
            <w:r w:rsidRPr="00AD4660">
              <w:rPr>
                <w:rFonts w:ascii="Arial" w:hAnsi="Arial" w:cs="Arial"/>
                <w:noProof/>
                <w:webHidden/>
                <w:color w:val="000000" w:themeColor="text1"/>
                <w:sz w:val="24"/>
                <w:szCs w:val="24"/>
              </w:rPr>
              <w:fldChar w:fldCharType="end"/>
            </w:r>
          </w:hyperlink>
        </w:p>
        <w:p w14:paraId="69F5DF6A" w14:textId="41E31235" w:rsidR="00C77A07" w:rsidRPr="00AD4660" w:rsidRDefault="00C77A07">
          <w:pPr>
            <w:pStyle w:val="TOC2"/>
            <w:tabs>
              <w:tab w:val="right" w:leader="dot" w:pos="9350"/>
            </w:tabs>
            <w:rPr>
              <w:rFonts w:ascii="Arial" w:eastAsiaTheme="minorEastAsia" w:hAnsi="Arial" w:cs="Arial"/>
              <w:noProof/>
              <w:color w:val="000000" w:themeColor="text1"/>
              <w:sz w:val="24"/>
              <w:szCs w:val="24"/>
            </w:rPr>
          </w:pPr>
          <w:hyperlink w:anchor="_Toc227761529" w:history="1">
            <w:r w:rsidRPr="00AD4660">
              <w:rPr>
                <w:rStyle w:val="Hyperlink"/>
                <w:rFonts w:ascii="Arial" w:hAnsi="Arial" w:cs="Arial"/>
                <w:noProof/>
                <w:color w:val="000000" w:themeColor="text1"/>
                <w:sz w:val="24"/>
                <w:szCs w:val="24"/>
              </w:rPr>
              <w:t>AI challenges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_Toc227761529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6</w:t>
            </w:r>
            <w:r w:rsidRPr="00AD4660">
              <w:rPr>
                <w:rFonts w:ascii="Arial" w:hAnsi="Arial" w:cs="Arial"/>
                <w:noProof/>
                <w:webHidden/>
                <w:color w:val="000000" w:themeColor="text1"/>
                <w:sz w:val="24"/>
                <w:szCs w:val="24"/>
              </w:rPr>
              <w:fldChar w:fldCharType="end"/>
            </w:r>
          </w:hyperlink>
        </w:p>
        <w:p w14:paraId="1888DAEC" w14:textId="2AF43274" w:rsidR="00C77A07" w:rsidRPr="00AD4660" w:rsidRDefault="00C77A07">
          <w:pPr>
            <w:pStyle w:val="TOC2"/>
            <w:tabs>
              <w:tab w:val="right" w:leader="dot" w:pos="9350"/>
            </w:tabs>
            <w:rPr>
              <w:rFonts w:ascii="Arial" w:eastAsiaTheme="minorEastAsia" w:hAnsi="Arial" w:cs="Arial"/>
              <w:noProof/>
              <w:color w:val="000000" w:themeColor="text1"/>
              <w:sz w:val="24"/>
              <w:szCs w:val="24"/>
            </w:rPr>
          </w:pPr>
          <w:hyperlink w:anchor="_Toc227761530" w:history="1">
            <w:r w:rsidRPr="00AD4660">
              <w:rPr>
                <w:rStyle w:val="Hyperlink"/>
                <w:rFonts w:ascii="Arial" w:hAnsi="Arial" w:cs="Arial"/>
                <w:noProof/>
                <w:color w:val="000000" w:themeColor="text1"/>
                <w:sz w:val="24"/>
                <w:szCs w:val="24"/>
              </w:rPr>
              <w:t>Geopolitical and Supply-chain Challenges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_Toc227761530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7</w:t>
            </w:r>
            <w:r w:rsidRPr="00AD4660">
              <w:rPr>
                <w:rFonts w:ascii="Arial" w:hAnsi="Arial" w:cs="Arial"/>
                <w:noProof/>
                <w:webHidden/>
                <w:color w:val="000000" w:themeColor="text1"/>
                <w:sz w:val="24"/>
                <w:szCs w:val="24"/>
              </w:rPr>
              <w:fldChar w:fldCharType="end"/>
            </w:r>
          </w:hyperlink>
        </w:p>
        <w:p w14:paraId="55435B69" w14:textId="39248317" w:rsidR="00C77A07" w:rsidRPr="00AD4660" w:rsidRDefault="00C77A07">
          <w:pPr>
            <w:pStyle w:val="TOC2"/>
            <w:tabs>
              <w:tab w:val="right" w:leader="dot" w:pos="9350"/>
            </w:tabs>
            <w:rPr>
              <w:rFonts w:ascii="Arial" w:eastAsiaTheme="minorEastAsia" w:hAnsi="Arial" w:cs="Arial"/>
              <w:noProof/>
              <w:color w:val="000000" w:themeColor="text1"/>
              <w:sz w:val="24"/>
              <w:szCs w:val="24"/>
            </w:rPr>
          </w:pPr>
          <w:hyperlink w:anchor="_Toc227761531" w:history="1">
            <w:r w:rsidRPr="00AD4660">
              <w:rPr>
                <w:rStyle w:val="Hyperlink"/>
                <w:rFonts w:ascii="Arial" w:hAnsi="Arial" w:cs="Arial"/>
                <w:noProof/>
                <w:color w:val="000000" w:themeColor="text1"/>
                <w:sz w:val="24"/>
                <w:szCs w:val="24"/>
              </w:rPr>
              <w:t>Sustainability and Regulatory Challenges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_Toc227761531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7</w:t>
            </w:r>
            <w:r w:rsidRPr="00AD4660">
              <w:rPr>
                <w:rFonts w:ascii="Arial" w:hAnsi="Arial" w:cs="Arial"/>
                <w:noProof/>
                <w:webHidden/>
                <w:color w:val="000000" w:themeColor="text1"/>
                <w:sz w:val="24"/>
                <w:szCs w:val="24"/>
              </w:rPr>
              <w:fldChar w:fldCharType="end"/>
            </w:r>
          </w:hyperlink>
        </w:p>
        <w:p w14:paraId="1416B685" w14:textId="02CC69D4"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32" w:history="1">
            <w:r w:rsidRPr="0075058A">
              <w:rPr>
                <w:rStyle w:val="Hyperlink"/>
                <w:rFonts w:ascii="Arial" w:hAnsi="Arial" w:cs="Arial"/>
                <w:noProof/>
                <w:sz w:val="24"/>
                <w:szCs w:val="24"/>
              </w:rPr>
              <w:t>4. Critical Impact on Strategy</w:t>
            </w:r>
            <w:r w:rsidR="005137E0" w:rsidRPr="0075058A">
              <w:rPr>
                <w:rStyle w:val="Hyperlink"/>
                <w:rFonts w:ascii="Arial" w:hAnsi="Arial" w:cs="Arial"/>
                <w:noProof/>
                <w:sz w:val="24"/>
                <w:szCs w:val="24"/>
              </w:rPr>
              <w:t>/</w:t>
            </w:r>
            <w:r w:rsidR="0075058A" w:rsidRPr="0075058A">
              <w:rPr>
                <w:rStyle w:val="Hyperlink"/>
                <w:rFonts w:ascii="Arial" w:hAnsi="Arial" w:cs="Arial"/>
                <w:noProof/>
                <w:sz w:val="24"/>
                <w:szCs w:val="24"/>
              </w:rPr>
              <w:t xml:space="preserve">Pestel and Porter’s Five Forces </w:t>
            </w:r>
            <w:r w:rsidR="005137E0" w:rsidRPr="0075058A">
              <w:rPr>
                <w:rStyle w:val="Hyperlink"/>
                <w:rFonts w:ascii="Arial" w:hAnsi="Arial" w:cs="Arial"/>
                <w:noProof/>
                <w:sz w:val="24"/>
                <w:szCs w:val="24"/>
              </w:rPr>
              <w:t xml:space="preserve">Analysis </w:t>
            </w:r>
            <w:r w:rsidRPr="0075058A">
              <w:rPr>
                <w:rStyle w:val="Hyperlink"/>
                <w:rFonts w:ascii="Arial" w:hAnsi="Arial" w:cs="Arial"/>
                <w:noProof/>
                <w:webHidden/>
                <w:sz w:val="24"/>
                <w:szCs w:val="24"/>
              </w:rPr>
              <w:tab/>
            </w:r>
            <w:r w:rsidRPr="0075058A">
              <w:rPr>
                <w:rStyle w:val="Hyperlink"/>
                <w:rFonts w:ascii="Arial" w:hAnsi="Arial" w:cs="Arial"/>
                <w:noProof/>
                <w:webHidden/>
                <w:sz w:val="24"/>
                <w:szCs w:val="24"/>
              </w:rPr>
              <w:fldChar w:fldCharType="begin"/>
            </w:r>
            <w:r w:rsidRPr="0075058A">
              <w:rPr>
                <w:rStyle w:val="Hyperlink"/>
                <w:rFonts w:ascii="Arial" w:hAnsi="Arial" w:cs="Arial"/>
                <w:noProof/>
                <w:webHidden/>
                <w:sz w:val="24"/>
                <w:szCs w:val="24"/>
              </w:rPr>
              <w:instrText xml:space="preserve"> PAGEREF _Toc227761532 \h </w:instrText>
            </w:r>
            <w:r w:rsidRPr="0075058A">
              <w:rPr>
                <w:rStyle w:val="Hyperlink"/>
                <w:rFonts w:ascii="Arial" w:hAnsi="Arial" w:cs="Arial"/>
                <w:noProof/>
                <w:webHidden/>
                <w:sz w:val="24"/>
                <w:szCs w:val="24"/>
              </w:rPr>
            </w:r>
            <w:r w:rsidRPr="0075058A">
              <w:rPr>
                <w:rStyle w:val="Hyperlink"/>
                <w:rFonts w:ascii="Arial" w:hAnsi="Arial" w:cs="Arial"/>
                <w:noProof/>
                <w:webHidden/>
                <w:sz w:val="24"/>
                <w:szCs w:val="24"/>
              </w:rPr>
              <w:fldChar w:fldCharType="separate"/>
            </w:r>
            <w:r w:rsidRPr="0075058A">
              <w:rPr>
                <w:rStyle w:val="Hyperlink"/>
                <w:rFonts w:ascii="Arial" w:hAnsi="Arial" w:cs="Arial"/>
                <w:noProof/>
                <w:webHidden/>
                <w:sz w:val="24"/>
                <w:szCs w:val="24"/>
              </w:rPr>
              <w:t>7</w:t>
            </w:r>
            <w:r w:rsidRPr="0075058A">
              <w:rPr>
                <w:rStyle w:val="Hyperlink"/>
                <w:rFonts w:ascii="Arial" w:hAnsi="Arial" w:cs="Arial"/>
                <w:noProof/>
                <w:webHidden/>
                <w:sz w:val="24"/>
                <w:szCs w:val="24"/>
              </w:rPr>
              <w:fldChar w:fldCharType="end"/>
            </w:r>
          </w:hyperlink>
        </w:p>
        <w:p w14:paraId="4664CAF5" w14:textId="0B59B648"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33" w:history="1">
            <w:r w:rsidRPr="00AD4660">
              <w:rPr>
                <w:rStyle w:val="Hyperlink"/>
                <w:rFonts w:ascii="Arial" w:hAnsi="Arial" w:cs="Arial"/>
                <w:noProof/>
                <w:color w:val="000000" w:themeColor="text1"/>
                <w:sz w:val="24"/>
                <w:szCs w:val="24"/>
              </w:rPr>
              <w:t>5. Strategic Recommendations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_Toc227761533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8</w:t>
            </w:r>
            <w:r w:rsidRPr="00AD4660">
              <w:rPr>
                <w:rFonts w:ascii="Arial" w:hAnsi="Arial" w:cs="Arial"/>
                <w:noProof/>
                <w:webHidden/>
                <w:color w:val="000000" w:themeColor="text1"/>
                <w:sz w:val="24"/>
                <w:szCs w:val="24"/>
              </w:rPr>
              <w:fldChar w:fldCharType="end"/>
            </w:r>
          </w:hyperlink>
        </w:p>
        <w:p w14:paraId="23CAED27" w14:textId="45ACF508"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34" w:history="1">
            <w:r w:rsidRPr="00AD4660">
              <w:rPr>
                <w:rStyle w:val="Hyperlink"/>
                <w:rFonts w:ascii="Arial" w:hAnsi="Arial" w:cs="Arial"/>
                <w:noProof/>
                <w:color w:val="000000" w:themeColor="text1"/>
                <w:sz w:val="24"/>
                <w:szCs w:val="24"/>
              </w:rPr>
              <w:t>Conclusion</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_Toc227761534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9</w:t>
            </w:r>
            <w:r w:rsidRPr="00AD4660">
              <w:rPr>
                <w:rFonts w:ascii="Arial" w:hAnsi="Arial" w:cs="Arial"/>
                <w:noProof/>
                <w:webHidden/>
                <w:color w:val="000000" w:themeColor="text1"/>
                <w:sz w:val="24"/>
                <w:szCs w:val="24"/>
              </w:rPr>
              <w:fldChar w:fldCharType="end"/>
            </w:r>
          </w:hyperlink>
        </w:p>
        <w:p w14:paraId="3AF8A3F8" w14:textId="7BCAD9A3" w:rsidR="00C77A07" w:rsidRPr="00AD4660" w:rsidRDefault="00C77A07">
          <w:pPr>
            <w:pStyle w:val="TOC1"/>
            <w:tabs>
              <w:tab w:val="right" w:leader="dot" w:pos="9350"/>
            </w:tabs>
            <w:rPr>
              <w:rFonts w:ascii="Arial" w:eastAsiaTheme="minorEastAsia" w:hAnsi="Arial" w:cs="Arial"/>
              <w:noProof/>
              <w:color w:val="000000" w:themeColor="text1"/>
              <w:sz w:val="24"/>
              <w:szCs w:val="24"/>
            </w:rPr>
          </w:pPr>
          <w:hyperlink w:anchor="_Toc227761535" w:history="1">
            <w:r w:rsidRPr="00AD4660">
              <w:rPr>
                <w:rStyle w:val="Hyperlink"/>
                <w:rFonts w:ascii="Arial" w:hAnsi="Arial" w:cs="Arial"/>
                <w:noProof/>
                <w:color w:val="000000" w:themeColor="text1"/>
                <w:sz w:val="24"/>
                <w:szCs w:val="24"/>
              </w:rPr>
              <w:t>References</w:t>
            </w:r>
            <w:r w:rsidRPr="00AD4660">
              <w:rPr>
                <w:rFonts w:ascii="Arial" w:hAnsi="Arial" w:cs="Arial"/>
                <w:noProof/>
                <w:webHidden/>
                <w:color w:val="000000" w:themeColor="text1"/>
                <w:sz w:val="24"/>
                <w:szCs w:val="24"/>
              </w:rPr>
              <w:tab/>
            </w:r>
            <w:r w:rsidRPr="00AD4660">
              <w:rPr>
                <w:rFonts w:ascii="Arial" w:hAnsi="Arial" w:cs="Arial"/>
                <w:noProof/>
                <w:webHidden/>
                <w:color w:val="000000" w:themeColor="text1"/>
                <w:sz w:val="24"/>
                <w:szCs w:val="24"/>
              </w:rPr>
              <w:fldChar w:fldCharType="begin"/>
            </w:r>
            <w:r w:rsidRPr="00AD4660">
              <w:rPr>
                <w:rFonts w:ascii="Arial" w:hAnsi="Arial" w:cs="Arial"/>
                <w:noProof/>
                <w:webHidden/>
                <w:color w:val="000000" w:themeColor="text1"/>
                <w:sz w:val="24"/>
                <w:szCs w:val="24"/>
              </w:rPr>
              <w:instrText xml:space="preserve"> PAGEREF _Toc227761535 \h </w:instrText>
            </w:r>
            <w:r w:rsidRPr="00AD4660">
              <w:rPr>
                <w:rFonts w:ascii="Arial" w:hAnsi="Arial" w:cs="Arial"/>
                <w:noProof/>
                <w:webHidden/>
                <w:color w:val="000000" w:themeColor="text1"/>
                <w:sz w:val="24"/>
                <w:szCs w:val="24"/>
              </w:rPr>
            </w:r>
            <w:r w:rsidRPr="00AD4660">
              <w:rPr>
                <w:rFonts w:ascii="Arial" w:hAnsi="Arial" w:cs="Arial"/>
                <w:noProof/>
                <w:webHidden/>
                <w:color w:val="000000" w:themeColor="text1"/>
                <w:sz w:val="24"/>
                <w:szCs w:val="24"/>
              </w:rPr>
              <w:fldChar w:fldCharType="separate"/>
            </w:r>
            <w:r w:rsidRPr="00AD4660">
              <w:rPr>
                <w:rFonts w:ascii="Arial" w:hAnsi="Arial" w:cs="Arial"/>
                <w:noProof/>
                <w:webHidden/>
                <w:color w:val="000000" w:themeColor="text1"/>
                <w:sz w:val="24"/>
                <w:szCs w:val="24"/>
              </w:rPr>
              <w:t>10</w:t>
            </w:r>
            <w:r w:rsidRPr="00AD4660">
              <w:rPr>
                <w:rFonts w:ascii="Arial" w:hAnsi="Arial" w:cs="Arial"/>
                <w:noProof/>
                <w:webHidden/>
                <w:color w:val="000000" w:themeColor="text1"/>
                <w:sz w:val="24"/>
                <w:szCs w:val="24"/>
              </w:rPr>
              <w:fldChar w:fldCharType="end"/>
            </w:r>
          </w:hyperlink>
        </w:p>
        <w:p w14:paraId="414C8F4F" w14:textId="6FB740C6" w:rsidR="0018383A" w:rsidRPr="00C77A07" w:rsidRDefault="0018383A" w:rsidP="00B06CBA">
          <w:pPr>
            <w:spacing w:after="0" w:line="360" w:lineRule="auto"/>
            <w:contextualSpacing/>
            <w:jc w:val="both"/>
            <w:rPr>
              <w:rFonts w:ascii="Times New Roman" w:hAnsi="Times New Roman" w:cs="Times New Roman"/>
              <w:color w:val="000000" w:themeColor="text1"/>
              <w:sz w:val="24"/>
              <w:szCs w:val="24"/>
            </w:rPr>
          </w:pPr>
          <w:r w:rsidRPr="00AD4660">
            <w:rPr>
              <w:rFonts w:ascii="Arial" w:hAnsi="Arial" w:cs="Arial"/>
              <w:b/>
              <w:bCs/>
              <w:noProof/>
              <w:color w:val="000000" w:themeColor="text1"/>
              <w:sz w:val="24"/>
              <w:szCs w:val="24"/>
            </w:rPr>
            <w:fldChar w:fldCharType="end"/>
          </w:r>
        </w:p>
      </w:sdtContent>
    </w:sdt>
    <w:p w14:paraId="28BE560F" w14:textId="77777777" w:rsidR="0018383A" w:rsidRPr="000F5219" w:rsidRDefault="0018383A" w:rsidP="00B06CBA">
      <w:pPr>
        <w:pStyle w:val="NormalWeb"/>
        <w:spacing w:before="0" w:beforeAutospacing="0" w:after="0" w:afterAutospacing="0" w:line="360" w:lineRule="auto"/>
        <w:contextualSpacing/>
        <w:jc w:val="both"/>
        <w:rPr>
          <w:color w:val="000000" w:themeColor="text1"/>
        </w:rPr>
      </w:pPr>
    </w:p>
    <w:p w14:paraId="04363DC2" w14:textId="19BDA439" w:rsidR="0018383A" w:rsidRPr="00AD4660" w:rsidRDefault="0018383A" w:rsidP="00B06CBA">
      <w:pPr>
        <w:spacing w:after="0" w:line="360" w:lineRule="auto"/>
        <w:contextualSpacing/>
        <w:jc w:val="both"/>
        <w:rPr>
          <w:rFonts w:ascii="Arial" w:eastAsia="Times New Roman" w:hAnsi="Arial" w:cs="Arial"/>
          <w:b/>
          <w:bCs/>
          <w:color w:val="000000" w:themeColor="text1"/>
          <w:kern w:val="0"/>
          <w:sz w:val="24"/>
          <w:szCs w:val="24"/>
          <w14:ligatures w14:val="none"/>
        </w:rPr>
      </w:pPr>
      <w:r w:rsidRPr="000F5219">
        <w:rPr>
          <w:rFonts w:ascii="Times New Roman" w:eastAsia="Times New Roman" w:hAnsi="Times New Roman" w:cs="Times New Roman"/>
          <w:b/>
          <w:bCs/>
          <w:color w:val="000000" w:themeColor="text1"/>
          <w:kern w:val="0"/>
          <w:sz w:val="24"/>
          <w:szCs w:val="24"/>
          <w14:ligatures w14:val="none"/>
        </w:rPr>
        <w:br w:type="page"/>
      </w:r>
    </w:p>
    <w:p w14:paraId="0E80D0C9" w14:textId="71D8A96E" w:rsidR="0018383A" w:rsidRPr="00AD4660" w:rsidRDefault="0018383A" w:rsidP="00AD4660">
      <w:pPr>
        <w:pStyle w:val="Heading1"/>
        <w:spacing w:before="0" w:beforeAutospacing="0" w:after="0" w:afterAutospacing="0" w:line="360" w:lineRule="auto"/>
        <w:contextualSpacing/>
        <w:jc w:val="both"/>
        <w:rPr>
          <w:rFonts w:ascii="Arial" w:hAnsi="Arial" w:cs="Arial"/>
        </w:rPr>
      </w:pPr>
      <w:bookmarkStart w:id="0" w:name="_Toc227761522"/>
      <w:r w:rsidRPr="00AD4660">
        <w:rPr>
          <w:rFonts w:ascii="Arial" w:hAnsi="Arial" w:cs="Arial"/>
        </w:rPr>
        <w:lastRenderedPageBreak/>
        <w:t>Introduction</w:t>
      </w:r>
      <w:bookmarkEnd w:id="0"/>
    </w:p>
    <w:p w14:paraId="15791E87" w14:textId="77777777" w:rsidR="00CE2FB4" w:rsidRDefault="00CE2FB4" w:rsidP="00CE2FB4">
      <w:pPr>
        <w:spacing w:after="0" w:line="360" w:lineRule="auto"/>
        <w:contextualSpacing/>
        <w:jc w:val="both"/>
        <w:rPr>
          <w:rFonts w:ascii="Arial" w:hAnsi="Arial" w:cs="Arial"/>
          <w:color w:val="000000" w:themeColor="text1"/>
          <w:sz w:val="24"/>
          <w:szCs w:val="24"/>
          <w:lang w:val="en-GB"/>
        </w:rPr>
      </w:pPr>
      <w:r w:rsidRPr="00CE2FB4">
        <w:rPr>
          <w:rFonts w:ascii="Arial" w:hAnsi="Arial" w:cs="Arial"/>
          <w:color w:val="000000" w:themeColor="text1"/>
          <w:sz w:val="24"/>
          <w:szCs w:val="24"/>
          <w:lang w:val="en-GB"/>
        </w:rPr>
        <w:t xml:space="preserve">Globalisation refers to the growing interconnection between economies, markets, and knowledge across national borders, allowing firms to operate on an international scale (Dicken, 2020; Hill, 2023). However, in today’s environment, globalisation is no longer driven only by trade expansion. It is increasingly shaped by digital technologies, geopolitical uncertainty, and rising expectations around sustainability. These factors are changing how multinational organisations structure their strategies and manage operations across different regions (Van </w:t>
      </w:r>
      <w:proofErr w:type="spellStart"/>
      <w:r w:rsidRPr="00CE2FB4">
        <w:rPr>
          <w:rFonts w:ascii="Arial" w:hAnsi="Arial" w:cs="Arial"/>
          <w:color w:val="000000" w:themeColor="text1"/>
          <w:sz w:val="24"/>
          <w:szCs w:val="24"/>
          <w:lang w:val="en-GB"/>
        </w:rPr>
        <w:t>Tulder</w:t>
      </w:r>
      <w:proofErr w:type="spellEnd"/>
      <w:r w:rsidRPr="00CE2FB4">
        <w:rPr>
          <w:rFonts w:ascii="Arial" w:hAnsi="Arial" w:cs="Arial"/>
          <w:color w:val="000000" w:themeColor="text1"/>
          <w:sz w:val="24"/>
          <w:szCs w:val="24"/>
          <w:lang w:val="en-GB"/>
        </w:rPr>
        <w:t>, Verbeke and Jankowska, 2024).</w:t>
      </w:r>
    </w:p>
    <w:p w14:paraId="6996CF3D" w14:textId="77777777" w:rsidR="00CE2FB4" w:rsidRPr="00CE2FB4" w:rsidRDefault="00CE2FB4" w:rsidP="00CE2FB4">
      <w:pPr>
        <w:spacing w:after="0" w:line="360" w:lineRule="auto"/>
        <w:contextualSpacing/>
        <w:jc w:val="both"/>
        <w:rPr>
          <w:rFonts w:ascii="Arial" w:hAnsi="Arial" w:cs="Arial"/>
          <w:color w:val="000000" w:themeColor="text1"/>
          <w:sz w:val="24"/>
          <w:szCs w:val="24"/>
          <w:lang w:val="en-GB"/>
        </w:rPr>
      </w:pPr>
    </w:p>
    <w:p w14:paraId="6294CE26" w14:textId="4C053F94" w:rsidR="00CE2FB4" w:rsidRPr="00CE2FB4" w:rsidRDefault="00CE2FB4" w:rsidP="00CE2FB4">
      <w:pPr>
        <w:spacing w:after="0" w:line="360" w:lineRule="auto"/>
        <w:contextualSpacing/>
        <w:jc w:val="both"/>
        <w:rPr>
          <w:rFonts w:ascii="Arial" w:hAnsi="Arial" w:cs="Arial"/>
          <w:color w:val="000000" w:themeColor="text1"/>
          <w:sz w:val="24"/>
          <w:szCs w:val="24"/>
          <w:lang w:val="en-GB"/>
        </w:rPr>
      </w:pPr>
      <w:r w:rsidRPr="00CE2FB4">
        <w:rPr>
          <w:rFonts w:ascii="Arial" w:hAnsi="Arial" w:cs="Arial"/>
          <w:color w:val="000000" w:themeColor="text1"/>
          <w:sz w:val="24"/>
          <w:szCs w:val="24"/>
          <w:lang w:val="en-GB"/>
        </w:rPr>
        <w:t>AstraZeneca, a UK-based multinational pharmaceutical company, operates within this evolving context. With global revenues of over US$54.1 billion in 2024, the company plays a significant role in the global healthcare industry (AstraZeneca, 2025a). This essay examines how three key global forces</w:t>
      </w:r>
      <w:r>
        <w:rPr>
          <w:rFonts w:ascii="Arial" w:hAnsi="Arial" w:cs="Arial"/>
          <w:color w:val="000000" w:themeColor="text1"/>
          <w:sz w:val="24"/>
          <w:szCs w:val="24"/>
          <w:lang w:val="en-GB"/>
        </w:rPr>
        <w:t xml:space="preserve">, </w:t>
      </w:r>
      <w:r w:rsidRPr="00CE2FB4">
        <w:rPr>
          <w:rFonts w:ascii="Arial" w:hAnsi="Arial" w:cs="Arial"/>
          <w:color w:val="000000" w:themeColor="text1"/>
          <w:sz w:val="24"/>
          <w:szCs w:val="24"/>
          <w:lang w:val="en-GB"/>
        </w:rPr>
        <w:t>artificial intelligence (AI), geopolitical supply-chain disruption, and sustainability demands</w:t>
      </w:r>
      <w:r>
        <w:rPr>
          <w:rFonts w:ascii="Arial" w:hAnsi="Arial" w:cs="Arial"/>
          <w:color w:val="000000" w:themeColor="text1"/>
          <w:sz w:val="24"/>
          <w:szCs w:val="24"/>
          <w:lang w:val="en-GB"/>
        </w:rPr>
        <w:t xml:space="preserve">, </w:t>
      </w:r>
      <w:r w:rsidRPr="00CE2FB4">
        <w:rPr>
          <w:rFonts w:ascii="Arial" w:hAnsi="Arial" w:cs="Arial"/>
          <w:color w:val="000000" w:themeColor="text1"/>
          <w:sz w:val="24"/>
          <w:szCs w:val="24"/>
          <w:lang w:val="en-GB"/>
        </w:rPr>
        <w:t>create both opportunities and challenges for AstraZeneca. It also explores how these forces influence the company’s competitiveness, innovation, and overall strategic direction.</w:t>
      </w:r>
    </w:p>
    <w:p w14:paraId="5DC68D59" w14:textId="77777777" w:rsidR="000F5219" w:rsidRPr="00AD4660" w:rsidRDefault="000F5219" w:rsidP="00AD4660">
      <w:pPr>
        <w:spacing w:after="0" w:line="360" w:lineRule="auto"/>
        <w:contextualSpacing/>
        <w:jc w:val="both"/>
        <w:rPr>
          <w:rFonts w:ascii="Arial" w:hAnsi="Arial" w:cs="Arial"/>
          <w:color w:val="000000" w:themeColor="text1"/>
          <w:sz w:val="24"/>
          <w:szCs w:val="24"/>
        </w:rPr>
      </w:pPr>
    </w:p>
    <w:p w14:paraId="0CE22591" w14:textId="3DD9AA51" w:rsidR="0018383A" w:rsidRPr="00AD4660" w:rsidRDefault="0018383A" w:rsidP="00AD4660">
      <w:pPr>
        <w:pStyle w:val="Heading1"/>
        <w:spacing w:before="0" w:beforeAutospacing="0" w:after="0" w:afterAutospacing="0" w:line="360" w:lineRule="auto"/>
        <w:contextualSpacing/>
        <w:jc w:val="both"/>
        <w:rPr>
          <w:rFonts w:ascii="Arial" w:hAnsi="Arial" w:cs="Arial"/>
        </w:rPr>
      </w:pPr>
      <w:bookmarkStart w:id="1" w:name="_Toc227761523"/>
      <w:r w:rsidRPr="00AD4660">
        <w:rPr>
          <w:rFonts w:ascii="Arial" w:hAnsi="Arial" w:cs="Arial"/>
        </w:rPr>
        <w:t xml:space="preserve">1. </w:t>
      </w:r>
      <w:r w:rsidR="000F5219" w:rsidRPr="00AD4660">
        <w:rPr>
          <w:rFonts w:ascii="Arial" w:hAnsi="Arial" w:cs="Arial"/>
        </w:rPr>
        <w:t xml:space="preserve">Company </w:t>
      </w:r>
      <w:r w:rsidR="001C4424" w:rsidRPr="00AD4660">
        <w:rPr>
          <w:rFonts w:ascii="Arial" w:hAnsi="Arial" w:cs="Arial"/>
        </w:rPr>
        <w:t>B</w:t>
      </w:r>
      <w:r w:rsidR="000F5219" w:rsidRPr="00AD4660">
        <w:rPr>
          <w:rFonts w:ascii="Arial" w:hAnsi="Arial" w:cs="Arial"/>
        </w:rPr>
        <w:t>ackground</w:t>
      </w:r>
      <w:bookmarkEnd w:id="1"/>
    </w:p>
    <w:p w14:paraId="62999D7E" w14:textId="77777777" w:rsidR="00CE2FB4" w:rsidRDefault="00CE2FB4" w:rsidP="00CE2FB4">
      <w:pPr>
        <w:spacing w:after="0" w:line="360" w:lineRule="auto"/>
        <w:contextualSpacing/>
        <w:jc w:val="both"/>
        <w:rPr>
          <w:rFonts w:ascii="Arial" w:eastAsia="Times New Roman" w:hAnsi="Arial" w:cs="Arial"/>
          <w:color w:val="000000" w:themeColor="text1"/>
          <w:kern w:val="0"/>
          <w:sz w:val="24"/>
          <w:szCs w:val="24"/>
          <w:lang w:val="en-GB"/>
          <w14:ligatures w14:val="none"/>
        </w:rPr>
      </w:pPr>
      <w:r w:rsidRPr="00CE2FB4">
        <w:rPr>
          <w:rFonts w:ascii="Arial" w:eastAsia="Times New Roman" w:hAnsi="Arial" w:cs="Arial"/>
          <w:color w:val="000000" w:themeColor="text1"/>
          <w:kern w:val="0"/>
          <w:sz w:val="24"/>
          <w:szCs w:val="24"/>
          <w:lang w:val="en-GB"/>
          <w14:ligatures w14:val="none"/>
        </w:rPr>
        <w:t xml:space="preserve">AstraZeneca is a research-driven pharmaceutical company involved in the full process of drug development, from early discovery to global distribution. It operates across several important therapeutic areas, including oncology, cardiovascular diseases, respiratory conditions, and rare diseases (AstraZeneca, 2025a). The pharmaceutical industry is highly complex, requiring significant investment in research and development, long timeframes for product approval, and strict regulatory compliance. As a result, success is not based solely on innovation but also on reliability, trust, and the ability to operate effectively across different markets (Sharma and </w:t>
      </w:r>
      <w:proofErr w:type="spellStart"/>
      <w:r w:rsidRPr="00CE2FB4">
        <w:rPr>
          <w:rFonts w:ascii="Arial" w:eastAsia="Times New Roman" w:hAnsi="Arial" w:cs="Arial"/>
          <w:color w:val="000000" w:themeColor="text1"/>
          <w:kern w:val="0"/>
          <w:sz w:val="24"/>
          <w:szCs w:val="24"/>
          <w:lang w:val="en-GB"/>
          <w14:ligatures w14:val="none"/>
        </w:rPr>
        <w:t>Manchikanti</w:t>
      </w:r>
      <w:proofErr w:type="spellEnd"/>
      <w:r w:rsidRPr="00CE2FB4">
        <w:rPr>
          <w:rFonts w:ascii="Arial" w:eastAsia="Times New Roman" w:hAnsi="Arial" w:cs="Arial"/>
          <w:color w:val="000000" w:themeColor="text1"/>
          <w:kern w:val="0"/>
          <w:sz w:val="24"/>
          <w:szCs w:val="24"/>
          <w:lang w:val="en-GB"/>
          <w14:ligatures w14:val="none"/>
        </w:rPr>
        <w:t>, 2024).</w:t>
      </w:r>
    </w:p>
    <w:p w14:paraId="55FD16A3" w14:textId="77777777" w:rsidR="00CE2FB4" w:rsidRPr="00CE2FB4" w:rsidRDefault="00CE2FB4" w:rsidP="00CE2FB4">
      <w:pPr>
        <w:spacing w:after="0" w:line="360" w:lineRule="auto"/>
        <w:contextualSpacing/>
        <w:jc w:val="both"/>
        <w:rPr>
          <w:rFonts w:ascii="Arial" w:eastAsia="Times New Roman" w:hAnsi="Arial" w:cs="Arial"/>
          <w:color w:val="000000" w:themeColor="text1"/>
          <w:kern w:val="0"/>
          <w:sz w:val="24"/>
          <w:szCs w:val="24"/>
          <w:lang w:val="en-GB"/>
          <w14:ligatures w14:val="none"/>
        </w:rPr>
      </w:pPr>
    </w:p>
    <w:p w14:paraId="3A3BC583" w14:textId="0D5E1EE1" w:rsidR="00CE2FB4" w:rsidRDefault="00CE2FB4" w:rsidP="00CE2FB4">
      <w:pPr>
        <w:spacing w:after="0" w:line="360" w:lineRule="auto"/>
        <w:contextualSpacing/>
        <w:jc w:val="both"/>
        <w:rPr>
          <w:rFonts w:ascii="Arial" w:eastAsia="Times New Roman" w:hAnsi="Arial" w:cs="Arial"/>
          <w:color w:val="000000" w:themeColor="text1"/>
          <w:kern w:val="0"/>
          <w:sz w:val="24"/>
          <w:szCs w:val="24"/>
          <w:lang w:val="en-GB"/>
          <w14:ligatures w14:val="none"/>
        </w:rPr>
      </w:pPr>
      <w:r w:rsidRPr="00CE2FB4">
        <w:rPr>
          <w:rFonts w:ascii="Arial" w:eastAsia="Times New Roman" w:hAnsi="Arial" w:cs="Arial"/>
          <w:color w:val="000000" w:themeColor="text1"/>
          <w:kern w:val="0"/>
          <w:sz w:val="24"/>
          <w:szCs w:val="24"/>
          <w:lang w:val="en-GB"/>
          <w14:ligatures w14:val="none"/>
        </w:rPr>
        <w:t>While AstraZeneca’s global presence allows it to benefit from access to multiple markets and knowledge networks, it also exposes the company to external risks. These include political instability, regulatory differences, and disruptions in global supply chains (</w:t>
      </w:r>
      <w:proofErr w:type="spellStart"/>
      <w:r w:rsidRPr="00CE2FB4">
        <w:rPr>
          <w:rFonts w:ascii="Arial" w:eastAsia="Times New Roman" w:hAnsi="Arial" w:cs="Arial"/>
          <w:color w:val="000000" w:themeColor="text1"/>
          <w:kern w:val="0"/>
          <w:sz w:val="24"/>
          <w:szCs w:val="24"/>
          <w:lang w:val="en-GB"/>
          <w14:ligatures w14:val="none"/>
        </w:rPr>
        <w:t>Nydén</w:t>
      </w:r>
      <w:proofErr w:type="spellEnd"/>
      <w:r w:rsidRPr="00CE2FB4">
        <w:rPr>
          <w:rFonts w:ascii="Arial" w:eastAsia="Times New Roman" w:hAnsi="Arial" w:cs="Arial"/>
          <w:color w:val="000000" w:themeColor="text1"/>
          <w:kern w:val="0"/>
          <w:sz w:val="24"/>
          <w:szCs w:val="24"/>
          <w:lang w:val="en-GB"/>
          <w14:ligatures w14:val="none"/>
        </w:rPr>
        <w:t xml:space="preserve"> and Bika, 2024). </w:t>
      </w:r>
    </w:p>
    <w:p w14:paraId="1DE2B795" w14:textId="77777777" w:rsidR="00F31144" w:rsidRDefault="00F31144" w:rsidP="00CE2FB4">
      <w:pPr>
        <w:spacing w:after="0" w:line="360" w:lineRule="auto"/>
        <w:contextualSpacing/>
        <w:jc w:val="both"/>
        <w:rPr>
          <w:rFonts w:ascii="Arial" w:eastAsia="Times New Roman" w:hAnsi="Arial" w:cs="Arial"/>
          <w:color w:val="000000" w:themeColor="text1"/>
          <w:kern w:val="0"/>
          <w:sz w:val="24"/>
          <w:szCs w:val="24"/>
          <w:lang w:val="en-GB"/>
          <w14:ligatures w14:val="none"/>
        </w:rPr>
      </w:pPr>
    </w:p>
    <w:p w14:paraId="66038013" w14:textId="7DB8AAEA" w:rsidR="00EB190F" w:rsidRDefault="00E43098" w:rsidP="00B06CBA">
      <w:pPr>
        <w:spacing w:after="0" w:line="360" w:lineRule="auto"/>
        <w:contextualSpacing/>
        <w:jc w:val="both"/>
        <w:rPr>
          <w:rFonts w:ascii="Arial" w:eastAsia="Times New Roman" w:hAnsi="Arial" w:cs="Arial"/>
          <w:color w:val="000000" w:themeColor="text1"/>
          <w:kern w:val="0"/>
          <w:sz w:val="24"/>
          <w:szCs w:val="24"/>
          <w14:ligatures w14:val="none"/>
        </w:rPr>
      </w:pPr>
      <w:r w:rsidRPr="00E43098">
        <w:rPr>
          <w:rFonts w:ascii="Arial" w:eastAsia="Times New Roman" w:hAnsi="Arial" w:cs="Arial"/>
          <w:color w:val="000000" w:themeColor="text1"/>
          <w:kern w:val="0"/>
          <w:sz w:val="24"/>
          <w:szCs w:val="24"/>
          <w14:ligatures w14:val="none"/>
        </w:rPr>
        <w:t xml:space="preserve">AstraZeneca operates internationally to access larger markets, achieve economies of scale, and leverage global knowledge networks. These factors are essential in the pharmaceutical industry, where high research and development costs require firms to spread risk and </w:t>
      </w:r>
      <w:proofErr w:type="spellStart"/>
      <w:r w:rsidRPr="00E43098">
        <w:rPr>
          <w:rFonts w:ascii="Arial" w:eastAsia="Times New Roman" w:hAnsi="Arial" w:cs="Arial"/>
          <w:color w:val="000000" w:themeColor="text1"/>
          <w:kern w:val="0"/>
          <w:sz w:val="24"/>
          <w:szCs w:val="24"/>
          <w14:ligatures w14:val="none"/>
        </w:rPr>
        <w:t>maximise</w:t>
      </w:r>
      <w:proofErr w:type="spellEnd"/>
      <w:r w:rsidRPr="00E43098">
        <w:rPr>
          <w:rFonts w:ascii="Arial" w:eastAsia="Times New Roman" w:hAnsi="Arial" w:cs="Arial"/>
          <w:color w:val="000000" w:themeColor="text1"/>
          <w:kern w:val="0"/>
          <w:sz w:val="24"/>
          <w:szCs w:val="24"/>
          <w14:ligatures w14:val="none"/>
        </w:rPr>
        <w:t xml:space="preserve"> returns across multiple regions.</w:t>
      </w:r>
    </w:p>
    <w:p w14:paraId="001B6F8B" w14:textId="77777777" w:rsidR="00E43098" w:rsidRPr="00AD4660" w:rsidRDefault="00E43098" w:rsidP="00B06CBA">
      <w:pPr>
        <w:spacing w:after="0" w:line="360" w:lineRule="auto"/>
        <w:contextualSpacing/>
        <w:jc w:val="both"/>
        <w:rPr>
          <w:rFonts w:ascii="Arial" w:eastAsia="Times New Roman" w:hAnsi="Arial" w:cs="Arial"/>
          <w:color w:val="000000" w:themeColor="text1"/>
          <w:kern w:val="0"/>
          <w:sz w:val="24"/>
          <w:szCs w:val="24"/>
          <w14:ligatures w14:val="none"/>
        </w:rPr>
      </w:pPr>
    </w:p>
    <w:p w14:paraId="0ADF4493" w14:textId="3B73C81F" w:rsidR="0018383A" w:rsidRPr="00AD4660" w:rsidRDefault="0018383A" w:rsidP="00B06CBA">
      <w:pPr>
        <w:spacing w:after="0" w:line="360" w:lineRule="auto"/>
        <w:contextualSpacing/>
        <w:jc w:val="both"/>
        <w:rPr>
          <w:rFonts w:ascii="Arial" w:hAnsi="Arial" w:cs="Arial"/>
          <w:b/>
          <w:bCs/>
          <w:color w:val="000000" w:themeColor="text1"/>
          <w:sz w:val="24"/>
          <w:szCs w:val="24"/>
        </w:rPr>
      </w:pPr>
      <w:r w:rsidRPr="00AD4660">
        <w:rPr>
          <w:rFonts w:ascii="Arial" w:hAnsi="Arial" w:cs="Arial"/>
          <w:b/>
          <w:bCs/>
          <w:color w:val="000000" w:themeColor="text1"/>
          <w:sz w:val="24"/>
          <w:szCs w:val="24"/>
        </w:rPr>
        <w:t xml:space="preserve">Table 1: AstraZeneca </w:t>
      </w:r>
      <w:r w:rsidR="00B923FD" w:rsidRPr="00AD4660">
        <w:rPr>
          <w:rFonts w:ascii="Arial" w:hAnsi="Arial" w:cs="Arial"/>
          <w:b/>
          <w:bCs/>
          <w:color w:val="000000" w:themeColor="text1"/>
          <w:sz w:val="24"/>
          <w:szCs w:val="24"/>
        </w:rPr>
        <w:t>C</w:t>
      </w:r>
      <w:r w:rsidRPr="00AD4660">
        <w:rPr>
          <w:rFonts w:ascii="Arial" w:hAnsi="Arial" w:cs="Arial"/>
          <w:b/>
          <w:bCs/>
          <w:color w:val="000000" w:themeColor="text1"/>
          <w:sz w:val="24"/>
          <w:szCs w:val="24"/>
        </w:rPr>
        <w:t xml:space="preserve">ontext and </w:t>
      </w:r>
      <w:r w:rsidR="00B923FD" w:rsidRPr="00AD4660">
        <w:rPr>
          <w:rFonts w:ascii="Arial" w:hAnsi="Arial" w:cs="Arial"/>
          <w:b/>
          <w:bCs/>
          <w:color w:val="000000" w:themeColor="text1"/>
          <w:sz w:val="24"/>
          <w:szCs w:val="24"/>
        </w:rPr>
        <w:t>S</w:t>
      </w:r>
      <w:r w:rsidRPr="00AD4660">
        <w:rPr>
          <w:rFonts w:ascii="Arial" w:hAnsi="Arial" w:cs="Arial"/>
          <w:b/>
          <w:bCs/>
          <w:color w:val="000000" w:themeColor="text1"/>
          <w:sz w:val="24"/>
          <w:szCs w:val="24"/>
        </w:rPr>
        <w:t xml:space="preserve">elected </w:t>
      </w:r>
      <w:r w:rsidR="00AD21F4" w:rsidRPr="00AD4660">
        <w:rPr>
          <w:rFonts w:ascii="Arial" w:hAnsi="Arial" w:cs="Arial"/>
          <w:b/>
          <w:bCs/>
          <w:color w:val="000000" w:themeColor="text1"/>
          <w:sz w:val="24"/>
          <w:szCs w:val="24"/>
        </w:rPr>
        <w:t>I</w:t>
      </w:r>
      <w:r w:rsidRPr="00AD4660">
        <w:rPr>
          <w:rFonts w:ascii="Arial" w:hAnsi="Arial" w:cs="Arial"/>
          <w:b/>
          <w:bCs/>
          <w:color w:val="000000" w:themeColor="text1"/>
          <w:sz w:val="24"/>
          <w:szCs w:val="24"/>
        </w:rPr>
        <w:t>ndicators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59"/>
        <w:gridCol w:w="3538"/>
        <w:gridCol w:w="4153"/>
      </w:tblGrid>
      <w:tr w:rsidR="000F5219" w:rsidRPr="00AD4660" w14:paraId="3887D422" w14:textId="77777777" w:rsidTr="00B923FD">
        <w:trPr>
          <w:tblHeader/>
          <w:tblCellSpacing w:w="15" w:type="dxa"/>
          <w:jc w:val="center"/>
        </w:trPr>
        <w:tc>
          <w:tcPr>
            <w:tcW w:w="0" w:type="auto"/>
            <w:vAlign w:val="center"/>
            <w:hideMark/>
          </w:tcPr>
          <w:p w14:paraId="325682E3"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Indicator</w:t>
            </w:r>
          </w:p>
        </w:tc>
        <w:tc>
          <w:tcPr>
            <w:tcW w:w="0" w:type="auto"/>
            <w:vAlign w:val="center"/>
            <w:hideMark/>
          </w:tcPr>
          <w:p w14:paraId="3BE7FCE1"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Evidence</w:t>
            </w:r>
          </w:p>
        </w:tc>
        <w:tc>
          <w:tcPr>
            <w:tcW w:w="0" w:type="auto"/>
            <w:vAlign w:val="center"/>
            <w:hideMark/>
          </w:tcPr>
          <w:p w14:paraId="4DDD2957"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Strategic relevance</w:t>
            </w:r>
          </w:p>
        </w:tc>
      </w:tr>
      <w:tr w:rsidR="000F5219" w:rsidRPr="00AD4660" w14:paraId="6A180F54" w14:textId="77777777" w:rsidTr="00B923FD">
        <w:trPr>
          <w:tblCellSpacing w:w="15" w:type="dxa"/>
          <w:jc w:val="center"/>
        </w:trPr>
        <w:tc>
          <w:tcPr>
            <w:tcW w:w="0" w:type="auto"/>
            <w:vAlign w:val="center"/>
            <w:hideMark/>
          </w:tcPr>
          <w:p w14:paraId="4DE1FAE9"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2024 total revenue</w:t>
            </w:r>
          </w:p>
        </w:tc>
        <w:tc>
          <w:tcPr>
            <w:tcW w:w="0" w:type="auto"/>
            <w:vAlign w:val="center"/>
            <w:hideMark/>
          </w:tcPr>
          <w:p w14:paraId="71639F53"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US$54.1bn</w:t>
            </w:r>
          </w:p>
        </w:tc>
        <w:tc>
          <w:tcPr>
            <w:tcW w:w="0" w:type="auto"/>
            <w:vAlign w:val="center"/>
            <w:hideMark/>
          </w:tcPr>
          <w:p w14:paraId="0909784E" w14:textId="77777777" w:rsidR="00B923FD"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Shows global scale</w:t>
            </w:r>
            <w:r w:rsidR="00B923FD" w:rsidRPr="00AD4660">
              <w:rPr>
                <w:rFonts w:ascii="Arial" w:hAnsi="Arial" w:cs="Arial"/>
                <w:color w:val="000000" w:themeColor="text1"/>
                <w:sz w:val="24"/>
                <w:szCs w:val="24"/>
              </w:rPr>
              <w:t>.</w:t>
            </w:r>
          </w:p>
          <w:p w14:paraId="15E41576" w14:textId="7B939300" w:rsidR="0018383A" w:rsidRPr="00AD4660" w:rsidRDefault="00B923FD"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Has i</w:t>
            </w:r>
            <w:r w:rsidR="0018383A" w:rsidRPr="00AD4660">
              <w:rPr>
                <w:rFonts w:ascii="Arial" w:hAnsi="Arial" w:cs="Arial"/>
                <w:color w:val="000000" w:themeColor="text1"/>
                <w:sz w:val="24"/>
                <w:szCs w:val="24"/>
              </w:rPr>
              <w:t>nternational market significance</w:t>
            </w:r>
          </w:p>
        </w:tc>
      </w:tr>
      <w:tr w:rsidR="000F5219" w:rsidRPr="00AD4660" w14:paraId="62CE0C94" w14:textId="77777777" w:rsidTr="00B923FD">
        <w:trPr>
          <w:tblCellSpacing w:w="15" w:type="dxa"/>
          <w:jc w:val="center"/>
        </w:trPr>
        <w:tc>
          <w:tcPr>
            <w:tcW w:w="0" w:type="auto"/>
            <w:vAlign w:val="center"/>
            <w:hideMark/>
          </w:tcPr>
          <w:p w14:paraId="381103F3"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Industry type</w:t>
            </w:r>
          </w:p>
        </w:tc>
        <w:tc>
          <w:tcPr>
            <w:tcW w:w="0" w:type="auto"/>
            <w:vAlign w:val="center"/>
            <w:hideMark/>
          </w:tcPr>
          <w:p w14:paraId="7FD15378"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Research-intensive biopharmaceuticals</w:t>
            </w:r>
          </w:p>
        </w:tc>
        <w:tc>
          <w:tcPr>
            <w:tcW w:w="0" w:type="auto"/>
            <w:vAlign w:val="center"/>
            <w:hideMark/>
          </w:tcPr>
          <w:p w14:paraId="1C7C2CC4"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Makes AI and innovation especially important</w:t>
            </w:r>
          </w:p>
        </w:tc>
      </w:tr>
      <w:tr w:rsidR="000F5219" w:rsidRPr="00AD4660" w14:paraId="759EBE6B" w14:textId="77777777" w:rsidTr="00B923FD">
        <w:trPr>
          <w:tblCellSpacing w:w="15" w:type="dxa"/>
          <w:jc w:val="center"/>
        </w:trPr>
        <w:tc>
          <w:tcPr>
            <w:tcW w:w="0" w:type="auto"/>
            <w:vAlign w:val="center"/>
            <w:hideMark/>
          </w:tcPr>
          <w:p w14:paraId="15C57E82"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Operating model</w:t>
            </w:r>
          </w:p>
        </w:tc>
        <w:tc>
          <w:tcPr>
            <w:tcW w:w="0" w:type="auto"/>
            <w:vAlign w:val="center"/>
            <w:hideMark/>
          </w:tcPr>
          <w:p w14:paraId="5492F48D"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Global R&amp;D, manufacturing and distribution</w:t>
            </w:r>
          </w:p>
        </w:tc>
        <w:tc>
          <w:tcPr>
            <w:tcW w:w="0" w:type="auto"/>
            <w:vAlign w:val="center"/>
            <w:hideMark/>
          </w:tcPr>
          <w:p w14:paraId="24BCAF53" w14:textId="77777777" w:rsidR="0018383A" w:rsidRPr="00AD4660" w:rsidRDefault="0018383A" w:rsidP="00B06CBA">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t>Creates both reach and exposure to cross-border disruption</w:t>
            </w:r>
          </w:p>
        </w:tc>
      </w:tr>
    </w:tbl>
    <w:p w14:paraId="54563A0E" w14:textId="77777777" w:rsidR="00AD21F4" w:rsidRPr="00AD4660" w:rsidRDefault="00AD21F4" w:rsidP="00AD4660">
      <w:pPr>
        <w:spacing w:line="360" w:lineRule="auto"/>
        <w:jc w:val="both"/>
        <w:rPr>
          <w:rFonts w:ascii="Arial" w:hAnsi="Arial" w:cs="Arial"/>
          <w:sz w:val="24"/>
          <w:szCs w:val="24"/>
        </w:rPr>
      </w:pPr>
      <w:bookmarkStart w:id="2" w:name="_Toc227761524"/>
    </w:p>
    <w:p w14:paraId="65FC02B5" w14:textId="63D12B25" w:rsidR="0018383A" w:rsidRPr="00AD4660" w:rsidRDefault="0018383A" w:rsidP="00AD4660">
      <w:pPr>
        <w:pStyle w:val="Heading1"/>
        <w:spacing w:before="0" w:beforeAutospacing="0" w:after="0" w:afterAutospacing="0" w:line="360" w:lineRule="auto"/>
        <w:contextualSpacing/>
        <w:jc w:val="both"/>
        <w:rPr>
          <w:rFonts w:ascii="Arial" w:hAnsi="Arial" w:cs="Arial"/>
        </w:rPr>
      </w:pPr>
      <w:r w:rsidRPr="00AD4660">
        <w:rPr>
          <w:rFonts w:ascii="Arial" w:hAnsi="Arial" w:cs="Arial"/>
        </w:rPr>
        <w:t xml:space="preserve">2. Opportunities by </w:t>
      </w:r>
      <w:r w:rsidR="000F5219" w:rsidRPr="00AD4660">
        <w:rPr>
          <w:rFonts w:ascii="Arial" w:hAnsi="Arial" w:cs="Arial"/>
        </w:rPr>
        <w:t>Current Global Forces</w:t>
      </w:r>
      <w:bookmarkEnd w:id="2"/>
    </w:p>
    <w:p w14:paraId="636452F1" w14:textId="77777777" w:rsidR="00CE2FB4" w:rsidRP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bookmarkStart w:id="3" w:name="_Toc227761528"/>
      <w:r w:rsidRPr="00CE2FB4">
        <w:rPr>
          <w:rFonts w:ascii="Arial" w:hAnsi="Arial" w:cs="Arial"/>
          <w:b w:val="0"/>
          <w:bCs w:val="0"/>
          <w:i w:val="0"/>
          <w:iCs w:val="0"/>
          <w:lang w:val="en-GB"/>
        </w:rPr>
        <w:t>AI Opportunities</w:t>
      </w:r>
    </w:p>
    <w:p w14:paraId="1ACED327" w14:textId="77777777" w:rsid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r w:rsidRPr="00CE2FB4">
        <w:rPr>
          <w:rFonts w:ascii="Arial" w:hAnsi="Arial" w:cs="Arial"/>
          <w:b w:val="0"/>
          <w:bCs w:val="0"/>
          <w:i w:val="0"/>
          <w:iCs w:val="0"/>
          <w:lang w:val="en-GB"/>
        </w:rPr>
        <w:t xml:space="preserve">Artificial intelligence offers significant potential for improving efficiency within AstraZeneca’s research and development activities. </w:t>
      </w:r>
      <w:proofErr w:type="gramStart"/>
      <w:r w:rsidRPr="00CE2FB4">
        <w:rPr>
          <w:rFonts w:ascii="Arial" w:hAnsi="Arial" w:cs="Arial"/>
          <w:b w:val="0"/>
          <w:bCs w:val="0"/>
          <w:i w:val="0"/>
          <w:iCs w:val="0"/>
          <w:lang w:val="en-GB"/>
        </w:rPr>
        <w:t>In particular, AI</w:t>
      </w:r>
      <w:proofErr w:type="gramEnd"/>
      <w:r w:rsidRPr="00CE2FB4">
        <w:rPr>
          <w:rFonts w:ascii="Arial" w:hAnsi="Arial" w:cs="Arial"/>
          <w:b w:val="0"/>
          <w:bCs w:val="0"/>
          <w:i w:val="0"/>
          <w:iCs w:val="0"/>
          <w:lang w:val="en-GB"/>
        </w:rPr>
        <w:t xml:space="preserve"> can support tasks such as identifying drug targets, analysing large datasets, and improving clinical trial design (Sharma and </w:t>
      </w:r>
      <w:proofErr w:type="spellStart"/>
      <w:r w:rsidRPr="00CE2FB4">
        <w:rPr>
          <w:rFonts w:ascii="Arial" w:hAnsi="Arial" w:cs="Arial"/>
          <w:b w:val="0"/>
          <w:bCs w:val="0"/>
          <w:i w:val="0"/>
          <w:iCs w:val="0"/>
          <w:lang w:val="en-GB"/>
        </w:rPr>
        <w:t>Manchikanti</w:t>
      </w:r>
      <w:proofErr w:type="spellEnd"/>
      <w:r w:rsidRPr="00CE2FB4">
        <w:rPr>
          <w:rFonts w:ascii="Arial" w:hAnsi="Arial" w:cs="Arial"/>
          <w:b w:val="0"/>
          <w:bCs w:val="0"/>
          <w:i w:val="0"/>
          <w:iCs w:val="0"/>
          <w:lang w:val="en-GB"/>
        </w:rPr>
        <w:t>, 2024; Jain et al., 2025). Given the high costs and risks involved in pharmaceutical development, even small improvements in decision-making can have a meaningful impact.</w:t>
      </w:r>
    </w:p>
    <w:p w14:paraId="3F332D04" w14:textId="77777777" w:rsidR="00CE2FB4" w:rsidRPr="00CE2FB4" w:rsidRDefault="00CE2FB4" w:rsidP="00CE2FB4">
      <w:pPr>
        <w:rPr>
          <w:lang w:val="en-GB"/>
        </w:rPr>
      </w:pPr>
    </w:p>
    <w:p w14:paraId="0B872C5A" w14:textId="77777777" w:rsidR="00CE2FB4" w:rsidRP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r w:rsidRPr="00CE2FB4">
        <w:rPr>
          <w:rFonts w:ascii="Arial" w:hAnsi="Arial" w:cs="Arial"/>
          <w:b w:val="0"/>
          <w:bCs w:val="0"/>
          <w:i w:val="0"/>
          <w:iCs w:val="0"/>
          <w:lang w:val="en-GB"/>
        </w:rPr>
        <w:t xml:space="preserve">AstraZeneca has already begun integrating AI into its operations through collaborations focused on drug discovery. This suggests that digital capabilities are becoming an important part of its innovation strategy. By speeding up certain stages of development, AI can help reduce the time needed to bring new treatments to market, which is particularly valuable in an industry where timing is closely linked to competitive advantage. However, it is important to recognise that AI is not a complete solution. Its </w:t>
      </w:r>
      <w:r w:rsidRPr="00CE2FB4">
        <w:rPr>
          <w:rFonts w:ascii="Arial" w:hAnsi="Arial" w:cs="Arial"/>
          <w:b w:val="0"/>
          <w:bCs w:val="0"/>
          <w:i w:val="0"/>
          <w:iCs w:val="0"/>
          <w:lang w:val="en-GB"/>
        </w:rPr>
        <w:lastRenderedPageBreak/>
        <w:t>effectiveness depends on the quality of available data, internal capabilities, and regulatory approval. This means that its benefits are not guaranteed and must be carefully managed (</w:t>
      </w:r>
      <w:proofErr w:type="spellStart"/>
      <w:r w:rsidRPr="00CE2FB4">
        <w:rPr>
          <w:rFonts w:ascii="Arial" w:hAnsi="Arial" w:cs="Arial"/>
          <w:b w:val="0"/>
          <w:bCs w:val="0"/>
          <w:i w:val="0"/>
          <w:iCs w:val="0"/>
          <w:lang w:val="en-GB"/>
        </w:rPr>
        <w:t>Nydén</w:t>
      </w:r>
      <w:proofErr w:type="spellEnd"/>
      <w:r w:rsidRPr="00CE2FB4">
        <w:rPr>
          <w:rFonts w:ascii="Arial" w:hAnsi="Arial" w:cs="Arial"/>
          <w:b w:val="0"/>
          <w:bCs w:val="0"/>
          <w:i w:val="0"/>
          <w:iCs w:val="0"/>
          <w:lang w:val="en-GB"/>
        </w:rPr>
        <w:t xml:space="preserve"> and Bika, 2024).</w:t>
      </w:r>
    </w:p>
    <w:p w14:paraId="5BBD407A" w14:textId="2952D86F" w:rsidR="00CE2FB4" w:rsidRPr="00CE2FB4" w:rsidRDefault="00CE2FB4" w:rsidP="00CE2FB4">
      <w:pPr>
        <w:pStyle w:val="Heading1"/>
        <w:spacing w:line="360" w:lineRule="auto"/>
        <w:contextualSpacing/>
        <w:jc w:val="both"/>
        <w:rPr>
          <w:rFonts w:ascii="Arial" w:hAnsi="Arial" w:cs="Arial"/>
          <w:lang w:val="en-GB"/>
        </w:rPr>
      </w:pPr>
    </w:p>
    <w:p w14:paraId="065F629D" w14:textId="77777777" w:rsidR="00CE2FB4" w:rsidRPr="00CE2FB4" w:rsidRDefault="00CE2FB4" w:rsidP="00CE2FB4">
      <w:pPr>
        <w:pStyle w:val="Heading1"/>
        <w:spacing w:before="0" w:beforeAutospacing="0" w:after="0" w:afterAutospacing="0" w:line="360" w:lineRule="auto"/>
        <w:contextualSpacing/>
        <w:jc w:val="both"/>
        <w:rPr>
          <w:rFonts w:ascii="Arial" w:hAnsi="Arial" w:cs="Arial"/>
          <w:lang w:val="en-GB"/>
        </w:rPr>
      </w:pPr>
      <w:r w:rsidRPr="00CE2FB4">
        <w:rPr>
          <w:rFonts w:ascii="Arial" w:hAnsi="Arial" w:cs="Arial"/>
          <w:lang w:val="en-GB"/>
        </w:rPr>
        <w:t>Geopolitical and Supply-Chain Opportunities</w:t>
      </w:r>
    </w:p>
    <w:p w14:paraId="1456CFCB" w14:textId="77777777" w:rsid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r w:rsidRPr="00CE2FB4">
        <w:rPr>
          <w:rFonts w:ascii="Arial" w:hAnsi="Arial" w:cs="Arial"/>
          <w:b w:val="0"/>
          <w:bCs w:val="0"/>
          <w:i w:val="0"/>
          <w:iCs w:val="0"/>
          <w:lang w:val="en-GB"/>
        </w:rPr>
        <w:t>Although geopolitical tensions often create disruption, they can also encourage organisations to rethink their operating models. Recent issues affecting global shipping routes have exposed weaknesses in highly centralised supply chains (Belal et al., 2025).</w:t>
      </w:r>
    </w:p>
    <w:p w14:paraId="7EA26C5E" w14:textId="77777777" w:rsidR="00CE2FB4" w:rsidRPr="00CE2FB4" w:rsidRDefault="00CE2FB4" w:rsidP="00CE2FB4">
      <w:pPr>
        <w:rPr>
          <w:lang w:val="en-GB"/>
        </w:rPr>
      </w:pPr>
    </w:p>
    <w:p w14:paraId="616E5F68" w14:textId="77777777" w:rsidR="00CE2FB4" w:rsidRP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r w:rsidRPr="00CE2FB4">
        <w:rPr>
          <w:rFonts w:ascii="Arial" w:hAnsi="Arial" w:cs="Arial"/>
          <w:b w:val="0"/>
          <w:bCs w:val="0"/>
          <w:i w:val="0"/>
          <w:iCs w:val="0"/>
          <w:lang w:val="en-GB"/>
        </w:rPr>
        <w:t>For AstraZeneca, this creates an opportunity to strengthen its resilience. By diversifying suppliers and developing more regional production capabilities, the company can reduce its dependence on specific locations. While these changes may lead to higher costs in the short term, they can improve stability and reduce risk over time. In this sense, supply-chain resilience can become a competitive strength rather than simply a reaction to external pressure.</w:t>
      </w:r>
    </w:p>
    <w:p w14:paraId="624F0F9E" w14:textId="67AF2F0F" w:rsidR="00CE2FB4" w:rsidRPr="00CE2FB4" w:rsidRDefault="00CE2FB4" w:rsidP="00CE2FB4">
      <w:pPr>
        <w:pStyle w:val="Heading1"/>
        <w:spacing w:line="360" w:lineRule="auto"/>
        <w:contextualSpacing/>
        <w:jc w:val="both"/>
        <w:rPr>
          <w:rFonts w:ascii="Arial" w:hAnsi="Arial" w:cs="Arial"/>
          <w:lang w:val="en-GB"/>
        </w:rPr>
      </w:pPr>
    </w:p>
    <w:p w14:paraId="0E16FD63" w14:textId="77777777" w:rsidR="00CE2FB4" w:rsidRPr="00CE2FB4" w:rsidRDefault="00CE2FB4" w:rsidP="00CE2FB4">
      <w:pPr>
        <w:pStyle w:val="Heading1"/>
        <w:spacing w:before="0" w:beforeAutospacing="0" w:after="0" w:afterAutospacing="0" w:line="360" w:lineRule="auto"/>
        <w:contextualSpacing/>
        <w:jc w:val="both"/>
        <w:rPr>
          <w:rFonts w:ascii="Arial" w:hAnsi="Arial" w:cs="Arial"/>
          <w:lang w:val="en-GB"/>
        </w:rPr>
      </w:pPr>
      <w:r w:rsidRPr="00CE2FB4">
        <w:rPr>
          <w:rFonts w:ascii="Arial" w:hAnsi="Arial" w:cs="Arial"/>
          <w:lang w:val="en-GB"/>
        </w:rPr>
        <w:t>Sustainability and Regulatory Opportunities</w:t>
      </w:r>
    </w:p>
    <w:p w14:paraId="23038267" w14:textId="77777777" w:rsid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r w:rsidRPr="00CE2FB4">
        <w:rPr>
          <w:rFonts w:ascii="Arial" w:hAnsi="Arial" w:cs="Arial"/>
          <w:b w:val="0"/>
          <w:bCs w:val="0"/>
          <w:i w:val="0"/>
          <w:iCs w:val="0"/>
          <w:lang w:val="en-GB"/>
        </w:rPr>
        <w:t>Sustainability is becoming increasingly important for global organisations, particularly in industries such as pharmaceuticals where public trust is essential. Strong environmental performance can improve relationships with regulators, investors, and other stakeholders (Booth, 2025).</w:t>
      </w:r>
    </w:p>
    <w:p w14:paraId="63E57EF6" w14:textId="77777777" w:rsidR="00CE2FB4" w:rsidRPr="00CE2FB4" w:rsidRDefault="00CE2FB4" w:rsidP="00CE2FB4">
      <w:pPr>
        <w:rPr>
          <w:lang w:val="en-GB"/>
        </w:rPr>
      </w:pPr>
    </w:p>
    <w:p w14:paraId="58AE6F2D" w14:textId="77777777" w:rsidR="00CE2FB4" w:rsidRPr="00CE2FB4" w:rsidRDefault="00CE2FB4" w:rsidP="00CE2FB4">
      <w:pPr>
        <w:pStyle w:val="Heading1"/>
        <w:spacing w:before="0" w:beforeAutospacing="0" w:after="0" w:afterAutospacing="0" w:line="360" w:lineRule="auto"/>
        <w:contextualSpacing/>
        <w:jc w:val="both"/>
        <w:rPr>
          <w:rFonts w:ascii="Arial" w:hAnsi="Arial" w:cs="Arial"/>
          <w:b w:val="0"/>
          <w:bCs w:val="0"/>
          <w:i w:val="0"/>
          <w:iCs w:val="0"/>
          <w:lang w:val="en-GB"/>
        </w:rPr>
      </w:pPr>
      <w:r w:rsidRPr="00CE2FB4">
        <w:rPr>
          <w:rFonts w:ascii="Arial" w:hAnsi="Arial" w:cs="Arial"/>
          <w:b w:val="0"/>
          <w:bCs w:val="0"/>
          <w:i w:val="0"/>
          <w:iCs w:val="0"/>
          <w:lang w:val="en-GB"/>
        </w:rPr>
        <w:t>For AstraZeneca, integrating sustainability into its operations can lead to more efficient use of resources and improved long-term performance. However, these benefits depend on how sustainability is approached. If it is treated only as a reporting requirement, its impact will be limited. In contrast, embedding sustainability into everyday decision-making can create real strategic value and strengthen the company’s overall position (Belal et al., 2025).</w:t>
      </w:r>
    </w:p>
    <w:p w14:paraId="077A5BAD" w14:textId="4C970BD9" w:rsidR="0018383A" w:rsidRPr="00AD4660" w:rsidRDefault="0018383A" w:rsidP="00AD4660">
      <w:pPr>
        <w:pStyle w:val="Heading1"/>
        <w:spacing w:before="0" w:beforeAutospacing="0" w:after="0" w:afterAutospacing="0" w:line="360" w:lineRule="auto"/>
        <w:contextualSpacing/>
        <w:jc w:val="both"/>
        <w:rPr>
          <w:rFonts w:ascii="Arial" w:hAnsi="Arial" w:cs="Arial"/>
        </w:rPr>
      </w:pPr>
      <w:r w:rsidRPr="00AD4660">
        <w:rPr>
          <w:rFonts w:ascii="Arial" w:hAnsi="Arial" w:cs="Arial"/>
        </w:rPr>
        <w:t xml:space="preserve">3. Challenges by </w:t>
      </w:r>
      <w:r w:rsidR="000F5219" w:rsidRPr="00AD4660">
        <w:rPr>
          <w:rFonts w:ascii="Arial" w:hAnsi="Arial" w:cs="Arial"/>
        </w:rPr>
        <w:t>Current Global Forces</w:t>
      </w:r>
      <w:bookmarkEnd w:id="3"/>
    </w:p>
    <w:p w14:paraId="7C1BC0EE" w14:textId="77777777" w:rsidR="0018383A" w:rsidRPr="00AD4660" w:rsidRDefault="0018383A" w:rsidP="00AD4660">
      <w:pPr>
        <w:pStyle w:val="Heading2"/>
        <w:spacing w:before="0" w:beforeAutospacing="0" w:after="0" w:afterAutospacing="0" w:line="360" w:lineRule="auto"/>
        <w:contextualSpacing/>
        <w:rPr>
          <w:rFonts w:ascii="Arial" w:hAnsi="Arial" w:cs="Arial"/>
        </w:rPr>
      </w:pPr>
      <w:bookmarkStart w:id="4" w:name="_Toc227761529"/>
      <w:r w:rsidRPr="00AD4660">
        <w:rPr>
          <w:rFonts w:ascii="Arial" w:hAnsi="Arial" w:cs="Arial"/>
        </w:rPr>
        <w:t>AI challenges</w:t>
      </w:r>
      <w:bookmarkEnd w:id="4"/>
    </w:p>
    <w:p w14:paraId="4FC5566F" w14:textId="166216E0" w:rsidR="0018383A" w:rsidRPr="00AD4660" w:rsidRDefault="00B923FD" w:rsidP="004A1BAE">
      <w:pPr>
        <w:spacing w:after="0" w:line="360" w:lineRule="auto"/>
        <w:contextualSpacing/>
        <w:jc w:val="both"/>
        <w:rPr>
          <w:rFonts w:ascii="Arial" w:hAnsi="Arial" w:cs="Arial"/>
          <w:color w:val="000000" w:themeColor="text1"/>
          <w:sz w:val="24"/>
          <w:szCs w:val="24"/>
        </w:rPr>
      </w:pPr>
      <w:r w:rsidRPr="00AD4660">
        <w:rPr>
          <w:rFonts w:ascii="Arial" w:hAnsi="Arial" w:cs="Arial"/>
          <w:color w:val="000000" w:themeColor="text1"/>
          <w:sz w:val="24"/>
          <w:szCs w:val="24"/>
        </w:rPr>
        <w:lastRenderedPageBreak/>
        <w:t>Although it seems promising, AI poses significant challenges to AstraZeneca. To begin with, it is costly to implement, as it will demand investment in data infrastructure, specialized software, cybersecurity and highly trained personnel, prior to recording any measurable returns (Dwivedi, 2026; Hammad et al., 2025). Secondly, pharmaceutical AI requires access to large, high-quality datasets, but clinical and patient information has stringent privacy and control restrictions, which restrict the speed and flexibility of application (</w:t>
      </w:r>
      <w:proofErr w:type="spellStart"/>
      <w:r w:rsidRPr="00AD4660">
        <w:rPr>
          <w:rFonts w:ascii="Arial" w:hAnsi="Arial" w:cs="Arial"/>
          <w:color w:val="000000" w:themeColor="text1"/>
          <w:sz w:val="24"/>
          <w:szCs w:val="24"/>
        </w:rPr>
        <w:t>Mökander</w:t>
      </w:r>
      <w:proofErr w:type="spellEnd"/>
      <w:r w:rsidRPr="00AD4660">
        <w:rPr>
          <w:rFonts w:ascii="Arial" w:hAnsi="Arial" w:cs="Arial"/>
          <w:color w:val="000000" w:themeColor="text1"/>
          <w:sz w:val="24"/>
          <w:szCs w:val="24"/>
        </w:rPr>
        <w:t xml:space="preserve"> et al., 2024). Moral issues also play an important role, especially </w:t>
      </w:r>
      <w:proofErr w:type="gramStart"/>
      <w:r w:rsidRPr="00AD4660">
        <w:rPr>
          <w:rFonts w:ascii="Arial" w:hAnsi="Arial" w:cs="Arial"/>
          <w:color w:val="000000" w:themeColor="text1"/>
          <w:sz w:val="24"/>
          <w:szCs w:val="24"/>
        </w:rPr>
        <w:t>in the area of</w:t>
      </w:r>
      <w:proofErr w:type="gramEnd"/>
      <w:r w:rsidRPr="00AD4660">
        <w:rPr>
          <w:rFonts w:ascii="Arial" w:hAnsi="Arial" w:cs="Arial"/>
          <w:color w:val="000000" w:themeColor="text1"/>
          <w:sz w:val="24"/>
          <w:szCs w:val="24"/>
        </w:rPr>
        <w:t xml:space="preserve"> algorithmic bias, explainability and accountability in high-stakes healthcare decision-making (</w:t>
      </w:r>
      <w:proofErr w:type="spellStart"/>
      <w:r w:rsidRPr="00AD4660">
        <w:rPr>
          <w:rFonts w:ascii="Arial" w:hAnsi="Arial" w:cs="Arial"/>
          <w:color w:val="000000" w:themeColor="text1"/>
          <w:sz w:val="24"/>
          <w:szCs w:val="24"/>
        </w:rPr>
        <w:t>Kalagbor</w:t>
      </w:r>
      <w:proofErr w:type="spellEnd"/>
      <w:r w:rsidRPr="00AD4660">
        <w:rPr>
          <w:rFonts w:ascii="Arial" w:hAnsi="Arial" w:cs="Arial"/>
          <w:color w:val="000000" w:themeColor="text1"/>
          <w:sz w:val="24"/>
          <w:szCs w:val="24"/>
        </w:rPr>
        <w:t xml:space="preserve"> et al., 2025). Additionally, there is uncertainty in terms of regulations, which makes adoption difficult. The growth of AI governance structures, such as a closer examination of data provenance and model transparency, implies that AstraZeneca will not be able to regard AI as a productivity tool and will need to manage it as a strategic risk (</w:t>
      </w:r>
      <w:proofErr w:type="spellStart"/>
      <w:r w:rsidRPr="00AD4660">
        <w:rPr>
          <w:rFonts w:ascii="Arial" w:hAnsi="Arial" w:cs="Arial"/>
          <w:color w:val="000000" w:themeColor="text1"/>
          <w:sz w:val="24"/>
          <w:szCs w:val="24"/>
        </w:rPr>
        <w:t>Mökander</w:t>
      </w:r>
      <w:proofErr w:type="spellEnd"/>
      <w:r w:rsidRPr="00AD4660">
        <w:rPr>
          <w:rFonts w:ascii="Arial" w:hAnsi="Arial" w:cs="Arial"/>
          <w:color w:val="000000" w:themeColor="text1"/>
          <w:sz w:val="24"/>
          <w:szCs w:val="24"/>
        </w:rPr>
        <w:t xml:space="preserve"> et al., 2024).</w:t>
      </w:r>
    </w:p>
    <w:p w14:paraId="0FF090CF" w14:textId="77777777" w:rsidR="000F5219" w:rsidRPr="00AD4660" w:rsidRDefault="000F5219" w:rsidP="00AD4660">
      <w:pPr>
        <w:spacing w:after="0" w:line="360" w:lineRule="auto"/>
        <w:contextualSpacing/>
        <w:jc w:val="both"/>
        <w:rPr>
          <w:rFonts w:ascii="Arial" w:hAnsi="Arial" w:cs="Arial"/>
          <w:color w:val="000000" w:themeColor="text1"/>
          <w:sz w:val="24"/>
          <w:szCs w:val="24"/>
        </w:rPr>
      </w:pPr>
    </w:p>
    <w:p w14:paraId="6091B06C" w14:textId="431D3DBD" w:rsidR="0018383A" w:rsidRPr="0075058A" w:rsidRDefault="0018383A" w:rsidP="00AD4660">
      <w:pPr>
        <w:pStyle w:val="Heading2"/>
        <w:spacing w:before="0" w:beforeAutospacing="0" w:after="0" w:afterAutospacing="0" w:line="360" w:lineRule="auto"/>
        <w:contextualSpacing/>
        <w:rPr>
          <w:rFonts w:ascii="Arial" w:hAnsi="Arial" w:cs="Arial"/>
          <w:b/>
          <w:bCs/>
        </w:rPr>
      </w:pPr>
      <w:bookmarkStart w:id="5" w:name="_Toc227761530"/>
      <w:r w:rsidRPr="0075058A">
        <w:rPr>
          <w:rFonts w:ascii="Arial" w:hAnsi="Arial" w:cs="Arial"/>
          <w:b/>
          <w:bCs/>
        </w:rPr>
        <w:t xml:space="preserve">Geopolitical and </w:t>
      </w:r>
      <w:r w:rsidR="000F5219" w:rsidRPr="0075058A">
        <w:rPr>
          <w:rFonts w:ascii="Arial" w:hAnsi="Arial" w:cs="Arial"/>
          <w:b/>
          <w:bCs/>
        </w:rPr>
        <w:t>S</w:t>
      </w:r>
      <w:r w:rsidRPr="0075058A">
        <w:rPr>
          <w:rFonts w:ascii="Arial" w:hAnsi="Arial" w:cs="Arial"/>
          <w:b/>
          <w:bCs/>
        </w:rPr>
        <w:t xml:space="preserve">upply-chain </w:t>
      </w:r>
      <w:r w:rsidR="000F5219" w:rsidRPr="0075058A">
        <w:rPr>
          <w:rFonts w:ascii="Arial" w:hAnsi="Arial" w:cs="Arial"/>
          <w:b/>
          <w:bCs/>
        </w:rPr>
        <w:t>C</w:t>
      </w:r>
      <w:r w:rsidRPr="0075058A">
        <w:rPr>
          <w:rFonts w:ascii="Arial" w:hAnsi="Arial" w:cs="Arial"/>
          <w:b/>
          <w:bCs/>
        </w:rPr>
        <w:t>hallenges</w:t>
      </w:r>
      <w:bookmarkEnd w:id="5"/>
    </w:p>
    <w:p w14:paraId="4D15CB97" w14:textId="55B4979C" w:rsidR="000F5219" w:rsidRPr="00AD4660" w:rsidRDefault="00E43098" w:rsidP="00AD4660">
      <w:pPr>
        <w:spacing w:after="0" w:line="360" w:lineRule="auto"/>
        <w:contextualSpacing/>
        <w:jc w:val="both"/>
        <w:rPr>
          <w:rFonts w:ascii="Arial" w:hAnsi="Arial" w:cs="Arial"/>
          <w:color w:val="000000" w:themeColor="text1"/>
          <w:sz w:val="24"/>
          <w:szCs w:val="24"/>
        </w:rPr>
      </w:pPr>
      <w:r w:rsidRPr="00E43098">
        <w:rPr>
          <w:rFonts w:ascii="Arial" w:hAnsi="Arial" w:cs="Arial"/>
          <w:color w:val="000000" w:themeColor="text1"/>
          <w:sz w:val="24"/>
          <w:szCs w:val="24"/>
        </w:rPr>
        <w:t>Geopolitical instability creates direct operational risks for AstraZeneca, as pharmaceutical supply chains rely on globally dispersed and temperature-sensitive logistics. Disruptions in key routes, such as the Red Sea, increase transit times and costs, reducing supply reliability and affecting access to medicines (</w:t>
      </w:r>
      <w:proofErr w:type="spellStart"/>
      <w:r w:rsidRPr="00E43098">
        <w:rPr>
          <w:rFonts w:ascii="Arial" w:hAnsi="Arial" w:cs="Arial"/>
          <w:color w:val="000000" w:themeColor="text1"/>
          <w:sz w:val="24"/>
          <w:szCs w:val="24"/>
        </w:rPr>
        <w:t>Sazvar</w:t>
      </w:r>
      <w:proofErr w:type="spellEnd"/>
      <w:r w:rsidRPr="00E43098">
        <w:rPr>
          <w:rFonts w:ascii="Arial" w:hAnsi="Arial" w:cs="Arial"/>
          <w:color w:val="000000" w:themeColor="text1"/>
          <w:sz w:val="24"/>
          <w:szCs w:val="24"/>
        </w:rPr>
        <w:t>, 2025). Dependence on concentrated global suppliers also increases sourcing risk. More broadly, geopolitical tensions, trade restrictions, and sanctions can disrupt procurement and inventory management, reducing efficiency (Belal et al., 2025). These risks are strategically significant, as delays impact costs, patient access, and corporate reputation.</w:t>
      </w:r>
    </w:p>
    <w:p w14:paraId="7644F410" w14:textId="43D8FDBC" w:rsidR="0018383A" w:rsidRPr="0075058A" w:rsidRDefault="0018383A" w:rsidP="00AD4660">
      <w:pPr>
        <w:pStyle w:val="Heading2"/>
        <w:spacing w:before="0" w:beforeAutospacing="0" w:after="0" w:afterAutospacing="0" w:line="360" w:lineRule="auto"/>
        <w:contextualSpacing/>
        <w:rPr>
          <w:rFonts w:ascii="Arial" w:hAnsi="Arial" w:cs="Arial"/>
          <w:b/>
          <w:bCs/>
        </w:rPr>
      </w:pPr>
      <w:bookmarkStart w:id="6" w:name="_Toc227761531"/>
      <w:r w:rsidRPr="0075058A">
        <w:rPr>
          <w:rFonts w:ascii="Arial" w:hAnsi="Arial" w:cs="Arial"/>
          <w:b/>
          <w:bCs/>
        </w:rPr>
        <w:t xml:space="preserve">Sustainability and </w:t>
      </w:r>
      <w:r w:rsidR="000F5219" w:rsidRPr="0075058A">
        <w:rPr>
          <w:rFonts w:ascii="Arial" w:hAnsi="Arial" w:cs="Arial"/>
          <w:b/>
          <w:bCs/>
        </w:rPr>
        <w:t>R</w:t>
      </w:r>
      <w:r w:rsidRPr="0075058A">
        <w:rPr>
          <w:rFonts w:ascii="Arial" w:hAnsi="Arial" w:cs="Arial"/>
          <w:b/>
          <w:bCs/>
        </w:rPr>
        <w:t xml:space="preserve">egulatory </w:t>
      </w:r>
      <w:r w:rsidR="000F5219" w:rsidRPr="0075058A">
        <w:rPr>
          <w:rFonts w:ascii="Arial" w:hAnsi="Arial" w:cs="Arial"/>
          <w:b/>
          <w:bCs/>
        </w:rPr>
        <w:t>C</w:t>
      </w:r>
      <w:r w:rsidRPr="0075058A">
        <w:rPr>
          <w:rFonts w:ascii="Arial" w:hAnsi="Arial" w:cs="Arial"/>
          <w:b/>
          <w:bCs/>
        </w:rPr>
        <w:t>hallenges</w:t>
      </w:r>
      <w:bookmarkEnd w:id="6"/>
    </w:p>
    <w:p w14:paraId="3A49B783" w14:textId="36EC7722" w:rsidR="00B06CBA" w:rsidRPr="00AD4660" w:rsidRDefault="00E43098" w:rsidP="00B06CBA">
      <w:pPr>
        <w:spacing w:after="0" w:line="360" w:lineRule="auto"/>
        <w:contextualSpacing/>
        <w:jc w:val="both"/>
        <w:rPr>
          <w:rStyle w:val="cursor-pointer"/>
          <w:rFonts w:ascii="Arial" w:hAnsi="Arial" w:cs="Arial"/>
          <w:color w:val="000000" w:themeColor="text1"/>
          <w:sz w:val="24"/>
          <w:szCs w:val="24"/>
        </w:rPr>
      </w:pPr>
      <w:r w:rsidRPr="00E43098">
        <w:rPr>
          <w:rFonts w:ascii="Arial" w:hAnsi="Arial" w:cs="Arial"/>
          <w:color w:val="000000" w:themeColor="text1"/>
          <w:sz w:val="24"/>
          <w:szCs w:val="24"/>
        </w:rPr>
        <w:t xml:space="preserve">Sustainability pressures increase compliance costs and reporting complexity, while requiring firms to </w:t>
      </w:r>
      <w:proofErr w:type="spellStart"/>
      <w:r w:rsidRPr="00E43098">
        <w:rPr>
          <w:rFonts w:ascii="Arial" w:hAnsi="Arial" w:cs="Arial"/>
          <w:color w:val="000000" w:themeColor="text1"/>
          <w:sz w:val="24"/>
          <w:szCs w:val="24"/>
        </w:rPr>
        <w:t>decarbonise</w:t>
      </w:r>
      <w:proofErr w:type="spellEnd"/>
      <w:r w:rsidRPr="00E43098">
        <w:rPr>
          <w:rFonts w:ascii="Arial" w:hAnsi="Arial" w:cs="Arial"/>
          <w:color w:val="000000" w:themeColor="text1"/>
          <w:sz w:val="24"/>
          <w:szCs w:val="24"/>
        </w:rPr>
        <w:t xml:space="preserve"> operations without reducing profitability. For AstraZeneca, higher disclosure expectations and supply-chain scrutiny create administrative challenges in data collection and verification (</w:t>
      </w:r>
      <w:proofErr w:type="spellStart"/>
      <w:r w:rsidRPr="00E43098">
        <w:rPr>
          <w:rFonts w:ascii="Arial" w:hAnsi="Arial" w:cs="Arial"/>
          <w:color w:val="000000" w:themeColor="text1"/>
          <w:sz w:val="24"/>
          <w:szCs w:val="24"/>
        </w:rPr>
        <w:t>Alakhir</w:t>
      </w:r>
      <w:proofErr w:type="spellEnd"/>
      <w:r w:rsidRPr="00E43098">
        <w:rPr>
          <w:rFonts w:ascii="Arial" w:hAnsi="Arial" w:cs="Arial"/>
          <w:color w:val="000000" w:themeColor="text1"/>
          <w:sz w:val="24"/>
          <w:szCs w:val="24"/>
        </w:rPr>
        <w:t xml:space="preserve"> and Benic, 2025). In addition, reducing emissions across manufacturing, transport, and suppliers requires significant investment and process redesign (Booth, 2025). The key challenge is balancing </w:t>
      </w:r>
      <w:r w:rsidRPr="00E43098">
        <w:rPr>
          <w:rFonts w:ascii="Arial" w:hAnsi="Arial" w:cs="Arial"/>
          <w:color w:val="000000" w:themeColor="text1"/>
          <w:sz w:val="24"/>
          <w:szCs w:val="24"/>
        </w:rPr>
        <w:lastRenderedPageBreak/>
        <w:t>environmental requirements with shareholder expectations and continued investment in innovation.</w:t>
      </w:r>
    </w:p>
    <w:p w14:paraId="05C6D32C" w14:textId="01AAD7BE" w:rsidR="0018383A" w:rsidRDefault="0018383A" w:rsidP="00AD4660">
      <w:pPr>
        <w:pStyle w:val="Heading1"/>
        <w:spacing w:line="360" w:lineRule="auto"/>
        <w:jc w:val="both"/>
        <w:rPr>
          <w:rFonts w:ascii="Arial" w:hAnsi="Arial" w:cs="Arial"/>
        </w:rPr>
      </w:pPr>
      <w:bookmarkStart w:id="7" w:name="_Toc227761532"/>
      <w:r w:rsidRPr="00AD4660">
        <w:rPr>
          <w:rFonts w:ascii="Arial" w:hAnsi="Arial" w:cs="Arial"/>
        </w:rPr>
        <w:t xml:space="preserve">4. Critical </w:t>
      </w:r>
      <w:r w:rsidR="000F5219" w:rsidRPr="00AD4660">
        <w:rPr>
          <w:rFonts w:ascii="Arial" w:hAnsi="Arial" w:cs="Arial"/>
        </w:rPr>
        <w:t xml:space="preserve">Impact </w:t>
      </w:r>
      <w:r w:rsidRPr="00AD4660">
        <w:rPr>
          <w:rFonts w:ascii="Arial" w:hAnsi="Arial" w:cs="Arial"/>
        </w:rPr>
        <w:t xml:space="preserve">on </w:t>
      </w:r>
      <w:r w:rsidR="000F5219" w:rsidRPr="00AD4660">
        <w:rPr>
          <w:rFonts w:ascii="Arial" w:hAnsi="Arial" w:cs="Arial"/>
        </w:rPr>
        <w:t>S</w:t>
      </w:r>
      <w:r w:rsidRPr="00AD4660">
        <w:rPr>
          <w:rFonts w:ascii="Arial" w:hAnsi="Arial" w:cs="Arial"/>
        </w:rPr>
        <w:t>trategy</w:t>
      </w:r>
      <w:bookmarkEnd w:id="7"/>
    </w:p>
    <w:p w14:paraId="22C02113" w14:textId="08CA3276" w:rsidR="00043216" w:rsidRPr="00043216" w:rsidRDefault="00043216" w:rsidP="00043216">
      <w:pPr>
        <w:rPr>
          <w:rFonts w:ascii="Arial" w:hAnsi="Arial" w:cs="Arial"/>
          <w:b/>
          <w:bCs/>
          <w:sz w:val="24"/>
          <w:szCs w:val="24"/>
          <w:lang w:val="en-GB"/>
        </w:rPr>
      </w:pPr>
      <w:r w:rsidRPr="00043216">
        <w:rPr>
          <w:rFonts w:ascii="Arial" w:hAnsi="Arial" w:cs="Arial"/>
          <w:b/>
          <w:bCs/>
          <w:sz w:val="24"/>
          <w:szCs w:val="24"/>
          <w:lang w:val="en-GB"/>
        </w:rPr>
        <w:t>PESTEL and Five Forces</w:t>
      </w:r>
    </w:p>
    <w:p w14:paraId="0F96EB32" w14:textId="77777777" w:rsidR="003C6F0C" w:rsidRPr="003C6F0C" w:rsidRDefault="003C6F0C" w:rsidP="004A1BAE">
      <w:pPr>
        <w:spacing w:after="0" w:line="360" w:lineRule="auto"/>
        <w:contextualSpacing/>
        <w:jc w:val="both"/>
        <w:rPr>
          <w:rFonts w:ascii="Arial" w:hAnsi="Arial" w:cs="Arial"/>
          <w:color w:val="000000" w:themeColor="text1"/>
          <w:sz w:val="24"/>
          <w:szCs w:val="24"/>
          <w:lang w:val="en-GB"/>
        </w:rPr>
      </w:pPr>
      <w:r w:rsidRPr="003C6F0C">
        <w:rPr>
          <w:rFonts w:ascii="Arial" w:hAnsi="Arial" w:cs="Arial"/>
          <w:color w:val="000000" w:themeColor="text1"/>
          <w:sz w:val="24"/>
          <w:szCs w:val="24"/>
          <w:lang w:val="en-GB"/>
        </w:rPr>
        <w:t>A clearer understanding of how global forces influence AstraZeneca can be achieved through a PESTEL framework. Politically, instability in key regions, such as disruptions in the Red Sea, increases uncertainty and weakens supply-chain reliability. Economically, rising transport and production costs place pressure on margins, while changes in global healthcare demand create both risks and opportunities. Social expectations are evolving, with greater emphasis on ethical practices and sustainability, increasing stakeholder scrutiny. Technological developments, particularly in artificial intelligence, are transforming drug discovery and clinical processes, improving efficiency while increasing dependence on advanced digital capabilities. Environmental regulations raise operational costs, while evolving legal frameworks around data protection and AI governance make technological adoption more complex (Hill, 2023).</w:t>
      </w:r>
    </w:p>
    <w:p w14:paraId="3294C42C" w14:textId="77777777" w:rsidR="004A1BAE" w:rsidRDefault="004A1BAE" w:rsidP="004A1BAE">
      <w:pPr>
        <w:spacing w:after="0" w:line="360" w:lineRule="auto"/>
        <w:contextualSpacing/>
        <w:jc w:val="both"/>
        <w:rPr>
          <w:rFonts w:ascii="Arial" w:hAnsi="Arial" w:cs="Arial"/>
          <w:color w:val="000000" w:themeColor="text1"/>
          <w:sz w:val="24"/>
          <w:szCs w:val="24"/>
          <w:lang w:val="en-GB"/>
        </w:rPr>
      </w:pPr>
    </w:p>
    <w:p w14:paraId="2BC989D3" w14:textId="4EFBF28C" w:rsidR="003C6F0C" w:rsidRPr="003C6F0C" w:rsidRDefault="003C6F0C" w:rsidP="004A1BAE">
      <w:pPr>
        <w:spacing w:after="0" w:line="360" w:lineRule="auto"/>
        <w:contextualSpacing/>
        <w:jc w:val="both"/>
        <w:rPr>
          <w:rFonts w:ascii="Arial" w:hAnsi="Arial" w:cs="Arial"/>
          <w:color w:val="000000" w:themeColor="text1"/>
          <w:sz w:val="24"/>
          <w:szCs w:val="24"/>
          <w:lang w:val="en-GB"/>
        </w:rPr>
      </w:pPr>
      <w:r w:rsidRPr="003C6F0C">
        <w:rPr>
          <w:rFonts w:ascii="Arial" w:hAnsi="Arial" w:cs="Arial"/>
          <w:color w:val="000000" w:themeColor="text1"/>
          <w:sz w:val="24"/>
          <w:szCs w:val="24"/>
          <w:lang w:val="en-GB"/>
        </w:rPr>
        <w:t xml:space="preserve">Porter’s Five Forces further explains how these pressures shape industry competition. Competitive rivalry remains intense due to high R&amp;D costs and patent-driven competition, while the threat of new entrants is limited by strict regulation and high capital requirements. Supplier power is increasing where key inputs are sourced from limited regions, and buyer power is rising as governments and healthcare providers demand lower prices and greater transparency. The threat of substitutes is also growing through alternative treatments and technological innovation (Sharma and </w:t>
      </w:r>
      <w:proofErr w:type="spellStart"/>
      <w:r w:rsidRPr="003C6F0C">
        <w:rPr>
          <w:rFonts w:ascii="Arial" w:hAnsi="Arial" w:cs="Arial"/>
          <w:color w:val="000000" w:themeColor="text1"/>
          <w:sz w:val="24"/>
          <w:szCs w:val="24"/>
          <w:lang w:val="en-GB"/>
        </w:rPr>
        <w:t>Manchikanti</w:t>
      </w:r>
      <w:proofErr w:type="spellEnd"/>
      <w:r w:rsidRPr="003C6F0C">
        <w:rPr>
          <w:rFonts w:ascii="Arial" w:hAnsi="Arial" w:cs="Arial"/>
          <w:color w:val="000000" w:themeColor="text1"/>
          <w:sz w:val="24"/>
          <w:szCs w:val="24"/>
          <w:lang w:val="en-GB"/>
        </w:rPr>
        <w:t>, 2024).</w:t>
      </w:r>
    </w:p>
    <w:p w14:paraId="197C18BC" w14:textId="77777777" w:rsidR="004A1BAE" w:rsidRDefault="004A1BAE" w:rsidP="004A1BAE">
      <w:pPr>
        <w:spacing w:after="0" w:line="360" w:lineRule="auto"/>
        <w:contextualSpacing/>
        <w:jc w:val="both"/>
        <w:rPr>
          <w:rFonts w:ascii="Arial" w:hAnsi="Arial" w:cs="Arial"/>
          <w:color w:val="000000" w:themeColor="text1"/>
          <w:sz w:val="24"/>
          <w:szCs w:val="24"/>
          <w:lang w:val="en-GB"/>
        </w:rPr>
      </w:pPr>
    </w:p>
    <w:p w14:paraId="6DB92104" w14:textId="10369844" w:rsidR="003C6F0C" w:rsidRPr="003C6F0C" w:rsidRDefault="003C6F0C" w:rsidP="004A1BAE">
      <w:pPr>
        <w:spacing w:after="0" w:line="360" w:lineRule="auto"/>
        <w:contextualSpacing/>
        <w:jc w:val="both"/>
        <w:rPr>
          <w:rFonts w:ascii="Arial" w:hAnsi="Arial" w:cs="Arial"/>
          <w:color w:val="000000" w:themeColor="text1"/>
          <w:sz w:val="24"/>
          <w:szCs w:val="24"/>
          <w:lang w:val="en-GB"/>
        </w:rPr>
      </w:pPr>
      <w:r w:rsidRPr="003C6F0C">
        <w:rPr>
          <w:rFonts w:ascii="Arial" w:hAnsi="Arial" w:cs="Arial"/>
          <w:color w:val="000000" w:themeColor="text1"/>
          <w:sz w:val="24"/>
          <w:szCs w:val="24"/>
          <w:lang w:val="en-GB"/>
        </w:rPr>
        <w:t>The pharmaceutical industry can be characterised as an oligopolistic market, where a small number of firms dominate due to high barriers to entry, significant R&amp;D costs, and strict regulation.</w:t>
      </w:r>
    </w:p>
    <w:p w14:paraId="14BF9C06" w14:textId="77777777" w:rsidR="004A1BAE" w:rsidRDefault="004A1BAE" w:rsidP="004A1BAE">
      <w:pPr>
        <w:spacing w:after="0" w:line="360" w:lineRule="auto"/>
        <w:contextualSpacing/>
        <w:jc w:val="both"/>
        <w:rPr>
          <w:rFonts w:ascii="Arial" w:hAnsi="Arial" w:cs="Arial"/>
          <w:color w:val="000000" w:themeColor="text1"/>
          <w:sz w:val="24"/>
          <w:szCs w:val="24"/>
          <w:lang w:val="en-GB"/>
        </w:rPr>
      </w:pPr>
    </w:p>
    <w:p w14:paraId="72348D96" w14:textId="48CDA855" w:rsidR="003C6F0C" w:rsidRPr="003C6F0C" w:rsidRDefault="003C6F0C" w:rsidP="004A1BAE">
      <w:pPr>
        <w:spacing w:after="0" w:line="360" w:lineRule="auto"/>
        <w:contextualSpacing/>
        <w:jc w:val="both"/>
        <w:rPr>
          <w:rFonts w:ascii="Arial" w:hAnsi="Arial" w:cs="Arial"/>
          <w:color w:val="000000" w:themeColor="text1"/>
          <w:sz w:val="24"/>
          <w:szCs w:val="24"/>
          <w:lang w:val="en-GB"/>
        </w:rPr>
      </w:pPr>
      <w:r w:rsidRPr="003C6F0C">
        <w:rPr>
          <w:rFonts w:ascii="Arial" w:hAnsi="Arial" w:cs="Arial"/>
          <w:color w:val="000000" w:themeColor="text1"/>
          <w:sz w:val="24"/>
          <w:szCs w:val="24"/>
          <w:lang w:val="en-GB"/>
        </w:rPr>
        <w:t xml:space="preserve">Importantly, these frameworks are interconnected, as external pressures identified in the PESTEL analysis directly shape competitive forces. For example, geopolitical instability </w:t>
      </w:r>
      <w:r w:rsidRPr="003C6F0C">
        <w:rPr>
          <w:rFonts w:ascii="Arial" w:hAnsi="Arial" w:cs="Arial"/>
          <w:color w:val="000000" w:themeColor="text1"/>
          <w:sz w:val="24"/>
          <w:szCs w:val="24"/>
          <w:lang w:val="en-GB"/>
        </w:rPr>
        <w:lastRenderedPageBreak/>
        <w:t>increases supplier power, while technological advancements intensify rivalry. This shows that environmental factors actively reshape industry dynamics, requiring AstraZeneca to align its strategy with both external conditions and competitive pressures.</w:t>
      </w:r>
    </w:p>
    <w:p w14:paraId="19D71F48" w14:textId="77777777" w:rsidR="004A1BAE" w:rsidRDefault="004A1BAE" w:rsidP="004A1BAE">
      <w:pPr>
        <w:spacing w:after="0" w:line="360" w:lineRule="auto"/>
        <w:contextualSpacing/>
        <w:jc w:val="both"/>
        <w:rPr>
          <w:rFonts w:ascii="Arial" w:hAnsi="Arial" w:cs="Arial"/>
          <w:color w:val="000000" w:themeColor="text1"/>
          <w:sz w:val="24"/>
          <w:szCs w:val="24"/>
          <w:lang w:val="en-GB"/>
        </w:rPr>
      </w:pPr>
    </w:p>
    <w:p w14:paraId="6528AC80" w14:textId="15D14F2D" w:rsidR="003C6F0C" w:rsidRPr="003C6F0C" w:rsidRDefault="003C6F0C" w:rsidP="004A1BAE">
      <w:pPr>
        <w:spacing w:after="0" w:line="360" w:lineRule="auto"/>
        <w:contextualSpacing/>
        <w:jc w:val="both"/>
        <w:rPr>
          <w:rFonts w:ascii="Arial" w:hAnsi="Arial" w:cs="Arial"/>
          <w:color w:val="000000" w:themeColor="text1"/>
          <w:sz w:val="24"/>
          <w:szCs w:val="24"/>
          <w:lang w:val="en-GB"/>
        </w:rPr>
      </w:pPr>
      <w:r w:rsidRPr="003C6F0C">
        <w:rPr>
          <w:rFonts w:ascii="Arial" w:hAnsi="Arial" w:cs="Arial"/>
          <w:color w:val="000000" w:themeColor="text1"/>
          <w:sz w:val="24"/>
          <w:szCs w:val="24"/>
          <w:lang w:val="en-GB"/>
        </w:rPr>
        <w:t>From a strategic perspective, AI adoption can strengthen market positioning by accelerating drug development and improving decision-making. However, it also increases dependency on specialised capabilities, creating long-term strategic risk, with effectiveness dependent on governance, data quality, and talent (</w:t>
      </w:r>
      <w:proofErr w:type="spellStart"/>
      <w:r w:rsidRPr="003C6F0C">
        <w:rPr>
          <w:rFonts w:ascii="Arial" w:hAnsi="Arial" w:cs="Arial"/>
          <w:color w:val="000000" w:themeColor="text1"/>
          <w:sz w:val="24"/>
          <w:szCs w:val="24"/>
          <w:lang w:val="en-GB"/>
        </w:rPr>
        <w:t>Mökander</w:t>
      </w:r>
      <w:proofErr w:type="spellEnd"/>
      <w:r w:rsidRPr="003C6F0C">
        <w:rPr>
          <w:rFonts w:ascii="Arial" w:hAnsi="Arial" w:cs="Arial"/>
          <w:color w:val="000000" w:themeColor="text1"/>
          <w:sz w:val="24"/>
          <w:szCs w:val="24"/>
          <w:lang w:val="en-GB"/>
        </w:rPr>
        <w:t xml:space="preserve"> et al., 2024). At the same time, supply-chain disruption reduces short-term efficiency but encourages more resilient models, such as supplier diversification and regional production (Belal et al., 2025; </w:t>
      </w:r>
      <w:proofErr w:type="spellStart"/>
      <w:r w:rsidRPr="003C6F0C">
        <w:rPr>
          <w:rFonts w:ascii="Arial" w:hAnsi="Arial" w:cs="Arial"/>
          <w:color w:val="000000" w:themeColor="text1"/>
          <w:sz w:val="24"/>
          <w:szCs w:val="24"/>
          <w:lang w:val="en-GB"/>
        </w:rPr>
        <w:t>Sazvar</w:t>
      </w:r>
      <w:proofErr w:type="spellEnd"/>
      <w:r w:rsidRPr="003C6F0C">
        <w:rPr>
          <w:rFonts w:ascii="Arial" w:hAnsi="Arial" w:cs="Arial"/>
          <w:color w:val="000000" w:themeColor="text1"/>
          <w:sz w:val="24"/>
          <w:szCs w:val="24"/>
          <w:lang w:val="en-GB"/>
        </w:rPr>
        <w:t>, 2025). Similarly, sustainability increases compliance costs, but strong ESG performance can enhance stakeholder trust and long-term competitiveness (Booth, 2025).</w:t>
      </w:r>
    </w:p>
    <w:p w14:paraId="55081D0C" w14:textId="77777777" w:rsidR="00B06CBA" w:rsidRPr="00AD4660" w:rsidRDefault="00B06CBA" w:rsidP="00B06CBA">
      <w:pPr>
        <w:spacing w:after="0" w:line="360" w:lineRule="auto"/>
        <w:ind w:firstLine="720"/>
        <w:contextualSpacing/>
        <w:jc w:val="both"/>
        <w:rPr>
          <w:rFonts w:ascii="Arial" w:hAnsi="Arial" w:cs="Arial"/>
          <w:color w:val="000000" w:themeColor="text1"/>
          <w:sz w:val="24"/>
          <w:szCs w:val="24"/>
        </w:rPr>
      </w:pPr>
    </w:p>
    <w:p w14:paraId="304BDB45" w14:textId="7CDB91A3" w:rsidR="0018383A" w:rsidRPr="00AD4660" w:rsidRDefault="0018383A" w:rsidP="00B06CBA">
      <w:pPr>
        <w:pStyle w:val="Heading1"/>
        <w:rPr>
          <w:rFonts w:ascii="Arial" w:hAnsi="Arial" w:cs="Arial"/>
        </w:rPr>
      </w:pPr>
      <w:bookmarkStart w:id="8" w:name="_Toc227761533"/>
      <w:r w:rsidRPr="00AD4660">
        <w:rPr>
          <w:rFonts w:ascii="Arial" w:hAnsi="Arial" w:cs="Arial"/>
        </w:rPr>
        <w:t xml:space="preserve">5. Strategic </w:t>
      </w:r>
      <w:r w:rsidR="000F5219" w:rsidRPr="00AD4660">
        <w:rPr>
          <w:rFonts w:ascii="Arial" w:hAnsi="Arial" w:cs="Arial"/>
        </w:rPr>
        <w:t>R</w:t>
      </w:r>
      <w:r w:rsidRPr="00AD4660">
        <w:rPr>
          <w:rFonts w:ascii="Arial" w:hAnsi="Arial" w:cs="Arial"/>
        </w:rPr>
        <w:t>ecommendations</w:t>
      </w:r>
      <w:bookmarkEnd w:id="8"/>
    </w:p>
    <w:p w14:paraId="4C923706" w14:textId="77777777" w:rsidR="004A1BAE" w:rsidRPr="004A1BAE" w:rsidRDefault="004A1BAE" w:rsidP="004A1BAE">
      <w:pPr>
        <w:spacing w:after="0" w:line="360" w:lineRule="auto"/>
        <w:contextualSpacing/>
        <w:jc w:val="both"/>
        <w:rPr>
          <w:rFonts w:ascii="Arial" w:hAnsi="Arial" w:cs="Arial"/>
          <w:color w:val="000000" w:themeColor="text1"/>
          <w:sz w:val="24"/>
          <w:szCs w:val="24"/>
          <w:lang w:val="en-GB"/>
        </w:rPr>
      </w:pPr>
      <w:r w:rsidRPr="004A1BAE">
        <w:rPr>
          <w:rFonts w:ascii="Arial" w:hAnsi="Arial" w:cs="Arial"/>
          <w:color w:val="000000" w:themeColor="text1"/>
          <w:sz w:val="24"/>
          <w:szCs w:val="24"/>
          <w:lang w:val="en-GB"/>
        </w:rPr>
        <w:t>First, AstraZeneca should strengthen AI governance by investing in workforce capability and implementing structured oversight mechanisms. This includes improving model validation, data management, and employee training to reduce ethical and regulatory risks (</w:t>
      </w:r>
      <w:proofErr w:type="spellStart"/>
      <w:r w:rsidRPr="004A1BAE">
        <w:rPr>
          <w:rFonts w:ascii="Arial" w:hAnsi="Arial" w:cs="Arial"/>
          <w:color w:val="000000" w:themeColor="text1"/>
          <w:sz w:val="24"/>
          <w:szCs w:val="24"/>
          <w:lang w:val="en-GB"/>
        </w:rPr>
        <w:t>Mökander</w:t>
      </w:r>
      <w:proofErr w:type="spellEnd"/>
      <w:r w:rsidRPr="004A1BAE">
        <w:rPr>
          <w:rFonts w:ascii="Arial" w:hAnsi="Arial" w:cs="Arial"/>
          <w:color w:val="000000" w:themeColor="text1"/>
          <w:sz w:val="24"/>
          <w:szCs w:val="24"/>
          <w:lang w:val="en-GB"/>
        </w:rPr>
        <w:t xml:space="preserve"> et al., 2024).</w:t>
      </w:r>
    </w:p>
    <w:p w14:paraId="2E02A1A2" w14:textId="77777777" w:rsidR="004A1BAE" w:rsidRDefault="004A1BAE" w:rsidP="004A1BAE">
      <w:pPr>
        <w:spacing w:after="0" w:line="360" w:lineRule="auto"/>
        <w:contextualSpacing/>
        <w:jc w:val="both"/>
        <w:rPr>
          <w:rFonts w:ascii="Arial" w:hAnsi="Arial" w:cs="Arial"/>
          <w:color w:val="000000" w:themeColor="text1"/>
          <w:sz w:val="24"/>
          <w:szCs w:val="24"/>
          <w:lang w:val="en-GB"/>
        </w:rPr>
      </w:pPr>
    </w:p>
    <w:p w14:paraId="2055B10E" w14:textId="6CD7CDE4" w:rsidR="004A1BAE" w:rsidRPr="004A1BAE" w:rsidRDefault="004A1BAE" w:rsidP="004A1BAE">
      <w:pPr>
        <w:spacing w:after="0" w:line="360" w:lineRule="auto"/>
        <w:contextualSpacing/>
        <w:jc w:val="both"/>
        <w:rPr>
          <w:rFonts w:ascii="Arial" w:hAnsi="Arial" w:cs="Arial"/>
          <w:color w:val="000000" w:themeColor="text1"/>
          <w:sz w:val="24"/>
          <w:szCs w:val="24"/>
          <w:lang w:val="en-GB"/>
        </w:rPr>
      </w:pPr>
      <w:r w:rsidRPr="004A1BAE">
        <w:rPr>
          <w:rFonts w:ascii="Arial" w:hAnsi="Arial" w:cs="Arial"/>
          <w:color w:val="000000" w:themeColor="text1"/>
          <w:sz w:val="24"/>
          <w:szCs w:val="24"/>
          <w:lang w:val="en-GB"/>
        </w:rPr>
        <w:t>Second, the company should enhance supply-chain resilience through supplier diversification and regional production strategies. Expanding supplier networks and implementing scenario planning would reduce dependence on vulnerable regions and improve operational stability (Belal et al., 2025).</w:t>
      </w:r>
    </w:p>
    <w:p w14:paraId="2A2EE287" w14:textId="77777777" w:rsidR="004A1BAE" w:rsidRDefault="004A1BAE" w:rsidP="004A1BAE">
      <w:pPr>
        <w:spacing w:after="0" w:line="360" w:lineRule="auto"/>
        <w:contextualSpacing/>
        <w:jc w:val="both"/>
        <w:rPr>
          <w:rFonts w:ascii="Arial" w:hAnsi="Arial" w:cs="Arial"/>
          <w:color w:val="000000" w:themeColor="text1"/>
          <w:sz w:val="24"/>
          <w:szCs w:val="24"/>
          <w:lang w:val="en-GB"/>
        </w:rPr>
      </w:pPr>
    </w:p>
    <w:p w14:paraId="127631B1" w14:textId="35FF9CCB" w:rsidR="004A1BAE" w:rsidRPr="004A1BAE" w:rsidRDefault="004A1BAE" w:rsidP="004A1BAE">
      <w:pPr>
        <w:spacing w:after="0" w:line="360" w:lineRule="auto"/>
        <w:contextualSpacing/>
        <w:jc w:val="both"/>
        <w:rPr>
          <w:rFonts w:ascii="Arial" w:hAnsi="Arial" w:cs="Arial"/>
          <w:color w:val="000000" w:themeColor="text1"/>
          <w:sz w:val="24"/>
          <w:szCs w:val="24"/>
          <w:lang w:val="en-GB"/>
        </w:rPr>
      </w:pPr>
      <w:r w:rsidRPr="004A1BAE">
        <w:rPr>
          <w:rFonts w:ascii="Arial" w:hAnsi="Arial" w:cs="Arial"/>
          <w:color w:val="000000" w:themeColor="text1"/>
          <w:sz w:val="24"/>
          <w:szCs w:val="24"/>
          <w:lang w:val="en-GB"/>
        </w:rPr>
        <w:t>Finally, AstraZeneca should embed sustainability into core operations rather than treating it solely as a reporting requirement. This can be achieved by integrating ESG targets into decision-making, improving emissions monitoring, and strengthening supplier accountability. Over time, this approach can enhance efficiency, compliance, and stakeholder trust (</w:t>
      </w:r>
      <w:proofErr w:type="spellStart"/>
      <w:r w:rsidRPr="004A1BAE">
        <w:rPr>
          <w:rFonts w:ascii="Arial" w:hAnsi="Arial" w:cs="Arial"/>
          <w:color w:val="000000" w:themeColor="text1"/>
          <w:sz w:val="24"/>
          <w:szCs w:val="24"/>
          <w:lang w:val="en-GB"/>
        </w:rPr>
        <w:t>Alakhir</w:t>
      </w:r>
      <w:proofErr w:type="spellEnd"/>
      <w:r w:rsidRPr="004A1BAE">
        <w:rPr>
          <w:rFonts w:ascii="Arial" w:hAnsi="Arial" w:cs="Arial"/>
          <w:color w:val="000000" w:themeColor="text1"/>
          <w:sz w:val="24"/>
          <w:szCs w:val="24"/>
          <w:lang w:val="en-GB"/>
        </w:rPr>
        <w:t xml:space="preserve"> and Benic, 2025; Booth, 2025).</w:t>
      </w:r>
    </w:p>
    <w:p w14:paraId="776454B4" w14:textId="77777777" w:rsidR="00B06CBA" w:rsidRPr="00AD4660" w:rsidRDefault="00B06CBA" w:rsidP="00B06CBA">
      <w:pPr>
        <w:spacing w:after="0" w:line="360" w:lineRule="auto"/>
        <w:ind w:firstLine="720"/>
        <w:contextualSpacing/>
        <w:jc w:val="both"/>
        <w:rPr>
          <w:rFonts w:ascii="Arial" w:hAnsi="Arial" w:cs="Arial"/>
          <w:color w:val="000000" w:themeColor="text1"/>
          <w:sz w:val="24"/>
          <w:szCs w:val="24"/>
        </w:rPr>
      </w:pPr>
    </w:p>
    <w:p w14:paraId="204C5230" w14:textId="77777777" w:rsidR="004A1BAE" w:rsidRDefault="004A1BAE" w:rsidP="00B06CBA">
      <w:pPr>
        <w:pStyle w:val="Heading1"/>
        <w:rPr>
          <w:rFonts w:ascii="Arial" w:hAnsi="Arial" w:cs="Arial"/>
        </w:rPr>
      </w:pPr>
      <w:bookmarkStart w:id="9" w:name="_Toc227761534"/>
    </w:p>
    <w:p w14:paraId="4ADA1499" w14:textId="77777777" w:rsidR="004A1BAE" w:rsidRDefault="004A1BAE" w:rsidP="00B06CBA">
      <w:pPr>
        <w:pStyle w:val="Heading1"/>
        <w:rPr>
          <w:rFonts w:ascii="Arial" w:hAnsi="Arial" w:cs="Arial"/>
        </w:rPr>
      </w:pPr>
    </w:p>
    <w:p w14:paraId="78BDDEBD" w14:textId="77777777" w:rsidR="004A1BAE" w:rsidRDefault="004A1BAE" w:rsidP="00B06CBA">
      <w:pPr>
        <w:pStyle w:val="Heading1"/>
        <w:rPr>
          <w:rFonts w:ascii="Arial" w:hAnsi="Arial" w:cs="Arial"/>
        </w:rPr>
      </w:pPr>
    </w:p>
    <w:p w14:paraId="0190C400" w14:textId="2B550C19" w:rsidR="0018383A" w:rsidRPr="00AD4660" w:rsidRDefault="0018383A" w:rsidP="00B06CBA">
      <w:pPr>
        <w:pStyle w:val="Heading1"/>
        <w:rPr>
          <w:rFonts w:ascii="Arial" w:hAnsi="Arial" w:cs="Arial"/>
        </w:rPr>
      </w:pPr>
      <w:r w:rsidRPr="00AD4660">
        <w:rPr>
          <w:rFonts w:ascii="Arial" w:hAnsi="Arial" w:cs="Arial"/>
        </w:rPr>
        <w:t>Conclusion</w:t>
      </w:r>
      <w:bookmarkEnd w:id="9"/>
    </w:p>
    <w:p w14:paraId="447E265B" w14:textId="2C0F4F30" w:rsidR="00B923FD" w:rsidRPr="004A1BAE" w:rsidRDefault="004A1BAE" w:rsidP="00B06CBA">
      <w:pPr>
        <w:spacing w:after="0" w:line="360" w:lineRule="auto"/>
        <w:contextualSpacing/>
        <w:jc w:val="both"/>
        <w:rPr>
          <w:rFonts w:ascii="Arial" w:eastAsia="Times New Roman" w:hAnsi="Arial" w:cs="Arial"/>
          <w:b/>
          <w:bCs/>
          <w:color w:val="000000" w:themeColor="text1"/>
          <w:kern w:val="0"/>
          <w:sz w:val="24"/>
          <w:szCs w:val="24"/>
          <w14:ligatures w14:val="none"/>
        </w:rPr>
      </w:pPr>
      <w:r w:rsidRPr="004A1BAE">
        <w:rPr>
          <w:rFonts w:ascii="Arial" w:hAnsi="Arial" w:cs="Arial"/>
          <w:color w:val="000000" w:themeColor="text1"/>
          <w:sz w:val="24"/>
          <w:szCs w:val="24"/>
        </w:rPr>
        <w:t>AstraZeneca operates in a global business environment shaped by artificial intelligence, geopolitical disruption, and increasing sustainability demands. These forces create both opportunities and significant challenges for international strategy and operations. While AI enhances innovation and efficiency, it also introduces dependency and regulatory complexity. Similarly, supply-chain disruption exposes operational vulnerabilities but encourages more resilient models, while sustainability pressures increase costs but strengthen long-term competitiveness. Ultimately, AstraZeneca’s ability to align its global strategy with these evolving forces will determine its future market position, innovation capacity, and overall competitive advantage.</w:t>
      </w:r>
      <w:r w:rsidR="00B923FD" w:rsidRPr="004A1BAE">
        <w:rPr>
          <w:rFonts w:ascii="Arial" w:hAnsi="Arial" w:cs="Arial"/>
          <w:color w:val="000000" w:themeColor="text1"/>
          <w:sz w:val="24"/>
          <w:szCs w:val="24"/>
        </w:rPr>
        <w:br w:type="page"/>
      </w:r>
    </w:p>
    <w:p w14:paraId="2AAE8DD8" w14:textId="7536A6B4" w:rsidR="0018383A" w:rsidRPr="00AD4660" w:rsidRDefault="0018383A" w:rsidP="00AD4660">
      <w:pPr>
        <w:pStyle w:val="Heading1"/>
        <w:spacing w:before="0" w:beforeAutospacing="0" w:after="0" w:afterAutospacing="0" w:line="360" w:lineRule="auto"/>
        <w:contextualSpacing/>
        <w:jc w:val="both"/>
        <w:rPr>
          <w:rFonts w:ascii="Arial" w:hAnsi="Arial" w:cs="Arial"/>
          <w:i w:val="0"/>
          <w:iCs w:val="0"/>
        </w:rPr>
      </w:pPr>
      <w:bookmarkStart w:id="10" w:name="_Toc227761535"/>
      <w:r w:rsidRPr="00AD4660">
        <w:rPr>
          <w:rFonts w:ascii="Arial" w:hAnsi="Arial" w:cs="Arial"/>
          <w:i w:val="0"/>
          <w:iCs w:val="0"/>
        </w:rPr>
        <w:lastRenderedPageBreak/>
        <w:t>Reference</w:t>
      </w:r>
      <w:r w:rsidR="007B4984" w:rsidRPr="00AD4660">
        <w:rPr>
          <w:rFonts w:ascii="Arial" w:hAnsi="Arial" w:cs="Arial"/>
          <w:i w:val="0"/>
          <w:iCs w:val="0"/>
        </w:rPr>
        <w:t>s</w:t>
      </w:r>
      <w:bookmarkEnd w:id="10"/>
    </w:p>
    <w:p w14:paraId="66045156" w14:textId="1E358415" w:rsidR="00AD4660" w:rsidRPr="007B1D08" w:rsidRDefault="00A811D1" w:rsidP="00AD4660">
      <w:pPr>
        <w:spacing w:after="0" w:line="360" w:lineRule="auto"/>
        <w:contextualSpacing/>
        <w:jc w:val="both"/>
        <w:rPr>
          <w:rFonts w:ascii="Arial" w:hAnsi="Arial" w:cs="Arial"/>
          <w:color w:val="000000" w:themeColor="text1"/>
          <w:sz w:val="24"/>
          <w:szCs w:val="24"/>
          <w:lang w:val="en-GB"/>
        </w:rPr>
      </w:pPr>
      <w:proofErr w:type="spellStart"/>
      <w:r w:rsidRPr="00AD4660">
        <w:rPr>
          <w:rFonts w:ascii="Arial" w:hAnsi="Arial" w:cs="Arial"/>
          <w:color w:val="000000" w:themeColor="text1"/>
          <w:sz w:val="24"/>
          <w:szCs w:val="24"/>
        </w:rPr>
        <w:t>Alakhir</w:t>
      </w:r>
      <w:proofErr w:type="spellEnd"/>
      <w:r w:rsidR="00AD4660" w:rsidRPr="007B1D08">
        <w:rPr>
          <w:rFonts w:ascii="Arial" w:hAnsi="Arial" w:cs="Arial"/>
          <w:color w:val="000000" w:themeColor="text1"/>
          <w:sz w:val="24"/>
          <w:szCs w:val="24"/>
          <w:lang w:val="en-GB"/>
        </w:rPr>
        <w:t xml:space="preserve">, H. and Benic, T. (2025) </w:t>
      </w:r>
      <w:r w:rsidR="00AD4660" w:rsidRPr="007B1D08">
        <w:rPr>
          <w:rFonts w:ascii="Arial" w:hAnsi="Arial" w:cs="Arial"/>
          <w:i/>
          <w:iCs/>
          <w:color w:val="000000" w:themeColor="text1"/>
          <w:sz w:val="24"/>
          <w:szCs w:val="24"/>
          <w:lang w:val="en-GB"/>
        </w:rPr>
        <w:t>Information systems for environmental sustainability: A qualitative study on digital reporting in the pharmaceutical industry</w:t>
      </w:r>
      <w:r w:rsidR="00AD4660" w:rsidRPr="007B1D08">
        <w:rPr>
          <w:rFonts w:ascii="Arial" w:hAnsi="Arial" w:cs="Arial"/>
          <w:color w:val="000000" w:themeColor="text1"/>
          <w:sz w:val="24"/>
          <w:szCs w:val="24"/>
          <w:lang w:val="en-GB"/>
        </w:rPr>
        <w:t xml:space="preserve">. Available at: </w:t>
      </w:r>
      <w:hyperlink r:id="rId7" w:tgtFrame="_new" w:history="1">
        <w:r w:rsidR="00AD4660" w:rsidRPr="007B1D08">
          <w:rPr>
            <w:rStyle w:val="Hyperlink"/>
            <w:rFonts w:ascii="Arial" w:hAnsi="Arial" w:cs="Arial"/>
            <w:color w:val="000000" w:themeColor="text1"/>
            <w:sz w:val="24"/>
            <w:szCs w:val="24"/>
            <w:lang w:val="en-GB"/>
          </w:rPr>
          <w:t>https://lup.lub.lu.se/luur/download?func=downloadFile&amp;recordOId=9202282&amp;fileOId=9202286</w:t>
        </w:r>
      </w:hyperlink>
      <w:r w:rsidR="00AD4660" w:rsidRPr="007B1D08">
        <w:rPr>
          <w:rFonts w:ascii="Arial" w:hAnsi="Arial" w:cs="Arial"/>
          <w:color w:val="000000" w:themeColor="text1"/>
          <w:sz w:val="24"/>
          <w:szCs w:val="24"/>
          <w:lang w:val="en-GB"/>
        </w:rPr>
        <w:t xml:space="preserve"> (Accessed: 01 April 2026).</w:t>
      </w:r>
    </w:p>
    <w:p w14:paraId="4EB13A57" w14:textId="58461E71"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AstraZeneca (2025a) </w:t>
      </w:r>
      <w:r w:rsidRPr="007B1D08">
        <w:rPr>
          <w:rFonts w:ascii="Arial" w:hAnsi="Arial" w:cs="Arial"/>
          <w:i/>
          <w:iCs/>
          <w:color w:val="000000" w:themeColor="text1"/>
          <w:sz w:val="24"/>
          <w:szCs w:val="24"/>
          <w:lang w:val="en-GB"/>
        </w:rPr>
        <w:t>Full year and Q4 2024 results</w:t>
      </w:r>
      <w:r w:rsidRPr="007B1D08">
        <w:rPr>
          <w:rFonts w:ascii="Arial" w:hAnsi="Arial" w:cs="Arial"/>
          <w:color w:val="000000" w:themeColor="text1"/>
          <w:sz w:val="24"/>
          <w:szCs w:val="24"/>
          <w:lang w:val="en-GB"/>
        </w:rPr>
        <w:t xml:space="preserve">. Available at: </w:t>
      </w:r>
      <w:hyperlink r:id="rId8" w:tgtFrame="_new" w:history="1">
        <w:r w:rsidRPr="007B1D08">
          <w:rPr>
            <w:rStyle w:val="Hyperlink"/>
            <w:rFonts w:ascii="Arial" w:hAnsi="Arial" w:cs="Arial"/>
            <w:color w:val="000000" w:themeColor="text1"/>
            <w:sz w:val="24"/>
            <w:szCs w:val="24"/>
            <w:lang w:val="en-GB"/>
          </w:rPr>
          <w:t>https://www.astrazeneca.com/media-centre/press-releases/2025/full-year-and-q4-2024-results.html</w:t>
        </w:r>
      </w:hyperlink>
      <w:r w:rsidRPr="007B1D08">
        <w:rPr>
          <w:rFonts w:ascii="Arial" w:hAnsi="Arial" w:cs="Arial"/>
          <w:color w:val="000000" w:themeColor="text1"/>
          <w:sz w:val="24"/>
          <w:szCs w:val="24"/>
          <w:lang w:val="en-GB"/>
        </w:rPr>
        <w:t xml:space="preserve"> (Accessed: 10 April 2026).</w:t>
      </w:r>
    </w:p>
    <w:p w14:paraId="0017FD3E" w14:textId="38F64E4D"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AstraZeneca (2025b) </w:t>
      </w:r>
      <w:r w:rsidRPr="007B1D08">
        <w:rPr>
          <w:rFonts w:ascii="Arial" w:hAnsi="Arial" w:cs="Arial"/>
          <w:i/>
          <w:iCs/>
          <w:color w:val="000000" w:themeColor="text1"/>
          <w:sz w:val="24"/>
          <w:szCs w:val="24"/>
          <w:lang w:val="en-GB"/>
        </w:rPr>
        <w:t>Sustainability at AstraZeneca</w:t>
      </w:r>
      <w:r w:rsidRPr="007B1D08">
        <w:rPr>
          <w:rFonts w:ascii="Arial" w:hAnsi="Arial" w:cs="Arial"/>
          <w:color w:val="000000" w:themeColor="text1"/>
          <w:sz w:val="24"/>
          <w:szCs w:val="24"/>
          <w:lang w:val="en-GB"/>
        </w:rPr>
        <w:t xml:space="preserve">. Available at: </w:t>
      </w:r>
      <w:hyperlink r:id="rId9" w:tgtFrame="_new" w:history="1">
        <w:r w:rsidRPr="007B1D08">
          <w:rPr>
            <w:rStyle w:val="Hyperlink"/>
            <w:rFonts w:ascii="Arial" w:hAnsi="Arial" w:cs="Arial"/>
            <w:color w:val="000000" w:themeColor="text1"/>
            <w:sz w:val="24"/>
            <w:szCs w:val="24"/>
            <w:lang w:val="en-GB"/>
          </w:rPr>
          <w:t>https://www.astrazeneca.com/sustainability.html</w:t>
        </w:r>
      </w:hyperlink>
      <w:r w:rsidRPr="007B1D08">
        <w:rPr>
          <w:rFonts w:ascii="Arial" w:hAnsi="Arial" w:cs="Arial"/>
          <w:color w:val="000000" w:themeColor="text1"/>
          <w:sz w:val="24"/>
          <w:szCs w:val="24"/>
          <w:lang w:val="en-GB"/>
        </w:rPr>
        <w:t xml:space="preserve"> (Accessed: 5 April 2026).</w:t>
      </w:r>
    </w:p>
    <w:p w14:paraId="335ADAA3" w14:textId="3B6AC044"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Belal, M.M., Shukla, V. </w:t>
      </w:r>
      <w:r w:rsidRPr="007B1D08">
        <w:rPr>
          <w:rFonts w:ascii="Arial" w:hAnsi="Arial" w:cs="Arial"/>
          <w:i/>
          <w:iCs/>
          <w:color w:val="000000" w:themeColor="text1"/>
          <w:sz w:val="24"/>
          <w:szCs w:val="24"/>
          <w:lang w:val="en-GB"/>
        </w:rPr>
        <w:t>et al.</w:t>
      </w:r>
      <w:r w:rsidRPr="007B1D08">
        <w:rPr>
          <w:rFonts w:ascii="Arial" w:hAnsi="Arial" w:cs="Arial"/>
          <w:color w:val="000000" w:themeColor="text1"/>
          <w:sz w:val="24"/>
          <w:szCs w:val="24"/>
          <w:lang w:val="en-GB"/>
        </w:rPr>
        <w:t xml:space="preserve"> (2025) ‘Greening the pharmaceutical supply chain’, </w:t>
      </w:r>
      <w:r w:rsidRPr="007B1D08">
        <w:rPr>
          <w:rFonts w:ascii="Arial" w:hAnsi="Arial" w:cs="Arial"/>
          <w:i/>
          <w:iCs/>
          <w:color w:val="000000" w:themeColor="text1"/>
          <w:sz w:val="24"/>
          <w:szCs w:val="24"/>
          <w:lang w:val="en-GB"/>
        </w:rPr>
        <w:t>Business Strategy and the Environment</w:t>
      </w:r>
      <w:r w:rsidRPr="007B1D08">
        <w:rPr>
          <w:rFonts w:ascii="Arial" w:hAnsi="Arial" w:cs="Arial"/>
          <w:color w:val="000000" w:themeColor="text1"/>
          <w:sz w:val="24"/>
          <w:szCs w:val="24"/>
          <w:lang w:val="en-GB"/>
        </w:rPr>
        <w:t xml:space="preserve">. Available at: </w:t>
      </w:r>
      <w:hyperlink r:id="rId10" w:tgtFrame="_new" w:history="1">
        <w:r w:rsidRPr="007B1D08">
          <w:rPr>
            <w:rStyle w:val="Hyperlink"/>
            <w:rFonts w:ascii="Arial" w:hAnsi="Arial" w:cs="Arial"/>
            <w:color w:val="000000" w:themeColor="text1"/>
            <w:sz w:val="24"/>
            <w:szCs w:val="24"/>
            <w:lang w:val="en-GB"/>
          </w:rPr>
          <w:t>https://onlinelibrary.wiley.com/doi/abs/10.1002/bse.4077</w:t>
        </w:r>
      </w:hyperlink>
      <w:r w:rsidRPr="007B1D08">
        <w:rPr>
          <w:rFonts w:ascii="Arial" w:hAnsi="Arial" w:cs="Arial"/>
          <w:color w:val="000000" w:themeColor="text1"/>
          <w:sz w:val="24"/>
          <w:szCs w:val="24"/>
          <w:lang w:val="en-GB"/>
        </w:rPr>
        <w:t xml:space="preserve"> (Accessed: 02 April 2026).</w:t>
      </w:r>
    </w:p>
    <w:p w14:paraId="3F827203" w14:textId="372D058E"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Booth, A. (2025) </w:t>
      </w:r>
      <w:r w:rsidRPr="007B1D08">
        <w:rPr>
          <w:rFonts w:ascii="Arial" w:hAnsi="Arial" w:cs="Arial"/>
          <w:i/>
          <w:iCs/>
          <w:color w:val="000000" w:themeColor="text1"/>
          <w:sz w:val="24"/>
          <w:szCs w:val="24"/>
          <w:lang w:val="en-GB"/>
        </w:rPr>
        <w:t>Shifting the discourse on multinational pharmaceutical companies’ climate action to support net zero progress: An adapted argumentative discourse analysis</w:t>
      </w:r>
      <w:r w:rsidRPr="007B1D08">
        <w:rPr>
          <w:rFonts w:ascii="Arial" w:hAnsi="Arial" w:cs="Arial"/>
          <w:color w:val="000000" w:themeColor="text1"/>
          <w:sz w:val="24"/>
          <w:szCs w:val="24"/>
          <w:lang w:val="en-GB"/>
        </w:rPr>
        <w:t xml:space="preserve">. Available at: </w:t>
      </w:r>
      <w:hyperlink r:id="rId11" w:tgtFrame="_new" w:history="1">
        <w:r w:rsidRPr="007B1D08">
          <w:rPr>
            <w:rStyle w:val="Hyperlink"/>
            <w:rFonts w:ascii="Arial" w:hAnsi="Arial" w:cs="Arial"/>
            <w:color w:val="000000" w:themeColor="text1"/>
            <w:sz w:val="24"/>
            <w:szCs w:val="24"/>
            <w:lang w:val="en-GB"/>
          </w:rPr>
          <w:t>https://ora.ox.ac.uk/objects/uuid:ae4f1691-abdf-4f08-9315-86b657c29cfc</w:t>
        </w:r>
      </w:hyperlink>
      <w:r w:rsidRPr="007B1D08">
        <w:rPr>
          <w:rFonts w:ascii="Arial" w:hAnsi="Arial" w:cs="Arial"/>
          <w:color w:val="000000" w:themeColor="text1"/>
          <w:sz w:val="24"/>
          <w:szCs w:val="24"/>
          <w:lang w:val="en-GB"/>
        </w:rPr>
        <w:t xml:space="preserve"> (Accessed: 19 March 2026).</w:t>
      </w:r>
    </w:p>
    <w:p w14:paraId="0A5CB98E" w14:textId="77777777"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Dicken, P. (2020) </w:t>
      </w:r>
      <w:r w:rsidRPr="007B1D08">
        <w:rPr>
          <w:rFonts w:ascii="Arial" w:hAnsi="Arial" w:cs="Arial"/>
          <w:i/>
          <w:iCs/>
          <w:color w:val="000000" w:themeColor="text1"/>
          <w:sz w:val="24"/>
          <w:szCs w:val="24"/>
          <w:lang w:val="en-GB"/>
        </w:rPr>
        <w:t>Global shift: Mapping the changing contours of the world economy</w:t>
      </w:r>
      <w:r w:rsidRPr="007B1D08">
        <w:rPr>
          <w:rFonts w:ascii="Arial" w:hAnsi="Arial" w:cs="Arial"/>
          <w:color w:val="000000" w:themeColor="text1"/>
          <w:sz w:val="24"/>
          <w:szCs w:val="24"/>
          <w:lang w:val="en-GB"/>
        </w:rPr>
        <w:t xml:space="preserve">. 8th </w:t>
      </w:r>
      <w:proofErr w:type="spellStart"/>
      <w:r w:rsidRPr="007B1D08">
        <w:rPr>
          <w:rFonts w:ascii="Arial" w:hAnsi="Arial" w:cs="Arial"/>
          <w:color w:val="000000" w:themeColor="text1"/>
          <w:sz w:val="24"/>
          <w:szCs w:val="24"/>
          <w:lang w:val="en-GB"/>
        </w:rPr>
        <w:t>edn</w:t>
      </w:r>
      <w:proofErr w:type="spellEnd"/>
      <w:r w:rsidRPr="007B1D08">
        <w:rPr>
          <w:rFonts w:ascii="Arial" w:hAnsi="Arial" w:cs="Arial"/>
          <w:color w:val="000000" w:themeColor="text1"/>
          <w:sz w:val="24"/>
          <w:szCs w:val="24"/>
          <w:lang w:val="en-GB"/>
        </w:rPr>
        <w:t>. London: Sage.</w:t>
      </w:r>
    </w:p>
    <w:p w14:paraId="2247359C" w14:textId="77777777"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Dwivedi, C. (2026) </w:t>
      </w:r>
      <w:r w:rsidRPr="007B1D08">
        <w:rPr>
          <w:rFonts w:ascii="Arial" w:hAnsi="Arial" w:cs="Arial"/>
          <w:i/>
          <w:iCs/>
          <w:color w:val="000000" w:themeColor="text1"/>
          <w:sz w:val="24"/>
          <w:szCs w:val="24"/>
          <w:lang w:val="en-GB"/>
        </w:rPr>
        <w:t>Strategic leadership and artificial intelligence integration in the pharmaceutical industry</w:t>
      </w:r>
      <w:r w:rsidRPr="007B1D08">
        <w:rPr>
          <w:rFonts w:ascii="Arial" w:hAnsi="Arial" w:cs="Arial"/>
          <w:color w:val="000000" w:themeColor="text1"/>
          <w:sz w:val="24"/>
          <w:szCs w:val="24"/>
          <w:lang w:val="en-GB"/>
        </w:rPr>
        <w:t xml:space="preserve">. Available at: </w:t>
      </w:r>
      <w:hyperlink r:id="rId12" w:tgtFrame="_new" w:history="1">
        <w:r w:rsidRPr="007B1D08">
          <w:rPr>
            <w:rStyle w:val="Hyperlink"/>
            <w:rFonts w:ascii="Arial" w:hAnsi="Arial" w:cs="Arial"/>
            <w:color w:val="000000" w:themeColor="text1"/>
            <w:sz w:val="24"/>
            <w:szCs w:val="24"/>
            <w:lang w:val="en-GB"/>
          </w:rPr>
          <w:t>https://repository.learn-portal.org/index.php/rps/article/view/1243</w:t>
        </w:r>
      </w:hyperlink>
      <w:r w:rsidRPr="007B1D08">
        <w:rPr>
          <w:rFonts w:ascii="Arial" w:hAnsi="Arial" w:cs="Arial"/>
          <w:color w:val="000000" w:themeColor="text1"/>
          <w:sz w:val="24"/>
          <w:szCs w:val="24"/>
          <w:lang w:val="en-GB"/>
        </w:rPr>
        <w:t xml:space="preserve"> (Accessed: 23 April 2026).</w:t>
      </w:r>
    </w:p>
    <w:p w14:paraId="20E05DEB" w14:textId="52AC632C"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Hammad, M., </w:t>
      </w:r>
      <w:proofErr w:type="spellStart"/>
      <w:r w:rsidRPr="007B1D08">
        <w:rPr>
          <w:rFonts w:ascii="Arial" w:hAnsi="Arial" w:cs="Arial"/>
          <w:color w:val="000000" w:themeColor="text1"/>
          <w:sz w:val="24"/>
          <w:szCs w:val="24"/>
          <w:lang w:val="en-GB"/>
        </w:rPr>
        <w:t>Panaousis</w:t>
      </w:r>
      <w:proofErr w:type="spellEnd"/>
      <w:r w:rsidRPr="007B1D08">
        <w:rPr>
          <w:rFonts w:ascii="Arial" w:hAnsi="Arial" w:cs="Arial"/>
          <w:color w:val="000000" w:themeColor="text1"/>
          <w:sz w:val="24"/>
          <w:szCs w:val="24"/>
          <w:lang w:val="en-GB"/>
        </w:rPr>
        <w:t xml:space="preserve">, M., Ali, H. and Khan, W.A. (2025) ‘Industry 4.0 in pharmaceuticals: A new era of smart manufacturing’, in </w:t>
      </w:r>
      <w:r w:rsidRPr="007B1D08">
        <w:rPr>
          <w:rFonts w:ascii="Arial" w:hAnsi="Arial" w:cs="Arial"/>
          <w:i/>
          <w:iCs/>
          <w:color w:val="000000" w:themeColor="text1"/>
          <w:sz w:val="24"/>
          <w:szCs w:val="24"/>
          <w:lang w:val="en-GB"/>
        </w:rPr>
        <w:t>Smart manufacturing blueprint in pharmaceuticals</w:t>
      </w:r>
      <w:r w:rsidRPr="007B1D08">
        <w:rPr>
          <w:rFonts w:ascii="Arial" w:hAnsi="Arial" w:cs="Arial"/>
          <w:color w:val="000000" w:themeColor="text1"/>
          <w:sz w:val="24"/>
          <w:szCs w:val="24"/>
          <w:lang w:val="en-GB"/>
        </w:rPr>
        <w:t xml:space="preserve">. Cham: Springer. Available at: </w:t>
      </w:r>
      <w:hyperlink r:id="rId13" w:tgtFrame="_new" w:history="1">
        <w:r w:rsidRPr="007B1D08">
          <w:rPr>
            <w:rStyle w:val="Hyperlink"/>
            <w:rFonts w:ascii="Arial" w:hAnsi="Arial" w:cs="Arial"/>
            <w:color w:val="000000" w:themeColor="text1"/>
            <w:sz w:val="24"/>
            <w:szCs w:val="24"/>
            <w:lang w:val="en-GB"/>
          </w:rPr>
          <w:t>https://link.springer.com/chapter/10.1007/978-3-032-00214-3_6</w:t>
        </w:r>
      </w:hyperlink>
      <w:r w:rsidRPr="007B1D08">
        <w:rPr>
          <w:rFonts w:ascii="Arial" w:hAnsi="Arial" w:cs="Arial"/>
          <w:color w:val="000000" w:themeColor="text1"/>
          <w:sz w:val="24"/>
          <w:szCs w:val="24"/>
          <w:lang w:val="en-GB"/>
        </w:rPr>
        <w:t xml:space="preserve"> (Accessed: 22 April 2026).</w:t>
      </w:r>
    </w:p>
    <w:p w14:paraId="5A7FB558" w14:textId="77777777"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Hill, C.W.L. (2023) </w:t>
      </w:r>
      <w:r w:rsidRPr="007B1D08">
        <w:rPr>
          <w:rFonts w:ascii="Arial" w:hAnsi="Arial" w:cs="Arial"/>
          <w:i/>
          <w:iCs/>
          <w:color w:val="000000" w:themeColor="text1"/>
          <w:sz w:val="24"/>
          <w:szCs w:val="24"/>
          <w:lang w:val="en-GB"/>
        </w:rPr>
        <w:t>International business: Competing in the global marketplace</w:t>
      </w:r>
      <w:r w:rsidRPr="007B1D08">
        <w:rPr>
          <w:rFonts w:ascii="Arial" w:hAnsi="Arial" w:cs="Arial"/>
          <w:color w:val="000000" w:themeColor="text1"/>
          <w:sz w:val="24"/>
          <w:szCs w:val="24"/>
          <w:lang w:val="en-GB"/>
        </w:rPr>
        <w:t xml:space="preserve">. 14th </w:t>
      </w:r>
      <w:proofErr w:type="spellStart"/>
      <w:r w:rsidRPr="007B1D08">
        <w:rPr>
          <w:rFonts w:ascii="Arial" w:hAnsi="Arial" w:cs="Arial"/>
          <w:color w:val="000000" w:themeColor="text1"/>
          <w:sz w:val="24"/>
          <w:szCs w:val="24"/>
          <w:lang w:val="en-GB"/>
        </w:rPr>
        <w:t>edn</w:t>
      </w:r>
      <w:proofErr w:type="spellEnd"/>
      <w:r w:rsidRPr="007B1D08">
        <w:rPr>
          <w:rFonts w:ascii="Arial" w:hAnsi="Arial" w:cs="Arial"/>
          <w:color w:val="000000" w:themeColor="text1"/>
          <w:sz w:val="24"/>
          <w:szCs w:val="24"/>
          <w:lang w:val="en-GB"/>
        </w:rPr>
        <w:t>. New York: McGraw-Hill.</w:t>
      </w:r>
    </w:p>
    <w:p w14:paraId="705CDAEA" w14:textId="77777777"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Ibáñez-Hernández, A. (2025) ‘Responsibility of the pharmaceutical industry: Sustainability and communication with publics’, </w:t>
      </w:r>
      <w:r w:rsidRPr="007B1D08">
        <w:rPr>
          <w:rFonts w:ascii="Arial" w:hAnsi="Arial" w:cs="Arial"/>
          <w:i/>
          <w:iCs/>
          <w:color w:val="000000" w:themeColor="text1"/>
          <w:sz w:val="24"/>
          <w:szCs w:val="24"/>
          <w:lang w:val="en-GB"/>
        </w:rPr>
        <w:t xml:space="preserve">Catalan Journal of Communication &amp; </w:t>
      </w:r>
      <w:r w:rsidRPr="007B1D08">
        <w:rPr>
          <w:rFonts w:ascii="Arial" w:hAnsi="Arial" w:cs="Arial"/>
          <w:i/>
          <w:iCs/>
          <w:color w:val="000000" w:themeColor="text1"/>
          <w:sz w:val="24"/>
          <w:szCs w:val="24"/>
          <w:lang w:val="en-GB"/>
        </w:rPr>
        <w:lastRenderedPageBreak/>
        <w:t>Cultural Studies</w:t>
      </w:r>
      <w:r w:rsidRPr="007B1D08">
        <w:rPr>
          <w:rFonts w:ascii="Arial" w:hAnsi="Arial" w:cs="Arial"/>
          <w:color w:val="000000" w:themeColor="text1"/>
          <w:sz w:val="24"/>
          <w:szCs w:val="24"/>
          <w:lang w:val="en-GB"/>
        </w:rPr>
        <w:t xml:space="preserve">. Available at: </w:t>
      </w:r>
      <w:hyperlink r:id="rId14" w:tgtFrame="_new" w:history="1">
        <w:r w:rsidRPr="007B1D08">
          <w:rPr>
            <w:rStyle w:val="Hyperlink"/>
            <w:rFonts w:ascii="Arial" w:hAnsi="Arial" w:cs="Arial"/>
            <w:color w:val="000000" w:themeColor="text1"/>
            <w:sz w:val="24"/>
            <w:szCs w:val="24"/>
            <w:lang w:val="en-GB"/>
          </w:rPr>
          <w:t>https://intellectdiscover.com/content/journals/10.1386/cjcs_00104_1</w:t>
        </w:r>
      </w:hyperlink>
      <w:r w:rsidRPr="007B1D08">
        <w:rPr>
          <w:rFonts w:ascii="Arial" w:hAnsi="Arial" w:cs="Arial"/>
          <w:color w:val="000000" w:themeColor="text1"/>
          <w:sz w:val="24"/>
          <w:szCs w:val="24"/>
          <w:lang w:val="en-GB"/>
        </w:rPr>
        <w:t xml:space="preserve"> (Accessed: 23 April 2026).</w:t>
      </w:r>
    </w:p>
    <w:p w14:paraId="35473D11" w14:textId="47B5D252"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AD4660">
        <w:rPr>
          <w:rFonts w:ascii="Arial" w:hAnsi="Arial" w:cs="Arial"/>
          <w:color w:val="000000" w:themeColor="text1"/>
          <w:sz w:val="24"/>
          <w:szCs w:val="24"/>
          <w:lang w:val="en-GB"/>
        </w:rPr>
        <w:t xml:space="preserve">Jain, D., Chandra, P., Ali, Z., Fatma, N. </w:t>
      </w:r>
      <w:r w:rsidRPr="00AD4660">
        <w:rPr>
          <w:rFonts w:ascii="Arial" w:hAnsi="Arial" w:cs="Arial"/>
          <w:i/>
          <w:iCs/>
          <w:color w:val="000000" w:themeColor="text1"/>
          <w:sz w:val="24"/>
          <w:szCs w:val="24"/>
          <w:lang w:val="en-GB"/>
        </w:rPr>
        <w:t>et al.</w:t>
      </w:r>
      <w:r w:rsidRPr="00AD4660">
        <w:rPr>
          <w:rFonts w:ascii="Arial" w:hAnsi="Arial" w:cs="Arial"/>
          <w:color w:val="000000" w:themeColor="text1"/>
          <w:sz w:val="24"/>
          <w:szCs w:val="24"/>
          <w:lang w:val="en-GB"/>
        </w:rPr>
        <w:t xml:space="preserve"> (2025) ‘A comprehensive investigation: Developing the pharmaceutical industry through artificial intelligence’, </w:t>
      </w:r>
      <w:r w:rsidRPr="00AD4660">
        <w:rPr>
          <w:rFonts w:ascii="Arial" w:hAnsi="Arial" w:cs="Arial"/>
          <w:i/>
          <w:iCs/>
          <w:color w:val="000000" w:themeColor="text1"/>
          <w:sz w:val="24"/>
          <w:szCs w:val="24"/>
          <w:lang w:val="en-GB"/>
        </w:rPr>
        <w:t>Current Drug Discovery Technologies</w:t>
      </w:r>
      <w:r w:rsidRPr="00AD4660">
        <w:rPr>
          <w:rFonts w:ascii="Arial" w:hAnsi="Arial" w:cs="Arial"/>
          <w:color w:val="000000" w:themeColor="text1"/>
          <w:sz w:val="24"/>
          <w:szCs w:val="24"/>
          <w:lang w:val="en-GB"/>
        </w:rPr>
        <w:t xml:space="preserve">. Available at: </w:t>
      </w:r>
      <w:hyperlink r:id="rId15" w:tgtFrame="_new" w:history="1">
        <w:r w:rsidRPr="007B1D08">
          <w:rPr>
            <w:rStyle w:val="Hyperlink"/>
            <w:rFonts w:ascii="Arial" w:hAnsi="Arial" w:cs="Arial"/>
            <w:color w:val="000000" w:themeColor="text1"/>
            <w:sz w:val="24"/>
            <w:szCs w:val="24"/>
            <w:lang w:val="en-GB"/>
          </w:rPr>
          <w:t>https://www.benthamdirect.com/content/journals/cddt/10.2174/0115701638313233240830132804</w:t>
        </w:r>
      </w:hyperlink>
      <w:r w:rsidRPr="007B1D08">
        <w:rPr>
          <w:rFonts w:ascii="Arial" w:hAnsi="Arial" w:cs="Arial"/>
          <w:color w:val="000000" w:themeColor="text1"/>
          <w:sz w:val="24"/>
          <w:szCs w:val="24"/>
          <w:lang w:val="en-GB"/>
        </w:rPr>
        <w:t xml:space="preserve"> (Accessed: 01 March 2026).</w:t>
      </w:r>
    </w:p>
    <w:p w14:paraId="08FE8AF9" w14:textId="49F0D144" w:rsidR="00AD4660" w:rsidRPr="007B1D08" w:rsidRDefault="00AD4660" w:rsidP="00AD4660">
      <w:pPr>
        <w:spacing w:after="0" w:line="360" w:lineRule="auto"/>
        <w:contextualSpacing/>
        <w:jc w:val="both"/>
        <w:rPr>
          <w:rFonts w:ascii="Arial" w:hAnsi="Arial" w:cs="Arial"/>
          <w:color w:val="000000" w:themeColor="text1"/>
          <w:sz w:val="24"/>
          <w:szCs w:val="24"/>
          <w:lang w:val="en-GB"/>
        </w:rPr>
      </w:pPr>
      <w:proofErr w:type="spellStart"/>
      <w:r w:rsidRPr="007B1D08">
        <w:rPr>
          <w:rFonts w:ascii="Arial" w:hAnsi="Arial" w:cs="Arial"/>
          <w:color w:val="000000" w:themeColor="text1"/>
          <w:sz w:val="24"/>
          <w:szCs w:val="24"/>
          <w:lang w:val="en-GB"/>
        </w:rPr>
        <w:t>Kalagbor</w:t>
      </w:r>
      <w:proofErr w:type="spellEnd"/>
      <w:r w:rsidRPr="007B1D08">
        <w:rPr>
          <w:rFonts w:ascii="Arial" w:hAnsi="Arial" w:cs="Arial"/>
          <w:color w:val="000000" w:themeColor="text1"/>
          <w:sz w:val="24"/>
          <w:szCs w:val="24"/>
          <w:lang w:val="en-GB"/>
        </w:rPr>
        <w:t xml:space="preserve">, T.C., Koshechkin, K., Oseshi, P.E. </w:t>
      </w:r>
      <w:r w:rsidRPr="007B1D08">
        <w:rPr>
          <w:rFonts w:ascii="Arial" w:hAnsi="Arial" w:cs="Arial"/>
          <w:i/>
          <w:iCs/>
          <w:color w:val="000000" w:themeColor="text1"/>
          <w:sz w:val="24"/>
          <w:szCs w:val="24"/>
          <w:lang w:val="en-GB"/>
        </w:rPr>
        <w:t>et al.</w:t>
      </w:r>
      <w:r w:rsidRPr="007B1D08">
        <w:rPr>
          <w:rFonts w:ascii="Arial" w:hAnsi="Arial" w:cs="Arial"/>
          <w:color w:val="000000" w:themeColor="text1"/>
          <w:sz w:val="24"/>
          <w:szCs w:val="24"/>
          <w:lang w:val="en-GB"/>
        </w:rPr>
        <w:t xml:space="preserve"> (2025) ‘Innovation management for artificial intelligence adoption in healthcare and biopharma: A mini-systematic review’, </w:t>
      </w:r>
      <w:r w:rsidRPr="007B1D08">
        <w:rPr>
          <w:rFonts w:ascii="Arial" w:hAnsi="Arial" w:cs="Arial"/>
          <w:i/>
          <w:iCs/>
          <w:color w:val="000000" w:themeColor="text1"/>
          <w:sz w:val="24"/>
          <w:szCs w:val="24"/>
          <w:lang w:val="en-GB"/>
        </w:rPr>
        <w:t>Artificial Intelligence in Health</w:t>
      </w:r>
      <w:r w:rsidRPr="007B1D08">
        <w:rPr>
          <w:rFonts w:ascii="Arial" w:hAnsi="Arial" w:cs="Arial"/>
          <w:color w:val="000000" w:themeColor="text1"/>
          <w:sz w:val="24"/>
          <w:szCs w:val="24"/>
          <w:lang w:val="en-GB"/>
        </w:rPr>
        <w:t xml:space="preserve">. Available at: </w:t>
      </w:r>
      <w:hyperlink r:id="rId16" w:tgtFrame="_new" w:history="1">
        <w:r w:rsidRPr="007B1D08">
          <w:rPr>
            <w:rStyle w:val="Hyperlink"/>
            <w:rFonts w:ascii="Arial" w:hAnsi="Arial" w:cs="Arial"/>
            <w:color w:val="000000" w:themeColor="text1"/>
            <w:sz w:val="24"/>
            <w:szCs w:val="24"/>
            <w:lang w:val="en-GB"/>
          </w:rPr>
          <w:t>https://journal.hep.com.cn/aih/EN/10.36922/AIH025180038</w:t>
        </w:r>
      </w:hyperlink>
      <w:r w:rsidRPr="007B1D08">
        <w:rPr>
          <w:rFonts w:ascii="Arial" w:hAnsi="Arial" w:cs="Arial"/>
          <w:color w:val="000000" w:themeColor="text1"/>
          <w:sz w:val="24"/>
          <w:szCs w:val="24"/>
          <w:lang w:val="en-GB"/>
        </w:rPr>
        <w:t xml:space="preserve"> (Accessed: 10 April 2026).</w:t>
      </w:r>
    </w:p>
    <w:p w14:paraId="2826251C" w14:textId="62D8DD17" w:rsidR="00AD4660" w:rsidRPr="007B1D08" w:rsidRDefault="00AD4660" w:rsidP="00AD4660">
      <w:pPr>
        <w:spacing w:after="0" w:line="360" w:lineRule="auto"/>
        <w:contextualSpacing/>
        <w:jc w:val="both"/>
        <w:rPr>
          <w:rFonts w:ascii="Arial" w:hAnsi="Arial" w:cs="Arial"/>
          <w:color w:val="000000" w:themeColor="text1"/>
          <w:sz w:val="24"/>
          <w:szCs w:val="24"/>
          <w:lang w:val="en-GB"/>
        </w:rPr>
      </w:pPr>
      <w:proofErr w:type="spellStart"/>
      <w:r w:rsidRPr="007B1D08">
        <w:rPr>
          <w:rFonts w:ascii="Arial" w:hAnsi="Arial" w:cs="Arial"/>
          <w:color w:val="000000" w:themeColor="text1"/>
          <w:sz w:val="24"/>
          <w:szCs w:val="24"/>
          <w:lang w:val="en-GB"/>
        </w:rPr>
        <w:t>Mökander</w:t>
      </w:r>
      <w:proofErr w:type="spellEnd"/>
      <w:r w:rsidRPr="007B1D08">
        <w:rPr>
          <w:rFonts w:ascii="Arial" w:hAnsi="Arial" w:cs="Arial"/>
          <w:color w:val="000000" w:themeColor="text1"/>
          <w:sz w:val="24"/>
          <w:szCs w:val="24"/>
          <w:lang w:val="en-GB"/>
        </w:rPr>
        <w:t xml:space="preserve">, J., Sheth, M., </w:t>
      </w:r>
      <w:proofErr w:type="spellStart"/>
      <w:r w:rsidRPr="007B1D08">
        <w:rPr>
          <w:rFonts w:ascii="Arial" w:hAnsi="Arial" w:cs="Arial"/>
          <w:color w:val="000000" w:themeColor="text1"/>
          <w:sz w:val="24"/>
          <w:szCs w:val="24"/>
          <w:lang w:val="en-GB"/>
        </w:rPr>
        <w:t>Gersbro-Sundler</w:t>
      </w:r>
      <w:proofErr w:type="spellEnd"/>
      <w:r w:rsidRPr="007B1D08">
        <w:rPr>
          <w:rFonts w:ascii="Arial" w:hAnsi="Arial" w:cs="Arial"/>
          <w:color w:val="000000" w:themeColor="text1"/>
          <w:sz w:val="24"/>
          <w:szCs w:val="24"/>
          <w:lang w:val="en-GB"/>
        </w:rPr>
        <w:t xml:space="preserve">, M. </w:t>
      </w:r>
      <w:r w:rsidRPr="007B1D08">
        <w:rPr>
          <w:rFonts w:ascii="Arial" w:hAnsi="Arial" w:cs="Arial"/>
          <w:i/>
          <w:iCs/>
          <w:color w:val="000000" w:themeColor="text1"/>
          <w:sz w:val="24"/>
          <w:szCs w:val="24"/>
          <w:lang w:val="en-GB"/>
        </w:rPr>
        <w:t>et al.</w:t>
      </w:r>
      <w:r w:rsidRPr="007B1D08">
        <w:rPr>
          <w:rFonts w:ascii="Arial" w:hAnsi="Arial" w:cs="Arial"/>
          <w:color w:val="000000" w:themeColor="text1"/>
          <w:sz w:val="24"/>
          <w:szCs w:val="24"/>
          <w:lang w:val="en-GB"/>
        </w:rPr>
        <w:t xml:space="preserve"> (2024) </w:t>
      </w:r>
      <w:r w:rsidRPr="007B1D08">
        <w:rPr>
          <w:rFonts w:ascii="Arial" w:hAnsi="Arial" w:cs="Arial"/>
          <w:i/>
          <w:iCs/>
          <w:color w:val="000000" w:themeColor="text1"/>
          <w:sz w:val="24"/>
          <w:szCs w:val="24"/>
          <w:lang w:val="en-GB"/>
        </w:rPr>
        <w:t>Challenges and best practices in corporate AI governance: Lessons from the biopharmaceutical industry</w:t>
      </w:r>
      <w:r w:rsidRPr="007B1D08">
        <w:rPr>
          <w:rFonts w:ascii="Arial" w:hAnsi="Arial" w:cs="Arial"/>
          <w:color w:val="000000" w:themeColor="text1"/>
          <w:sz w:val="24"/>
          <w:szCs w:val="24"/>
          <w:lang w:val="en-GB"/>
        </w:rPr>
        <w:t xml:space="preserve">. Available at: </w:t>
      </w:r>
      <w:hyperlink r:id="rId17" w:tgtFrame="_new" w:history="1">
        <w:r w:rsidRPr="007B1D08">
          <w:rPr>
            <w:rStyle w:val="Hyperlink"/>
            <w:rFonts w:ascii="Arial" w:hAnsi="Arial" w:cs="Arial"/>
            <w:color w:val="000000" w:themeColor="text1"/>
            <w:sz w:val="24"/>
            <w:szCs w:val="24"/>
            <w:lang w:val="en-GB"/>
          </w:rPr>
          <w:t>https://arxiv.org/abs/2407.05339</w:t>
        </w:r>
      </w:hyperlink>
      <w:r w:rsidRPr="007B1D08">
        <w:rPr>
          <w:rFonts w:ascii="Arial" w:hAnsi="Arial" w:cs="Arial"/>
          <w:color w:val="000000" w:themeColor="text1"/>
          <w:sz w:val="24"/>
          <w:szCs w:val="24"/>
          <w:lang w:val="en-GB"/>
        </w:rPr>
        <w:t xml:space="preserve"> (Accessed: 10 April 2026).</w:t>
      </w:r>
    </w:p>
    <w:p w14:paraId="5A6A74EB" w14:textId="77777777" w:rsidR="00AD4660" w:rsidRPr="007B1D08" w:rsidRDefault="00AD4660" w:rsidP="00AD4660">
      <w:pPr>
        <w:spacing w:after="0" w:line="360" w:lineRule="auto"/>
        <w:contextualSpacing/>
        <w:jc w:val="both"/>
        <w:rPr>
          <w:rFonts w:ascii="Arial" w:hAnsi="Arial" w:cs="Arial"/>
          <w:color w:val="000000" w:themeColor="text1"/>
          <w:sz w:val="24"/>
          <w:szCs w:val="24"/>
          <w:lang w:val="en-GB"/>
        </w:rPr>
      </w:pPr>
      <w:proofErr w:type="spellStart"/>
      <w:r w:rsidRPr="007B1D08">
        <w:rPr>
          <w:rFonts w:ascii="Arial" w:hAnsi="Arial" w:cs="Arial"/>
          <w:color w:val="000000" w:themeColor="text1"/>
          <w:sz w:val="24"/>
          <w:szCs w:val="24"/>
          <w:lang w:val="en-GB"/>
        </w:rPr>
        <w:t>Nydén</w:t>
      </w:r>
      <w:proofErr w:type="spellEnd"/>
      <w:r w:rsidRPr="007B1D08">
        <w:rPr>
          <w:rFonts w:ascii="Arial" w:hAnsi="Arial" w:cs="Arial"/>
          <w:color w:val="000000" w:themeColor="text1"/>
          <w:sz w:val="24"/>
          <w:szCs w:val="24"/>
          <w:lang w:val="en-GB"/>
        </w:rPr>
        <w:t xml:space="preserve">, M. and Bika, D. (2024) ‘New medicines design, development and commercialization in the era of AI’, in </w:t>
      </w:r>
      <w:r w:rsidRPr="007B1D08">
        <w:rPr>
          <w:rFonts w:ascii="Arial" w:hAnsi="Arial" w:cs="Arial"/>
          <w:i/>
          <w:iCs/>
          <w:color w:val="000000" w:themeColor="text1"/>
          <w:sz w:val="24"/>
          <w:szCs w:val="24"/>
          <w:lang w:val="en-GB"/>
        </w:rPr>
        <w:t>LMDE Conference Proceedings</w:t>
      </w:r>
      <w:r w:rsidRPr="007B1D08">
        <w:rPr>
          <w:rFonts w:ascii="Arial" w:hAnsi="Arial" w:cs="Arial"/>
          <w:color w:val="000000" w:themeColor="text1"/>
          <w:sz w:val="24"/>
          <w:szCs w:val="24"/>
          <w:lang w:val="en-GB"/>
        </w:rPr>
        <w:t xml:space="preserve">. Cham: Springer. Available at: </w:t>
      </w:r>
      <w:hyperlink r:id="rId18" w:tgtFrame="_new" w:history="1">
        <w:r w:rsidRPr="007B1D08">
          <w:rPr>
            <w:rStyle w:val="Hyperlink"/>
            <w:rFonts w:ascii="Arial" w:hAnsi="Arial" w:cs="Arial"/>
            <w:color w:val="000000" w:themeColor="text1"/>
            <w:sz w:val="24"/>
            <w:szCs w:val="24"/>
            <w:lang w:val="en-GB"/>
          </w:rPr>
          <w:t>https://link.springer.com/chapter/10.1007/978-3-031-65782-5_10</w:t>
        </w:r>
      </w:hyperlink>
      <w:r w:rsidRPr="007B1D08">
        <w:rPr>
          <w:rFonts w:ascii="Arial" w:hAnsi="Arial" w:cs="Arial"/>
          <w:color w:val="000000" w:themeColor="text1"/>
          <w:sz w:val="24"/>
          <w:szCs w:val="24"/>
          <w:lang w:val="en-GB"/>
        </w:rPr>
        <w:t xml:space="preserve"> (Accessed: 23 April 2026).</w:t>
      </w:r>
    </w:p>
    <w:p w14:paraId="41143BBB" w14:textId="77777777" w:rsidR="00AD4660" w:rsidRPr="007B1D08" w:rsidRDefault="00AD4660" w:rsidP="00AD4660">
      <w:pPr>
        <w:spacing w:after="0" w:line="360" w:lineRule="auto"/>
        <w:contextualSpacing/>
        <w:jc w:val="both"/>
        <w:rPr>
          <w:rFonts w:ascii="Arial" w:hAnsi="Arial" w:cs="Arial"/>
          <w:color w:val="000000" w:themeColor="text1"/>
          <w:sz w:val="24"/>
          <w:szCs w:val="24"/>
          <w:lang w:val="en-GB"/>
        </w:rPr>
      </w:pPr>
      <w:proofErr w:type="spellStart"/>
      <w:r w:rsidRPr="007B1D08">
        <w:rPr>
          <w:rFonts w:ascii="Arial" w:hAnsi="Arial" w:cs="Arial"/>
          <w:color w:val="000000" w:themeColor="text1"/>
          <w:sz w:val="24"/>
          <w:szCs w:val="24"/>
          <w:lang w:val="en-GB"/>
        </w:rPr>
        <w:t>Sazvar</w:t>
      </w:r>
      <w:proofErr w:type="spellEnd"/>
      <w:r w:rsidRPr="007B1D08">
        <w:rPr>
          <w:rFonts w:ascii="Arial" w:hAnsi="Arial" w:cs="Arial"/>
          <w:color w:val="000000" w:themeColor="text1"/>
          <w:sz w:val="24"/>
          <w:szCs w:val="24"/>
          <w:lang w:val="en-GB"/>
        </w:rPr>
        <w:t xml:space="preserve">, Z. (2025) ‘Sustainability in the pharmaceutical supply chain’, in </w:t>
      </w:r>
      <w:r w:rsidRPr="007B1D08">
        <w:rPr>
          <w:rFonts w:ascii="Arial" w:hAnsi="Arial" w:cs="Arial"/>
          <w:i/>
          <w:iCs/>
          <w:color w:val="000000" w:themeColor="text1"/>
          <w:sz w:val="24"/>
          <w:szCs w:val="24"/>
          <w:lang w:val="en-GB"/>
        </w:rPr>
        <w:t>Sustainability in the manufacturing of pharmaceuticals</w:t>
      </w:r>
      <w:r w:rsidRPr="007B1D08">
        <w:rPr>
          <w:rFonts w:ascii="Arial" w:hAnsi="Arial" w:cs="Arial"/>
          <w:color w:val="000000" w:themeColor="text1"/>
          <w:sz w:val="24"/>
          <w:szCs w:val="24"/>
          <w:lang w:val="en-GB"/>
        </w:rPr>
        <w:t xml:space="preserve">. Elsevier. Available at: </w:t>
      </w:r>
      <w:hyperlink r:id="rId19" w:tgtFrame="_new" w:history="1">
        <w:r w:rsidRPr="007B1D08">
          <w:rPr>
            <w:rStyle w:val="Hyperlink"/>
            <w:rFonts w:ascii="Arial" w:hAnsi="Arial" w:cs="Arial"/>
            <w:color w:val="000000" w:themeColor="text1"/>
            <w:sz w:val="24"/>
            <w:szCs w:val="24"/>
            <w:lang w:val="en-GB"/>
          </w:rPr>
          <w:t>https://www.sciencedirect.com/science/article/pii/B978044328921700004X</w:t>
        </w:r>
      </w:hyperlink>
      <w:r w:rsidRPr="007B1D08">
        <w:rPr>
          <w:rFonts w:ascii="Arial" w:hAnsi="Arial" w:cs="Arial"/>
          <w:color w:val="000000" w:themeColor="text1"/>
          <w:sz w:val="24"/>
          <w:szCs w:val="24"/>
          <w:lang w:val="en-GB"/>
        </w:rPr>
        <w:t xml:space="preserve"> (Accessed: 23 April 2026).</w:t>
      </w:r>
    </w:p>
    <w:p w14:paraId="40443F0A" w14:textId="35249BBC" w:rsidR="00AD4660" w:rsidRPr="007B1D08"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Sharma, K. and </w:t>
      </w:r>
      <w:proofErr w:type="spellStart"/>
      <w:r w:rsidRPr="007B1D08">
        <w:rPr>
          <w:rFonts w:ascii="Arial" w:hAnsi="Arial" w:cs="Arial"/>
          <w:color w:val="000000" w:themeColor="text1"/>
          <w:sz w:val="24"/>
          <w:szCs w:val="24"/>
          <w:lang w:val="en-GB"/>
        </w:rPr>
        <w:t>Manchikanti</w:t>
      </w:r>
      <w:proofErr w:type="spellEnd"/>
      <w:r w:rsidRPr="007B1D08">
        <w:rPr>
          <w:rFonts w:ascii="Arial" w:hAnsi="Arial" w:cs="Arial"/>
          <w:color w:val="000000" w:themeColor="text1"/>
          <w:sz w:val="24"/>
          <w:szCs w:val="24"/>
          <w:lang w:val="en-GB"/>
        </w:rPr>
        <w:t xml:space="preserve">, P. (2024) ‘Artificial intelligence in drug development and healthcare—nature and scope’, in </w:t>
      </w:r>
      <w:r w:rsidRPr="007B1D08">
        <w:rPr>
          <w:rFonts w:ascii="Arial" w:hAnsi="Arial" w:cs="Arial"/>
          <w:i/>
          <w:iCs/>
          <w:color w:val="000000" w:themeColor="text1"/>
          <w:sz w:val="24"/>
          <w:szCs w:val="24"/>
          <w:lang w:val="en-GB"/>
        </w:rPr>
        <w:t>Artificial intelligence in drug development and healthcare</w:t>
      </w:r>
      <w:r w:rsidRPr="007B1D08">
        <w:rPr>
          <w:rFonts w:ascii="Arial" w:hAnsi="Arial" w:cs="Arial"/>
          <w:color w:val="000000" w:themeColor="text1"/>
          <w:sz w:val="24"/>
          <w:szCs w:val="24"/>
          <w:lang w:val="en-GB"/>
        </w:rPr>
        <w:t xml:space="preserve">. Singapore: Springer. Available at: </w:t>
      </w:r>
      <w:hyperlink r:id="rId20" w:tgtFrame="_new" w:history="1">
        <w:r w:rsidRPr="007B1D08">
          <w:rPr>
            <w:rStyle w:val="Hyperlink"/>
            <w:rFonts w:ascii="Arial" w:hAnsi="Arial" w:cs="Arial"/>
            <w:color w:val="000000" w:themeColor="text1"/>
            <w:sz w:val="24"/>
            <w:szCs w:val="24"/>
            <w:lang w:val="en-GB"/>
          </w:rPr>
          <w:t>https://link.springer.com/chapter/10.1007/978-981-97-2954-8_1</w:t>
        </w:r>
      </w:hyperlink>
      <w:r w:rsidRPr="007B1D08">
        <w:rPr>
          <w:rFonts w:ascii="Arial" w:hAnsi="Arial" w:cs="Arial"/>
          <w:color w:val="000000" w:themeColor="text1"/>
          <w:sz w:val="24"/>
          <w:szCs w:val="24"/>
          <w:lang w:val="en-GB"/>
        </w:rPr>
        <w:t xml:space="preserve"> (Accessed: 10 April 2026).</w:t>
      </w:r>
    </w:p>
    <w:p w14:paraId="15332EC3" w14:textId="77777777" w:rsidR="00AD4660" w:rsidRDefault="00AD4660" w:rsidP="00AD4660">
      <w:pPr>
        <w:spacing w:after="0" w:line="360" w:lineRule="auto"/>
        <w:contextualSpacing/>
        <w:jc w:val="both"/>
        <w:rPr>
          <w:rFonts w:ascii="Arial" w:hAnsi="Arial" w:cs="Arial"/>
          <w:color w:val="000000" w:themeColor="text1"/>
          <w:sz w:val="24"/>
          <w:szCs w:val="24"/>
          <w:lang w:val="en-GB"/>
        </w:rPr>
      </w:pPr>
      <w:r w:rsidRPr="007B1D08">
        <w:rPr>
          <w:rFonts w:ascii="Arial" w:hAnsi="Arial" w:cs="Arial"/>
          <w:color w:val="000000" w:themeColor="text1"/>
          <w:sz w:val="24"/>
          <w:szCs w:val="24"/>
          <w:lang w:val="en-GB"/>
        </w:rPr>
        <w:t xml:space="preserve">Van Tulder, R., Verbeke, A. and Jankowska, B. (2024) </w:t>
      </w:r>
      <w:r w:rsidRPr="007B1D08">
        <w:rPr>
          <w:rFonts w:ascii="Arial" w:hAnsi="Arial" w:cs="Arial"/>
          <w:i/>
          <w:iCs/>
          <w:color w:val="000000" w:themeColor="text1"/>
          <w:sz w:val="24"/>
          <w:szCs w:val="24"/>
          <w:lang w:val="en-GB"/>
        </w:rPr>
        <w:t>International business in a turbulent world</w:t>
      </w:r>
      <w:r w:rsidRPr="007B1D08">
        <w:rPr>
          <w:rFonts w:ascii="Arial" w:hAnsi="Arial" w:cs="Arial"/>
          <w:color w:val="000000" w:themeColor="text1"/>
          <w:sz w:val="24"/>
          <w:szCs w:val="24"/>
          <w:lang w:val="en-GB"/>
        </w:rPr>
        <w:t>. Abingdon: Routledge.</w:t>
      </w:r>
    </w:p>
    <w:p w14:paraId="5F2142DE" w14:textId="77777777" w:rsidR="00D302D7" w:rsidRDefault="00D302D7" w:rsidP="00AD4660">
      <w:pPr>
        <w:spacing w:after="0" w:line="360" w:lineRule="auto"/>
        <w:contextualSpacing/>
        <w:jc w:val="both"/>
        <w:rPr>
          <w:rFonts w:ascii="Arial" w:hAnsi="Arial" w:cs="Arial"/>
          <w:color w:val="000000" w:themeColor="text1"/>
          <w:sz w:val="24"/>
          <w:szCs w:val="24"/>
          <w:lang w:val="en-GB"/>
        </w:rPr>
      </w:pPr>
    </w:p>
    <w:p w14:paraId="50C39E3A" w14:textId="77777777" w:rsidR="00D302D7" w:rsidRPr="007B1D08" w:rsidRDefault="00D302D7" w:rsidP="00AD4660">
      <w:pPr>
        <w:spacing w:after="0" w:line="360" w:lineRule="auto"/>
        <w:contextualSpacing/>
        <w:jc w:val="both"/>
        <w:rPr>
          <w:rFonts w:ascii="Arial" w:hAnsi="Arial" w:cs="Arial"/>
          <w:color w:val="000000" w:themeColor="text1"/>
          <w:sz w:val="24"/>
          <w:szCs w:val="24"/>
          <w:lang w:val="en-GB"/>
        </w:rPr>
      </w:pPr>
    </w:p>
    <w:p w14:paraId="0B070704" w14:textId="77777777" w:rsidR="00C0247D" w:rsidRPr="00AD4660" w:rsidRDefault="00C0247D" w:rsidP="00B06CBA">
      <w:pPr>
        <w:spacing w:after="0" w:line="360" w:lineRule="auto"/>
        <w:contextualSpacing/>
        <w:jc w:val="both"/>
        <w:rPr>
          <w:rFonts w:ascii="Arial" w:hAnsi="Arial" w:cs="Arial"/>
          <w:color w:val="000000" w:themeColor="text1"/>
          <w:sz w:val="24"/>
          <w:szCs w:val="24"/>
        </w:rPr>
      </w:pPr>
    </w:p>
    <w:sectPr w:rsidR="00C0247D" w:rsidRPr="00AD4660" w:rsidSect="004A7F8E">
      <w:head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ABACDD" w14:textId="77777777" w:rsidR="00FD3BE0" w:rsidRDefault="00FD3BE0" w:rsidP="004A7F8E">
      <w:pPr>
        <w:spacing w:after="0" w:line="240" w:lineRule="auto"/>
      </w:pPr>
      <w:r>
        <w:separator/>
      </w:r>
    </w:p>
  </w:endnote>
  <w:endnote w:type="continuationSeparator" w:id="0">
    <w:p w14:paraId="3958E67D" w14:textId="77777777" w:rsidR="00FD3BE0" w:rsidRDefault="00FD3BE0" w:rsidP="004A7F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510B89" w14:textId="77777777" w:rsidR="00FD3BE0" w:rsidRDefault="00FD3BE0" w:rsidP="004A7F8E">
      <w:pPr>
        <w:spacing w:after="0" w:line="240" w:lineRule="auto"/>
      </w:pPr>
      <w:r>
        <w:separator/>
      </w:r>
    </w:p>
  </w:footnote>
  <w:footnote w:type="continuationSeparator" w:id="0">
    <w:p w14:paraId="51175F13" w14:textId="77777777" w:rsidR="00FD3BE0" w:rsidRDefault="00FD3BE0" w:rsidP="004A7F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7603121"/>
      <w:docPartObj>
        <w:docPartGallery w:val="Page Numbers (Top of Page)"/>
        <w:docPartUnique/>
      </w:docPartObj>
    </w:sdtPr>
    <w:sdtEndPr>
      <w:rPr>
        <w:noProof/>
      </w:rPr>
    </w:sdtEndPr>
    <w:sdtContent>
      <w:p w14:paraId="5B618AB0" w14:textId="06966D98" w:rsidR="004A7F8E" w:rsidRDefault="004A7F8E">
        <w:pPr>
          <w:pStyle w:val="Header"/>
          <w:jc w:val="right"/>
        </w:pPr>
        <w:r w:rsidRPr="004A7F8E">
          <w:rPr>
            <w:rFonts w:ascii="Times New Roman" w:hAnsi="Times New Roman" w:cs="Times New Roman"/>
            <w:color w:val="000000" w:themeColor="text1"/>
            <w:sz w:val="24"/>
            <w:szCs w:val="24"/>
          </w:rPr>
          <w:fldChar w:fldCharType="begin"/>
        </w:r>
        <w:r w:rsidRPr="004A7F8E">
          <w:rPr>
            <w:rFonts w:ascii="Times New Roman" w:hAnsi="Times New Roman" w:cs="Times New Roman"/>
            <w:color w:val="000000" w:themeColor="text1"/>
            <w:sz w:val="24"/>
            <w:szCs w:val="24"/>
          </w:rPr>
          <w:instrText xml:space="preserve"> PAGE   \* MERGEFORMAT </w:instrText>
        </w:r>
        <w:r w:rsidRPr="004A7F8E">
          <w:rPr>
            <w:rFonts w:ascii="Times New Roman" w:hAnsi="Times New Roman" w:cs="Times New Roman"/>
            <w:color w:val="000000" w:themeColor="text1"/>
            <w:sz w:val="24"/>
            <w:szCs w:val="24"/>
          </w:rPr>
          <w:fldChar w:fldCharType="separate"/>
        </w:r>
        <w:r w:rsidRPr="004A7F8E">
          <w:rPr>
            <w:rFonts w:ascii="Times New Roman" w:hAnsi="Times New Roman" w:cs="Times New Roman"/>
            <w:noProof/>
            <w:color w:val="000000" w:themeColor="text1"/>
            <w:sz w:val="24"/>
            <w:szCs w:val="24"/>
          </w:rPr>
          <w:t>2</w:t>
        </w:r>
        <w:r w:rsidRPr="004A7F8E">
          <w:rPr>
            <w:rFonts w:ascii="Times New Roman" w:hAnsi="Times New Roman" w:cs="Times New Roman"/>
            <w:noProof/>
            <w:color w:val="000000" w:themeColor="text1"/>
            <w:sz w:val="24"/>
            <w:szCs w:val="24"/>
          </w:rPr>
          <w:fldChar w:fldCharType="end"/>
        </w:r>
      </w:p>
    </w:sdtContent>
  </w:sdt>
  <w:p w14:paraId="32AE41B0" w14:textId="77777777" w:rsidR="004A7F8E" w:rsidRDefault="004A7F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83A"/>
    <w:rsid w:val="000019E6"/>
    <w:rsid w:val="00043216"/>
    <w:rsid w:val="000A057B"/>
    <w:rsid w:val="000F5219"/>
    <w:rsid w:val="00123727"/>
    <w:rsid w:val="001714A7"/>
    <w:rsid w:val="0018383A"/>
    <w:rsid w:val="001C4424"/>
    <w:rsid w:val="00276F09"/>
    <w:rsid w:val="002A0D9C"/>
    <w:rsid w:val="002B12B6"/>
    <w:rsid w:val="00377138"/>
    <w:rsid w:val="003908D1"/>
    <w:rsid w:val="003C6F0C"/>
    <w:rsid w:val="00400E35"/>
    <w:rsid w:val="00401A5A"/>
    <w:rsid w:val="00472B60"/>
    <w:rsid w:val="0048379E"/>
    <w:rsid w:val="004A1BAE"/>
    <w:rsid w:val="004A7F8E"/>
    <w:rsid w:val="004E6D7B"/>
    <w:rsid w:val="005137E0"/>
    <w:rsid w:val="005673CE"/>
    <w:rsid w:val="0057735B"/>
    <w:rsid w:val="0058406E"/>
    <w:rsid w:val="005E72FD"/>
    <w:rsid w:val="00633E14"/>
    <w:rsid w:val="00712A01"/>
    <w:rsid w:val="00743DBD"/>
    <w:rsid w:val="0075058A"/>
    <w:rsid w:val="007671BD"/>
    <w:rsid w:val="007B1D08"/>
    <w:rsid w:val="007B4984"/>
    <w:rsid w:val="007B7954"/>
    <w:rsid w:val="00852879"/>
    <w:rsid w:val="008F1C34"/>
    <w:rsid w:val="00990052"/>
    <w:rsid w:val="009E5CBB"/>
    <w:rsid w:val="00A3448B"/>
    <w:rsid w:val="00A76C80"/>
    <w:rsid w:val="00A811D1"/>
    <w:rsid w:val="00AA1B98"/>
    <w:rsid w:val="00AD21F4"/>
    <w:rsid w:val="00AD4660"/>
    <w:rsid w:val="00B06CBA"/>
    <w:rsid w:val="00B80937"/>
    <w:rsid w:val="00B923FD"/>
    <w:rsid w:val="00C0247D"/>
    <w:rsid w:val="00C268ED"/>
    <w:rsid w:val="00C62AF5"/>
    <w:rsid w:val="00C77A07"/>
    <w:rsid w:val="00CD5257"/>
    <w:rsid w:val="00CD6827"/>
    <w:rsid w:val="00CE2FB4"/>
    <w:rsid w:val="00D302D7"/>
    <w:rsid w:val="00D66576"/>
    <w:rsid w:val="00E026BC"/>
    <w:rsid w:val="00E165A8"/>
    <w:rsid w:val="00E20E1D"/>
    <w:rsid w:val="00E43098"/>
    <w:rsid w:val="00E663E3"/>
    <w:rsid w:val="00EB190F"/>
    <w:rsid w:val="00F21352"/>
    <w:rsid w:val="00F31144"/>
    <w:rsid w:val="00F62B17"/>
    <w:rsid w:val="00FC4134"/>
    <w:rsid w:val="00FD3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6D984"/>
  <w15:chartTrackingRefBased/>
  <w15:docId w15:val="{900F20B6-84C8-4122-9B84-A6C3C2626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3FD"/>
    <w:pPr>
      <w:spacing w:before="100" w:beforeAutospacing="1" w:after="100" w:afterAutospacing="1" w:line="240" w:lineRule="auto"/>
      <w:outlineLvl w:val="0"/>
    </w:pPr>
    <w:rPr>
      <w:rFonts w:ascii="Times New Roman" w:eastAsia="Times New Roman" w:hAnsi="Times New Roman" w:cs="Times New Roman"/>
      <w:b/>
      <w:bCs/>
      <w:i/>
      <w:iCs/>
      <w:color w:val="000000" w:themeColor="text1"/>
      <w:kern w:val="0"/>
      <w:sz w:val="24"/>
      <w:szCs w:val="24"/>
      <w14:ligatures w14:val="none"/>
    </w:rPr>
  </w:style>
  <w:style w:type="paragraph" w:styleId="Heading2">
    <w:name w:val="heading 2"/>
    <w:basedOn w:val="Normal"/>
    <w:link w:val="Heading2Char"/>
    <w:uiPriority w:val="9"/>
    <w:qFormat/>
    <w:rsid w:val="000F5219"/>
    <w:pPr>
      <w:spacing w:before="100" w:beforeAutospacing="1" w:after="100" w:afterAutospacing="1" w:line="240" w:lineRule="auto"/>
      <w:jc w:val="both"/>
      <w:outlineLvl w:val="1"/>
    </w:pPr>
    <w:rPr>
      <w:rFonts w:ascii="Times New Roman" w:eastAsia="Times New Roman" w:hAnsi="Times New Roman" w:cs="Times New Roman"/>
      <w:i/>
      <w:iCs/>
      <w:color w:val="000000" w:themeColor="text1"/>
      <w:kern w:val="0"/>
      <w:sz w:val="24"/>
      <w:szCs w:val="24"/>
      <w14:ligatures w14:val="none"/>
    </w:rPr>
  </w:style>
  <w:style w:type="paragraph" w:styleId="Heading3">
    <w:name w:val="heading 3"/>
    <w:basedOn w:val="Normal"/>
    <w:link w:val="Heading3Char"/>
    <w:uiPriority w:val="9"/>
    <w:qFormat/>
    <w:rsid w:val="0018383A"/>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CE2FB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5219"/>
    <w:rPr>
      <w:rFonts w:ascii="Times New Roman" w:eastAsia="Times New Roman" w:hAnsi="Times New Roman" w:cs="Times New Roman"/>
      <w:i/>
      <w:iCs/>
      <w:color w:val="000000" w:themeColor="text1"/>
      <w:kern w:val="0"/>
      <w:sz w:val="24"/>
      <w:szCs w:val="24"/>
      <w14:ligatures w14:val="none"/>
    </w:rPr>
  </w:style>
  <w:style w:type="character" w:customStyle="1" w:styleId="Heading3Char">
    <w:name w:val="Heading 3 Char"/>
    <w:basedOn w:val="DefaultParagraphFont"/>
    <w:link w:val="Heading3"/>
    <w:uiPriority w:val="9"/>
    <w:rsid w:val="0018383A"/>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18383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18383A"/>
    <w:rPr>
      <w:b/>
      <w:bCs/>
    </w:rPr>
  </w:style>
  <w:style w:type="character" w:styleId="Emphasis">
    <w:name w:val="Emphasis"/>
    <w:basedOn w:val="DefaultParagraphFont"/>
    <w:uiPriority w:val="20"/>
    <w:qFormat/>
    <w:rsid w:val="0018383A"/>
    <w:rPr>
      <w:i/>
      <w:iCs/>
    </w:rPr>
  </w:style>
  <w:style w:type="character" w:styleId="Hyperlink">
    <w:name w:val="Hyperlink"/>
    <w:basedOn w:val="DefaultParagraphFont"/>
    <w:uiPriority w:val="99"/>
    <w:unhideWhenUsed/>
    <w:rsid w:val="0018383A"/>
    <w:rPr>
      <w:color w:val="0000FF"/>
      <w:u w:val="single"/>
    </w:rPr>
  </w:style>
  <w:style w:type="character" w:customStyle="1" w:styleId="Heading1Char">
    <w:name w:val="Heading 1 Char"/>
    <w:basedOn w:val="DefaultParagraphFont"/>
    <w:link w:val="Heading1"/>
    <w:uiPriority w:val="9"/>
    <w:rsid w:val="00B923FD"/>
    <w:rPr>
      <w:rFonts w:ascii="Times New Roman" w:eastAsia="Times New Roman" w:hAnsi="Times New Roman" w:cs="Times New Roman"/>
      <w:b/>
      <w:bCs/>
      <w:i/>
      <w:iCs/>
      <w:color w:val="000000" w:themeColor="text1"/>
      <w:kern w:val="0"/>
      <w:sz w:val="24"/>
      <w:szCs w:val="24"/>
      <w14:ligatures w14:val="none"/>
    </w:rPr>
  </w:style>
  <w:style w:type="paragraph" w:styleId="TOCHeading">
    <w:name w:val="TOC Heading"/>
    <w:basedOn w:val="Heading1"/>
    <w:next w:val="Normal"/>
    <w:uiPriority w:val="39"/>
    <w:unhideWhenUsed/>
    <w:qFormat/>
    <w:rsid w:val="0018383A"/>
    <w:pPr>
      <w:outlineLvl w:val="9"/>
    </w:pPr>
  </w:style>
  <w:style w:type="paragraph" w:styleId="TOC2">
    <w:name w:val="toc 2"/>
    <w:basedOn w:val="Normal"/>
    <w:next w:val="Normal"/>
    <w:autoRedefine/>
    <w:uiPriority w:val="39"/>
    <w:unhideWhenUsed/>
    <w:rsid w:val="0018383A"/>
    <w:pPr>
      <w:spacing w:after="100"/>
      <w:ind w:left="220"/>
    </w:pPr>
  </w:style>
  <w:style w:type="paragraph" w:styleId="TOC3">
    <w:name w:val="toc 3"/>
    <w:basedOn w:val="Normal"/>
    <w:next w:val="Normal"/>
    <w:autoRedefine/>
    <w:uiPriority w:val="39"/>
    <w:unhideWhenUsed/>
    <w:rsid w:val="0018383A"/>
    <w:pPr>
      <w:spacing w:after="100"/>
      <w:ind w:left="440"/>
    </w:pPr>
  </w:style>
  <w:style w:type="character" w:customStyle="1" w:styleId="cursor-pointer">
    <w:name w:val="cursor-pointer"/>
    <w:basedOn w:val="DefaultParagraphFont"/>
    <w:rsid w:val="00B923FD"/>
  </w:style>
  <w:style w:type="paragraph" w:styleId="TOC1">
    <w:name w:val="toc 1"/>
    <w:basedOn w:val="Normal"/>
    <w:next w:val="Normal"/>
    <w:autoRedefine/>
    <w:uiPriority w:val="39"/>
    <w:unhideWhenUsed/>
    <w:rsid w:val="00B06CBA"/>
    <w:pPr>
      <w:spacing w:after="100"/>
    </w:pPr>
  </w:style>
  <w:style w:type="paragraph" w:styleId="Header">
    <w:name w:val="header"/>
    <w:basedOn w:val="Normal"/>
    <w:link w:val="HeaderChar"/>
    <w:uiPriority w:val="99"/>
    <w:unhideWhenUsed/>
    <w:rsid w:val="004A7F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7F8E"/>
  </w:style>
  <w:style w:type="paragraph" w:styleId="Footer">
    <w:name w:val="footer"/>
    <w:basedOn w:val="Normal"/>
    <w:link w:val="FooterChar"/>
    <w:uiPriority w:val="99"/>
    <w:unhideWhenUsed/>
    <w:rsid w:val="004A7F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F8E"/>
  </w:style>
  <w:style w:type="character" w:styleId="UnresolvedMention">
    <w:name w:val="Unresolved Mention"/>
    <w:basedOn w:val="DefaultParagraphFont"/>
    <w:uiPriority w:val="99"/>
    <w:semiHidden/>
    <w:unhideWhenUsed/>
    <w:rsid w:val="00AD4660"/>
    <w:rPr>
      <w:color w:val="605E5C"/>
      <w:shd w:val="clear" w:color="auto" w:fill="E1DFDD"/>
    </w:rPr>
  </w:style>
  <w:style w:type="character" w:customStyle="1" w:styleId="Heading4Char">
    <w:name w:val="Heading 4 Char"/>
    <w:basedOn w:val="DefaultParagraphFont"/>
    <w:link w:val="Heading4"/>
    <w:uiPriority w:val="9"/>
    <w:semiHidden/>
    <w:rsid w:val="00CE2FB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9260741">
      <w:bodyDiv w:val="1"/>
      <w:marLeft w:val="0"/>
      <w:marRight w:val="0"/>
      <w:marTop w:val="0"/>
      <w:marBottom w:val="0"/>
      <w:divBdr>
        <w:top w:val="none" w:sz="0" w:space="0" w:color="auto"/>
        <w:left w:val="none" w:sz="0" w:space="0" w:color="auto"/>
        <w:bottom w:val="none" w:sz="0" w:space="0" w:color="auto"/>
        <w:right w:val="none" w:sz="0" w:space="0" w:color="auto"/>
      </w:divBdr>
      <w:divsChild>
        <w:div w:id="1740247462">
          <w:marLeft w:val="0"/>
          <w:marRight w:val="0"/>
          <w:marTop w:val="0"/>
          <w:marBottom w:val="0"/>
          <w:divBdr>
            <w:top w:val="none" w:sz="0" w:space="0" w:color="auto"/>
            <w:left w:val="none" w:sz="0" w:space="0" w:color="auto"/>
            <w:bottom w:val="none" w:sz="0" w:space="0" w:color="auto"/>
            <w:right w:val="none" w:sz="0" w:space="0" w:color="auto"/>
          </w:divBdr>
          <w:divsChild>
            <w:div w:id="90225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260502">
      <w:bodyDiv w:val="1"/>
      <w:marLeft w:val="0"/>
      <w:marRight w:val="0"/>
      <w:marTop w:val="0"/>
      <w:marBottom w:val="0"/>
      <w:divBdr>
        <w:top w:val="none" w:sz="0" w:space="0" w:color="auto"/>
        <w:left w:val="none" w:sz="0" w:space="0" w:color="auto"/>
        <w:bottom w:val="none" w:sz="0" w:space="0" w:color="auto"/>
        <w:right w:val="none" w:sz="0" w:space="0" w:color="auto"/>
      </w:divBdr>
    </w:div>
    <w:div w:id="587538022">
      <w:bodyDiv w:val="1"/>
      <w:marLeft w:val="0"/>
      <w:marRight w:val="0"/>
      <w:marTop w:val="0"/>
      <w:marBottom w:val="0"/>
      <w:divBdr>
        <w:top w:val="none" w:sz="0" w:space="0" w:color="auto"/>
        <w:left w:val="none" w:sz="0" w:space="0" w:color="auto"/>
        <w:bottom w:val="none" w:sz="0" w:space="0" w:color="auto"/>
        <w:right w:val="none" w:sz="0" w:space="0" w:color="auto"/>
      </w:divBdr>
    </w:div>
    <w:div w:id="836967650">
      <w:bodyDiv w:val="1"/>
      <w:marLeft w:val="0"/>
      <w:marRight w:val="0"/>
      <w:marTop w:val="0"/>
      <w:marBottom w:val="0"/>
      <w:divBdr>
        <w:top w:val="none" w:sz="0" w:space="0" w:color="auto"/>
        <w:left w:val="none" w:sz="0" w:space="0" w:color="auto"/>
        <w:bottom w:val="none" w:sz="0" w:space="0" w:color="auto"/>
        <w:right w:val="none" w:sz="0" w:space="0" w:color="auto"/>
      </w:divBdr>
    </w:div>
    <w:div w:id="1521626964">
      <w:bodyDiv w:val="1"/>
      <w:marLeft w:val="0"/>
      <w:marRight w:val="0"/>
      <w:marTop w:val="0"/>
      <w:marBottom w:val="0"/>
      <w:divBdr>
        <w:top w:val="none" w:sz="0" w:space="0" w:color="auto"/>
        <w:left w:val="none" w:sz="0" w:space="0" w:color="auto"/>
        <w:bottom w:val="none" w:sz="0" w:space="0" w:color="auto"/>
        <w:right w:val="none" w:sz="0" w:space="0" w:color="auto"/>
      </w:divBdr>
    </w:div>
    <w:div w:id="1577131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razeneca.com/media-centre/press-releases/2025/full-year-and-q4-2024-results.html" TargetMode="External"/><Relationship Id="rId13" Type="http://schemas.openxmlformats.org/officeDocument/2006/relationships/hyperlink" Target="https://link.springer.com/chapter/10.1007/978-3-032-00214-3_6" TargetMode="External"/><Relationship Id="rId18" Type="http://schemas.openxmlformats.org/officeDocument/2006/relationships/hyperlink" Target="https://link.springer.com/chapter/10.1007/978-3-031-65782-5_10"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lup.lub.lu.se/luur/download?func=downloadFile&amp;recordOId=9202282&amp;fileOId=9202286" TargetMode="External"/><Relationship Id="rId12" Type="http://schemas.openxmlformats.org/officeDocument/2006/relationships/hyperlink" Target="https://repository.learn-portal.org/index.php/rps/article/view/1243" TargetMode="External"/><Relationship Id="rId17" Type="http://schemas.openxmlformats.org/officeDocument/2006/relationships/hyperlink" Target="https://arxiv.org/abs/2407.05339" TargetMode="External"/><Relationship Id="rId2" Type="http://schemas.openxmlformats.org/officeDocument/2006/relationships/styles" Target="styles.xml"/><Relationship Id="rId16" Type="http://schemas.openxmlformats.org/officeDocument/2006/relationships/hyperlink" Target="https://journal.hep.com.cn/aih/EN/10.36922/AIH025180038" TargetMode="External"/><Relationship Id="rId20" Type="http://schemas.openxmlformats.org/officeDocument/2006/relationships/hyperlink" Target="https://link.springer.com/chapter/10.1007/978-981-97-2954-8_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ra.ox.ac.uk/objects/uuid:ae4f1691-abdf-4f08-9315-86b657c29cfc" TargetMode="External"/><Relationship Id="rId5" Type="http://schemas.openxmlformats.org/officeDocument/2006/relationships/footnotes" Target="footnotes.xml"/><Relationship Id="rId15" Type="http://schemas.openxmlformats.org/officeDocument/2006/relationships/hyperlink" Target="https://www.benthamdirect.com/content/journals/cddt/10.2174/0115701638313233240830132804" TargetMode="External"/><Relationship Id="rId23" Type="http://schemas.openxmlformats.org/officeDocument/2006/relationships/theme" Target="theme/theme1.xml"/><Relationship Id="rId10" Type="http://schemas.openxmlformats.org/officeDocument/2006/relationships/hyperlink" Target="https://onlinelibrary.wiley.com/doi/abs/10.1002/bse.4077" TargetMode="External"/><Relationship Id="rId19" Type="http://schemas.openxmlformats.org/officeDocument/2006/relationships/hyperlink" Target="https://www.sciencedirect.com/science/article/pii/B978044328921700004X" TargetMode="External"/><Relationship Id="rId4" Type="http://schemas.openxmlformats.org/officeDocument/2006/relationships/webSettings" Target="webSettings.xml"/><Relationship Id="rId9" Type="http://schemas.openxmlformats.org/officeDocument/2006/relationships/hyperlink" Target="https://www.astrazeneca.com/sustainability.html" TargetMode="External"/><Relationship Id="rId14" Type="http://schemas.openxmlformats.org/officeDocument/2006/relationships/hyperlink" Target="https://intellectdiscover.com/content/journals/10.1386/cjcs_00104_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6FF771-611D-4E4C-8D62-2099B7970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Pages>
  <Words>2970</Words>
  <Characters>16934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 Aznar Montero</dc:creator>
  <cp:keywords/>
  <dc:description/>
  <cp:lastModifiedBy>Roger Aznar Montero</cp:lastModifiedBy>
  <cp:revision>13</cp:revision>
  <dcterms:created xsi:type="dcterms:W3CDTF">2026-04-24T17:30:00Z</dcterms:created>
  <dcterms:modified xsi:type="dcterms:W3CDTF">2026-04-24T21:20:00Z</dcterms:modified>
</cp:coreProperties>
</file>