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8583"/>
      </w:tblGrid>
      <w:tr w:rsidR="00803921" w:rsidRPr="00803921" w14:paraId="08C9236E" w14:textId="77777777" w:rsidTr="00803921">
        <w:tc>
          <w:tcPr>
            <w:tcW w:w="8573" w:type="dxa"/>
          </w:tcPr>
          <w:p w14:paraId="273DCC08" w14:textId="215E411E" w:rsidR="00803921" w:rsidRPr="00803921" w:rsidRDefault="00CB5422" w:rsidP="006E5538">
            <w:pPr>
              <w:pStyle w:val="Title"/>
            </w:pPr>
            <w:r>
              <w:t>Criminal law</w:t>
            </w:r>
          </w:p>
        </w:tc>
      </w:tr>
      <w:tr w:rsidR="00803921" w:rsidRPr="00803921" w14:paraId="4AD42F9A" w14:textId="77777777" w:rsidTr="00803921">
        <w:tc>
          <w:tcPr>
            <w:tcW w:w="8573" w:type="dxa"/>
          </w:tcPr>
          <w:p w14:paraId="2760E23E" w14:textId="266B25D1" w:rsidR="00803921" w:rsidRPr="00803921" w:rsidRDefault="00803921" w:rsidP="006E5538">
            <w:pPr>
              <w:pStyle w:val="Subtitle"/>
            </w:pPr>
          </w:p>
        </w:tc>
      </w:tr>
    </w:tbl>
    <w:p w14:paraId="493300EF" w14:textId="0794B68B" w:rsidR="00FF42F8" w:rsidRDefault="00185110">
      <w:pPr>
        <w:pStyle w:val="Date"/>
      </w:pPr>
      <w:r>
        <w:t>BMLW</w:t>
      </w:r>
      <w:r w:rsidR="00976048">
        <w:t>4005</w:t>
      </w:r>
    </w:p>
    <w:p w14:paraId="55F86378" w14:textId="6061D0C2" w:rsidR="00FF42F8" w:rsidRDefault="001A5959" w:rsidP="00031EAB">
      <w:pPr>
        <w:pStyle w:val="Heading1"/>
      </w:pPr>
      <w:r>
        <w:t>Diminished responsibility</w:t>
      </w:r>
    </w:p>
    <w:p w14:paraId="3891D0E6" w14:textId="48DC3A73" w:rsidR="00BB5B19" w:rsidRDefault="001A5959" w:rsidP="00CB5422">
      <w:pPr>
        <w:pStyle w:val="Heading2"/>
      </w:pPr>
      <w:r>
        <w:t xml:space="preserve">Sophie Evans </w:t>
      </w:r>
    </w:p>
    <w:p w14:paraId="43BB2FA2" w14:textId="0D8EE288" w:rsidR="001A5959" w:rsidRDefault="001A5959" w:rsidP="001A5959">
      <w:r>
        <w:t>2204080</w:t>
      </w:r>
    </w:p>
    <w:p w14:paraId="3D95369A" w14:textId="205C7875" w:rsidR="001A5959" w:rsidRDefault="001A5959" w:rsidP="001A5959"/>
    <w:p w14:paraId="1685D10F" w14:textId="26B1FAE7" w:rsidR="001A5959" w:rsidRDefault="001A5959" w:rsidP="001A5959"/>
    <w:p w14:paraId="14F32A37" w14:textId="4FA73F98" w:rsidR="001A5959" w:rsidRDefault="001A5959" w:rsidP="001A5959"/>
    <w:p w14:paraId="5E3F8C39" w14:textId="46F35706" w:rsidR="001A5959" w:rsidRDefault="001A5959" w:rsidP="001A5959"/>
    <w:p w14:paraId="005E65BD" w14:textId="4071ADFF" w:rsidR="001A5959" w:rsidRDefault="001A5959" w:rsidP="001A5959"/>
    <w:p w14:paraId="642CDB2A" w14:textId="27E0C615" w:rsidR="001A5959" w:rsidRDefault="001A5959" w:rsidP="001A5959"/>
    <w:p w14:paraId="751BD5B6" w14:textId="47E2AF43" w:rsidR="001A5959" w:rsidRDefault="001A5959" w:rsidP="001A5959"/>
    <w:p w14:paraId="5E6A78D3" w14:textId="35AA2E8A" w:rsidR="001A5959" w:rsidRDefault="001A5959" w:rsidP="001A5959"/>
    <w:p w14:paraId="5CC82F96" w14:textId="06D663F7" w:rsidR="001A5959" w:rsidRDefault="001A5959" w:rsidP="001A5959"/>
    <w:p w14:paraId="69C59F5E" w14:textId="5D7FD288" w:rsidR="001A5959" w:rsidRDefault="001A5959" w:rsidP="001A5959"/>
    <w:p w14:paraId="0BBC8F24" w14:textId="5BCC027C" w:rsidR="001A5959" w:rsidRDefault="001A5959" w:rsidP="001A5959"/>
    <w:p w14:paraId="3C8847E8" w14:textId="533B6898" w:rsidR="001A5959" w:rsidRDefault="001A5959" w:rsidP="001A5959"/>
    <w:p w14:paraId="29287CD7" w14:textId="114A13FB" w:rsidR="001A5959" w:rsidRDefault="001A5959" w:rsidP="001A5959"/>
    <w:p w14:paraId="61ED4FC9" w14:textId="681AB66C" w:rsidR="001A5959" w:rsidRDefault="001A5959" w:rsidP="001A5959"/>
    <w:p w14:paraId="20450B68" w14:textId="13D34E8E" w:rsidR="00164BDD" w:rsidRDefault="00164BDD" w:rsidP="001A5959"/>
    <w:p w14:paraId="2CDEA171" w14:textId="77777777" w:rsidR="00D06000" w:rsidRDefault="00D06000" w:rsidP="001A5959">
      <w:pPr>
        <w:rPr>
          <w:sz w:val="32"/>
          <w:szCs w:val="32"/>
        </w:rPr>
      </w:pPr>
      <w:r>
        <w:rPr>
          <w:sz w:val="32"/>
          <w:szCs w:val="32"/>
        </w:rPr>
        <w:lastRenderedPageBreak/>
        <w:t xml:space="preserve">     </w:t>
      </w:r>
      <w:r w:rsidR="006D6F87">
        <w:rPr>
          <w:sz w:val="32"/>
          <w:szCs w:val="32"/>
        </w:rPr>
        <w:t>The Coroners and Justice Act (2009)</w:t>
      </w:r>
      <w:r w:rsidR="009720A0">
        <w:rPr>
          <w:sz w:val="32"/>
          <w:szCs w:val="32"/>
        </w:rPr>
        <w:t xml:space="preserve"> made </w:t>
      </w:r>
      <w:r w:rsidR="00B109A3">
        <w:rPr>
          <w:sz w:val="32"/>
          <w:szCs w:val="32"/>
        </w:rPr>
        <w:t xml:space="preserve">significant changes to the defence of diminished responsibility in law. </w:t>
      </w:r>
      <w:r w:rsidR="00144C86">
        <w:rPr>
          <w:sz w:val="32"/>
          <w:szCs w:val="32"/>
        </w:rPr>
        <w:t>In</w:t>
      </w:r>
      <w:r w:rsidR="00D04833">
        <w:rPr>
          <w:sz w:val="32"/>
          <w:szCs w:val="32"/>
        </w:rPr>
        <w:t xml:space="preserve"> this essay, I will discuss the changes made by the Coroners and Justice Act and e</w:t>
      </w:r>
      <w:r w:rsidR="00957F5E">
        <w:rPr>
          <w:sz w:val="32"/>
          <w:szCs w:val="32"/>
        </w:rPr>
        <w:t>valuate wether these changes improved law in this area. This defence is often raised in crimi</w:t>
      </w:r>
      <w:r w:rsidR="00EC60EA">
        <w:rPr>
          <w:sz w:val="32"/>
          <w:szCs w:val="32"/>
        </w:rPr>
        <w:t>n</w:t>
      </w:r>
      <w:r w:rsidR="00D41500">
        <w:rPr>
          <w:sz w:val="32"/>
          <w:szCs w:val="32"/>
        </w:rPr>
        <w:t>al cases where the defendant argues their mental state was impaired at the time of the offence;</w:t>
      </w:r>
      <w:r w:rsidR="005270AE">
        <w:rPr>
          <w:sz w:val="32"/>
          <w:szCs w:val="32"/>
        </w:rPr>
        <w:t xml:space="preserve"> </w:t>
      </w:r>
      <w:r w:rsidR="001E4676">
        <w:rPr>
          <w:sz w:val="32"/>
          <w:szCs w:val="32"/>
        </w:rPr>
        <w:t>s</w:t>
      </w:r>
      <w:r w:rsidR="003C4B8E">
        <w:rPr>
          <w:sz w:val="32"/>
          <w:szCs w:val="32"/>
        </w:rPr>
        <w:t>o much so they should not be held fully accountable for their actions. The</w:t>
      </w:r>
      <w:r w:rsidR="00D41500">
        <w:rPr>
          <w:sz w:val="32"/>
          <w:szCs w:val="32"/>
        </w:rPr>
        <w:t xml:space="preserve"> </w:t>
      </w:r>
      <w:r w:rsidR="002F7610">
        <w:rPr>
          <w:sz w:val="32"/>
          <w:szCs w:val="32"/>
        </w:rPr>
        <w:t>ch</w:t>
      </w:r>
      <w:r w:rsidR="00FE21C7">
        <w:rPr>
          <w:sz w:val="32"/>
          <w:szCs w:val="32"/>
        </w:rPr>
        <w:t xml:space="preserve">anged brought by the act aimed to clarify and simplify the law in this area, but also made some </w:t>
      </w:r>
      <w:r w:rsidR="00267AB5">
        <w:rPr>
          <w:sz w:val="32"/>
          <w:szCs w:val="32"/>
        </w:rPr>
        <w:t>controversial amendments.</w:t>
      </w:r>
    </w:p>
    <w:p w14:paraId="29BDF091" w14:textId="0022D508" w:rsidR="00D06000" w:rsidRDefault="00D06000" w:rsidP="001A5959">
      <w:pPr>
        <w:rPr>
          <w:sz w:val="32"/>
          <w:szCs w:val="32"/>
        </w:rPr>
      </w:pPr>
      <w:r>
        <w:rPr>
          <w:sz w:val="32"/>
          <w:szCs w:val="32"/>
        </w:rPr>
        <w:t xml:space="preserve">     </w:t>
      </w:r>
      <w:r w:rsidR="00520539">
        <w:rPr>
          <w:sz w:val="32"/>
          <w:szCs w:val="32"/>
        </w:rPr>
        <w:t>The Homicide Act 1957 sets out the defence of diminished</w:t>
      </w:r>
      <w:r w:rsidR="00336A8D">
        <w:rPr>
          <w:sz w:val="32"/>
          <w:szCs w:val="32"/>
        </w:rPr>
        <w:t xml:space="preserve"> responsibility, which allows a defendant to avoid a murder conviction; if </w:t>
      </w:r>
      <w:r w:rsidR="00425DC1">
        <w:rPr>
          <w:sz w:val="32"/>
          <w:szCs w:val="32"/>
        </w:rPr>
        <w:t xml:space="preserve">demonstrated that they were </w:t>
      </w:r>
      <w:r w:rsidR="00085E18">
        <w:rPr>
          <w:sz w:val="32"/>
          <w:szCs w:val="32"/>
        </w:rPr>
        <w:t>“</w:t>
      </w:r>
      <w:r w:rsidR="00425DC1">
        <w:rPr>
          <w:sz w:val="32"/>
          <w:szCs w:val="32"/>
        </w:rPr>
        <w:t>suffering from an abnormality of mind</w:t>
      </w:r>
      <w:r w:rsidR="00085E18">
        <w:rPr>
          <w:sz w:val="32"/>
          <w:szCs w:val="32"/>
        </w:rPr>
        <w:t>”</w:t>
      </w:r>
      <w:r w:rsidR="001650BF">
        <w:rPr>
          <w:sz w:val="32"/>
          <w:szCs w:val="32"/>
        </w:rPr>
        <w:t xml:space="preserve"> (online)</w:t>
      </w:r>
      <w:r w:rsidR="00425DC1">
        <w:rPr>
          <w:sz w:val="32"/>
          <w:szCs w:val="32"/>
        </w:rPr>
        <w:t xml:space="preserve">, that </w:t>
      </w:r>
      <w:r w:rsidR="00F970E3">
        <w:rPr>
          <w:sz w:val="32"/>
          <w:szCs w:val="32"/>
        </w:rPr>
        <w:t>“</w:t>
      </w:r>
      <w:r w:rsidR="00425DC1">
        <w:rPr>
          <w:sz w:val="32"/>
          <w:szCs w:val="32"/>
        </w:rPr>
        <w:t>substantially impaired their mental</w:t>
      </w:r>
      <w:r w:rsidR="00463B87">
        <w:rPr>
          <w:sz w:val="32"/>
          <w:szCs w:val="32"/>
        </w:rPr>
        <w:t xml:space="preserve"> being at the time of the offence</w:t>
      </w:r>
      <w:r w:rsidR="00F970E3">
        <w:rPr>
          <w:sz w:val="32"/>
          <w:szCs w:val="32"/>
        </w:rPr>
        <w:t>”</w:t>
      </w:r>
      <w:r w:rsidR="00463B87">
        <w:rPr>
          <w:sz w:val="32"/>
          <w:szCs w:val="32"/>
        </w:rPr>
        <w:t xml:space="preserve">. </w:t>
      </w:r>
      <w:r w:rsidR="002C7198">
        <w:rPr>
          <w:sz w:val="32"/>
          <w:szCs w:val="32"/>
        </w:rPr>
        <w:t>The act does not provide a specific definition of an “abnormality of mind”</w:t>
      </w:r>
      <w:r w:rsidR="00283909">
        <w:rPr>
          <w:sz w:val="32"/>
          <w:szCs w:val="32"/>
        </w:rPr>
        <w:t>, but courts have established that it can include any state of mine that is significantly different from those of a reasonable</w:t>
      </w:r>
      <w:r w:rsidR="00D92263">
        <w:rPr>
          <w:sz w:val="32"/>
          <w:szCs w:val="32"/>
        </w:rPr>
        <w:t xml:space="preserve"> and stable individual. </w:t>
      </w:r>
      <w:r w:rsidR="00837802">
        <w:rPr>
          <w:sz w:val="32"/>
          <w:szCs w:val="32"/>
        </w:rPr>
        <w:t>Th</w:t>
      </w:r>
      <w:r w:rsidR="00151227">
        <w:rPr>
          <w:sz w:val="32"/>
          <w:szCs w:val="32"/>
        </w:rPr>
        <w:t>e defendant must demonstrate that they were substantially impa</w:t>
      </w:r>
      <w:r w:rsidR="007E3C2E">
        <w:rPr>
          <w:sz w:val="32"/>
          <w:szCs w:val="32"/>
        </w:rPr>
        <w:t>ired by an abnormality of the mind, whilst committing the actions.</w:t>
      </w:r>
      <w:r w:rsidR="00DB4261">
        <w:rPr>
          <w:sz w:val="32"/>
          <w:szCs w:val="32"/>
        </w:rPr>
        <w:t xml:space="preserve"> “</w:t>
      </w:r>
      <w:r w:rsidR="00CE1B41">
        <w:rPr>
          <w:sz w:val="32"/>
          <w:szCs w:val="32"/>
        </w:rPr>
        <w:t xml:space="preserve">”Abnormality of mind”” was wide enough to cover the mind’s activities in all </w:t>
      </w:r>
      <w:r w:rsidR="003B44F4">
        <w:rPr>
          <w:sz w:val="32"/>
          <w:szCs w:val="32"/>
        </w:rPr>
        <w:t>its aspects” (R V Byrne, 1960</w:t>
      </w:r>
      <w:r w:rsidR="002E76F2">
        <w:rPr>
          <w:sz w:val="32"/>
          <w:szCs w:val="32"/>
        </w:rPr>
        <w:t>)</w:t>
      </w:r>
      <w:r w:rsidR="00BC28A7">
        <w:rPr>
          <w:sz w:val="32"/>
          <w:szCs w:val="32"/>
        </w:rPr>
        <w:t>. In the case</w:t>
      </w:r>
      <w:r w:rsidR="00C361C9">
        <w:rPr>
          <w:sz w:val="32"/>
          <w:szCs w:val="32"/>
        </w:rPr>
        <w:t xml:space="preserve"> of R v Dowds, the defendant appealed</w:t>
      </w:r>
      <w:r w:rsidR="006469FC">
        <w:rPr>
          <w:sz w:val="32"/>
          <w:szCs w:val="32"/>
        </w:rPr>
        <w:t xml:space="preserve"> stating “</w:t>
      </w:r>
      <w:r w:rsidR="00B341F3">
        <w:rPr>
          <w:sz w:val="32"/>
          <w:szCs w:val="32"/>
        </w:rPr>
        <w:t>the World Health Organisation lists acute intoxi</w:t>
      </w:r>
      <w:r w:rsidR="006469FC">
        <w:rPr>
          <w:sz w:val="32"/>
          <w:szCs w:val="32"/>
        </w:rPr>
        <w:t>cation in its</w:t>
      </w:r>
      <w:r w:rsidR="00797ACC">
        <w:rPr>
          <w:sz w:val="32"/>
          <w:szCs w:val="32"/>
        </w:rPr>
        <w:t xml:space="preserve"> International Classification of Disease.” </w:t>
      </w:r>
      <w:r w:rsidR="00BE5DFD">
        <w:rPr>
          <w:sz w:val="32"/>
          <w:szCs w:val="32"/>
        </w:rPr>
        <w:t>Consequently</w:t>
      </w:r>
      <w:r w:rsidR="00851062">
        <w:rPr>
          <w:sz w:val="32"/>
          <w:szCs w:val="32"/>
        </w:rPr>
        <w:t xml:space="preserve">, this was a medically recognised </w:t>
      </w:r>
      <w:r w:rsidR="00010675">
        <w:rPr>
          <w:sz w:val="32"/>
          <w:szCs w:val="32"/>
        </w:rPr>
        <w:t>condition</w:t>
      </w:r>
      <w:r w:rsidR="00851062">
        <w:rPr>
          <w:sz w:val="32"/>
          <w:szCs w:val="32"/>
        </w:rPr>
        <w:t xml:space="preserve"> and </w:t>
      </w:r>
      <w:r w:rsidR="00851062">
        <w:rPr>
          <w:sz w:val="32"/>
          <w:szCs w:val="32"/>
        </w:rPr>
        <w:lastRenderedPageBreak/>
        <w:t>satisfied t</w:t>
      </w:r>
      <w:r w:rsidR="00FC6682">
        <w:rPr>
          <w:sz w:val="32"/>
          <w:szCs w:val="32"/>
        </w:rPr>
        <w:t>he Homicide Act 1957, s</w:t>
      </w:r>
      <w:r w:rsidR="00B440D0">
        <w:rPr>
          <w:sz w:val="32"/>
          <w:szCs w:val="32"/>
        </w:rPr>
        <w:t>.2(1)(a)</w:t>
      </w:r>
      <w:r w:rsidR="006A76DC">
        <w:rPr>
          <w:sz w:val="32"/>
          <w:szCs w:val="32"/>
        </w:rPr>
        <w:t xml:space="preserve">, as </w:t>
      </w:r>
      <w:r w:rsidR="00D223AA">
        <w:rPr>
          <w:sz w:val="32"/>
          <w:szCs w:val="32"/>
        </w:rPr>
        <w:t xml:space="preserve">amended by the Coroners and </w:t>
      </w:r>
      <w:r w:rsidR="00010675">
        <w:rPr>
          <w:sz w:val="32"/>
          <w:szCs w:val="32"/>
        </w:rPr>
        <w:t>Justice</w:t>
      </w:r>
      <w:r w:rsidR="00D223AA">
        <w:rPr>
          <w:sz w:val="32"/>
          <w:szCs w:val="32"/>
        </w:rPr>
        <w:t xml:space="preserve"> Act 2009.</w:t>
      </w:r>
    </w:p>
    <w:p w14:paraId="13E48EE5" w14:textId="1BF80BB9" w:rsidR="00AC3587" w:rsidRDefault="00D06000" w:rsidP="001A5959">
      <w:pPr>
        <w:rPr>
          <w:sz w:val="32"/>
          <w:szCs w:val="32"/>
        </w:rPr>
      </w:pPr>
      <w:r>
        <w:rPr>
          <w:sz w:val="32"/>
          <w:szCs w:val="32"/>
        </w:rPr>
        <w:t xml:space="preserve">     </w:t>
      </w:r>
      <w:r w:rsidR="004E1C9F">
        <w:rPr>
          <w:sz w:val="32"/>
          <w:szCs w:val="32"/>
        </w:rPr>
        <w:t xml:space="preserve">The Coroners and </w:t>
      </w:r>
      <w:r w:rsidR="00EB5F4C">
        <w:rPr>
          <w:sz w:val="32"/>
          <w:szCs w:val="32"/>
        </w:rPr>
        <w:t>Justice</w:t>
      </w:r>
      <w:r w:rsidR="004E1C9F">
        <w:rPr>
          <w:sz w:val="32"/>
          <w:szCs w:val="32"/>
        </w:rPr>
        <w:t xml:space="preserve"> Act 2009</w:t>
      </w:r>
      <w:r w:rsidR="002946CC">
        <w:rPr>
          <w:sz w:val="32"/>
          <w:szCs w:val="32"/>
        </w:rPr>
        <w:t xml:space="preserve"> w</w:t>
      </w:r>
      <w:r w:rsidR="0059716C">
        <w:rPr>
          <w:sz w:val="32"/>
          <w:szCs w:val="32"/>
        </w:rPr>
        <w:t xml:space="preserve">as introduced to address long standing criticisms of the coronial system in the </w:t>
      </w:r>
      <w:r w:rsidR="00AC3587">
        <w:rPr>
          <w:sz w:val="32"/>
          <w:szCs w:val="32"/>
        </w:rPr>
        <w:t>United</w:t>
      </w:r>
      <w:r w:rsidR="0059716C">
        <w:rPr>
          <w:sz w:val="32"/>
          <w:szCs w:val="32"/>
        </w:rPr>
        <w:t xml:space="preserve"> </w:t>
      </w:r>
      <w:r w:rsidR="00ED3B32">
        <w:rPr>
          <w:sz w:val="32"/>
          <w:szCs w:val="32"/>
        </w:rPr>
        <w:t xml:space="preserve">Kingdom. The Act aimed to modernise the system in order to make it more effective </w:t>
      </w:r>
      <w:r w:rsidR="00EB5F4C">
        <w:rPr>
          <w:sz w:val="32"/>
          <w:szCs w:val="32"/>
        </w:rPr>
        <w:t>in investigating deaths</w:t>
      </w:r>
      <w:r w:rsidR="00186F5C">
        <w:rPr>
          <w:sz w:val="32"/>
          <w:szCs w:val="32"/>
        </w:rPr>
        <w:t>,</w:t>
      </w:r>
      <w:r w:rsidR="000460DD">
        <w:rPr>
          <w:sz w:val="32"/>
          <w:szCs w:val="32"/>
        </w:rPr>
        <w:t xml:space="preserve"> </w:t>
      </w:r>
      <w:r w:rsidR="00313178">
        <w:rPr>
          <w:sz w:val="32"/>
          <w:szCs w:val="32"/>
        </w:rPr>
        <w:t xml:space="preserve"> to improve the quality and consistency of coronial in</w:t>
      </w:r>
      <w:r w:rsidR="00186F5C">
        <w:rPr>
          <w:sz w:val="32"/>
          <w:szCs w:val="32"/>
        </w:rPr>
        <w:t>vestigations.</w:t>
      </w:r>
      <w:r w:rsidR="000460DD">
        <w:rPr>
          <w:sz w:val="32"/>
          <w:szCs w:val="32"/>
        </w:rPr>
        <w:t xml:space="preserve"> Prior to the Act, there w</w:t>
      </w:r>
      <w:r w:rsidR="004B6093">
        <w:rPr>
          <w:sz w:val="32"/>
          <w:szCs w:val="32"/>
        </w:rPr>
        <w:t xml:space="preserve">ere significant variations in the quality of investigations and the standards </w:t>
      </w:r>
      <w:r w:rsidR="002E4169">
        <w:rPr>
          <w:sz w:val="32"/>
          <w:szCs w:val="32"/>
        </w:rPr>
        <w:t xml:space="preserve">of service provided by coroners. </w:t>
      </w:r>
      <w:r w:rsidR="00506180">
        <w:rPr>
          <w:sz w:val="32"/>
          <w:szCs w:val="32"/>
        </w:rPr>
        <w:t>“</w:t>
      </w:r>
      <w:r w:rsidR="002E4169">
        <w:rPr>
          <w:sz w:val="32"/>
          <w:szCs w:val="32"/>
        </w:rPr>
        <w:t>The Act introduced a set of national standards and guidelines to ensure inve</w:t>
      </w:r>
      <w:r w:rsidR="004B5E16">
        <w:rPr>
          <w:sz w:val="32"/>
          <w:szCs w:val="32"/>
        </w:rPr>
        <w:t>stigations were conducted in a consistent and thorough manner</w:t>
      </w:r>
      <w:r w:rsidR="006D53C4">
        <w:rPr>
          <w:sz w:val="32"/>
          <w:szCs w:val="32"/>
        </w:rPr>
        <w:t>.”</w:t>
      </w:r>
      <w:r w:rsidR="00AB7463">
        <w:rPr>
          <w:sz w:val="32"/>
          <w:szCs w:val="32"/>
        </w:rPr>
        <w:t xml:space="preserve"> </w:t>
      </w:r>
      <w:r w:rsidR="00D11916">
        <w:rPr>
          <w:sz w:val="32"/>
          <w:szCs w:val="32"/>
        </w:rPr>
        <w:t>Another reason for</w:t>
      </w:r>
      <w:r w:rsidR="002E25D7">
        <w:rPr>
          <w:sz w:val="32"/>
          <w:szCs w:val="32"/>
        </w:rPr>
        <w:t xml:space="preserve"> the change was to increase transparency and accountability;</w:t>
      </w:r>
      <w:r w:rsidR="00B81097">
        <w:rPr>
          <w:sz w:val="32"/>
          <w:szCs w:val="32"/>
        </w:rPr>
        <w:t xml:space="preserve"> the Act established a new system of appeals against coronial decisions</w:t>
      </w:r>
      <w:r w:rsidR="000F6F37">
        <w:rPr>
          <w:sz w:val="32"/>
          <w:szCs w:val="32"/>
        </w:rPr>
        <w:t xml:space="preserve">, </w:t>
      </w:r>
      <w:r w:rsidR="00B81097">
        <w:rPr>
          <w:sz w:val="32"/>
          <w:szCs w:val="32"/>
        </w:rPr>
        <w:t>allowing</w:t>
      </w:r>
      <w:r w:rsidR="000F6F37">
        <w:rPr>
          <w:sz w:val="32"/>
          <w:szCs w:val="32"/>
        </w:rPr>
        <w:t xml:space="preserve"> parties t challenge a decision in a court of law. This was intended to ensure that the process </w:t>
      </w:r>
      <w:r w:rsidR="00574172">
        <w:rPr>
          <w:sz w:val="32"/>
          <w:szCs w:val="32"/>
        </w:rPr>
        <w:t xml:space="preserve">was more transparent and that decisions were more subject to scrutiny. </w:t>
      </w:r>
      <w:r w:rsidR="005D5A58">
        <w:rPr>
          <w:sz w:val="32"/>
          <w:szCs w:val="32"/>
        </w:rPr>
        <w:t>The Act also introduced changes in the law relating to</w:t>
      </w:r>
      <w:r w:rsidR="00D53FB0">
        <w:rPr>
          <w:sz w:val="32"/>
          <w:szCs w:val="32"/>
        </w:rPr>
        <w:t xml:space="preserve"> homicide</w:t>
      </w:r>
      <w:r w:rsidR="005D5A58">
        <w:rPr>
          <w:sz w:val="32"/>
          <w:szCs w:val="32"/>
        </w:rPr>
        <w:t>, including abolition</w:t>
      </w:r>
      <w:r w:rsidR="00D53FB0">
        <w:rPr>
          <w:sz w:val="32"/>
          <w:szCs w:val="32"/>
        </w:rPr>
        <w:t xml:space="preserve"> of provocation</w:t>
      </w:r>
      <w:r w:rsidR="00ED0B3C">
        <w:rPr>
          <w:sz w:val="32"/>
          <w:szCs w:val="32"/>
        </w:rPr>
        <w:t>. The previous</w:t>
      </w:r>
      <w:r w:rsidR="00DF4505">
        <w:rPr>
          <w:sz w:val="32"/>
          <w:szCs w:val="32"/>
        </w:rPr>
        <w:t xml:space="preserve"> </w:t>
      </w:r>
      <w:r w:rsidR="005522A7">
        <w:rPr>
          <w:sz w:val="32"/>
          <w:szCs w:val="32"/>
        </w:rPr>
        <w:t xml:space="preserve">legislation was </w:t>
      </w:r>
      <w:r w:rsidR="009E3E51">
        <w:rPr>
          <w:sz w:val="32"/>
          <w:szCs w:val="32"/>
        </w:rPr>
        <w:t>criticized</w:t>
      </w:r>
      <w:r w:rsidR="0032216D">
        <w:rPr>
          <w:sz w:val="32"/>
          <w:szCs w:val="32"/>
        </w:rPr>
        <w:t xml:space="preserve"> for “not </w:t>
      </w:r>
      <w:r w:rsidR="009E3E51">
        <w:rPr>
          <w:sz w:val="32"/>
          <w:szCs w:val="32"/>
        </w:rPr>
        <w:t>adequately</w:t>
      </w:r>
      <w:r w:rsidR="00FE7176">
        <w:rPr>
          <w:sz w:val="32"/>
          <w:szCs w:val="32"/>
        </w:rPr>
        <w:t xml:space="preserve"> addressing human rights concerns</w:t>
      </w:r>
      <w:r w:rsidR="00986C90">
        <w:rPr>
          <w:sz w:val="32"/>
          <w:szCs w:val="32"/>
        </w:rPr>
        <w:t>”.</w:t>
      </w:r>
    </w:p>
    <w:p w14:paraId="4427B9E7" w14:textId="5AC35D71" w:rsidR="00AC3587" w:rsidRDefault="007F7D8D" w:rsidP="001A5959">
      <w:pPr>
        <w:rPr>
          <w:sz w:val="32"/>
          <w:szCs w:val="32"/>
        </w:rPr>
      </w:pPr>
      <w:r>
        <w:rPr>
          <w:sz w:val="32"/>
          <w:szCs w:val="32"/>
        </w:rPr>
        <w:t>Section 52 of the Coroners and Justice Act 2009 made several significant changes to t</w:t>
      </w:r>
      <w:r w:rsidR="00A83ED1">
        <w:rPr>
          <w:sz w:val="32"/>
          <w:szCs w:val="32"/>
        </w:rPr>
        <w:t>he law in England and Wale</w:t>
      </w:r>
      <w:r w:rsidR="005A162C">
        <w:rPr>
          <w:sz w:val="32"/>
          <w:szCs w:val="32"/>
        </w:rPr>
        <w:t>s.</w:t>
      </w:r>
      <w:r w:rsidR="00483BBE">
        <w:rPr>
          <w:sz w:val="32"/>
          <w:szCs w:val="32"/>
        </w:rPr>
        <w:t xml:space="preserve"> It abolished the offence of blasphemy, which had</w:t>
      </w:r>
      <w:r w:rsidR="006C4C2E">
        <w:rPr>
          <w:sz w:val="32"/>
          <w:szCs w:val="32"/>
        </w:rPr>
        <w:t xml:space="preserve"> b</w:t>
      </w:r>
      <w:r w:rsidR="00A13A16">
        <w:rPr>
          <w:sz w:val="32"/>
          <w:szCs w:val="32"/>
        </w:rPr>
        <w:t>een in places for centuries but largely obsole</w:t>
      </w:r>
      <w:r w:rsidR="00787C89">
        <w:rPr>
          <w:sz w:val="32"/>
          <w:szCs w:val="32"/>
        </w:rPr>
        <w:t>te in society</w:t>
      </w:r>
      <w:r w:rsidR="003F1031">
        <w:rPr>
          <w:sz w:val="32"/>
          <w:szCs w:val="32"/>
        </w:rPr>
        <w:t>;</w:t>
      </w:r>
      <w:r w:rsidR="002B0FF8">
        <w:rPr>
          <w:sz w:val="32"/>
          <w:szCs w:val="32"/>
        </w:rPr>
        <w:t xml:space="preserve"> this law was seen as out</w:t>
      </w:r>
      <w:r w:rsidR="003F1031">
        <w:rPr>
          <w:sz w:val="32"/>
          <w:szCs w:val="32"/>
        </w:rPr>
        <w:t>dated and replaced with the</w:t>
      </w:r>
      <w:r w:rsidR="00D41EE6">
        <w:rPr>
          <w:sz w:val="32"/>
          <w:szCs w:val="32"/>
        </w:rPr>
        <w:t xml:space="preserve"> new offen</w:t>
      </w:r>
      <w:r w:rsidR="00DF2583">
        <w:rPr>
          <w:sz w:val="32"/>
          <w:szCs w:val="32"/>
        </w:rPr>
        <w:t xml:space="preserve">ce of “stirring up </w:t>
      </w:r>
      <w:r w:rsidR="00DF2583">
        <w:rPr>
          <w:sz w:val="32"/>
          <w:szCs w:val="32"/>
        </w:rPr>
        <w:lastRenderedPageBreak/>
        <w:t xml:space="preserve">religious hatred’ under the </w:t>
      </w:r>
      <w:r w:rsidR="00F57094">
        <w:rPr>
          <w:sz w:val="32"/>
          <w:szCs w:val="32"/>
        </w:rPr>
        <w:t>R</w:t>
      </w:r>
      <w:r w:rsidR="00DF2583">
        <w:rPr>
          <w:sz w:val="32"/>
          <w:szCs w:val="32"/>
        </w:rPr>
        <w:t>acial and Religious</w:t>
      </w:r>
      <w:r w:rsidR="00F57094">
        <w:rPr>
          <w:sz w:val="32"/>
          <w:szCs w:val="32"/>
        </w:rPr>
        <w:t xml:space="preserve"> Hatred Act 2006</w:t>
      </w:r>
      <w:r w:rsidR="00AF0B5B">
        <w:rPr>
          <w:sz w:val="32"/>
          <w:szCs w:val="32"/>
        </w:rPr>
        <w:t>.</w:t>
      </w:r>
      <w:r w:rsidR="003E2AE3">
        <w:rPr>
          <w:sz w:val="32"/>
          <w:szCs w:val="32"/>
        </w:rPr>
        <w:t xml:space="preserve"> </w:t>
      </w:r>
      <w:r w:rsidR="00AF0B5B">
        <w:rPr>
          <w:sz w:val="32"/>
          <w:szCs w:val="32"/>
        </w:rPr>
        <w:t>Section 52,</w:t>
      </w:r>
      <w:r w:rsidR="00A302B2">
        <w:rPr>
          <w:sz w:val="32"/>
          <w:szCs w:val="32"/>
        </w:rPr>
        <w:t xml:space="preserve"> </w:t>
      </w:r>
      <w:r w:rsidR="00BB365F">
        <w:rPr>
          <w:sz w:val="32"/>
          <w:szCs w:val="32"/>
        </w:rPr>
        <w:t>in</w:t>
      </w:r>
      <w:r w:rsidR="00426FE3">
        <w:rPr>
          <w:sz w:val="32"/>
          <w:szCs w:val="32"/>
        </w:rPr>
        <w:t>troduced new offences of “encouraging or assisting suicide” and ‘participating in” suicide</w:t>
      </w:r>
      <w:r w:rsidR="0009252C">
        <w:rPr>
          <w:sz w:val="32"/>
          <w:szCs w:val="32"/>
        </w:rPr>
        <w:t xml:space="preserve">, which replaces previous offence of aiding and abetting suicide. The offences make </w:t>
      </w:r>
      <w:r w:rsidR="005A3212">
        <w:rPr>
          <w:sz w:val="32"/>
          <w:szCs w:val="32"/>
        </w:rPr>
        <w:t>it illegal to aid someone in committing</w:t>
      </w:r>
      <w:r w:rsidR="00AC47FB">
        <w:rPr>
          <w:sz w:val="32"/>
          <w:szCs w:val="32"/>
        </w:rPr>
        <w:t xml:space="preserve"> sui</w:t>
      </w:r>
      <w:r w:rsidR="00770AF4">
        <w:rPr>
          <w:sz w:val="32"/>
          <w:szCs w:val="32"/>
        </w:rPr>
        <w:t xml:space="preserve">cide. </w:t>
      </w:r>
    </w:p>
    <w:p w14:paraId="26CD704E" w14:textId="196D4936" w:rsidR="00BE0C1E" w:rsidRDefault="00D06000" w:rsidP="001A5959">
      <w:pPr>
        <w:rPr>
          <w:sz w:val="32"/>
          <w:szCs w:val="32"/>
        </w:rPr>
      </w:pPr>
      <w:r>
        <w:rPr>
          <w:sz w:val="32"/>
          <w:szCs w:val="32"/>
        </w:rPr>
        <w:t xml:space="preserve">     </w:t>
      </w:r>
      <w:r w:rsidR="00285267">
        <w:rPr>
          <w:sz w:val="32"/>
          <w:szCs w:val="32"/>
        </w:rPr>
        <w:t>As the changes to the act introdu</w:t>
      </w:r>
      <w:r w:rsidR="008755C3">
        <w:rPr>
          <w:sz w:val="32"/>
          <w:szCs w:val="32"/>
        </w:rPr>
        <w:t>ced several changes to th</w:t>
      </w:r>
      <w:r w:rsidR="00910056">
        <w:rPr>
          <w:sz w:val="32"/>
          <w:szCs w:val="32"/>
        </w:rPr>
        <w:t>e la</w:t>
      </w:r>
      <w:r w:rsidR="00877835">
        <w:rPr>
          <w:sz w:val="32"/>
          <w:szCs w:val="32"/>
        </w:rPr>
        <w:t>w related to criminal justice, coroners, and other areas. There are key advantages to these</w:t>
      </w:r>
      <w:r w:rsidR="00687FCD">
        <w:rPr>
          <w:sz w:val="32"/>
          <w:szCs w:val="32"/>
        </w:rPr>
        <w:t xml:space="preserve"> changes</w:t>
      </w:r>
      <w:r w:rsidR="00E9605B">
        <w:rPr>
          <w:sz w:val="32"/>
          <w:szCs w:val="32"/>
        </w:rPr>
        <w:t xml:space="preserve">. </w:t>
      </w:r>
    </w:p>
    <w:p w14:paraId="29ED823B" w14:textId="77777777" w:rsidR="00C24564" w:rsidRDefault="00AC4D1B" w:rsidP="001A5959">
      <w:pPr>
        <w:rPr>
          <w:sz w:val="32"/>
          <w:szCs w:val="32"/>
        </w:rPr>
      </w:pPr>
      <w:r>
        <w:rPr>
          <w:sz w:val="32"/>
          <w:szCs w:val="32"/>
        </w:rPr>
        <w:t>The act introduced</w:t>
      </w:r>
      <w:r w:rsidR="00BE18EB">
        <w:rPr>
          <w:sz w:val="32"/>
          <w:szCs w:val="32"/>
        </w:rPr>
        <w:t xml:space="preserve"> measures to improve the transparency</w:t>
      </w:r>
      <w:r w:rsidR="00AD0FD1">
        <w:rPr>
          <w:sz w:val="32"/>
          <w:szCs w:val="32"/>
        </w:rPr>
        <w:t xml:space="preserve"> and accountability of the coronial</w:t>
      </w:r>
      <w:r w:rsidR="00FD3179">
        <w:rPr>
          <w:sz w:val="32"/>
          <w:szCs w:val="32"/>
        </w:rPr>
        <w:t xml:space="preserve"> system</w:t>
      </w:r>
      <w:r w:rsidR="000910A0">
        <w:rPr>
          <w:sz w:val="32"/>
          <w:szCs w:val="32"/>
        </w:rPr>
        <w:t>, by amending requirements for public and open inquests; also</w:t>
      </w:r>
      <w:r w:rsidR="00705E26">
        <w:rPr>
          <w:sz w:val="32"/>
          <w:szCs w:val="32"/>
        </w:rPr>
        <w:t xml:space="preserve"> new powers for Chief Coro</w:t>
      </w:r>
      <w:r w:rsidR="00421FA8">
        <w:rPr>
          <w:sz w:val="32"/>
          <w:szCs w:val="32"/>
        </w:rPr>
        <w:t>ners</w:t>
      </w:r>
      <w:r w:rsidR="005B1706">
        <w:rPr>
          <w:sz w:val="32"/>
          <w:szCs w:val="32"/>
        </w:rPr>
        <w:t xml:space="preserve"> to review and monitor performance of individual coroners. The act also introduced new measures to improve</w:t>
      </w:r>
      <w:r w:rsidR="00720D27">
        <w:rPr>
          <w:sz w:val="32"/>
          <w:szCs w:val="32"/>
        </w:rPr>
        <w:t xml:space="preserve"> support</w:t>
      </w:r>
      <w:r w:rsidR="007E5B64">
        <w:rPr>
          <w:sz w:val="32"/>
          <w:szCs w:val="32"/>
        </w:rPr>
        <w:t xml:space="preserve"> families who have lost loved ones</w:t>
      </w:r>
      <w:r w:rsidR="00BC5509">
        <w:rPr>
          <w:sz w:val="32"/>
          <w:szCs w:val="32"/>
        </w:rPr>
        <w:t>.</w:t>
      </w:r>
      <w:r w:rsidR="00AC29F7">
        <w:rPr>
          <w:sz w:val="32"/>
          <w:szCs w:val="32"/>
        </w:rPr>
        <w:t xml:space="preserve"> It established new nati</w:t>
      </w:r>
      <w:r w:rsidR="0021225C">
        <w:rPr>
          <w:sz w:val="32"/>
          <w:szCs w:val="32"/>
        </w:rPr>
        <w:t xml:space="preserve">onal standards framework for bereavement care, whilst also creating </w:t>
      </w:r>
      <w:r w:rsidR="006857C6">
        <w:rPr>
          <w:sz w:val="32"/>
          <w:szCs w:val="32"/>
        </w:rPr>
        <w:t xml:space="preserve"> a new role of Bereavement Champion to advocate for</w:t>
      </w:r>
      <w:r w:rsidR="003760C9">
        <w:rPr>
          <w:sz w:val="32"/>
          <w:szCs w:val="32"/>
        </w:rPr>
        <w:t xml:space="preserve"> the needs of bereaved fami</w:t>
      </w:r>
      <w:r w:rsidR="007E5B64">
        <w:rPr>
          <w:sz w:val="32"/>
          <w:szCs w:val="32"/>
        </w:rPr>
        <w:t>lies.</w:t>
      </w:r>
      <w:r w:rsidR="00920B13">
        <w:rPr>
          <w:sz w:val="32"/>
          <w:szCs w:val="32"/>
        </w:rPr>
        <w:t xml:space="preserve"> </w:t>
      </w:r>
      <w:r w:rsidR="00C33A09">
        <w:rPr>
          <w:sz w:val="32"/>
          <w:szCs w:val="32"/>
        </w:rPr>
        <w:t>The act</w:t>
      </w:r>
      <w:r w:rsidR="00BF4887">
        <w:rPr>
          <w:sz w:val="32"/>
          <w:szCs w:val="32"/>
        </w:rPr>
        <w:t xml:space="preserve"> also </w:t>
      </w:r>
      <w:r w:rsidR="00032C69">
        <w:rPr>
          <w:sz w:val="32"/>
          <w:szCs w:val="32"/>
        </w:rPr>
        <w:t>strengthened</w:t>
      </w:r>
      <w:r w:rsidR="00990927">
        <w:rPr>
          <w:sz w:val="32"/>
          <w:szCs w:val="32"/>
        </w:rPr>
        <w:t xml:space="preserve"> prot</w:t>
      </w:r>
      <w:r w:rsidR="004C7EFF">
        <w:rPr>
          <w:sz w:val="32"/>
          <w:szCs w:val="32"/>
        </w:rPr>
        <w:t>ection</w:t>
      </w:r>
      <w:r w:rsidR="003E55B9">
        <w:rPr>
          <w:sz w:val="32"/>
          <w:szCs w:val="32"/>
        </w:rPr>
        <w:t xml:space="preserve"> for vulnerable witness</w:t>
      </w:r>
      <w:r w:rsidR="00224779">
        <w:rPr>
          <w:sz w:val="32"/>
          <w:szCs w:val="32"/>
        </w:rPr>
        <w:t>es</w:t>
      </w:r>
      <w:r w:rsidR="0028586D">
        <w:rPr>
          <w:sz w:val="32"/>
          <w:szCs w:val="32"/>
        </w:rPr>
        <w:t xml:space="preserve"> in criminal</w:t>
      </w:r>
      <w:r w:rsidR="005B3983">
        <w:rPr>
          <w:sz w:val="32"/>
          <w:szCs w:val="32"/>
        </w:rPr>
        <w:t xml:space="preserve"> trials, including pre-recorded</w:t>
      </w:r>
      <w:r w:rsidR="00DD3EF7">
        <w:rPr>
          <w:sz w:val="32"/>
          <w:szCs w:val="32"/>
        </w:rPr>
        <w:t xml:space="preserve"> evi</w:t>
      </w:r>
      <w:r w:rsidR="00F5465C">
        <w:rPr>
          <w:sz w:val="32"/>
          <w:szCs w:val="32"/>
        </w:rPr>
        <w:t>dence</w:t>
      </w:r>
      <w:r w:rsidR="00606B86">
        <w:rPr>
          <w:sz w:val="32"/>
          <w:szCs w:val="32"/>
        </w:rPr>
        <w:t>.</w:t>
      </w:r>
      <w:r w:rsidR="00D10AA6">
        <w:rPr>
          <w:sz w:val="32"/>
          <w:szCs w:val="32"/>
        </w:rPr>
        <w:t xml:space="preserve"> Courts have the power to withhold the name of a witness or other information about them, from the public</w:t>
      </w:r>
      <w:r w:rsidR="00014B43">
        <w:rPr>
          <w:sz w:val="32"/>
          <w:szCs w:val="32"/>
        </w:rPr>
        <w:t>.</w:t>
      </w:r>
      <w:r w:rsidR="00D75C36">
        <w:rPr>
          <w:sz w:val="32"/>
          <w:szCs w:val="32"/>
        </w:rPr>
        <w:t xml:space="preserve"> </w:t>
      </w:r>
      <w:r w:rsidR="001231D7">
        <w:rPr>
          <w:sz w:val="32"/>
          <w:szCs w:val="32"/>
        </w:rPr>
        <w:t xml:space="preserve">The individuals who have </w:t>
      </w:r>
      <w:r w:rsidR="00D66A0D">
        <w:rPr>
          <w:sz w:val="32"/>
          <w:szCs w:val="32"/>
        </w:rPr>
        <w:t>provided evidence against whom there is a substantial thre</w:t>
      </w:r>
      <w:r w:rsidR="003849E8">
        <w:rPr>
          <w:sz w:val="32"/>
          <w:szCs w:val="32"/>
        </w:rPr>
        <w:t>a</w:t>
      </w:r>
      <w:r w:rsidR="00B17D81">
        <w:rPr>
          <w:sz w:val="32"/>
          <w:szCs w:val="32"/>
        </w:rPr>
        <w:t>t can be out into witness</w:t>
      </w:r>
      <w:r w:rsidR="008E7C0B">
        <w:rPr>
          <w:sz w:val="32"/>
          <w:szCs w:val="32"/>
        </w:rPr>
        <w:t xml:space="preserve"> protection</w:t>
      </w:r>
      <w:r w:rsidR="00834BFE">
        <w:rPr>
          <w:sz w:val="32"/>
          <w:szCs w:val="32"/>
        </w:rPr>
        <w:t>; “any person whose safety is reasonably believed to be at risk in v</w:t>
      </w:r>
      <w:r w:rsidR="00114380">
        <w:rPr>
          <w:sz w:val="32"/>
          <w:szCs w:val="32"/>
        </w:rPr>
        <w:t>iew of criminal conduct or possible criminal conduct of another person” (</w:t>
      </w:r>
      <w:r w:rsidR="00FA36F5">
        <w:rPr>
          <w:sz w:val="32"/>
          <w:szCs w:val="32"/>
        </w:rPr>
        <w:t>cps 2005).</w:t>
      </w:r>
      <w:r w:rsidR="008D035B">
        <w:rPr>
          <w:sz w:val="32"/>
          <w:szCs w:val="32"/>
        </w:rPr>
        <w:t xml:space="preserve"> Another advantage to chang</w:t>
      </w:r>
      <w:r w:rsidR="00916C7C">
        <w:rPr>
          <w:sz w:val="32"/>
          <w:szCs w:val="32"/>
        </w:rPr>
        <w:t xml:space="preserve">es in </w:t>
      </w:r>
      <w:r w:rsidR="00916C7C">
        <w:rPr>
          <w:sz w:val="32"/>
          <w:szCs w:val="32"/>
        </w:rPr>
        <w:lastRenderedPageBreak/>
        <w:t>the act include</w:t>
      </w:r>
      <w:r w:rsidR="006979F8">
        <w:rPr>
          <w:sz w:val="32"/>
          <w:szCs w:val="32"/>
        </w:rPr>
        <w:t xml:space="preserve"> tougher sentencing for serious offences</w:t>
      </w:r>
      <w:r w:rsidR="00197FFB">
        <w:rPr>
          <w:sz w:val="32"/>
          <w:szCs w:val="32"/>
        </w:rPr>
        <w:t xml:space="preserve">; such as murder, manslaughter and rape. This has been seen as a positive step in ensuring that justice is served and that offenders are held accountable for their actions. </w:t>
      </w:r>
      <w:r w:rsidR="00D400F7">
        <w:rPr>
          <w:sz w:val="32"/>
          <w:szCs w:val="32"/>
        </w:rPr>
        <w:t>Other advantages are t</w:t>
      </w:r>
      <w:r w:rsidR="004C66BF">
        <w:rPr>
          <w:sz w:val="32"/>
          <w:szCs w:val="32"/>
        </w:rPr>
        <w:t xml:space="preserve">hat there has been a number of new criminal </w:t>
      </w:r>
      <w:r w:rsidR="009230EC">
        <w:rPr>
          <w:sz w:val="32"/>
          <w:szCs w:val="32"/>
        </w:rPr>
        <w:t>offenses</w:t>
      </w:r>
      <w:r w:rsidR="004C66BF">
        <w:rPr>
          <w:sz w:val="32"/>
          <w:szCs w:val="32"/>
        </w:rPr>
        <w:t xml:space="preserve"> introduced</w:t>
      </w:r>
      <w:r w:rsidR="009710D6">
        <w:rPr>
          <w:sz w:val="32"/>
          <w:szCs w:val="32"/>
        </w:rPr>
        <w:t>, including corporate manslaughter</w:t>
      </w:r>
      <w:r w:rsidR="00377A8A">
        <w:rPr>
          <w:sz w:val="32"/>
          <w:szCs w:val="32"/>
        </w:rPr>
        <w:t xml:space="preserve">; where companies/organisations can be found guilty </w:t>
      </w:r>
      <w:r w:rsidR="00835CA6">
        <w:rPr>
          <w:sz w:val="32"/>
          <w:szCs w:val="32"/>
        </w:rPr>
        <w:t>as a result of “serious management failures resulting in a gross breach of a duty of care”(</w:t>
      </w:r>
      <w:r w:rsidR="00AB3D82">
        <w:rPr>
          <w:sz w:val="32"/>
          <w:szCs w:val="32"/>
        </w:rPr>
        <w:t xml:space="preserve"> hse 2022).</w:t>
      </w:r>
    </w:p>
    <w:p w14:paraId="3535CE98" w14:textId="4896C8EA" w:rsidR="00AC3587" w:rsidRDefault="00C24564" w:rsidP="001A5959">
      <w:pPr>
        <w:rPr>
          <w:sz w:val="32"/>
          <w:szCs w:val="32"/>
        </w:rPr>
      </w:pPr>
      <w:r>
        <w:rPr>
          <w:sz w:val="32"/>
          <w:szCs w:val="32"/>
        </w:rPr>
        <w:t xml:space="preserve">     Whilst</w:t>
      </w:r>
      <w:r w:rsidR="00AD6543">
        <w:rPr>
          <w:sz w:val="32"/>
          <w:szCs w:val="32"/>
        </w:rPr>
        <w:t xml:space="preserve"> </w:t>
      </w:r>
      <w:r w:rsidR="00270E08">
        <w:rPr>
          <w:sz w:val="32"/>
          <w:szCs w:val="32"/>
        </w:rPr>
        <w:t>some of the changes made</w:t>
      </w:r>
      <w:r w:rsidR="00F75DCC">
        <w:rPr>
          <w:sz w:val="32"/>
          <w:szCs w:val="32"/>
        </w:rPr>
        <w:t xml:space="preserve"> to the Coroners and Justice Act</w:t>
      </w:r>
      <w:r w:rsidR="009B2921">
        <w:rPr>
          <w:sz w:val="32"/>
          <w:szCs w:val="32"/>
        </w:rPr>
        <w:t xml:space="preserve"> were beneficial, there were also some disadvantages</w:t>
      </w:r>
      <w:r w:rsidR="00AC3587">
        <w:rPr>
          <w:sz w:val="32"/>
          <w:szCs w:val="32"/>
        </w:rPr>
        <w:t>.</w:t>
      </w:r>
    </w:p>
    <w:p w14:paraId="38EB78F1" w14:textId="77777777" w:rsidR="00264BE4" w:rsidRDefault="003912B8" w:rsidP="001A5959">
      <w:pPr>
        <w:rPr>
          <w:sz w:val="32"/>
          <w:szCs w:val="32"/>
        </w:rPr>
      </w:pPr>
      <w:r>
        <w:rPr>
          <w:sz w:val="32"/>
          <w:szCs w:val="32"/>
        </w:rPr>
        <w:t>There were increased costs and delays; the new inquest system introduced has been accused for being</w:t>
      </w:r>
      <w:r w:rsidR="00FC11DA">
        <w:rPr>
          <w:sz w:val="32"/>
          <w:szCs w:val="32"/>
        </w:rPr>
        <w:t xml:space="preserve"> “overly bureaucratic and time-consuming</w:t>
      </w:r>
      <w:r w:rsidR="00BF0ED2">
        <w:rPr>
          <w:sz w:val="32"/>
          <w:szCs w:val="32"/>
        </w:rPr>
        <w:t>, resulting in delays and increased costs for families seeking justice”</w:t>
      </w:r>
      <w:r w:rsidR="00C47BFE">
        <w:rPr>
          <w:sz w:val="32"/>
          <w:szCs w:val="32"/>
        </w:rPr>
        <w:t xml:space="preserve"> (The guardian</w:t>
      </w:r>
      <w:r w:rsidR="00FD3B86">
        <w:rPr>
          <w:sz w:val="32"/>
          <w:szCs w:val="32"/>
        </w:rPr>
        <w:t>,</w:t>
      </w:r>
      <w:r w:rsidR="00C47BFE">
        <w:rPr>
          <w:sz w:val="32"/>
          <w:szCs w:val="32"/>
        </w:rPr>
        <w:t xml:space="preserve"> 2016</w:t>
      </w:r>
      <w:r w:rsidR="00FD3B86">
        <w:rPr>
          <w:sz w:val="32"/>
          <w:szCs w:val="32"/>
        </w:rPr>
        <w:t>).</w:t>
      </w:r>
      <w:r w:rsidR="00F970E3">
        <w:rPr>
          <w:sz w:val="32"/>
          <w:szCs w:val="32"/>
        </w:rPr>
        <w:t xml:space="preserve"> In particular, the requirement for pre-inquest interviews. </w:t>
      </w:r>
    </w:p>
    <w:p w14:paraId="21BF2243" w14:textId="4DEBCC5A" w:rsidR="007E3C2E" w:rsidRDefault="00264BE4" w:rsidP="001A5959">
      <w:pPr>
        <w:rPr>
          <w:sz w:val="32"/>
          <w:szCs w:val="32"/>
        </w:rPr>
      </w:pPr>
      <w:r w:rsidRPr="00264BE4">
        <w:rPr>
          <w:sz w:val="32"/>
          <w:szCs w:val="32"/>
        </w:rPr>
        <w:t xml:space="preserve">According to a report by the House of Commons Justice Committee, "the introduction of the Chief Coroner role has the potential to compromise the independence of coroners by introducing a new layer of hierarchical control" (House of Commons Justice Committee, 2016). This concern is also echoed by some legal experts who argue that the chief coroner's powers could be used to limit the autonomy of local </w:t>
      </w:r>
      <w:r w:rsidRPr="00264BE4">
        <w:rPr>
          <w:sz w:val="32"/>
          <w:szCs w:val="32"/>
        </w:rPr>
        <w:lastRenderedPageBreak/>
        <w:t>coroners and undermine their ability to conduct impartial and thorough investigatio</w:t>
      </w:r>
      <w:r w:rsidR="00D3237E">
        <w:rPr>
          <w:sz w:val="32"/>
          <w:szCs w:val="32"/>
        </w:rPr>
        <w:t>ns.</w:t>
      </w:r>
    </w:p>
    <w:p w14:paraId="47B42F7E" w14:textId="77777777" w:rsidR="0022659A" w:rsidRPr="0022659A" w:rsidRDefault="00D3237E">
      <w:pPr>
        <w:rPr>
          <w:sz w:val="32"/>
          <w:szCs w:val="32"/>
        </w:rPr>
      </w:pPr>
      <w:r>
        <w:rPr>
          <w:sz w:val="32"/>
          <w:szCs w:val="32"/>
        </w:rPr>
        <w:t xml:space="preserve"> There have been several</w:t>
      </w:r>
      <w:r w:rsidR="0078606A">
        <w:rPr>
          <w:sz w:val="32"/>
          <w:szCs w:val="32"/>
        </w:rPr>
        <w:t xml:space="preserve"> recommendations for further reform within the coroner system in England and Wales</w:t>
      </w:r>
      <w:r w:rsidR="006D446E">
        <w:rPr>
          <w:sz w:val="32"/>
          <w:szCs w:val="32"/>
        </w:rPr>
        <w:t xml:space="preserve"> following the implementation of the Coroners and Justice Act 2009. One of the main areas </w:t>
      </w:r>
      <w:r w:rsidR="0022659A" w:rsidRPr="0022659A">
        <w:rPr>
          <w:sz w:val="32"/>
          <w:szCs w:val="32"/>
        </w:rPr>
        <w:t>of concern has been the lack of consistency in the quality and standard of coroner investigations, with some cases receiving inadequate attention and scrutiny.</w:t>
      </w:r>
    </w:p>
    <w:p w14:paraId="6A0B6F89" w14:textId="64A49150" w:rsidR="00D3237E" w:rsidRDefault="0044207C" w:rsidP="001A5959">
      <w:pPr>
        <w:rPr>
          <w:sz w:val="32"/>
          <w:szCs w:val="32"/>
        </w:rPr>
      </w:pPr>
      <w:r w:rsidRPr="0044207C">
        <w:rPr>
          <w:sz w:val="32"/>
          <w:szCs w:val="32"/>
        </w:rPr>
        <w:t>In 2016, the House of Commons Justice Committee published a report on the coroner service in England and Wales, which highlighted a number of areas for improvement. One of the key recommendations was the establishment of a national charter for the bereaved, which would set out the minimum standards for the treatment of families and loved ones during the coroner investigation process. The report also recommended the introduction of a system of inspections for coroner offices to ensure consistency and quality of service.</w:t>
      </w:r>
      <w:r>
        <w:rPr>
          <w:sz w:val="32"/>
          <w:szCs w:val="32"/>
        </w:rPr>
        <w:t xml:space="preserve"> </w:t>
      </w:r>
    </w:p>
    <w:p w14:paraId="1867A21A" w14:textId="63006CEF" w:rsidR="0044207C" w:rsidRDefault="0044207C" w:rsidP="001A5959">
      <w:pPr>
        <w:rPr>
          <w:sz w:val="32"/>
          <w:szCs w:val="32"/>
        </w:rPr>
      </w:pPr>
      <w:r w:rsidRPr="0044207C">
        <w:rPr>
          <w:sz w:val="32"/>
          <w:szCs w:val="32"/>
        </w:rPr>
        <w:t>In addition, the report recommended the introduction of a system of mandatory training and accreditation for coroners, to ensure that they have the necessary knowledge and skills to carry out their duties effectively. The report stated that "accreditation and revalidation would help ensure that all coroners have the knowledge and skills required to conduct investigations to a high standard" (House of Commons Justice Committee, 2016).</w:t>
      </w:r>
    </w:p>
    <w:p w14:paraId="226008C2" w14:textId="4D4085F1" w:rsidR="00B32A95" w:rsidRDefault="003E2953" w:rsidP="001A5959">
      <w:pPr>
        <w:rPr>
          <w:sz w:val="32"/>
          <w:szCs w:val="32"/>
        </w:rPr>
      </w:pPr>
      <w:r>
        <w:rPr>
          <w:sz w:val="32"/>
          <w:szCs w:val="32"/>
        </w:rPr>
        <w:lastRenderedPageBreak/>
        <w:t>T</w:t>
      </w:r>
      <w:r w:rsidR="00B32A95" w:rsidRPr="00B32A95">
        <w:rPr>
          <w:sz w:val="32"/>
          <w:szCs w:val="32"/>
        </w:rPr>
        <w:t>he recommendations for further reform within the coroner system aim to improve consistency, accountability and transparency, and ensure that families and loved ones receive the support and care they need during the investigation process.</w:t>
      </w:r>
    </w:p>
    <w:p w14:paraId="3F5F3E33" w14:textId="77021D94" w:rsidR="005D7F48" w:rsidRDefault="005D7F48" w:rsidP="001A5959">
      <w:pPr>
        <w:rPr>
          <w:sz w:val="32"/>
          <w:szCs w:val="32"/>
        </w:rPr>
      </w:pPr>
      <w:r w:rsidRPr="005D7F48">
        <w:rPr>
          <w:sz w:val="32"/>
          <w:szCs w:val="32"/>
        </w:rPr>
        <w:t>In conclusion, the Coroners and Justice Act 2009 brought significant changes to the law in England and Wales related to criminal justice, coroners, and other areas. The Act aimed to modernize the system and make it more effective in investigating deaths, improving the quality and consistency of coronial investigations, and increasing transparency and accountability. The changes to the defense of diminished responsibility aimed to clarify and simplify the law, although controversial amendments were made. While some of the changes were beneficial, there were also disadvantages, such as increased costs and delays in the new inquest system and concerns over the independence of local coroners.</w:t>
      </w:r>
    </w:p>
    <w:p w14:paraId="0130F81F" w14:textId="6E558093" w:rsidR="000E181C" w:rsidRDefault="005C5ED8" w:rsidP="001A5959">
      <w:pPr>
        <w:rPr>
          <w:sz w:val="32"/>
          <w:szCs w:val="32"/>
        </w:rPr>
      </w:pPr>
      <w:r w:rsidRPr="005C5ED8">
        <w:rPr>
          <w:sz w:val="32"/>
          <w:szCs w:val="32"/>
        </w:rPr>
        <w:t>"The amendments to the Coroners and Justice Act 2009 have expanded the ability of coroners to investigate cases of domestic violence, human trafficking, and child abuse, among other things. This is an important development that reflects a growing recognition of the need to address these issues through the coronial system." (Gillespie, 2019, p. 84)</w:t>
      </w:r>
    </w:p>
    <w:p w14:paraId="427120FB" w14:textId="77777777" w:rsidR="001613C7" w:rsidRDefault="001613C7" w:rsidP="001A5959">
      <w:pPr>
        <w:rPr>
          <w:sz w:val="32"/>
          <w:szCs w:val="32"/>
        </w:rPr>
      </w:pPr>
    </w:p>
    <w:p w14:paraId="60D637C6" w14:textId="77777777" w:rsidR="00720CF3" w:rsidRDefault="00720CF3" w:rsidP="00363B4F">
      <w:pPr>
        <w:rPr>
          <w:sz w:val="32"/>
          <w:szCs w:val="32"/>
        </w:rPr>
      </w:pPr>
    </w:p>
    <w:p w14:paraId="30B7F3F9" w14:textId="2FA82668" w:rsidR="00363B4F" w:rsidRDefault="00FB1A02" w:rsidP="00363B4F">
      <w:pPr>
        <w:rPr>
          <w:rFonts w:ascii="Segoe UI" w:hAnsi="Segoe UI" w:cs="Segoe UI"/>
          <w:sz w:val="24"/>
          <w:szCs w:val="24"/>
        </w:rPr>
      </w:pPr>
      <w:r w:rsidRPr="00772F67">
        <w:rPr>
          <w:rFonts w:ascii="Segoe UI" w:hAnsi="Segoe UI" w:cs="Segoe UI"/>
          <w:sz w:val="24"/>
          <w:szCs w:val="24"/>
        </w:rPr>
        <w:lastRenderedPageBreak/>
        <w:t>References –</w:t>
      </w:r>
    </w:p>
    <w:p w14:paraId="77E33427" w14:textId="1ACBBDB8" w:rsidR="00363B4F" w:rsidRDefault="00363B4F" w:rsidP="00363B4F">
      <w:pPr>
        <w:pStyle w:val="ListParagraph"/>
        <w:numPr>
          <w:ilvl w:val="0"/>
          <w:numId w:val="11"/>
        </w:numPr>
        <w:rPr>
          <w:rFonts w:ascii="Segoe UI" w:hAnsi="Segoe UI" w:cs="Segoe UI"/>
          <w:sz w:val="24"/>
          <w:szCs w:val="24"/>
        </w:rPr>
      </w:pPr>
      <w:r>
        <w:rPr>
          <w:rFonts w:ascii="Segoe UI" w:hAnsi="Segoe UI" w:cs="Segoe UI"/>
          <w:sz w:val="24"/>
          <w:szCs w:val="24"/>
        </w:rPr>
        <w:t xml:space="preserve">Catherine Fairbairn, Coroners and Justice Bill: coroners and death certification, Bill 9 of 2008-09, House of Commons library research paper, </w:t>
      </w:r>
      <w:hyperlink r:id="rId10" w:history="1">
        <w:r w:rsidRPr="008F69D7">
          <w:rPr>
            <w:rStyle w:val="Hyperlink"/>
            <w:rFonts w:ascii="Segoe UI" w:hAnsi="Segoe UI" w:cs="Segoe UI"/>
            <w:sz w:val="24"/>
            <w:szCs w:val="24"/>
          </w:rPr>
          <w:t>https://researchbriefings.files.parliament.uk/documents/RP09-07/RP09-07.pdf</w:t>
        </w:r>
      </w:hyperlink>
      <w:r>
        <w:rPr>
          <w:rFonts w:ascii="Segoe UI" w:hAnsi="Segoe UI" w:cs="Segoe UI"/>
          <w:sz w:val="24"/>
          <w:szCs w:val="24"/>
        </w:rPr>
        <w:t xml:space="preserve"> </w:t>
      </w:r>
    </w:p>
    <w:p w14:paraId="10374D77" w14:textId="0A76C87D" w:rsidR="00363B4F" w:rsidRDefault="00363B4F" w:rsidP="00363B4F">
      <w:pPr>
        <w:pStyle w:val="ListParagraph"/>
        <w:numPr>
          <w:ilvl w:val="0"/>
          <w:numId w:val="11"/>
        </w:numPr>
        <w:rPr>
          <w:rFonts w:ascii="Segoe UI" w:hAnsi="Segoe UI" w:cs="Segoe UI"/>
          <w:sz w:val="24"/>
          <w:szCs w:val="24"/>
        </w:rPr>
      </w:pPr>
      <w:r>
        <w:rPr>
          <w:rFonts w:ascii="Segoe UI" w:hAnsi="Segoe UI" w:cs="Segoe UI"/>
          <w:sz w:val="24"/>
          <w:szCs w:val="24"/>
        </w:rPr>
        <w:t>Chapter 4 of Part 2, Serious Organised Crime and Police Act, 2005</w:t>
      </w:r>
    </w:p>
    <w:p w14:paraId="1238C82E" w14:textId="244F86AA" w:rsidR="004413BE" w:rsidRPr="006E7A04" w:rsidRDefault="004413BE" w:rsidP="004413BE">
      <w:pPr>
        <w:pStyle w:val="ListParagraph"/>
        <w:numPr>
          <w:ilvl w:val="0"/>
          <w:numId w:val="11"/>
        </w:numPr>
        <w:rPr>
          <w:rFonts w:ascii="Segoe UI" w:hAnsi="Segoe UI" w:cs="Segoe UI"/>
          <w:sz w:val="24"/>
          <w:szCs w:val="24"/>
        </w:rPr>
      </w:pPr>
      <w:r w:rsidRPr="00772F67">
        <w:rPr>
          <w:rFonts w:ascii="Segoe UI" w:eastAsia="Times New Roman" w:hAnsi="Segoe UI" w:cs="Segoe UI"/>
          <w:color w:val="374151"/>
          <w:sz w:val="24"/>
          <w:szCs w:val="24"/>
          <w:shd w:val="clear" w:color="auto" w:fill="F7F7F8"/>
        </w:rPr>
        <w:t xml:space="preserve">Coroners and Justice Act 2009,  </w:t>
      </w:r>
      <w:hyperlink r:id="rId11" w:history="1">
        <w:r w:rsidRPr="00772F67">
          <w:rPr>
            <w:rStyle w:val="Hyperlink"/>
            <w:rFonts w:ascii="Segoe UI" w:eastAsia="Times New Roman" w:hAnsi="Segoe UI" w:cs="Segoe UI"/>
            <w:sz w:val="24"/>
            <w:szCs w:val="24"/>
            <w:shd w:val="clear" w:color="auto" w:fill="F7F7F8"/>
          </w:rPr>
          <w:t>https://www.legislation.gov.uk/ukpga/2009/25/contents</w:t>
        </w:r>
      </w:hyperlink>
      <w:r w:rsidRPr="00772F67">
        <w:rPr>
          <w:rFonts w:ascii="Segoe UI" w:eastAsia="Times New Roman" w:hAnsi="Segoe UI" w:cs="Segoe UI"/>
          <w:color w:val="374151"/>
          <w:sz w:val="24"/>
          <w:szCs w:val="24"/>
          <w:shd w:val="clear" w:color="auto" w:fill="F7F7F8"/>
        </w:rPr>
        <w:t xml:space="preserve"> </w:t>
      </w:r>
    </w:p>
    <w:p w14:paraId="0BDD1EFB" w14:textId="48E3720E" w:rsidR="006E7A04" w:rsidRDefault="006E7A04" w:rsidP="006E7A04">
      <w:pPr>
        <w:pStyle w:val="ListParagraph"/>
        <w:numPr>
          <w:ilvl w:val="0"/>
          <w:numId w:val="11"/>
        </w:numPr>
        <w:rPr>
          <w:rFonts w:ascii="Segoe UI" w:hAnsi="Segoe UI" w:cs="Segoe UI"/>
          <w:sz w:val="24"/>
          <w:szCs w:val="24"/>
        </w:rPr>
      </w:pPr>
      <w:r>
        <w:rPr>
          <w:rFonts w:ascii="Segoe UI" w:hAnsi="Segoe UI" w:cs="Segoe UI"/>
          <w:sz w:val="24"/>
          <w:szCs w:val="24"/>
        </w:rPr>
        <w:t xml:space="preserve">Coroners and Justice Act 2009, Section 52,  </w:t>
      </w:r>
      <w:hyperlink r:id="rId12" w:history="1">
        <w:r w:rsidRPr="00E20AE1">
          <w:rPr>
            <w:rStyle w:val="Hyperlink"/>
            <w:rFonts w:ascii="Segoe UI" w:hAnsi="Segoe UI" w:cs="Segoe UI"/>
            <w:sz w:val="24"/>
            <w:szCs w:val="24"/>
          </w:rPr>
          <w:t>http://www.legislation.gov.uk/ukpga/2009/25/section/52</w:t>
        </w:r>
      </w:hyperlink>
      <w:r>
        <w:rPr>
          <w:rFonts w:ascii="Segoe UI" w:hAnsi="Segoe UI" w:cs="Segoe UI"/>
          <w:sz w:val="24"/>
          <w:szCs w:val="24"/>
        </w:rPr>
        <w:t xml:space="preserve"> </w:t>
      </w:r>
    </w:p>
    <w:p w14:paraId="63D74AFB" w14:textId="41BE8D4B" w:rsidR="006E7A04" w:rsidRPr="006E7A04" w:rsidRDefault="006E7A04" w:rsidP="006E7A04">
      <w:pPr>
        <w:pStyle w:val="ListParagraph"/>
        <w:numPr>
          <w:ilvl w:val="0"/>
          <w:numId w:val="11"/>
        </w:numPr>
        <w:rPr>
          <w:rFonts w:ascii="Segoe UI" w:hAnsi="Segoe UI" w:cs="Segoe UI"/>
          <w:sz w:val="24"/>
          <w:szCs w:val="24"/>
        </w:rPr>
      </w:pPr>
      <w:r>
        <w:rPr>
          <w:rFonts w:ascii="Segoe UI" w:hAnsi="Segoe UI" w:cs="Segoe UI"/>
          <w:sz w:val="24"/>
          <w:szCs w:val="24"/>
        </w:rPr>
        <w:t>Gillespie, A, 2019, the changing role of the coroner in investigating non-natural deaths, The impact of the Coroners and Justice Act 2009, Journal of Law and Society, 46(1), 83-108.</w:t>
      </w:r>
    </w:p>
    <w:p w14:paraId="12E6A870" w14:textId="7CDF1478" w:rsidR="00FB1A02" w:rsidRPr="00B12F9E" w:rsidRDefault="00592135" w:rsidP="00363B4F">
      <w:pPr>
        <w:pStyle w:val="ListParagraph"/>
        <w:numPr>
          <w:ilvl w:val="0"/>
          <w:numId w:val="11"/>
        </w:numPr>
        <w:rPr>
          <w:rFonts w:ascii="Segoe UI" w:hAnsi="Segoe UI" w:cs="Segoe UI"/>
          <w:sz w:val="24"/>
          <w:szCs w:val="24"/>
        </w:rPr>
      </w:pPr>
      <w:r w:rsidRPr="00363B4F">
        <w:rPr>
          <w:rFonts w:ascii="Segoe UI" w:eastAsia="Times New Roman" w:hAnsi="Segoe UI" w:cs="Segoe UI"/>
          <w:color w:val="374151"/>
          <w:sz w:val="24"/>
          <w:szCs w:val="24"/>
          <w:shd w:val="clear" w:color="auto" w:fill="F7F7F8"/>
        </w:rPr>
        <w:t>“</w:t>
      </w:r>
      <w:r w:rsidR="00FB1A02" w:rsidRPr="00363B4F">
        <w:rPr>
          <w:rFonts w:ascii="Segoe UI" w:eastAsia="Times New Roman" w:hAnsi="Segoe UI" w:cs="Segoe UI"/>
          <w:color w:val="374151"/>
          <w:sz w:val="24"/>
          <w:szCs w:val="24"/>
          <w:shd w:val="clear" w:color="auto" w:fill="F7F7F8"/>
        </w:rPr>
        <w:t>Homicide Act 1957</w:t>
      </w:r>
      <w:r w:rsidRPr="00363B4F">
        <w:rPr>
          <w:rFonts w:ascii="Segoe UI" w:eastAsia="Times New Roman" w:hAnsi="Segoe UI" w:cs="Segoe UI"/>
          <w:color w:val="374151"/>
          <w:sz w:val="24"/>
          <w:szCs w:val="24"/>
          <w:shd w:val="clear" w:color="auto" w:fill="F7F7F8"/>
        </w:rPr>
        <w:t xml:space="preserve">”, </w:t>
      </w:r>
      <w:hyperlink r:id="rId13" w:history="1">
        <w:r w:rsidRPr="00363B4F">
          <w:rPr>
            <w:rStyle w:val="Hyperlink"/>
            <w:rFonts w:ascii="Segoe UI" w:eastAsia="Times New Roman" w:hAnsi="Segoe UI" w:cs="Segoe UI"/>
            <w:sz w:val="24"/>
            <w:szCs w:val="24"/>
            <w:shd w:val="clear" w:color="auto" w:fill="F7F7F8"/>
          </w:rPr>
          <w:t>https://www.legislation.gov.uk/ukpga/Eliz2/5-6/11/contents</w:t>
        </w:r>
      </w:hyperlink>
      <w:r w:rsidRPr="00363B4F">
        <w:rPr>
          <w:rFonts w:ascii="Segoe UI" w:eastAsia="Times New Roman" w:hAnsi="Segoe UI" w:cs="Segoe UI"/>
          <w:color w:val="374151"/>
          <w:sz w:val="24"/>
          <w:szCs w:val="24"/>
          <w:shd w:val="clear" w:color="auto" w:fill="F7F7F8"/>
        </w:rPr>
        <w:t xml:space="preserve"> </w:t>
      </w:r>
    </w:p>
    <w:p w14:paraId="2521C13B" w14:textId="293F2BC8" w:rsidR="00B12F9E" w:rsidRDefault="00B12F9E" w:rsidP="00B12F9E">
      <w:pPr>
        <w:pStyle w:val="ListParagraph"/>
        <w:numPr>
          <w:ilvl w:val="0"/>
          <w:numId w:val="11"/>
        </w:numPr>
        <w:rPr>
          <w:rFonts w:ascii="Segoe UI" w:hAnsi="Segoe UI" w:cs="Segoe UI"/>
          <w:sz w:val="24"/>
          <w:szCs w:val="24"/>
        </w:rPr>
      </w:pPr>
      <w:r>
        <w:rPr>
          <w:rFonts w:ascii="Segoe UI" w:hAnsi="Segoe UI" w:cs="Segoe UI"/>
          <w:sz w:val="24"/>
          <w:szCs w:val="24"/>
        </w:rPr>
        <w:t xml:space="preserve">House of Commons Library Briefing Paper, Suicide, Mandatory reporting by healthcare professionals, 11 January 2023, Matthew Ward, </w:t>
      </w:r>
      <w:hyperlink r:id="rId14" w:history="1">
        <w:r w:rsidRPr="00E20AE1">
          <w:rPr>
            <w:rStyle w:val="Hyperlink"/>
            <w:rFonts w:ascii="Segoe UI" w:hAnsi="Segoe UI" w:cs="Segoe UI"/>
            <w:sz w:val="24"/>
            <w:szCs w:val="24"/>
          </w:rPr>
          <w:t>https://commonslibrary.parliament.uk/research-briefings/sn07158/</w:t>
        </w:r>
      </w:hyperlink>
      <w:r>
        <w:rPr>
          <w:rFonts w:ascii="Segoe UI" w:hAnsi="Segoe UI" w:cs="Segoe UI"/>
          <w:sz w:val="24"/>
          <w:szCs w:val="24"/>
        </w:rPr>
        <w:t xml:space="preserve"> </w:t>
      </w:r>
    </w:p>
    <w:p w14:paraId="569598A9" w14:textId="4F36A399" w:rsidR="00B12F9E" w:rsidRPr="00B12F9E" w:rsidRDefault="00B12F9E" w:rsidP="00B12F9E">
      <w:pPr>
        <w:pStyle w:val="ListParagraph"/>
        <w:numPr>
          <w:ilvl w:val="0"/>
          <w:numId w:val="11"/>
        </w:numPr>
        <w:rPr>
          <w:rFonts w:ascii="Segoe UI" w:hAnsi="Segoe UI" w:cs="Segoe UI"/>
          <w:sz w:val="24"/>
          <w:szCs w:val="24"/>
        </w:rPr>
      </w:pPr>
      <w:r>
        <w:rPr>
          <w:rFonts w:ascii="Segoe UI" w:hAnsi="Segoe UI" w:cs="Segoe UI"/>
          <w:sz w:val="24"/>
          <w:szCs w:val="24"/>
        </w:rPr>
        <w:t>HSE, 14</w:t>
      </w:r>
      <w:r w:rsidRPr="00C356EE">
        <w:rPr>
          <w:rFonts w:ascii="Segoe UI" w:hAnsi="Segoe UI" w:cs="Segoe UI"/>
          <w:sz w:val="24"/>
          <w:szCs w:val="24"/>
          <w:vertAlign w:val="superscript"/>
        </w:rPr>
        <w:t>th</w:t>
      </w:r>
      <w:r>
        <w:rPr>
          <w:rFonts w:ascii="Segoe UI" w:hAnsi="Segoe UI" w:cs="Segoe UI"/>
          <w:sz w:val="24"/>
          <w:szCs w:val="24"/>
        </w:rPr>
        <w:t xml:space="preserve"> March 2022, The Corporate Manslaughter and Corporate Homicide Act 2007, </w:t>
      </w:r>
      <w:hyperlink r:id="rId15" w:history="1">
        <w:r w:rsidRPr="00E604A0">
          <w:rPr>
            <w:rStyle w:val="Hyperlink"/>
            <w:rFonts w:ascii="Segoe UI" w:hAnsi="Segoe UI" w:cs="Segoe UI"/>
            <w:sz w:val="24"/>
            <w:szCs w:val="24"/>
          </w:rPr>
          <w:t>https://www.hse.gov.uk/corpmanslaughter/about.htm</w:t>
        </w:r>
      </w:hyperlink>
      <w:r>
        <w:rPr>
          <w:rFonts w:ascii="Segoe UI" w:hAnsi="Segoe UI" w:cs="Segoe UI"/>
          <w:sz w:val="24"/>
          <w:szCs w:val="24"/>
        </w:rPr>
        <w:t xml:space="preserve"> </w:t>
      </w:r>
    </w:p>
    <w:p w14:paraId="7D54AEDE" w14:textId="6EE363D6" w:rsidR="002E76F2" w:rsidRPr="00772F67" w:rsidRDefault="002E76F2" w:rsidP="00FB1A02">
      <w:pPr>
        <w:pStyle w:val="ListParagraph"/>
        <w:numPr>
          <w:ilvl w:val="0"/>
          <w:numId w:val="11"/>
        </w:numPr>
        <w:rPr>
          <w:rFonts w:ascii="Segoe UI" w:hAnsi="Segoe UI" w:cs="Segoe UI"/>
          <w:sz w:val="24"/>
          <w:szCs w:val="24"/>
        </w:rPr>
      </w:pPr>
      <w:r w:rsidRPr="00772F67">
        <w:rPr>
          <w:rFonts w:ascii="Segoe UI" w:eastAsia="Times New Roman" w:hAnsi="Segoe UI" w:cs="Segoe UI"/>
          <w:color w:val="374151"/>
          <w:sz w:val="24"/>
          <w:szCs w:val="24"/>
          <w:shd w:val="clear" w:color="auto" w:fill="F7F7F8"/>
        </w:rPr>
        <w:t xml:space="preserve">R V Byrne, 1960, 2 QB 396, </w:t>
      </w:r>
      <w:hyperlink r:id="rId16" w:history="1">
        <w:r w:rsidR="002F4095" w:rsidRPr="00772F67">
          <w:rPr>
            <w:rStyle w:val="Hyperlink"/>
            <w:rFonts w:ascii="Segoe UI" w:eastAsia="Times New Roman" w:hAnsi="Segoe UI" w:cs="Segoe UI"/>
            <w:sz w:val="24"/>
            <w:szCs w:val="24"/>
            <w:shd w:val="clear" w:color="auto" w:fill="F7F7F8"/>
          </w:rPr>
          <w:t>http://www.e-lawresources.co.uk/R-v-Byrne.php</w:t>
        </w:r>
      </w:hyperlink>
      <w:r w:rsidR="002F4095" w:rsidRPr="00772F67">
        <w:rPr>
          <w:rFonts w:ascii="Segoe UI" w:eastAsia="Times New Roman" w:hAnsi="Segoe UI" w:cs="Segoe UI"/>
          <w:color w:val="374151"/>
          <w:sz w:val="24"/>
          <w:szCs w:val="24"/>
          <w:shd w:val="clear" w:color="auto" w:fill="F7F7F8"/>
        </w:rPr>
        <w:t xml:space="preserve"> </w:t>
      </w:r>
    </w:p>
    <w:p w14:paraId="7DE21057" w14:textId="77777777" w:rsidR="00632AEF" w:rsidRPr="00772F67" w:rsidRDefault="00133162" w:rsidP="00FB1A02">
      <w:pPr>
        <w:pStyle w:val="ListParagraph"/>
        <w:numPr>
          <w:ilvl w:val="0"/>
          <w:numId w:val="11"/>
        </w:numPr>
        <w:rPr>
          <w:rStyle w:val="Hyperlink"/>
          <w:rFonts w:ascii="Segoe UI" w:hAnsi="Segoe UI" w:cs="Segoe UI"/>
          <w:color w:val="3A3A3A" w:themeColor="text2"/>
          <w:sz w:val="24"/>
          <w:szCs w:val="24"/>
          <w:u w:val="none"/>
        </w:rPr>
      </w:pPr>
      <w:r w:rsidRPr="00772F67">
        <w:rPr>
          <w:rFonts w:ascii="Segoe UI" w:eastAsia="Times New Roman" w:hAnsi="Segoe UI" w:cs="Segoe UI"/>
          <w:color w:val="374151"/>
          <w:sz w:val="24"/>
          <w:szCs w:val="24"/>
          <w:shd w:val="clear" w:color="auto" w:fill="F7F7F8"/>
        </w:rPr>
        <w:t xml:space="preserve">R V Dowds, 2012, 2012, EWCA Crim 2812, </w:t>
      </w:r>
      <w:hyperlink r:id="rId17" w:history="1">
        <w:r w:rsidR="00E47021" w:rsidRPr="00772F67">
          <w:rPr>
            <w:rStyle w:val="Hyperlink"/>
            <w:rFonts w:ascii="Segoe UI" w:eastAsia="Times New Roman" w:hAnsi="Segoe UI" w:cs="Segoe UI"/>
            <w:sz w:val="24"/>
            <w:szCs w:val="24"/>
            <w:shd w:val="clear" w:color="auto" w:fill="F7F7F8"/>
          </w:rPr>
          <w:t>https://simplestudying.com/r-v-dowds-stephen-andrew-2012-ewca-crim-281/</w:t>
        </w:r>
      </w:hyperlink>
    </w:p>
    <w:p w14:paraId="1463AF12" w14:textId="103880A1" w:rsidR="00506180" w:rsidRDefault="001E4F2F" w:rsidP="00FB1A02">
      <w:pPr>
        <w:pStyle w:val="ListParagraph"/>
        <w:numPr>
          <w:ilvl w:val="0"/>
          <w:numId w:val="11"/>
        </w:numPr>
        <w:rPr>
          <w:rFonts w:ascii="Segoe UI" w:hAnsi="Segoe UI" w:cs="Segoe UI"/>
          <w:sz w:val="24"/>
          <w:szCs w:val="24"/>
        </w:rPr>
      </w:pPr>
      <w:r w:rsidRPr="00772F67">
        <w:rPr>
          <w:rFonts w:ascii="Segoe UI" w:hAnsi="Segoe UI" w:cs="Segoe UI"/>
          <w:sz w:val="24"/>
          <w:szCs w:val="24"/>
        </w:rPr>
        <w:t xml:space="preserve">Reforms to the coroner </w:t>
      </w:r>
      <w:r w:rsidR="009B67B9" w:rsidRPr="00772F67">
        <w:rPr>
          <w:rFonts w:ascii="Segoe UI" w:hAnsi="Segoe UI" w:cs="Segoe UI"/>
          <w:sz w:val="24"/>
          <w:szCs w:val="24"/>
        </w:rPr>
        <w:t xml:space="preserve">service in England and Wales, </w:t>
      </w:r>
      <w:r w:rsidR="00C42BE2" w:rsidRPr="00772F67">
        <w:rPr>
          <w:rFonts w:ascii="Segoe UI" w:hAnsi="Segoe UI" w:cs="Segoe UI"/>
          <w:sz w:val="24"/>
          <w:szCs w:val="24"/>
        </w:rPr>
        <w:t>23</w:t>
      </w:r>
      <w:r w:rsidR="00C42BE2" w:rsidRPr="00772F67">
        <w:rPr>
          <w:rFonts w:ascii="Segoe UI" w:hAnsi="Segoe UI" w:cs="Segoe UI"/>
          <w:sz w:val="24"/>
          <w:szCs w:val="24"/>
          <w:vertAlign w:val="superscript"/>
        </w:rPr>
        <w:t>rd</w:t>
      </w:r>
      <w:r w:rsidR="00C42BE2" w:rsidRPr="00772F67">
        <w:rPr>
          <w:rFonts w:ascii="Segoe UI" w:hAnsi="Segoe UI" w:cs="Segoe UI"/>
          <w:sz w:val="24"/>
          <w:szCs w:val="24"/>
        </w:rPr>
        <w:t xml:space="preserve"> September </w:t>
      </w:r>
      <w:r w:rsidR="00B1441F" w:rsidRPr="00772F67">
        <w:rPr>
          <w:rFonts w:ascii="Segoe UI" w:hAnsi="Segoe UI" w:cs="Segoe UI"/>
          <w:sz w:val="24"/>
          <w:szCs w:val="24"/>
        </w:rPr>
        <w:t>2021,</w:t>
      </w:r>
      <w:r w:rsidR="009B67B9" w:rsidRPr="00772F67">
        <w:rPr>
          <w:rFonts w:ascii="Segoe UI" w:hAnsi="Segoe UI" w:cs="Segoe UI"/>
          <w:sz w:val="24"/>
          <w:szCs w:val="24"/>
        </w:rPr>
        <w:t xml:space="preserve"> House of Commons library</w:t>
      </w:r>
      <w:r w:rsidR="00B1441F" w:rsidRPr="00772F67">
        <w:rPr>
          <w:rFonts w:ascii="Segoe UI" w:hAnsi="Segoe UI" w:cs="Segoe UI"/>
          <w:sz w:val="24"/>
          <w:szCs w:val="24"/>
        </w:rPr>
        <w:t xml:space="preserve">, Catherine fairbairn, </w:t>
      </w:r>
      <w:r w:rsidR="00103F1B" w:rsidRPr="00772F67">
        <w:rPr>
          <w:rFonts w:ascii="Segoe UI" w:hAnsi="Segoe UI" w:cs="Segoe UI"/>
          <w:sz w:val="24"/>
          <w:szCs w:val="24"/>
        </w:rPr>
        <w:t>Georgina Sturgeon</w:t>
      </w:r>
    </w:p>
    <w:p w14:paraId="05DCAA4A" w14:textId="3025147B" w:rsidR="003C7755" w:rsidRDefault="003C7755" w:rsidP="00FB1A02">
      <w:pPr>
        <w:pStyle w:val="ListParagraph"/>
        <w:numPr>
          <w:ilvl w:val="0"/>
          <w:numId w:val="11"/>
        </w:numPr>
        <w:rPr>
          <w:rFonts w:ascii="Segoe UI" w:hAnsi="Segoe UI" w:cs="Segoe UI"/>
          <w:sz w:val="24"/>
          <w:szCs w:val="24"/>
        </w:rPr>
      </w:pPr>
      <w:r>
        <w:rPr>
          <w:rFonts w:ascii="Segoe UI" w:hAnsi="Segoe UI" w:cs="Segoe UI"/>
          <w:sz w:val="24"/>
          <w:szCs w:val="24"/>
        </w:rPr>
        <w:t xml:space="preserve">The Chiefs Coroners Guidance on the Coroners and Justice </w:t>
      </w:r>
      <w:r w:rsidR="00DA726B">
        <w:rPr>
          <w:rFonts w:ascii="Segoe UI" w:hAnsi="Segoe UI" w:cs="Segoe UI"/>
          <w:sz w:val="24"/>
          <w:szCs w:val="24"/>
        </w:rPr>
        <w:t xml:space="preserve">Act 2009, </w:t>
      </w:r>
      <w:hyperlink r:id="rId18" w:history="1">
        <w:r w:rsidR="001E18E1" w:rsidRPr="00E20AE1">
          <w:rPr>
            <w:rStyle w:val="Hyperlink"/>
            <w:rFonts w:ascii="Segoe UI" w:hAnsi="Segoe UI" w:cs="Segoe UI"/>
            <w:sz w:val="24"/>
            <w:szCs w:val="24"/>
          </w:rPr>
          <w:t>https://www.judiciary.uk/wp-content/uploads/2022/07/chief-coroners-guide-to-act-sept2013.pdf</w:t>
        </w:r>
      </w:hyperlink>
      <w:r w:rsidR="001E18E1">
        <w:rPr>
          <w:rFonts w:ascii="Segoe UI" w:hAnsi="Segoe UI" w:cs="Segoe UI"/>
          <w:sz w:val="24"/>
          <w:szCs w:val="24"/>
        </w:rPr>
        <w:t xml:space="preserve"> </w:t>
      </w:r>
    </w:p>
    <w:p w14:paraId="092D7744" w14:textId="268002A5" w:rsidR="00FD3B86" w:rsidRDefault="008D7FDE" w:rsidP="00FB1A02">
      <w:pPr>
        <w:pStyle w:val="ListParagraph"/>
        <w:numPr>
          <w:ilvl w:val="0"/>
          <w:numId w:val="11"/>
        </w:numPr>
        <w:rPr>
          <w:rFonts w:ascii="Segoe UI" w:hAnsi="Segoe UI" w:cs="Segoe UI"/>
          <w:sz w:val="24"/>
          <w:szCs w:val="24"/>
        </w:rPr>
      </w:pPr>
      <w:r>
        <w:rPr>
          <w:rFonts w:ascii="Segoe UI" w:hAnsi="Segoe UI" w:cs="Segoe UI"/>
          <w:sz w:val="24"/>
          <w:szCs w:val="24"/>
        </w:rPr>
        <w:t xml:space="preserve">The Guardian, 2016, Bereaved families face ‘disgraceful’ delays of up to two years for inquests, </w:t>
      </w:r>
      <w:hyperlink r:id="rId19" w:history="1">
        <w:r w:rsidR="00F970E3" w:rsidRPr="00E604A0">
          <w:rPr>
            <w:rStyle w:val="Hyperlink"/>
            <w:rFonts w:ascii="Segoe UI" w:hAnsi="Segoe UI" w:cs="Segoe UI"/>
            <w:sz w:val="24"/>
            <w:szCs w:val="24"/>
          </w:rPr>
          <w:t>https://www.theguardian.com/uk-</w:t>
        </w:r>
        <w:r w:rsidR="00F970E3" w:rsidRPr="00E604A0">
          <w:rPr>
            <w:rStyle w:val="Hyperlink"/>
            <w:rFonts w:ascii="Segoe UI" w:hAnsi="Segoe UI" w:cs="Segoe UI"/>
            <w:sz w:val="24"/>
            <w:szCs w:val="24"/>
          </w:rPr>
          <w:lastRenderedPageBreak/>
          <w:t>news/2016/nov/07/bereaved-families-face-disgraceful-delays-of-up-to-two-years-for-inquest</w:t>
        </w:r>
      </w:hyperlink>
      <w:r w:rsidR="00F970E3">
        <w:rPr>
          <w:rFonts w:ascii="Segoe UI" w:hAnsi="Segoe UI" w:cs="Segoe UI"/>
          <w:sz w:val="24"/>
          <w:szCs w:val="24"/>
        </w:rPr>
        <w:t xml:space="preserve"> </w:t>
      </w:r>
    </w:p>
    <w:p w14:paraId="503787E7" w14:textId="1539F8C3" w:rsidR="00005190" w:rsidRPr="00772F67" w:rsidRDefault="00005190" w:rsidP="00363B4F">
      <w:pPr>
        <w:pStyle w:val="ListParagraph"/>
        <w:rPr>
          <w:rFonts w:ascii="Segoe UI" w:hAnsi="Segoe UI" w:cs="Segoe UI"/>
          <w:sz w:val="24"/>
          <w:szCs w:val="24"/>
        </w:rPr>
      </w:pPr>
    </w:p>
    <w:sectPr w:rsidR="00005190" w:rsidRPr="00772F67">
      <w:footerReference w:type="default" r:id="rId20"/>
      <w:headerReference w:type="first" r:id="rId21"/>
      <w:pgSz w:w="12240" w:h="15840"/>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38F52" w14:textId="77777777" w:rsidR="008E47EF" w:rsidRDefault="008E47EF">
      <w:pPr>
        <w:spacing w:after="0" w:line="240" w:lineRule="auto"/>
      </w:pPr>
      <w:r>
        <w:separator/>
      </w:r>
    </w:p>
  </w:endnote>
  <w:endnote w:type="continuationSeparator" w:id="0">
    <w:p w14:paraId="4958DB86" w14:textId="77777777" w:rsidR="008E47EF" w:rsidRDefault="008E4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7933"/>
      <w:docPartObj>
        <w:docPartGallery w:val="Page Numbers (Bottom of Page)"/>
        <w:docPartUnique/>
      </w:docPartObj>
    </w:sdtPr>
    <w:sdtEndPr>
      <w:rPr>
        <w:noProof/>
      </w:rPr>
    </w:sdtEndPr>
    <w:sdtContent>
      <w:p w14:paraId="6C1E53A2" w14:textId="77777777" w:rsidR="00FF42F8" w:rsidRDefault="00FA76A9">
        <w:pPr>
          <w:pStyle w:val="Footer"/>
        </w:pPr>
        <w:r>
          <w:rPr>
            <w:lang w:val="en-GB" w:bidi="en-GB"/>
          </w:rPr>
          <w:fldChar w:fldCharType="begin"/>
        </w:r>
        <w:r>
          <w:rPr>
            <w:lang w:val="en-GB" w:bidi="en-GB"/>
          </w:rPr>
          <w:instrText xml:space="preserve"> PAGE   \* MERGEFORMAT </w:instrText>
        </w:r>
        <w:r>
          <w:rPr>
            <w:lang w:val="en-GB" w:bidi="en-GB"/>
          </w:rPr>
          <w:fldChar w:fldCharType="separate"/>
        </w:r>
        <w:r w:rsidR="00BB5B19">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6834F" w14:textId="77777777" w:rsidR="008E47EF" w:rsidRDefault="008E47EF">
      <w:pPr>
        <w:spacing w:after="0" w:line="240" w:lineRule="auto"/>
      </w:pPr>
      <w:r>
        <w:separator/>
      </w:r>
    </w:p>
  </w:footnote>
  <w:footnote w:type="continuationSeparator" w:id="0">
    <w:p w14:paraId="3D89CD73" w14:textId="77777777" w:rsidR="008E47EF" w:rsidRDefault="008E4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A7E52" w14:textId="77777777" w:rsidR="00987527" w:rsidRDefault="00987527">
    <w:pPr>
      <w:pStyle w:val="Header"/>
    </w:pPr>
    <w:r>
      <w:rPr>
        <w:noProof/>
        <w:lang w:eastAsia="en-US"/>
      </w:rPr>
      <mc:AlternateContent>
        <mc:Choice Requires="wps">
          <w:drawing>
            <wp:anchor distT="0" distB="0" distL="114300" distR="114300" simplePos="0" relativeHeight="251659264" behindDoc="0" locked="1" layoutInCell="1" allowOverlap="1" wp14:anchorId="652D4A46" wp14:editId="1587408A">
              <wp:simplePos x="0" y="0"/>
              <wp:positionH relativeFrom="page">
                <wp:posOffset>8890</wp:posOffset>
              </wp:positionH>
              <wp:positionV relativeFrom="page">
                <wp:posOffset>631190</wp:posOffset>
              </wp:positionV>
              <wp:extent cx="603504" cy="1060704"/>
              <wp:effectExtent l="0" t="0" r="25400" b="25400"/>
              <wp:wrapNone/>
              <wp:docPr id="2" name="Rectangle 2" title="Rectangle design"/>
              <wp:cNvGraphicFramePr/>
              <a:graphic xmlns:a="http://schemas.openxmlformats.org/drawingml/2006/main">
                <a:graphicData uri="http://schemas.microsoft.com/office/word/2010/wordprocessingShape">
                  <wps:wsp>
                    <wps:cNvSpPr/>
                    <wps:spPr>
                      <a:xfrm>
                        <a:off x="0" y="0"/>
                        <a:ext cx="603504" cy="106070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BBFFB" id="Rectangle 2" o:spid="_x0000_s1026" alt="Title: Rectangle design" style="position:absolute;margin-left:.7pt;margin-top:49.7pt;width:47.5pt;height:8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" fillcolor="#3a3a3a [3215]" strokecolor="#2a1120 [1604]" strokeweight="1pt">
              <w10:wrap anchorx="page" anchory="page"/>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C0299C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DCA2D22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56C018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81A7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AA85F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B0F67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794DC1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CD8A26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DA657E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EEE18D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F783F41"/>
    <w:multiLevelType w:val="hybridMultilevel"/>
    <w:tmpl w:val="7E585C06"/>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898114">
    <w:abstractNumId w:val="9"/>
  </w:num>
  <w:num w:numId="2" w16cid:durableId="1487089665">
    <w:abstractNumId w:val="7"/>
  </w:num>
  <w:num w:numId="3" w16cid:durableId="2063603005">
    <w:abstractNumId w:val="6"/>
  </w:num>
  <w:num w:numId="4" w16cid:durableId="866067300">
    <w:abstractNumId w:val="5"/>
  </w:num>
  <w:num w:numId="5" w16cid:durableId="1234045821">
    <w:abstractNumId w:val="4"/>
  </w:num>
  <w:num w:numId="6" w16cid:durableId="1908685742">
    <w:abstractNumId w:val="8"/>
  </w:num>
  <w:num w:numId="7" w16cid:durableId="524486166">
    <w:abstractNumId w:val="3"/>
  </w:num>
  <w:num w:numId="8" w16cid:durableId="695079849">
    <w:abstractNumId w:val="2"/>
  </w:num>
  <w:num w:numId="9" w16cid:durableId="1135562225">
    <w:abstractNumId w:val="1"/>
  </w:num>
  <w:num w:numId="10" w16cid:durableId="1709717947">
    <w:abstractNumId w:val="0"/>
  </w:num>
  <w:num w:numId="11" w16cid:durableId="15567743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31EAB"/>
    <w:rsid w:val="00005190"/>
    <w:rsid w:val="00010675"/>
    <w:rsid w:val="00014B43"/>
    <w:rsid w:val="00017797"/>
    <w:rsid w:val="00026544"/>
    <w:rsid w:val="00031EAB"/>
    <w:rsid w:val="00032C69"/>
    <w:rsid w:val="000460DD"/>
    <w:rsid w:val="0004663D"/>
    <w:rsid w:val="000810CE"/>
    <w:rsid w:val="00085E18"/>
    <w:rsid w:val="000910A0"/>
    <w:rsid w:val="0009252C"/>
    <w:rsid w:val="000A6956"/>
    <w:rsid w:val="000C4074"/>
    <w:rsid w:val="000C6236"/>
    <w:rsid w:val="000E181C"/>
    <w:rsid w:val="000F6F37"/>
    <w:rsid w:val="00103F1B"/>
    <w:rsid w:val="00114380"/>
    <w:rsid w:val="001231D7"/>
    <w:rsid w:val="00133162"/>
    <w:rsid w:val="00144C86"/>
    <w:rsid w:val="00147E0E"/>
    <w:rsid w:val="00151227"/>
    <w:rsid w:val="00152E94"/>
    <w:rsid w:val="001613C7"/>
    <w:rsid w:val="00164BDD"/>
    <w:rsid w:val="001650BF"/>
    <w:rsid w:val="00165FF7"/>
    <w:rsid w:val="00185110"/>
    <w:rsid w:val="00186F5C"/>
    <w:rsid w:val="00191221"/>
    <w:rsid w:val="00192AD3"/>
    <w:rsid w:val="00197FFB"/>
    <w:rsid w:val="001A5959"/>
    <w:rsid w:val="001D12D4"/>
    <w:rsid w:val="001D589D"/>
    <w:rsid w:val="001E18E1"/>
    <w:rsid w:val="001E1FB8"/>
    <w:rsid w:val="001E4676"/>
    <w:rsid w:val="001E4F2F"/>
    <w:rsid w:val="0021225C"/>
    <w:rsid w:val="002167C5"/>
    <w:rsid w:val="00224779"/>
    <w:rsid w:val="0022659A"/>
    <w:rsid w:val="00241D59"/>
    <w:rsid w:val="00244F4C"/>
    <w:rsid w:val="002515E0"/>
    <w:rsid w:val="002611FB"/>
    <w:rsid w:val="00264BE4"/>
    <w:rsid w:val="00267A67"/>
    <w:rsid w:val="00267AB5"/>
    <w:rsid w:val="00270E08"/>
    <w:rsid w:val="00283909"/>
    <w:rsid w:val="00285267"/>
    <w:rsid w:val="0028586D"/>
    <w:rsid w:val="00290AA3"/>
    <w:rsid w:val="00291893"/>
    <w:rsid w:val="002946CC"/>
    <w:rsid w:val="002A789D"/>
    <w:rsid w:val="002B0FF8"/>
    <w:rsid w:val="002B3AC8"/>
    <w:rsid w:val="002C1558"/>
    <w:rsid w:val="002C7198"/>
    <w:rsid w:val="002E25D7"/>
    <w:rsid w:val="002E4169"/>
    <w:rsid w:val="002E52F9"/>
    <w:rsid w:val="002E5338"/>
    <w:rsid w:val="002E76F2"/>
    <w:rsid w:val="002F22FD"/>
    <w:rsid w:val="002F4095"/>
    <w:rsid w:val="002F7610"/>
    <w:rsid w:val="00313178"/>
    <w:rsid w:val="00314268"/>
    <w:rsid w:val="0032216D"/>
    <w:rsid w:val="003257AF"/>
    <w:rsid w:val="00331980"/>
    <w:rsid w:val="00336A8D"/>
    <w:rsid w:val="003469E6"/>
    <w:rsid w:val="0035771B"/>
    <w:rsid w:val="00357833"/>
    <w:rsid w:val="00362C0A"/>
    <w:rsid w:val="00363B4F"/>
    <w:rsid w:val="00372B10"/>
    <w:rsid w:val="003760C9"/>
    <w:rsid w:val="00377A8A"/>
    <w:rsid w:val="003849E8"/>
    <w:rsid w:val="003912B8"/>
    <w:rsid w:val="003B44F4"/>
    <w:rsid w:val="003C4B8E"/>
    <w:rsid w:val="003C7755"/>
    <w:rsid w:val="003D1578"/>
    <w:rsid w:val="003E2008"/>
    <w:rsid w:val="003E2953"/>
    <w:rsid w:val="003E2AE3"/>
    <w:rsid w:val="003E55B9"/>
    <w:rsid w:val="003F1031"/>
    <w:rsid w:val="00421FA8"/>
    <w:rsid w:val="00425AD4"/>
    <w:rsid w:val="00425DC1"/>
    <w:rsid w:val="00426FE3"/>
    <w:rsid w:val="00431F2C"/>
    <w:rsid w:val="004413BE"/>
    <w:rsid w:val="0044207C"/>
    <w:rsid w:val="004528AF"/>
    <w:rsid w:val="00463B87"/>
    <w:rsid w:val="004668EB"/>
    <w:rsid w:val="00483BBE"/>
    <w:rsid w:val="004848BA"/>
    <w:rsid w:val="00494DBB"/>
    <w:rsid w:val="004B3667"/>
    <w:rsid w:val="004B5E16"/>
    <w:rsid w:val="004B6093"/>
    <w:rsid w:val="004C66BF"/>
    <w:rsid w:val="004C7EFF"/>
    <w:rsid w:val="004D5FFD"/>
    <w:rsid w:val="004E1C9F"/>
    <w:rsid w:val="004E5D5F"/>
    <w:rsid w:val="00500CD9"/>
    <w:rsid w:val="00506180"/>
    <w:rsid w:val="00520539"/>
    <w:rsid w:val="005270AE"/>
    <w:rsid w:val="00534914"/>
    <w:rsid w:val="005454E0"/>
    <w:rsid w:val="005460DF"/>
    <w:rsid w:val="00546A31"/>
    <w:rsid w:val="005522A7"/>
    <w:rsid w:val="0056310F"/>
    <w:rsid w:val="00574172"/>
    <w:rsid w:val="005752EA"/>
    <w:rsid w:val="00581824"/>
    <w:rsid w:val="00592135"/>
    <w:rsid w:val="00595A56"/>
    <w:rsid w:val="0059716C"/>
    <w:rsid w:val="005A162C"/>
    <w:rsid w:val="005A3212"/>
    <w:rsid w:val="005A6A53"/>
    <w:rsid w:val="005B1706"/>
    <w:rsid w:val="005B3983"/>
    <w:rsid w:val="005B429C"/>
    <w:rsid w:val="005C229C"/>
    <w:rsid w:val="005C58E5"/>
    <w:rsid w:val="005C5ED8"/>
    <w:rsid w:val="005D41FE"/>
    <w:rsid w:val="005D5A58"/>
    <w:rsid w:val="005D6456"/>
    <w:rsid w:val="005D7F48"/>
    <w:rsid w:val="005F09A3"/>
    <w:rsid w:val="005F7BB6"/>
    <w:rsid w:val="0060476A"/>
    <w:rsid w:val="00606B86"/>
    <w:rsid w:val="0061065B"/>
    <w:rsid w:val="00632AEF"/>
    <w:rsid w:val="006364AD"/>
    <w:rsid w:val="00642149"/>
    <w:rsid w:val="006469FC"/>
    <w:rsid w:val="00647964"/>
    <w:rsid w:val="00660ACB"/>
    <w:rsid w:val="00682921"/>
    <w:rsid w:val="006857C6"/>
    <w:rsid w:val="00687FCD"/>
    <w:rsid w:val="006979F8"/>
    <w:rsid w:val="006A1AE5"/>
    <w:rsid w:val="006A76DC"/>
    <w:rsid w:val="006C4C2E"/>
    <w:rsid w:val="006D446E"/>
    <w:rsid w:val="006D53C4"/>
    <w:rsid w:val="006D5DE3"/>
    <w:rsid w:val="006D6F87"/>
    <w:rsid w:val="006E7A04"/>
    <w:rsid w:val="00705E26"/>
    <w:rsid w:val="00720CF3"/>
    <w:rsid w:val="00720D27"/>
    <w:rsid w:val="007261AA"/>
    <w:rsid w:val="0076301D"/>
    <w:rsid w:val="00770AF4"/>
    <w:rsid w:val="00772F67"/>
    <w:rsid w:val="00783953"/>
    <w:rsid w:val="0078606A"/>
    <w:rsid w:val="00787C89"/>
    <w:rsid w:val="00797ACC"/>
    <w:rsid w:val="007C2370"/>
    <w:rsid w:val="007E3C2E"/>
    <w:rsid w:val="007E5B64"/>
    <w:rsid w:val="007F7D8D"/>
    <w:rsid w:val="00803921"/>
    <w:rsid w:val="00834BFE"/>
    <w:rsid w:val="00835CA6"/>
    <w:rsid w:val="00837802"/>
    <w:rsid w:val="00842AF8"/>
    <w:rsid w:val="00851062"/>
    <w:rsid w:val="00874732"/>
    <w:rsid w:val="008755C3"/>
    <w:rsid w:val="00877835"/>
    <w:rsid w:val="00881B7A"/>
    <w:rsid w:val="00882862"/>
    <w:rsid w:val="008902D8"/>
    <w:rsid w:val="00895457"/>
    <w:rsid w:val="008B40D7"/>
    <w:rsid w:val="008C0FA3"/>
    <w:rsid w:val="008C4440"/>
    <w:rsid w:val="008C5398"/>
    <w:rsid w:val="008D035B"/>
    <w:rsid w:val="008D608F"/>
    <w:rsid w:val="008D7FDE"/>
    <w:rsid w:val="008E47EF"/>
    <w:rsid w:val="008E6888"/>
    <w:rsid w:val="008E7C0B"/>
    <w:rsid w:val="008E7C76"/>
    <w:rsid w:val="009072E4"/>
    <w:rsid w:val="00910056"/>
    <w:rsid w:val="009115A1"/>
    <w:rsid w:val="00916C7C"/>
    <w:rsid w:val="00920B13"/>
    <w:rsid w:val="009212D6"/>
    <w:rsid w:val="009230EC"/>
    <w:rsid w:val="00924EDB"/>
    <w:rsid w:val="009279B9"/>
    <w:rsid w:val="00933B97"/>
    <w:rsid w:val="00943DCD"/>
    <w:rsid w:val="00957F5E"/>
    <w:rsid w:val="00966C14"/>
    <w:rsid w:val="009710D6"/>
    <w:rsid w:val="009720A0"/>
    <w:rsid w:val="00976048"/>
    <w:rsid w:val="009778CF"/>
    <w:rsid w:val="0098182D"/>
    <w:rsid w:val="00986C90"/>
    <w:rsid w:val="00987527"/>
    <w:rsid w:val="00990927"/>
    <w:rsid w:val="009A6D01"/>
    <w:rsid w:val="009B2546"/>
    <w:rsid w:val="009B2921"/>
    <w:rsid w:val="009B67B9"/>
    <w:rsid w:val="009E3E51"/>
    <w:rsid w:val="00A13A16"/>
    <w:rsid w:val="00A263A2"/>
    <w:rsid w:val="00A302B2"/>
    <w:rsid w:val="00A312F5"/>
    <w:rsid w:val="00A62486"/>
    <w:rsid w:val="00A8044E"/>
    <w:rsid w:val="00A83ED1"/>
    <w:rsid w:val="00A85CF0"/>
    <w:rsid w:val="00AB1C93"/>
    <w:rsid w:val="00AB3D82"/>
    <w:rsid w:val="00AB7463"/>
    <w:rsid w:val="00AC07CA"/>
    <w:rsid w:val="00AC29F7"/>
    <w:rsid w:val="00AC3587"/>
    <w:rsid w:val="00AC47FB"/>
    <w:rsid w:val="00AC4D1B"/>
    <w:rsid w:val="00AD0FD1"/>
    <w:rsid w:val="00AD6543"/>
    <w:rsid w:val="00AF0B5B"/>
    <w:rsid w:val="00B01BB6"/>
    <w:rsid w:val="00B02212"/>
    <w:rsid w:val="00B109A3"/>
    <w:rsid w:val="00B12F9E"/>
    <w:rsid w:val="00B1441F"/>
    <w:rsid w:val="00B17D81"/>
    <w:rsid w:val="00B25A2F"/>
    <w:rsid w:val="00B32A95"/>
    <w:rsid w:val="00B33FF2"/>
    <w:rsid w:val="00B341F3"/>
    <w:rsid w:val="00B440D0"/>
    <w:rsid w:val="00B50332"/>
    <w:rsid w:val="00B51248"/>
    <w:rsid w:val="00B81097"/>
    <w:rsid w:val="00B84899"/>
    <w:rsid w:val="00BB365F"/>
    <w:rsid w:val="00BB5B19"/>
    <w:rsid w:val="00BB6F2F"/>
    <w:rsid w:val="00BC28A7"/>
    <w:rsid w:val="00BC4F26"/>
    <w:rsid w:val="00BC5509"/>
    <w:rsid w:val="00BE0C1E"/>
    <w:rsid w:val="00BE18EB"/>
    <w:rsid w:val="00BE5DFD"/>
    <w:rsid w:val="00BF0ED2"/>
    <w:rsid w:val="00BF2815"/>
    <w:rsid w:val="00BF4887"/>
    <w:rsid w:val="00C05D7D"/>
    <w:rsid w:val="00C143B4"/>
    <w:rsid w:val="00C2097A"/>
    <w:rsid w:val="00C2335A"/>
    <w:rsid w:val="00C24564"/>
    <w:rsid w:val="00C33A09"/>
    <w:rsid w:val="00C356EE"/>
    <w:rsid w:val="00C361C9"/>
    <w:rsid w:val="00C41AD4"/>
    <w:rsid w:val="00C42BE2"/>
    <w:rsid w:val="00C47BFE"/>
    <w:rsid w:val="00CA1DA9"/>
    <w:rsid w:val="00CB31D4"/>
    <w:rsid w:val="00CB5422"/>
    <w:rsid w:val="00CC1D93"/>
    <w:rsid w:val="00CD52C2"/>
    <w:rsid w:val="00CE1B41"/>
    <w:rsid w:val="00CF7B2E"/>
    <w:rsid w:val="00D04833"/>
    <w:rsid w:val="00D06000"/>
    <w:rsid w:val="00D10AA6"/>
    <w:rsid w:val="00D11916"/>
    <w:rsid w:val="00D21837"/>
    <w:rsid w:val="00D223AA"/>
    <w:rsid w:val="00D3237E"/>
    <w:rsid w:val="00D32B76"/>
    <w:rsid w:val="00D37A4A"/>
    <w:rsid w:val="00D400F7"/>
    <w:rsid w:val="00D41500"/>
    <w:rsid w:val="00D41EE6"/>
    <w:rsid w:val="00D46F93"/>
    <w:rsid w:val="00D53FB0"/>
    <w:rsid w:val="00D66A0D"/>
    <w:rsid w:val="00D715B8"/>
    <w:rsid w:val="00D75C36"/>
    <w:rsid w:val="00D92263"/>
    <w:rsid w:val="00D943AD"/>
    <w:rsid w:val="00D95849"/>
    <w:rsid w:val="00D95C3C"/>
    <w:rsid w:val="00DA726B"/>
    <w:rsid w:val="00DA783E"/>
    <w:rsid w:val="00DB335E"/>
    <w:rsid w:val="00DB4261"/>
    <w:rsid w:val="00DB6CD5"/>
    <w:rsid w:val="00DC5039"/>
    <w:rsid w:val="00DC52B9"/>
    <w:rsid w:val="00DD3EF7"/>
    <w:rsid w:val="00DE6796"/>
    <w:rsid w:val="00DF2583"/>
    <w:rsid w:val="00DF4505"/>
    <w:rsid w:val="00E1290C"/>
    <w:rsid w:val="00E24DAB"/>
    <w:rsid w:val="00E276EC"/>
    <w:rsid w:val="00E452F3"/>
    <w:rsid w:val="00E47021"/>
    <w:rsid w:val="00E9605B"/>
    <w:rsid w:val="00EA1407"/>
    <w:rsid w:val="00EB5F4C"/>
    <w:rsid w:val="00EC08FB"/>
    <w:rsid w:val="00EC10F2"/>
    <w:rsid w:val="00EC60EA"/>
    <w:rsid w:val="00ED0B3C"/>
    <w:rsid w:val="00ED3B32"/>
    <w:rsid w:val="00ED6338"/>
    <w:rsid w:val="00ED7176"/>
    <w:rsid w:val="00F038F3"/>
    <w:rsid w:val="00F06B41"/>
    <w:rsid w:val="00F20245"/>
    <w:rsid w:val="00F42EB9"/>
    <w:rsid w:val="00F45F62"/>
    <w:rsid w:val="00F52F96"/>
    <w:rsid w:val="00F5465C"/>
    <w:rsid w:val="00F57094"/>
    <w:rsid w:val="00F63510"/>
    <w:rsid w:val="00F75DCC"/>
    <w:rsid w:val="00F970E3"/>
    <w:rsid w:val="00FA36F5"/>
    <w:rsid w:val="00FA76A9"/>
    <w:rsid w:val="00FB1A02"/>
    <w:rsid w:val="00FC11DA"/>
    <w:rsid w:val="00FC6682"/>
    <w:rsid w:val="00FD3179"/>
    <w:rsid w:val="00FD3B86"/>
    <w:rsid w:val="00FE21C7"/>
    <w:rsid w:val="00FE7176"/>
    <w:rsid w:val="00FF2900"/>
    <w:rsid w:val="00FF42F8"/>
    <w:rsid w:val="00FF5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719471"/>
  <w15:docId w15:val="{BCEA8CE0-E2D5-8E45-9CD7-ABEA3885D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19"/>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next w:val="Date"/>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BalloonText">
    <w:name w:val="Balloon Text"/>
    <w:basedOn w:val="Normal"/>
    <w:link w:val="BalloonTextChar"/>
    <w:uiPriority w:val="99"/>
    <w:semiHidden/>
    <w:unhideWhenUsed/>
    <w:rsid w:val="00E276EC"/>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276EC"/>
    <w:rPr>
      <w:rFonts w:ascii="Segoe UI" w:hAnsi="Segoe UI" w:cs="Segoe UI"/>
      <w:sz w:val="22"/>
      <w:szCs w:val="18"/>
    </w:rPr>
  </w:style>
  <w:style w:type="paragraph" w:styleId="Bibliography">
    <w:name w:val="Bibliography"/>
    <w:basedOn w:val="Normal"/>
    <w:next w:val="Normal"/>
    <w:uiPriority w:val="37"/>
    <w:semiHidden/>
    <w:unhideWhenUsed/>
    <w:rsid w:val="00E276EC"/>
  </w:style>
  <w:style w:type="paragraph" w:styleId="BlockText">
    <w:name w:val="Block Text"/>
    <w:basedOn w:val="Normal"/>
    <w:uiPriority w:val="99"/>
    <w:semiHidden/>
    <w:unhideWhenUsed/>
    <w:rsid w:val="00E276EC"/>
    <w:pPr>
      <w:pBdr>
        <w:top w:val="single" w:sz="2" w:space="10" w:color="562241" w:themeColor="accent1"/>
        <w:left w:val="single" w:sz="2" w:space="10" w:color="562241" w:themeColor="accent1"/>
        <w:bottom w:val="single" w:sz="2" w:space="10" w:color="562241" w:themeColor="accent1"/>
        <w:right w:val="single" w:sz="2" w:space="10" w:color="562241" w:themeColor="accent1"/>
      </w:pBdr>
      <w:ind w:left="1152" w:right="1152"/>
    </w:pPr>
    <w:rPr>
      <w:rFonts w:eastAsiaTheme="minorEastAsia"/>
      <w:i/>
      <w:iCs/>
      <w:color w:val="562241" w:themeColor="accent1"/>
    </w:rPr>
  </w:style>
  <w:style w:type="paragraph" w:styleId="BodyText">
    <w:name w:val="Body Text"/>
    <w:basedOn w:val="Normal"/>
    <w:link w:val="BodyTextChar"/>
    <w:uiPriority w:val="99"/>
    <w:semiHidden/>
    <w:unhideWhenUsed/>
    <w:rsid w:val="00E276EC"/>
    <w:pPr>
      <w:spacing w:after="120"/>
    </w:pPr>
  </w:style>
  <w:style w:type="character" w:customStyle="1" w:styleId="BodyTextChar">
    <w:name w:val="Body Text Char"/>
    <w:basedOn w:val="DefaultParagraphFont"/>
    <w:link w:val="BodyText"/>
    <w:uiPriority w:val="99"/>
    <w:semiHidden/>
    <w:rsid w:val="00E276EC"/>
  </w:style>
  <w:style w:type="paragraph" w:styleId="BodyText2">
    <w:name w:val="Body Text 2"/>
    <w:basedOn w:val="Normal"/>
    <w:link w:val="BodyText2Char"/>
    <w:uiPriority w:val="99"/>
    <w:semiHidden/>
    <w:unhideWhenUsed/>
    <w:rsid w:val="00E276EC"/>
    <w:pPr>
      <w:spacing w:after="120" w:line="480" w:lineRule="auto"/>
    </w:pPr>
  </w:style>
  <w:style w:type="character" w:customStyle="1" w:styleId="BodyText2Char">
    <w:name w:val="Body Text 2 Char"/>
    <w:basedOn w:val="DefaultParagraphFont"/>
    <w:link w:val="BodyText2"/>
    <w:uiPriority w:val="99"/>
    <w:semiHidden/>
    <w:rsid w:val="00E276EC"/>
  </w:style>
  <w:style w:type="paragraph" w:styleId="BodyText3">
    <w:name w:val="Body Text 3"/>
    <w:basedOn w:val="Normal"/>
    <w:link w:val="BodyText3Char"/>
    <w:uiPriority w:val="99"/>
    <w:semiHidden/>
    <w:unhideWhenUsed/>
    <w:rsid w:val="00E276EC"/>
    <w:pPr>
      <w:spacing w:after="120"/>
    </w:pPr>
    <w:rPr>
      <w:sz w:val="22"/>
      <w:szCs w:val="16"/>
    </w:rPr>
  </w:style>
  <w:style w:type="character" w:customStyle="1" w:styleId="BodyText3Char">
    <w:name w:val="Body Text 3 Char"/>
    <w:basedOn w:val="DefaultParagraphFont"/>
    <w:link w:val="BodyText3"/>
    <w:uiPriority w:val="99"/>
    <w:semiHidden/>
    <w:rsid w:val="00E276EC"/>
    <w:rPr>
      <w:sz w:val="22"/>
      <w:szCs w:val="16"/>
    </w:rPr>
  </w:style>
  <w:style w:type="paragraph" w:styleId="BodyTextFirstIndent">
    <w:name w:val="Body Text First Indent"/>
    <w:basedOn w:val="BodyText"/>
    <w:link w:val="BodyTextFirstIndentChar"/>
    <w:uiPriority w:val="99"/>
    <w:semiHidden/>
    <w:unhideWhenUsed/>
    <w:rsid w:val="00E276EC"/>
    <w:pPr>
      <w:spacing w:after="160"/>
      <w:ind w:firstLine="360"/>
    </w:pPr>
  </w:style>
  <w:style w:type="character" w:customStyle="1" w:styleId="BodyTextFirstIndentChar">
    <w:name w:val="Body Text First Indent Char"/>
    <w:basedOn w:val="BodyTextChar"/>
    <w:link w:val="BodyTextFirstIndent"/>
    <w:uiPriority w:val="99"/>
    <w:semiHidden/>
    <w:rsid w:val="00E276EC"/>
  </w:style>
  <w:style w:type="paragraph" w:styleId="BodyTextIndent">
    <w:name w:val="Body Text Indent"/>
    <w:basedOn w:val="Normal"/>
    <w:link w:val="BodyTextIndentChar"/>
    <w:uiPriority w:val="99"/>
    <w:semiHidden/>
    <w:unhideWhenUsed/>
    <w:rsid w:val="00E276EC"/>
    <w:pPr>
      <w:spacing w:after="120"/>
      <w:ind w:left="360"/>
    </w:pPr>
  </w:style>
  <w:style w:type="character" w:customStyle="1" w:styleId="BodyTextIndentChar">
    <w:name w:val="Body Text Indent Char"/>
    <w:basedOn w:val="DefaultParagraphFont"/>
    <w:link w:val="BodyTextIndent"/>
    <w:uiPriority w:val="99"/>
    <w:semiHidden/>
    <w:rsid w:val="00E276EC"/>
  </w:style>
  <w:style w:type="paragraph" w:styleId="BodyTextFirstIndent2">
    <w:name w:val="Body Text First Indent 2"/>
    <w:basedOn w:val="BodyTextIndent"/>
    <w:link w:val="BodyTextFirstIndent2Char"/>
    <w:uiPriority w:val="99"/>
    <w:semiHidden/>
    <w:unhideWhenUsed/>
    <w:rsid w:val="00E276EC"/>
    <w:pPr>
      <w:spacing w:after="160"/>
      <w:ind w:firstLine="360"/>
    </w:pPr>
  </w:style>
  <w:style w:type="character" w:customStyle="1" w:styleId="BodyTextFirstIndent2Char">
    <w:name w:val="Body Text First Indent 2 Char"/>
    <w:basedOn w:val="BodyTextIndentChar"/>
    <w:link w:val="BodyTextFirstIndent2"/>
    <w:uiPriority w:val="99"/>
    <w:semiHidden/>
    <w:rsid w:val="00E276EC"/>
  </w:style>
  <w:style w:type="paragraph" w:styleId="BodyTextIndent2">
    <w:name w:val="Body Text Indent 2"/>
    <w:basedOn w:val="Normal"/>
    <w:link w:val="BodyTextIndent2Char"/>
    <w:uiPriority w:val="99"/>
    <w:semiHidden/>
    <w:unhideWhenUsed/>
    <w:rsid w:val="00E276EC"/>
    <w:pPr>
      <w:spacing w:after="120" w:line="480" w:lineRule="auto"/>
      <w:ind w:left="360"/>
    </w:pPr>
  </w:style>
  <w:style w:type="character" w:customStyle="1" w:styleId="BodyTextIndent2Char">
    <w:name w:val="Body Text Indent 2 Char"/>
    <w:basedOn w:val="DefaultParagraphFont"/>
    <w:link w:val="BodyTextIndent2"/>
    <w:uiPriority w:val="99"/>
    <w:semiHidden/>
    <w:rsid w:val="00E276EC"/>
  </w:style>
  <w:style w:type="paragraph" w:styleId="BodyTextIndent3">
    <w:name w:val="Body Text Indent 3"/>
    <w:basedOn w:val="Normal"/>
    <w:link w:val="BodyTextIndent3Char"/>
    <w:uiPriority w:val="99"/>
    <w:semiHidden/>
    <w:unhideWhenUsed/>
    <w:rsid w:val="00E276EC"/>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276EC"/>
    <w:rPr>
      <w:sz w:val="22"/>
      <w:szCs w:val="16"/>
    </w:rPr>
  </w:style>
  <w:style w:type="paragraph" w:styleId="Closing">
    <w:name w:val="Closing"/>
    <w:basedOn w:val="Normal"/>
    <w:link w:val="ClosingChar"/>
    <w:uiPriority w:val="99"/>
    <w:semiHidden/>
    <w:unhideWhenUsed/>
    <w:rsid w:val="00E276EC"/>
    <w:pPr>
      <w:spacing w:after="0" w:line="240" w:lineRule="auto"/>
      <w:ind w:left="4320"/>
    </w:pPr>
  </w:style>
  <w:style w:type="character" w:customStyle="1" w:styleId="ClosingChar">
    <w:name w:val="Closing Char"/>
    <w:basedOn w:val="DefaultParagraphFont"/>
    <w:link w:val="Closing"/>
    <w:uiPriority w:val="99"/>
    <w:semiHidden/>
    <w:rsid w:val="00E276EC"/>
  </w:style>
  <w:style w:type="table" w:styleId="ColourfulGrid">
    <w:name w:val="Colorful Grid"/>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C7DB" w:themeFill="accent1" w:themeFillTint="33"/>
    </w:tcPr>
    <w:tblStylePr w:type="firstRow">
      <w:rPr>
        <w:b/>
        <w:bCs/>
      </w:rPr>
      <w:tblPr/>
      <w:tcPr>
        <w:shd w:val="clear" w:color="auto" w:fill="D28FB7" w:themeFill="accent1" w:themeFillTint="66"/>
      </w:tcPr>
    </w:tblStylePr>
    <w:tblStylePr w:type="lastRow">
      <w:rPr>
        <w:b/>
        <w:bCs/>
        <w:color w:val="000000" w:themeColor="text1"/>
      </w:rPr>
      <w:tblPr/>
      <w:tcPr>
        <w:shd w:val="clear" w:color="auto" w:fill="D28FB7" w:themeFill="accent1" w:themeFillTint="66"/>
      </w:tcPr>
    </w:tblStylePr>
    <w:tblStylePr w:type="firstCol">
      <w:rPr>
        <w:color w:val="FFFFFF" w:themeColor="background1"/>
      </w:rPr>
      <w:tblPr/>
      <w:tcPr>
        <w:shd w:val="clear" w:color="auto" w:fill="401930" w:themeFill="accent1" w:themeFillShade="BF"/>
      </w:tcPr>
    </w:tblStylePr>
    <w:tblStylePr w:type="lastCol">
      <w:rPr>
        <w:color w:val="FFFFFF" w:themeColor="background1"/>
      </w:rPr>
      <w:tblPr/>
      <w:tcPr>
        <w:shd w:val="clear" w:color="auto" w:fill="401930" w:themeFill="accent1" w:themeFillShade="BF"/>
      </w:tc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ColourfulGridAccent2">
    <w:name w:val="Colorful Grid Accent 2"/>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3DB" w:themeFill="accent2" w:themeFillTint="33"/>
    </w:tcPr>
    <w:tblStylePr w:type="firstRow">
      <w:rPr>
        <w:b/>
        <w:bCs/>
      </w:rPr>
      <w:tblPr/>
      <w:tcPr>
        <w:shd w:val="clear" w:color="auto" w:fill="EAE7B8" w:themeFill="accent2" w:themeFillTint="66"/>
      </w:tcPr>
    </w:tblStylePr>
    <w:tblStylePr w:type="lastRow">
      <w:rPr>
        <w:b/>
        <w:bCs/>
        <w:color w:val="000000" w:themeColor="text1"/>
      </w:rPr>
      <w:tblPr/>
      <w:tcPr>
        <w:shd w:val="clear" w:color="auto" w:fill="EAE7B8" w:themeFill="accent2" w:themeFillTint="66"/>
      </w:tcPr>
    </w:tblStylePr>
    <w:tblStylePr w:type="firstCol">
      <w:rPr>
        <w:color w:val="FFFFFF" w:themeColor="background1"/>
      </w:rPr>
      <w:tblPr/>
      <w:tcPr>
        <w:shd w:val="clear" w:color="auto" w:fill="A49C2F" w:themeFill="accent2" w:themeFillShade="BF"/>
      </w:tcPr>
    </w:tblStylePr>
    <w:tblStylePr w:type="lastCol">
      <w:rPr>
        <w:color w:val="FFFFFF" w:themeColor="background1"/>
      </w:rPr>
      <w:tblPr/>
      <w:tcPr>
        <w:shd w:val="clear" w:color="auto" w:fill="A49C2F" w:themeFill="accent2" w:themeFillShade="BF"/>
      </w:tc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ColourfulGridAccent3">
    <w:name w:val="Colorful Grid Accent 3"/>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9DC" w:themeFill="accent3" w:themeFillTint="33"/>
    </w:tcPr>
    <w:tblStylePr w:type="firstRow">
      <w:rPr>
        <w:b/>
        <w:bCs/>
      </w:rPr>
      <w:tblPr/>
      <w:tcPr>
        <w:shd w:val="clear" w:color="auto" w:fill="B8D4BA" w:themeFill="accent3" w:themeFillTint="66"/>
      </w:tcPr>
    </w:tblStylePr>
    <w:tblStylePr w:type="lastRow">
      <w:rPr>
        <w:b/>
        <w:bCs/>
        <w:color w:val="000000" w:themeColor="text1"/>
      </w:rPr>
      <w:tblPr/>
      <w:tcPr>
        <w:shd w:val="clear" w:color="auto" w:fill="B8D4BA" w:themeFill="accent3" w:themeFillTint="66"/>
      </w:tcPr>
    </w:tblStylePr>
    <w:tblStylePr w:type="firstCol">
      <w:rPr>
        <w:color w:val="FFFFFF" w:themeColor="background1"/>
      </w:rPr>
      <w:tblPr/>
      <w:tcPr>
        <w:shd w:val="clear" w:color="auto" w:fill="406A42" w:themeFill="accent3" w:themeFillShade="BF"/>
      </w:tcPr>
    </w:tblStylePr>
    <w:tblStylePr w:type="lastCol">
      <w:rPr>
        <w:color w:val="FFFFFF" w:themeColor="background1"/>
      </w:rPr>
      <w:tblPr/>
      <w:tcPr>
        <w:shd w:val="clear" w:color="auto" w:fill="406A42" w:themeFill="accent3" w:themeFillShade="BF"/>
      </w:tc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ColourfulGridAccent4">
    <w:name w:val="Colorful Grid Accent 4"/>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1D9" w:themeFill="accent4" w:themeFillTint="33"/>
    </w:tcPr>
    <w:tblStylePr w:type="firstRow">
      <w:rPr>
        <w:b/>
        <w:bCs/>
      </w:rPr>
      <w:tblPr/>
      <w:tcPr>
        <w:shd w:val="clear" w:color="auto" w:fill="D0C4B4" w:themeFill="accent4" w:themeFillTint="66"/>
      </w:tcPr>
    </w:tblStylePr>
    <w:tblStylePr w:type="lastRow">
      <w:rPr>
        <w:b/>
        <w:bCs/>
        <w:color w:val="000000" w:themeColor="text1"/>
      </w:rPr>
      <w:tblPr/>
      <w:tcPr>
        <w:shd w:val="clear" w:color="auto" w:fill="D0C4B4" w:themeFill="accent4" w:themeFillTint="66"/>
      </w:tcPr>
    </w:tblStylePr>
    <w:tblStylePr w:type="firstCol">
      <w:rPr>
        <w:color w:val="FFFFFF" w:themeColor="background1"/>
      </w:rPr>
      <w:tblPr/>
      <w:tcPr>
        <w:shd w:val="clear" w:color="auto" w:fill="5F503C" w:themeFill="accent4" w:themeFillShade="BF"/>
      </w:tcPr>
    </w:tblStylePr>
    <w:tblStylePr w:type="lastCol">
      <w:rPr>
        <w:color w:val="FFFFFF" w:themeColor="background1"/>
      </w:rPr>
      <w:tblPr/>
      <w:tcPr>
        <w:shd w:val="clear" w:color="auto" w:fill="5F503C" w:themeFill="accent4" w:themeFillShade="BF"/>
      </w:tc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ColourfulGridAccent5">
    <w:name w:val="Colorful Grid Accent 5"/>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7ED" w:themeFill="accent5" w:themeFillTint="33"/>
    </w:tcPr>
    <w:tblStylePr w:type="firstRow">
      <w:rPr>
        <w:b/>
        <w:bCs/>
      </w:rPr>
      <w:tblPr/>
      <w:tcPr>
        <w:shd w:val="clear" w:color="auto" w:fill="ABD0DB" w:themeFill="accent5" w:themeFillTint="66"/>
      </w:tcPr>
    </w:tblStylePr>
    <w:tblStylePr w:type="lastRow">
      <w:rPr>
        <w:b/>
        <w:bCs/>
        <w:color w:val="000000" w:themeColor="text1"/>
      </w:rPr>
      <w:tblPr/>
      <w:tcPr>
        <w:shd w:val="clear" w:color="auto" w:fill="ABD0DB" w:themeFill="accent5" w:themeFillTint="66"/>
      </w:tcPr>
    </w:tblStylePr>
    <w:tblStylePr w:type="firstCol">
      <w:rPr>
        <w:color w:val="FFFFFF" w:themeColor="background1"/>
      </w:rPr>
      <w:tblPr/>
      <w:tcPr>
        <w:shd w:val="clear" w:color="auto" w:fill="306070" w:themeFill="accent5" w:themeFillShade="BF"/>
      </w:tcPr>
    </w:tblStylePr>
    <w:tblStylePr w:type="lastCol">
      <w:rPr>
        <w:color w:val="FFFFFF" w:themeColor="background1"/>
      </w:rPr>
      <w:tblPr/>
      <w:tcPr>
        <w:shd w:val="clear" w:color="auto" w:fill="306070" w:themeFill="accent5" w:themeFillShade="BF"/>
      </w:tc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ColourfulGridAccent6">
    <w:name w:val="Colorful Grid Accent 6"/>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D6D6" w:themeFill="accent6" w:themeFillTint="33"/>
    </w:tcPr>
    <w:tblStylePr w:type="firstRow">
      <w:rPr>
        <w:b/>
        <w:bCs/>
      </w:rPr>
      <w:tblPr/>
      <w:tcPr>
        <w:shd w:val="clear" w:color="auto" w:fill="DFAEAD" w:themeFill="accent6" w:themeFillTint="66"/>
      </w:tcPr>
    </w:tblStylePr>
    <w:tblStylePr w:type="lastRow">
      <w:rPr>
        <w:b/>
        <w:bCs/>
        <w:color w:val="000000" w:themeColor="text1"/>
      </w:rPr>
      <w:tblPr/>
      <w:tcPr>
        <w:shd w:val="clear" w:color="auto" w:fill="DFAEAD" w:themeFill="accent6" w:themeFillTint="66"/>
      </w:tcPr>
    </w:tblStylePr>
    <w:tblStylePr w:type="firstCol">
      <w:rPr>
        <w:color w:val="FFFFFF" w:themeColor="background1"/>
      </w:rPr>
      <w:tblPr/>
      <w:tcPr>
        <w:shd w:val="clear" w:color="auto" w:fill="7A3130" w:themeFill="accent6" w:themeFillShade="BF"/>
      </w:tcPr>
    </w:tblStylePr>
    <w:tblStylePr w:type="lastCol">
      <w:rPr>
        <w:color w:val="FFFFFF" w:themeColor="background1"/>
      </w:rPr>
      <w:tblPr/>
      <w:tcPr>
        <w:shd w:val="clear" w:color="auto" w:fill="7A3130" w:themeFill="accent6" w:themeFillShade="BF"/>
      </w:tc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ColourfulList">
    <w:name w:val="Colorful List"/>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4E3ED" w:themeFill="accen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B9D2" w:themeFill="accent1" w:themeFillTint="3F"/>
      </w:tcPr>
    </w:tblStylePr>
    <w:tblStylePr w:type="band1Horz">
      <w:tblPr/>
      <w:tcPr>
        <w:shd w:val="clear" w:color="auto" w:fill="E9C7DB" w:themeFill="accent1" w:themeFillTint="33"/>
      </w:tcPr>
    </w:tblStylePr>
  </w:style>
  <w:style w:type="table" w:styleId="ColourfulListAccent2">
    <w:name w:val="Colorful List Accent 2"/>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AF9ED" w:themeFill="accent2"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0D3" w:themeFill="accent2" w:themeFillTint="3F"/>
      </w:tcPr>
    </w:tblStylePr>
    <w:tblStylePr w:type="band1Horz">
      <w:tblPr/>
      <w:tcPr>
        <w:shd w:val="clear" w:color="auto" w:fill="F4F3DB" w:themeFill="accent2" w:themeFillTint="33"/>
      </w:tcPr>
    </w:tblStylePr>
  </w:style>
  <w:style w:type="table" w:styleId="ColourfulListAccent3">
    <w:name w:val="Colorful List Accent 3"/>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DF4EE" w:themeFill="accent3" w:themeFillTint="19"/>
    </w:tcPr>
    <w:tblStylePr w:type="firstRow">
      <w:rPr>
        <w:b/>
        <w:bCs/>
        <w:color w:val="FFFFFF" w:themeColor="background1"/>
      </w:rPr>
      <w:tblPr/>
      <w:tcPr>
        <w:tcBorders>
          <w:bottom w:val="single" w:sz="12" w:space="0" w:color="FFFFFF" w:themeColor="background1"/>
        </w:tcBorders>
        <w:shd w:val="clear" w:color="auto" w:fill="665540" w:themeFill="accent4" w:themeFillShade="CC"/>
      </w:tcPr>
    </w:tblStylePr>
    <w:tblStylePr w:type="lastRow">
      <w:rPr>
        <w:b/>
        <w:bCs/>
        <w:color w:val="66554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4D4" w:themeFill="accent3" w:themeFillTint="3F"/>
      </w:tcPr>
    </w:tblStylePr>
    <w:tblStylePr w:type="band1Horz">
      <w:tblPr/>
      <w:tcPr>
        <w:shd w:val="clear" w:color="auto" w:fill="DBE9DC" w:themeFill="accent3" w:themeFillTint="33"/>
      </w:tcPr>
    </w:tblStylePr>
  </w:style>
  <w:style w:type="table" w:styleId="ColourfulListAccent4">
    <w:name w:val="Colorful List Accent 4"/>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3F0EC" w:themeFill="accent4" w:themeFillTint="19"/>
    </w:tcPr>
    <w:tblStylePr w:type="firstRow">
      <w:rPr>
        <w:b/>
        <w:bCs/>
        <w:color w:val="FFFFFF" w:themeColor="background1"/>
      </w:rPr>
      <w:tblPr/>
      <w:tcPr>
        <w:tcBorders>
          <w:bottom w:val="single" w:sz="12" w:space="0" w:color="FFFFFF" w:themeColor="background1"/>
        </w:tcBorders>
        <w:shd w:val="clear" w:color="auto" w:fill="447247" w:themeFill="accent3" w:themeFillShade="CC"/>
      </w:tcPr>
    </w:tblStylePr>
    <w:tblStylePr w:type="lastRow">
      <w:rPr>
        <w:b/>
        <w:bCs/>
        <w:color w:val="44724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AD1" w:themeFill="accent4" w:themeFillTint="3F"/>
      </w:tcPr>
    </w:tblStylePr>
    <w:tblStylePr w:type="band1Horz">
      <w:tblPr/>
      <w:tcPr>
        <w:shd w:val="clear" w:color="auto" w:fill="E7E1D9" w:themeFill="accent4" w:themeFillTint="33"/>
      </w:tcPr>
    </w:tblStylePr>
  </w:style>
  <w:style w:type="table" w:styleId="ColourfulListAccent5">
    <w:name w:val="Colorful List Accent 5"/>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AF3F6" w:themeFill="accent5" w:themeFillTint="19"/>
    </w:tcPr>
    <w:tblStylePr w:type="firstRow">
      <w:rPr>
        <w:b/>
        <w:bCs/>
        <w:color w:val="FFFFFF" w:themeColor="background1"/>
      </w:rPr>
      <w:tblPr/>
      <w:tcPr>
        <w:tcBorders>
          <w:bottom w:val="single" w:sz="12" w:space="0" w:color="FFFFFF" w:themeColor="background1"/>
        </w:tcBorders>
        <w:shd w:val="clear" w:color="auto" w:fill="823433" w:themeFill="accent6" w:themeFillShade="CC"/>
      </w:tcPr>
    </w:tblStylePr>
    <w:tblStylePr w:type="lastRow">
      <w:rPr>
        <w:b/>
        <w:bCs/>
        <w:color w:val="82343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2E9" w:themeFill="accent5" w:themeFillTint="3F"/>
      </w:tcPr>
    </w:tblStylePr>
    <w:tblStylePr w:type="band1Horz">
      <w:tblPr/>
      <w:tcPr>
        <w:shd w:val="clear" w:color="auto" w:fill="D5E7ED" w:themeFill="accent5" w:themeFillTint="33"/>
      </w:tcPr>
    </w:tblStylePr>
  </w:style>
  <w:style w:type="table" w:styleId="ColourfulListAccent6">
    <w:name w:val="Colorful List Accent 6"/>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7EBEA" w:themeFill="accent6" w:themeFillTint="19"/>
    </w:tcPr>
    <w:tblStylePr w:type="firstRow">
      <w:rPr>
        <w:b/>
        <w:bCs/>
        <w:color w:val="FFFFFF" w:themeColor="background1"/>
      </w:rPr>
      <w:tblPr/>
      <w:tcPr>
        <w:tcBorders>
          <w:bottom w:val="single" w:sz="12" w:space="0" w:color="FFFFFF" w:themeColor="background1"/>
        </w:tcBorders>
        <w:shd w:val="clear" w:color="auto" w:fill="336777" w:themeFill="accent5" w:themeFillShade="CC"/>
      </w:tcPr>
    </w:tblStylePr>
    <w:tblStylePr w:type="lastRow">
      <w:rPr>
        <w:b/>
        <w:bCs/>
        <w:color w:val="33677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DCC" w:themeFill="accent6" w:themeFillTint="3F"/>
      </w:tcPr>
    </w:tblStylePr>
    <w:tblStylePr w:type="band1Horz">
      <w:tblPr/>
      <w:tcPr>
        <w:shd w:val="clear" w:color="auto" w:fill="EFD6D6" w:themeFill="accent6" w:themeFillTint="33"/>
      </w:tcPr>
    </w:tblStylePr>
  </w:style>
  <w:style w:type="table" w:styleId="ColourfulShading">
    <w:name w:val="Colorful Shading"/>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562241" w:themeColor="accent1"/>
        <w:bottom w:val="single" w:sz="4" w:space="0" w:color="562241" w:themeColor="accent1"/>
        <w:right w:val="single" w:sz="4" w:space="0" w:color="562241" w:themeColor="accent1"/>
        <w:insideH w:val="single" w:sz="4" w:space="0" w:color="FFFFFF" w:themeColor="background1"/>
        <w:insideV w:val="single" w:sz="4" w:space="0" w:color="FFFFFF" w:themeColor="background1"/>
      </w:tblBorders>
    </w:tblPr>
    <w:tcPr>
      <w:shd w:val="clear" w:color="auto" w:fill="F4E3ED" w:themeFill="accen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1426" w:themeFill="accent1" w:themeFillShade="99"/>
      </w:tcPr>
    </w:tblStylePr>
    <w:tblStylePr w:type="firstCol">
      <w:rPr>
        <w:color w:val="FFFFFF" w:themeColor="background1"/>
      </w:rPr>
      <w:tblPr/>
      <w:tcPr>
        <w:tcBorders>
          <w:top w:val="nil"/>
          <w:left w:val="nil"/>
          <w:bottom w:val="nil"/>
          <w:right w:val="nil"/>
          <w:insideH w:val="single" w:sz="4" w:space="0" w:color="331426" w:themeColor="accent1" w:themeShade="99"/>
          <w:insideV w:val="nil"/>
        </w:tcBorders>
        <w:shd w:val="clear" w:color="auto" w:fill="33142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31426" w:themeFill="accent1" w:themeFillShade="99"/>
      </w:tcPr>
    </w:tblStylePr>
    <w:tblStylePr w:type="band1Vert">
      <w:tblPr/>
      <w:tcPr>
        <w:shd w:val="clear" w:color="auto" w:fill="D28FB7" w:themeFill="accent1" w:themeFillTint="66"/>
      </w:tcPr>
    </w:tblStylePr>
    <w:tblStylePr w:type="band1Horz">
      <w:tblPr/>
      <w:tcPr>
        <w:shd w:val="clear" w:color="auto" w:fill="C873A5"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CCC44F" w:themeColor="accent2"/>
        <w:bottom w:val="single" w:sz="4" w:space="0" w:color="CCC44F" w:themeColor="accent2"/>
        <w:right w:val="single" w:sz="4" w:space="0" w:color="CCC44F" w:themeColor="accent2"/>
        <w:insideH w:val="single" w:sz="4" w:space="0" w:color="FFFFFF" w:themeColor="background1"/>
        <w:insideV w:val="single" w:sz="4" w:space="0" w:color="FFFFFF" w:themeColor="background1"/>
      </w:tblBorders>
    </w:tblPr>
    <w:tcPr>
      <w:shd w:val="clear" w:color="auto" w:fill="FAF9ED" w:themeFill="accent2"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37D26" w:themeFill="accent2" w:themeFillShade="99"/>
      </w:tcPr>
    </w:tblStylePr>
    <w:tblStylePr w:type="firstCol">
      <w:rPr>
        <w:color w:val="FFFFFF" w:themeColor="background1"/>
      </w:rPr>
      <w:tblPr/>
      <w:tcPr>
        <w:tcBorders>
          <w:top w:val="nil"/>
          <w:left w:val="nil"/>
          <w:bottom w:val="nil"/>
          <w:right w:val="nil"/>
          <w:insideH w:val="single" w:sz="4" w:space="0" w:color="837D26" w:themeColor="accent2" w:themeShade="99"/>
          <w:insideV w:val="nil"/>
        </w:tcBorders>
        <w:shd w:val="clear" w:color="auto" w:fill="837D26"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37D26" w:themeFill="accent2" w:themeFillShade="99"/>
      </w:tcPr>
    </w:tblStylePr>
    <w:tblStylePr w:type="band1Vert">
      <w:tblPr/>
      <w:tcPr>
        <w:shd w:val="clear" w:color="auto" w:fill="EAE7B8" w:themeFill="accent2" w:themeFillTint="66"/>
      </w:tcPr>
    </w:tblStylePr>
    <w:tblStylePr w:type="band1Horz">
      <w:tblPr/>
      <w:tcPr>
        <w:shd w:val="clear" w:color="auto" w:fill="E5E1A7"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806B50" w:themeColor="accent4"/>
        <w:left w:val="single" w:sz="4" w:space="0" w:color="568F59" w:themeColor="accent3"/>
        <w:bottom w:val="single" w:sz="4" w:space="0" w:color="568F59" w:themeColor="accent3"/>
        <w:right w:val="single" w:sz="4" w:space="0" w:color="568F59" w:themeColor="accent3"/>
        <w:insideH w:val="single" w:sz="4" w:space="0" w:color="FFFFFF" w:themeColor="background1"/>
        <w:insideV w:val="single" w:sz="4" w:space="0" w:color="FFFFFF" w:themeColor="background1"/>
      </w:tblBorders>
    </w:tblPr>
    <w:tcPr>
      <w:shd w:val="clear" w:color="auto" w:fill="EDF4EE" w:themeFill="accent3" w:themeFillTint="19"/>
    </w:tcPr>
    <w:tblStylePr w:type="firstRow">
      <w:rPr>
        <w:b/>
        <w:bCs/>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5535" w:themeFill="accent3" w:themeFillShade="99"/>
      </w:tcPr>
    </w:tblStylePr>
    <w:tblStylePr w:type="firstCol">
      <w:rPr>
        <w:color w:val="FFFFFF" w:themeColor="background1"/>
      </w:rPr>
      <w:tblPr/>
      <w:tcPr>
        <w:tcBorders>
          <w:top w:val="nil"/>
          <w:left w:val="nil"/>
          <w:bottom w:val="nil"/>
          <w:right w:val="nil"/>
          <w:insideH w:val="single" w:sz="4" w:space="0" w:color="335535" w:themeColor="accent3" w:themeShade="99"/>
          <w:insideV w:val="nil"/>
        </w:tcBorders>
        <w:shd w:val="clear" w:color="auto" w:fill="33553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35535" w:themeFill="accent3" w:themeFillShade="99"/>
      </w:tcPr>
    </w:tblStylePr>
    <w:tblStylePr w:type="band1Vert">
      <w:tblPr/>
      <w:tcPr>
        <w:shd w:val="clear" w:color="auto" w:fill="B8D4BA" w:themeFill="accent3" w:themeFillTint="66"/>
      </w:tcPr>
    </w:tblStylePr>
    <w:tblStylePr w:type="band1Horz">
      <w:tblPr/>
      <w:tcPr>
        <w:shd w:val="clear" w:color="auto" w:fill="A7CAA9" w:themeFill="accent3" w:themeFillTint="7F"/>
      </w:tcPr>
    </w:tblStylePr>
  </w:style>
  <w:style w:type="table" w:styleId="ColourfulShadingAccent4">
    <w:name w:val="Colorful Shading Accent 4"/>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568F59" w:themeColor="accent3"/>
        <w:left w:val="single" w:sz="4" w:space="0" w:color="806B50" w:themeColor="accent4"/>
        <w:bottom w:val="single" w:sz="4" w:space="0" w:color="806B50" w:themeColor="accent4"/>
        <w:right w:val="single" w:sz="4" w:space="0" w:color="806B50" w:themeColor="accent4"/>
        <w:insideH w:val="single" w:sz="4" w:space="0" w:color="FFFFFF" w:themeColor="background1"/>
        <w:insideV w:val="single" w:sz="4" w:space="0" w:color="FFFFFF" w:themeColor="background1"/>
      </w:tblBorders>
    </w:tblPr>
    <w:tcPr>
      <w:shd w:val="clear" w:color="auto" w:fill="F3F0EC" w:themeFill="accent4" w:themeFillTint="19"/>
    </w:tcPr>
    <w:tblStylePr w:type="firstRow">
      <w:rPr>
        <w:b/>
        <w:bCs/>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030" w:themeFill="accent4" w:themeFillShade="99"/>
      </w:tcPr>
    </w:tblStylePr>
    <w:tblStylePr w:type="firstCol">
      <w:rPr>
        <w:color w:val="FFFFFF" w:themeColor="background1"/>
      </w:rPr>
      <w:tblPr/>
      <w:tcPr>
        <w:tcBorders>
          <w:top w:val="nil"/>
          <w:left w:val="nil"/>
          <w:bottom w:val="nil"/>
          <w:right w:val="nil"/>
          <w:insideH w:val="single" w:sz="4" w:space="0" w:color="4C4030" w:themeColor="accent4" w:themeShade="99"/>
          <w:insideV w:val="nil"/>
        </w:tcBorders>
        <w:shd w:val="clear" w:color="auto" w:fill="4C403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030" w:themeFill="accent4" w:themeFillShade="99"/>
      </w:tcPr>
    </w:tblStylePr>
    <w:tblStylePr w:type="band1Vert">
      <w:tblPr/>
      <w:tcPr>
        <w:shd w:val="clear" w:color="auto" w:fill="D0C4B4" w:themeFill="accent4" w:themeFillTint="66"/>
      </w:tcPr>
    </w:tblStylePr>
    <w:tblStylePr w:type="band1Horz">
      <w:tblPr/>
      <w:tcPr>
        <w:shd w:val="clear" w:color="auto" w:fill="C5B5A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A34240" w:themeColor="accent6"/>
        <w:left w:val="single" w:sz="4" w:space="0" w:color="408296" w:themeColor="accent5"/>
        <w:bottom w:val="single" w:sz="4" w:space="0" w:color="408296" w:themeColor="accent5"/>
        <w:right w:val="single" w:sz="4" w:space="0" w:color="408296" w:themeColor="accent5"/>
        <w:insideH w:val="single" w:sz="4" w:space="0" w:color="FFFFFF" w:themeColor="background1"/>
        <w:insideV w:val="single" w:sz="4" w:space="0" w:color="FFFFFF" w:themeColor="background1"/>
      </w:tblBorders>
    </w:tblPr>
    <w:tcPr>
      <w:shd w:val="clear" w:color="auto" w:fill="EAF3F6" w:themeFill="accent5" w:themeFillTint="19"/>
    </w:tcPr>
    <w:tblStylePr w:type="firstRow">
      <w:rPr>
        <w:b/>
        <w:bCs/>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D59" w:themeFill="accent5" w:themeFillShade="99"/>
      </w:tcPr>
    </w:tblStylePr>
    <w:tblStylePr w:type="firstCol">
      <w:rPr>
        <w:color w:val="FFFFFF" w:themeColor="background1"/>
      </w:rPr>
      <w:tblPr/>
      <w:tcPr>
        <w:tcBorders>
          <w:top w:val="nil"/>
          <w:left w:val="nil"/>
          <w:bottom w:val="nil"/>
          <w:right w:val="nil"/>
          <w:insideH w:val="single" w:sz="4" w:space="0" w:color="264D59" w:themeColor="accent5" w:themeShade="99"/>
          <w:insideV w:val="nil"/>
        </w:tcBorders>
        <w:shd w:val="clear" w:color="auto" w:fill="264D5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D59" w:themeFill="accent5" w:themeFillShade="99"/>
      </w:tcPr>
    </w:tblStylePr>
    <w:tblStylePr w:type="band1Vert">
      <w:tblPr/>
      <w:tcPr>
        <w:shd w:val="clear" w:color="auto" w:fill="ABD0DB" w:themeFill="accent5" w:themeFillTint="66"/>
      </w:tcPr>
    </w:tblStylePr>
    <w:tblStylePr w:type="band1Horz">
      <w:tblPr/>
      <w:tcPr>
        <w:shd w:val="clear" w:color="auto" w:fill="97C4D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408296" w:themeColor="accent5"/>
        <w:left w:val="single" w:sz="4" w:space="0" w:color="A34240" w:themeColor="accent6"/>
        <w:bottom w:val="single" w:sz="4" w:space="0" w:color="A34240" w:themeColor="accent6"/>
        <w:right w:val="single" w:sz="4" w:space="0" w:color="A34240" w:themeColor="accent6"/>
        <w:insideH w:val="single" w:sz="4" w:space="0" w:color="FFFFFF" w:themeColor="background1"/>
        <w:insideV w:val="single" w:sz="4" w:space="0" w:color="FFFFFF" w:themeColor="background1"/>
      </w:tblBorders>
    </w:tblPr>
    <w:tcPr>
      <w:shd w:val="clear" w:color="auto" w:fill="F7EBEA" w:themeFill="accent6" w:themeFillTint="19"/>
    </w:tcPr>
    <w:tblStylePr w:type="firstRow">
      <w:rPr>
        <w:b/>
        <w:bCs/>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2726" w:themeFill="accent6" w:themeFillShade="99"/>
      </w:tcPr>
    </w:tblStylePr>
    <w:tblStylePr w:type="firstCol">
      <w:rPr>
        <w:color w:val="FFFFFF" w:themeColor="background1"/>
      </w:rPr>
      <w:tblPr/>
      <w:tcPr>
        <w:tcBorders>
          <w:top w:val="nil"/>
          <w:left w:val="nil"/>
          <w:bottom w:val="nil"/>
          <w:right w:val="nil"/>
          <w:insideH w:val="single" w:sz="4" w:space="0" w:color="612726" w:themeColor="accent6" w:themeShade="99"/>
          <w:insideV w:val="nil"/>
        </w:tcBorders>
        <w:shd w:val="clear" w:color="auto" w:fill="612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2726" w:themeFill="accent6" w:themeFillShade="99"/>
      </w:tcPr>
    </w:tblStylePr>
    <w:tblStylePr w:type="band1Vert">
      <w:tblPr/>
      <w:tcPr>
        <w:shd w:val="clear" w:color="auto" w:fill="DFAEAD" w:themeFill="accent6" w:themeFillTint="66"/>
      </w:tcPr>
    </w:tblStylePr>
    <w:tblStylePr w:type="band1Horz">
      <w:tblPr/>
      <w:tcPr>
        <w:shd w:val="clear" w:color="auto" w:fill="D79A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276EC"/>
    <w:rPr>
      <w:sz w:val="22"/>
      <w:szCs w:val="16"/>
    </w:rPr>
  </w:style>
  <w:style w:type="paragraph" w:styleId="CommentText">
    <w:name w:val="annotation text"/>
    <w:basedOn w:val="Normal"/>
    <w:link w:val="CommentTextChar"/>
    <w:uiPriority w:val="99"/>
    <w:semiHidden/>
    <w:unhideWhenUsed/>
    <w:rsid w:val="00E276EC"/>
    <w:pPr>
      <w:spacing w:line="240" w:lineRule="auto"/>
    </w:pPr>
    <w:rPr>
      <w:sz w:val="22"/>
      <w:szCs w:val="20"/>
    </w:rPr>
  </w:style>
  <w:style w:type="character" w:customStyle="1" w:styleId="CommentTextChar">
    <w:name w:val="Comment Text Char"/>
    <w:basedOn w:val="DefaultParagraphFont"/>
    <w:link w:val="CommentText"/>
    <w:uiPriority w:val="99"/>
    <w:semiHidden/>
    <w:rsid w:val="00E276EC"/>
    <w:rPr>
      <w:sz w:val="22"/>
      <w:szCs w:val="20"/>
    </w:rPr>
  </w:style>
  <w:style w:type="paragraph" w:styleId="CommentSubject">
    <w:name w:val="annotation subject"/>
    <w:basedOn w:val="CommentText"/>
    <w:next w:val="CommentText"/>
    <w:link w:val="CommentSubjectChar"/>
    <w:uiPriority w:val="99"/>
    <w:semiHidden/>
    <w:unhideWhenUsed/>
    <w:rsid w:val="00E276EC"/>
    <w:rPr>
      <w:b/>
      <w:bCs/>
    </w:rPr>
  </w:style>
  <w:style w:type="character" w:customStyle="1" w:styleId="CommentSubjectChar">
    <w:name w:val="Comment Subject Char"/>
    <w:basedOn w:val="CommentTextChar"/>
    <w:link w:val="CommentSubject"/>
    <w:uiPriority w:val="99"/>
    <w:semiHidden/>
    <w:rsid w:val="00E276EC"/>
    <w:rPr>
      <w:b/>
      <w:bCs/>
      <w:sz w:val="22"/>
      <w:szCs w:val="20"/>
    </w:rPr>
  </w:style>
  <w:style w:type="table" w:styleId="DarkList">
    <w:name w:val="Dark List"/>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224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11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0193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01930" w:themeFill="accent1" w:themeFillShade="BF"/>
      </w:tcPr>
    </w:tblStylePr>
    <w:tblStylePr w:type="band1Vert">
      <w:tblPr/>
      <w:tcPr>
        <w:tcBorders>
          <w:top w:val="nil"/>
          <w:left w:val="nil"/>
          <w:bottom w:val="nil"/>
          <w:right w:val="nil"/>
          <w:insideH w:val="nil"/>
          <w:insideV w:val="nil"/>
        </w:tcBorders>
        <w:shd w:val="clear" w:color="auto" w:fill="401930" w:themeFill="accent1" w:themeFillShade="BF"/>
      </w:tcPr>
    </w:tblStylePr>
    <w:tblStylePr w:type="band1Horz">
      <w:tblPr/>
      <w:tcPr>
        <w:tcBorders>
          <w:top w:val="nil"/>
          <w:left w:val="nil"/>
          <w:bottom w:val="nil"/>
          <w:right w:val="nil"/>
          <w:insideH w:val="nil"/>
          <w:insideV w:val="nil"/>
        </w:tcBorders>
        <w:shd w:val="clear" w:color="auto" w:fill="401930" w:themeFill="accent1" w:themeFillShade="BF"/>
      </w:tcPr>
    </w:tblStylePr>
  </w:style>
  <w:style w:type="table" w:styleId="DarkList-Accent2">
    <w:name w:val="Dark List Accent 2"/>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CCC44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D671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49C2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49C2F" w:themeFill="accent2" w:themeFillShade="BF"/>
      </w:tcPr>
    </w:tblStylePr>
    <w:tblStylePr w:type="band1Vert">
      <w:tblPr/>
      <w:tcPr>
        <w:tcBorders>
          <w:top w:val="nil"/>
          <w:left w:val="nil"/>
          <w:bottom w:val="nil"/>
          <w:right w:val="nil"/>
          <w:insideH w:val="nil"/>
          <w:insideV w:val="nil"/>
        </w:tcBorders>
        <w:shd w:val="clear" w:color="auto" w:fill="A49C2F" w:themeFill="accent2" w:themeFillShade="BF"/>
      </w:tcPr>
    </w:tblStylePr>
    <w:tblStylePr w:type="band1Horz">
      <w:tblPr/>
      <w:tcPr>
        <w:tcBorders>
          <w:top w:val="nil"/>
          <w:left w:val="nil"/>
          <w:bottom w:val="nil"/>
          <w:right w:val="nil"/>
          <w:insideH w:val="nil"/>
          <w:insideV w:val="nil"/>
        </w:tcBorders>
        <w:shd w:val="clear" w:color="auto" w:fill="A49C2F" w:themeFill="accent2" w:themeFillShade="BF"/>
      </w:tcPr>
    </w:tblStylePr>
  </w:style>
  <w:style w:type="table" w:styleId="DarkList-Accent3">
    <w:name w:val="Dark List Accent 3"/>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8F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472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06A4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06A42" w:themeFill="accent3" w:themeFillShade="BF"/>
      </w:tcPr>
    </w:tblStylePr>
    <w:tblStylePr w:type="band1Vert">
      <w:tblPr/>
      <w:tcPr>
        <w:tcBorders>
          <w:top w:val="nil"/>
          <w:left w:val="nil"/>
          <w:bottom w:val="nil"/>
          <w:right w:val="nil"/>
          <w:insideH w:val="nil"/>
          <w:insideV w:val="nil"/>
        </w:tcBorders>
        <w:shd w:val="clear" w:color="auto" w:fill="406A42" w:themeFill="accent3" w:themeFillShade="BF"/>
      </w:tcPr>
    </w:tblStylePr>
    <w:tblStylePr w:type="band1Horz">
      <w:tblPr/>
      <w:tcPr>
        <w:tcBorders>
          <w:top w:val="nil"/>
          <w:left w:val="nil"/>
          <w:bottom w:val="nil"/>
          <w:right w:val="nil"/>
          <w:insideH w:val="nil"/>
          <w:insideV w:val="nil"/>
        </w:tcBorders>
        <w:shd w:val="clear" w:color="auto" w:fill="406A42" w:themeFill="accent3" w:themeFillShade="BF"/>
      </w:tcPr>
    </w:tblStylePr>
  </w:style>
  <w:style w:type="table" w:styleId="DarkList-Accent4">
    <w:name w:val="Dark List Accent 4"/>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806B5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527"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03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03C" w:themeFill="accent4" w:themeFillShade="BF"/>
      </w:tcPr>
    </w:tblStylePr>
    <w:tblStylePr w:type="band1Vert">
      <w:tblPr/>
      <w:tcPr>
        <w:tcBorders>
          <w:top w:val="nil"/>
          <w:left w:val="nil"/>
          <w:bottom w:val="nil"/>
          <w:right w:val="nil"/>
          <w:insideH w:val="nil"/>
          <w:insideV w:val="nil"/>
        </w:tcBorders>
        <w:shd w:val="clear" w:color="auto" w:fill="5F503C" w:themeFill="accent4" w:themeFillShade="BF"/>
      </w:tcPr>
    </w:tblStylePr>
    <w:tblStylePr w:type="band1Horz">
      <w:tblPr/>
      <w:tcPr>
        <w:tcBorders>
          <w:top w:val="nil"/>
          <w:left w:val="nil"/>
          <w:bottom w:val="nil"/>
          <w:right w:val="nil"/>
          <w:insideH w:val="nil"/>
          <w:insideV w:val="nil"/>
        </w:tcBorders>
        <w:shd w:val="clear" w:color="auto" w:fill="5F503C" w:themeFill="accent4" w:themeFillShade="BF"/>
      </w:tcPr>
    </w:tblStylePr>
  </w:style>
  <w:style w:type="table" w:styleId="DarkList-Accent5">
    <w:name w:val="Dark List Accent 5"/>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4082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0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060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06070" w:themeFill="accent5" w:themeFillShade="BF"/>
      </w:tcPr>
    </w:tblStylePr>
    <w:tblStylePr w:type="band1Vert">
      <w:tblPr/>
      <w:tcPr>
        <w:tcBorders>
          <w:top w:val="nil"/>
          <w:left w:val="nil"/>
          <w:bottom w:val="nil"/>
          <w:right w:val="nil"/>
          <w:insideH w:val="nil"/>
          <w:insideV w:val="nil"/>
        </w:tcBorders>
        <w:shd w:val="clear" w:color="auto" w:fill="306070" w:themeFill="accent5" w:themeFillShade="BF"/>
      </w:tcPr>
    </w:tblStylePr>
    <w:tblStylePr w:type="band1Horz">
      <w:tblPr/>
      <w:tcPr>
        <w:tcBorders>
          <w:top w:val="nil"/>
          <w:left w:val="nil"/>
          <w:bottom w:val="nil"/>
          <w:right w:val="nil"/>
          <w:insideH w:val="nil"/>
          <w:insideV w:val="nil"/>
        </w:tcBorders>
        <w:shd w:val="clear" w:color="auto" w:fill="306070" w:themeFill="accent5" w:themeFillShade="BF"/>
      </w:tcPr>
    </w:tblStylePr>
  </w:style>
  <w:style w:type="table" w:styleId="DarkList-Accent6">
    <w:name w:val="Dark List Accent 6"/>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A3424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20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313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3130" w:themeFill="accent6" w:themeFillShade="BF"/>
      </w:tcPr>
    </w:tblStylePr>
    <w:tblStylePr w:type="band1Vert">
      <w:tblPr/>
      <w:tcPr>
        <w:tcBorders>
          <w:top w:val="nil"/>
          <w:left w:val="nil"/>
          <w:bottom w:val="nil"/>
          <w:right w:val="nil"/>
          <w:insideH w:val="nil"/>
          <w:insideV w:val="nil"/>
        </w:tcBorders>
        <w:shd w:val="clear" w:color="auto" w:fill="7A3130" w:themeFill="accent6" w:themeFillShade="BF"/>
      </w:tcPr>
    </w:tblStylePr>
    <w:tblStylePr w:type="band1Horz">
      <w:tblPr/>
      <w:tcPr>
        <w:tcBorders>
          <w:top w:val="nil"/>
          <w:left w:val="nil"/>
          <w:bottom w:val="nil"/>
          <w:right w:val="nil"/>
          <w:insideH w:val="nil"/>
          <w:insideV w:val="nil"/>
        </w:tcBorders>
        <w:shd w:val="clear" w:color="auto" w:fill="7A3130" w:themeFill="accent6" w:themeFillShade="BF"/>
      </w:tcPr>
    </w:tblStylePr>
  </w:style>
  <w:style w:type="paragraph" w:styleId="DocumentMap">
    <w:name w:val="Document Map"/>
    <w:basedOn w:val="Normal"/>
    <w:link w:val="DocumentMapChar"/>
    <w:uiPriority w:val="99"/>
    <w:semiHidden/>
    <w:unhideWhenUsed/>
    <w:rsid w:val="00E276EC"/>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276EC"/>
    <w:rPr>
      <w:rFonts w:ascii="Segoe UI" w:hAnsi="Segoe UI" w:cs="Segoe UI"/>
      <w:sz w:val="22"/>
      <w:szCs w:val="16"/>
    </w:rPr>
  </w:style>
  <w:style w:type="paragraph" w:styleId="EmailSignature">
    <w:name w:val="E-mail Signature"/>
    <w:basedOn w:val="Normal"/>
    <w:link w:val="EmailSignatureChar"/>
    <w:uiPriority w:val="99"/>
    <w:semiHidden/>
    <w:unhideWhenUsed/>
    <w:rsid w:val="00E276EC"/>
    <w:pPr>
      <w:spacing w:after="0" w:line="240" w:lineRule="auto"/>
    </w:pPr>
  </w:style>
  <w:style w:type="character" w:customStyle="1" w:styleId="EmailSignatureChar">
    <w:name w:val="Email Signature Char"/>
    <w:basedOn w:val="DefaultParagraphFont"/>
    <w:link w:val="EmailSignature"/>
    <w:uiPriority w:val="99"/>
    <w:semiHidden/>
    <w:rsid w:val="00E276EC"/>
  </w:style>
  <w:style w:type="character" w:styleId="EndnoteReference">
    <w:name w:val="endnote reference"/>
    <w:basedOn w:val="DefaultParagraphFont"/>
    <w:uiPriority w:val="99"/>
    <w:semiHidden/>
    <w:unhideWhenUsed/>
    <w:rsid w:val="00E276EC"/>
    <w:rPr>
      <w:vertAlign w:val="superscript"/>
    </w:rPr>
  </w:style>
  <w:style w:type="paragraph" w:styleId="EndnoteText">
    <w:name w:val="endnote text"/>
    <w:basedOn w:val="Normal"/>
    <w:link w:val="EndnoteTextChar"/>
    <w:uiPriority w:val="99"/>
    <w:semiHidden/>
    <w:unhideWhenUsed/>
    <w:rsid w:val="00E276EC"/>
    <w:pPr>
      <w:spacing w:after="0" w:line="240" w:lineRule="auto"/>
    </w:pPr>
    <w:rPr>
      <w:sz w:val="22"/>
      <w:szCs w:val="20"/>
    </w:rPr>
  </w:style>
  <w:style w:type="character" w:customStyle="1" w:styleId="EndnoteTextChar">
    <w:name w:val="Endnote Text Char"/>
    <w:basedOn w:val="DefaultParagraphFont"/>
    <w:link w:val="EndnoteText"/>
    <w:uiPriority w:val="99"/>
    <w:semiHidden/>
    <w:rsid w:val="00E276EC"/>
    <w:rPr>
      <w:sz w:val="22"/>
      <w:szCs w:val="20"/>
    </w:rPr>
  </w:style>
  <w:style w:type="paragraph" w:styleId="EnvelopeAddress">
    <w:name w:val="envelope address"/>
    <w:basedOn w:val="Normal"/>
    <w:uiPriority w:val="99"/>
    <w:semiHidden/>
    <w:unhideWhenUsed/>
    <w:rsid w:val="00E276EC"/>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276EC"/>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E276EC"/>
    <w:rPr>
      <w:color w:val="805273" w:themeColor="followedHyperlink"/>
      <w:u w:val="single"/>
    </w:rPr>
  </w:style>
  <w:style w:type="character" w:styleId="FootnoteReference">
    <w:name w:val="footnote reference"/>
    <w:basedOn w:val="DefaultParagraphFont"/>
    <w:uiPriority w:val="99"/>
    <w:semiHidden/>
    <w:unhideWhenUsed/>
    <w:rsid w:val="00E276EC"/>
    <w:rPr>
      <w:vertAlign w:val="superscript"/>
    </w:rPr>
  </w:style>
  <w:style w:type="paragraph" w:styleId="FootnoteText">
    <w:name w:val="footnote text"/>
    <w:basedOn w:val="Normal"/>
    <w:link w:val="FootnoteTextChar"/>
    <w:uiPriority w:val="99"/>
    <w:semiHidden/>
    <w:unhideWhenUsed/>
    <w:rsid w:val="00E276EC"/>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E276EC"/>
    <w:rPr>
      <w:sz w:val="22"/>
      <w:szCs w:val="20"/>
    </w:rPr>
  </w:style>
  <w:style w:type="table" w:customStyle="1" w:styleId="GridTable1Light1">
    <w:name w:val="Grid Table 1 Light1"/>
    <w:basedOn w:val="TableNormal"/>
    <w:uiPriority w:val="46"/>
    <w:rsid w:val="00E276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E276EC"/>
    <w:pPr>
      <w:spacing w:after="0" w:line="240" w:lineRule="auto"/>
    </w:pPr>
    <w:tblPr>
      <w:tblStyleRowBandSize w:val="1"/>
      <w:tblStyleColBandSize w:val="1"/>
      <w:tblBorders>
        <w:top w:val="single" w:sz="4" w:space="0" w:color="D28FB7" w:themeColor="accent1" w:themeTint="66"/>
        <w:left w:val="single" w:sz="4" w:space="0" w:color="D28FB7" w:themeColor="accent1" w:themeTint="66"/>
        <w:bottom w:val="single" w:sz="4" w:space="0" w:color="D28FB7" w:themeColor="accent1" w:themeTint="66"/>
        <w:right w:val="single" w:sz="4" w:space="0" w:color="D28FB7" w:themeColor="accent1" w:themeTint="66"/>
        <w:insideH w:val="single" w:sz="4" w:space="0" w:color="D28FB7" w:themeColor="accent1" w:themeTint="66"/>
        <w:insideV w:val="single" w:sz="4" w:space="0" w:color="D28FB7" w:themeColor="accent1" w:themeTint="66"/>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2" w:space="0" w:color="BC5793"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E276EC"/>
    <w:pPr>
      <w:spacing w:after="0" w:line="240" w:lineRule="auto"/>
    </w:pPr>
    <w:tblPr>
      <w:tblStyleRowBandSize w:val="1"/>
      <w:tblStyleColBandSize w:val="1"/>
      <w:tblBorders>
        <w:top w:val="single" w:sz="4" w:space="0" w:color="EAE7B8" w:themeColor="accent2" w:themeTint="66"/>
        <w:left w:val="single" w:sz="4" w:space="0" w:color="EAE7B8" w:themeColor="accent2" w:themeTint="66"/>
        <w:bottom w:val="single" w:sz="4" w:space="0" w:color="EAE7B8" w:themeColor="accent2" w:themeTint="66"/>
        <w:right w:val="single" w:sz="4" w:space="0" w:color="EAE7B8" w:themeColor="accent2" w:themeTint="66"/>
        <w:insideH w:val="single" w:sz="4" w:space="0" w:color="EAE7B8" w:themeColor="accent2" w:themeTint="66"/>
        <w:insideV w:val="single" w:sz="4" w:space="0" w:color="EAE7B8" w:themeColor="accent2" w:themeTint="66"/>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2" w:space="0" w:color="E0DB95"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E276EC"/>
    <w:pPr>
      <w:spacing w:after="0" w:line="240" w:lineRule="auto"/>
    </w:pPr>
    <w:tblPr>
      <w:tblStyleRowBandSize w:val="1"/>
      <w:tblStyleColBandSize w:val="1"/>
      <w:tblBorders>
        <w:top w:val="single" w:sz="4" w:space="0" w:color="B8D4BA" w:themeColor="accent3" w:themeTint="66"/>
        <w:left w:val="single" w:sz="4" w:space="0" w:color="B8D4BA" w:themeColor="accent3" w:themeTint="66"/>
        <w:bottom w:val="single" w:sz="4" w:space="0" w:color="B8D4BA" w:themeColor="accent3" w:themeTint="66"/>
        <w:right w:val="single" w:sz="4" w:space="0" w:color="B8D4BA" w:themeColor="accent3" w:themeTint="66"/>
        <w:insideH w:val="single" w:sz="4" w:space="0" w:color="B8D4BA" w:themeColor="accent3" w:themeTint="66"/>
        <w:insideV w:val="single" w:sz="4" w:space="0" w:color="B8D4BA" w:themeColor="accent3" w:themeTint="66"/>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2" w:space="0" w:color="95BF97"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E276EC"/>
    <w:pPr>
      <w:spacing w:after="0" w:line="240" w:lineRule="auto"/>
    </w:pPr>
    <w:tblPr>
      <w:tblStyleRowBandSize w:val="1"/>
      <w:tblStyleColBandSize w:val="1"/>
      <w:tblBorders>
        <w:top w:val="single" w:sz="4" w:space="0" w:color="D0C4B4" w:themeColor="accent4" w:themeTint="66"/>
        <w:left w:val="single" w:sz="4" w:space="0" w:color="D0C4B4" w:themeColor="accent4" w:themeTint="66"/>
        <w:bottom w:val="single" w:sz="4" w:space="0" w:color="D0C4B4" w:themeColor="accent4" w:themeTint="66"/>
        <w:right w:val="single" w:sz="4" w:space="0" w:color="D0C4B4" w:themeColor="accent4" w:themeTint="66"/>
        <w:insideH w:val="single" w:sz="4" w:space="0" w:color="D0C4B4" w:themeColor="accent4" w:themeTint="66"/>
        <w:insideV w:val="single" w:sz="4" w:space="0" w:color="D0C4B4" w:themeColor="accent4" w:themeTint="66"/>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2" w:space="0" w:color="B9A68F"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E276EC"/>
    <w:pPr>
      <w:spacing w:after="0" w:line="240" w:lineRule="auto"/>
    </w:pPr>
    <w:tblPr>
      <w:tblStyleRowBandSize w:val="1"/>
      <w:tblStyleColBandSize w:val="1"/>
      <w:tblBorders>
        <w:top w:val="single" w:sz="4" w:space="0" w:color="ABD0DB" w:themeColor="accent5" w:themeTint="66"/>
        <w:left w:val="single" w:sz="4" w:space="0" w:color="ABD0DB" w:themeColor="accent5" w:themeTint="66"/>
        <w:bottom w:val="single" w:sz="4" w:space="0" w:color="ABD0DB" w:themeColor="accent5" w:themeTint="66"/>
        <w:right w:val="single" w:sz="4" w:space="0" w:color="ABD0DB" w:themeColor="accent5" w:themeTint="66"/>
        <w:insideH w:val="single" w:sz="4" w:space="0" w:color="ABD0DB" w:themeColor="accent5" w:themeTint="66"/>
        <w:insideV w:val="single" w:sz="4" w:space="0" w:color="ABD0DB" w:themeColor="accent5" w:themeTint="66"/>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2" w:space="0" w:color="82B9C9"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E276EC"/>
    <w:pPr>
      <w:spacing w:after="0" w:line="240" w:lineRule="auto"/>
    </w:pPr>
    <w:tblPr>
      <w:tblStyleRowBandSize w:val="1"/>
      <w:tblStyleColBandSize w:val="1"/>
      <w:tblBorders>
        <w:top w:val="single" w:sz="4" w:space="0" w:color="DFAEAD" w:themeColor="accent6" w:themeTint="66"/>
        <w:left w:val="single" w:sz="4" w:space="0" w:color="DFAEAD" w:themeColor="accent6" w:themeTint="66"/>
        <w:bottom w:val="single" w:sz="4" w:space="0" w:color="DFAEAD" w:themeColor="accent6" w:themeTint="66"/>
        <w:right w:val="single" w:sz="4" w:space="0" w:color="DFAEAD" w:themeColor="accent6" w:themeTint="66"/>
        <w:insideH w:val="single" w:sz="4" w:space="0" w:color="DFAEAD" w:themeColor="accent6" w:themeTint="66"/>
        <w:insideV w:val="single" w:sz="4" w:space="0" w:color="DFAEAD" w:themeColor="accent6" w:themeTint="66"/>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2" w:space="0" w:color="CF8684" w:themeColor="accent6"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E276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E276EC"/>
    <w:pPr>
      <w:spacing w:after="0" w:line="240" w:lineRule="auto"/>
    </w:pPr>
    <w:tblPr>
      <w:tblStyleRowBandSize w:val="1"/>
      <w:tblStyleColBandSize w:val="1"/>
      <w:tblBorders>
        <w:top w:val="single" w:sz="2" w:space="0" w:color="BC5793" w:themeColor="accent1" w:themeTint="99"/>
        <w:bottom w:val="single" w:sz="2" w:space="0" w:color="BC5793" w:themeColor="accent1" w:themeTint="99"/>
        <w:insideH w:val="single" w:sz="2" w:space="0" w:color="BC5793" w:themeColor="accent1" w:themeTint="99"/>
        <w:insideV w:val="single" w:sz="2" w:space="0" w:color="BC5793" w:themeColor="accent1" w:themeTint="99"/>
      </w:tblBorders>
    </w:tblPr>
    <w:tblStylePr w:type="firstRow">
      <w:rPr>
        <w:b/>
        <w:bCs/>
      </w:rPr>
      <w:tblPr/>
      <w:tcPr>
        <w:tcBorders>
          <w:top w:val="nil"/>
          <w:bottom w:val="single" w:sz="12" w:space="0" w:color="BC5793" w:themeColor="accent1" w:themeTint="99"/>
          <w:insideH w:val="nil"/>
          <w:insideV w:val="nil"/>
        </w:tcBorders>
        <w:shd w:val="clear" w:color="auto" w:fill="FFFFFF" w:themeFill="background1"/>
      </w:tcPr>
    </w:tblStylePr>
    <w:tblStylePr w:type="lastRow">
      <w:rPr>
        <w:b/>
        <w:bCs/>
      </w:rPr>
      <w:tblPr/>
      <w:tcPr>
        <w:tcBorders>
          <w:top w:val="double" w:sz="2" w:space="0" w:color="BC579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2-Accent21">
    <w:name w:val="Grid Table 2 - Accent 21"/>
    <w:basedOn w:val="TableNormal"/>
    <w:uiPriority w:val="47"/>
    <w:rsid w:val="00E276EC"/>
    <w:pPr>
      <w:spacing w:after="0" w:line="240" w:lineRule="auto"/>
    </w:pPr>
    <w:tblPr>
      <w:tblStyleRowBandSize w:val="1"/>
      <w:tblStyleColBandSize w:val="1"/>
      <w:tblBorders>
        <w:top w:val="single" w:sz="2" w:space="0" w:color="E0DB95" w:themeColor="accent2" w:themeTint="99"/>
        <w:bottom w:val="single" w:sz="2" w:space="0" w:color="E0DB95" w:themeColor="accent2" w:themeTint="99"/>
        <w:insideH w:val="single" w:sz="2" w:space="0" w:color="E0DB95" w:themeColor="accent2" w:themeTint="99"/>
        <w:insideV w:val="single" w:sz="2" w:space="0" w:color="E0DB95" w:themeColor="accent2" w:themeTint="99"/>
      </w:tblBorders>
    </w:tblPr>
    <w:tblStylePr w:type="firstRow">
      <w:rPr>
        <w:b/>
        <w:bCs/>
      </w:rPr>
      <w:tblPr/>
      <w:tcPr>
        <w:tcBorders>
          <w:top w:val="nil"/>
          <w:bottom w:val="single" w:sz="12" w:space="0" w:color="E0DB95" w:themeColor="accent2" w:themeTint="99"/>
          <w:insideH w:val="nil"/>
          <w:insideV w:val="nil"/>
        </w:tcBorders>
        <w:shd w:val="clear" w:color="auto" w:fill="FFFFFF" w:themeFill="background1"/>
      </w:tcPr>
    </w:tblStylePr>
    <w:tblStylePr w:type="lastRow">
      <w:rPr>
        <w:b/>
        <w:bCs/>
      </w:rPr>
      <w:tblPr/>
      <w:tcPr>
        <w:tcBorders>
          <w:top w:val="double" w:sz="2" w:space="0" w:color="E0DB9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2-Accent31">
    <w:name w:val="Grid Table 2 - Accent 31"/>
    <w:basedOn w:val="TableNormal"/>
    <w:uiPriority w:val="47"/>
    <w:rsid w:val="00E276EC"/>
    <w:pPr>
      <w:spacing w:after="0" w:line="240" w:lineRule="auto"/>
    </w:pPr>
    <w:tblPr>
      <w:tblStyleRowBandSize w:val="1"/>
      <w:tblStyleColBandSize w:val="1"/>
      <w:tblBorders>
        <w:top w:val="single" w:sz="2" w:space="0" w:color="95BF97" w:themeColor="accent3" w:themeTint="99"/>
        <w:bottom w:val="single" w:sz="2" w:space="0" w:color="95BF97" w:themeColor="accent3" w:themeTint="99"/>
        <w:insideH w:val="single" w:sz="2" w:space="0" w:color="95BF97" w:themeColor="accent3" w:themeTint="99"/>
        <w:insideV w:val="single" w:sz="2" w:space="0" w:color="95BF97" w:themeColor="accent3" w:themeTint="99"/>
      </w:tblBorders>
    </w:tblPr>
    <w:tblStylePr w:type="firstRow">
      <w:rPr>
        <w:b/>
        <w:bCs/>
      </w:rPr>
      <w:tblPr/>
      <w:tcPr>
        <w:tcBorders>
          <w:top w:val="nil"/>
          <w:bottom w:val="single" w:sz="12" w:space="0" w:color="95BF97" w:themeColor="accent3" w:themeTint="99"/>
          <w:insideH w:val="nil"/>
          <w:insideV w:val="nil"/>
        </w:tcBorders>
        <w:shd w:val="clear" w:color="auto" w:fill="FFFFFF" w:themeFill="background1"/>
      </w:tcPr>
    </w:tblStylePr>
    <w:tblStylePr w:type="lastRow">
      <w:rPr>
        <w:b/>
        <w:bCs/>
      </w:rPr>
      <w:tblPr/>
      <w:tcPr>
        <w:tcBorders>
          <w:top w:val="double" w:sz="2" w:space="0" w:color="95BF9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2-Accent41">
    <w:name w:val="Grid Table 2 - Accent 41"/>
    <w:basedOn w:val="TableNormal"/>
    <w:uiPriority w:val="47"/>
    <w:rsid w:val="00E276EC"/>
    <w:pPr>
      <w:spacing w:after="0" w:line="240" w:lineRule="auto"/>
    </w:pPr>
    <w:tblPr>
      <w:tblStyleRowBandSize w:val="1"/>
      <w:tblStyleColBandSize w:val="1"/>
      <w:tblBorders>
        <w:top w:val="single" w:sz="2" w:space="0" w:color="B9A68F" w:themeColor="accent4" w:themeTint="99"/>
        <w:bottom w:val="single" w:sz="2" w:space="0" w:color="B9A68F" w:themeColor="accent4" w:themeTint="99"/>
        <w:insideH w:val="single" w:sz="2" w:space="0" w:color="B9A68F" w:themeColor="accent4" w:themeTint="99"/>
        <w:insideV w:val="single" w:sz="2" w:space="0" w:color="B9A68F" w:themeColor="accent4" w:themeTint="99"/>
      </w:tblBorders>
    </w:tblPr>
    <w:tblStylePr w:type="firstRow">
      <w:rPr>
        <w:b/>
        <w:bCs/>
      </w:rPr>
      <w:tblPr/>
      <w:tcPr>
        <w:tcBorders>
          <w:top w:val="nil"/>
          <w:bottom w:val="single" w:sz="12" w:space="0" w:color="B9A68F" w:themeColor="accent4" w:themeTint="99"/>
          <w:insideH w:val="nil"/>
          <w:insideV w:val="nil"/>
        </w:tcBorders>
        <w:shd w:val="clear" w:color="auto" w:fill="FFFFFF" w:themeFill="background1"/>
      </w:tcPr>
    </w:tblStylePr>
    <w:tblStylePr w:type="lastRow">
      <w:rPr>
        <w:b/>
        <w:bCs/>
      </w:rPr>
      <w:tblPr/>
      <w:tcPr>
        <w:tcBorders>
          <w:top w:val="double" w:sz="2" w:space="0" w:color="B9A68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2-Accent51">
    <w:name w:val="Grid Table 2 - Accent 51"/>
    <w:basedOn w:val="TableNormal"/>
    <w:uiPriority w:val="47"/>
    <w:rsid w:val="00E276EC"/>
    <w:pPr>
      <w:spacing w:after="0" w:line="240" w:lineRule="auto"/>
    </w:pPr>
    <w:tblPr>
      <w:tblStyleRowBandSize w:val="1"/>
      <w:tblStyleColBandSize w:val="1"/>
      <w:tblBorders>
        <w:top w:val="single" w:sz="2" w:space="0" w:color="82B9C9" w:themeColor="accent5" w:themeTint="99"/>
        <w:bottom w:val="single" w:sz="2" w:space="0" w:color="82B9C9" w:themeColor="accent5" w:themeTint="99"/>
        <w:insideH w:val="single" w:sz="2" w:space="0" w:color="82B9C9" w:themeColor="accent5" w:themeTint="99"/>
        <w:insideV w:val="single" w:sz="2" w:space="0" w:color="82B9C9" w:themeColor="accent5" w:themeTint="99"/>
      </w:tblBorders>
    </w:tblPr>
    <w:tblStylePr w:type="firstRow">
      <w:rPr>
        <w:b/>
        <w:bCs/>
      </w:rPr>
      <w:tblPr/>
      <w:tcPr>
        <w:tcBorders>
          <w:top w:val="nil"/>
          <w:bottom w:val="single" w:sz="12" w:space="0" w:color="82B9C9" w:themeColor="accent5" w:themeTint="99"/>
          <w:insideH w:val="nil"/>
          <w:insideV w:val="nil"/>
        </w:tcBorders>
        <w:shd w:val="clear" w:color="auto" w:fill="FFFFFF" w:themeFill="background1"/>
      </w:tcPr>
    </w:tblStylePr>
    <w:tblStylePr w:type="lastRow">
      <w:rPr>
        <w:b/>
        <w:bCs/>
      </w:rPr>
      <w:tblPr/>
      <w:tcPr>
        <w:tcBorders>
          <w:top w:val="double" w:sz="2" w:space="0" w:color="82B9C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2-Accent61">
    <w:name w:val="Grid Table 2 - Accent 61"/>
    <w:basedOn w:val="TableNormal"/>
    <w:uiPriority w:val="47"/>
    <w:rsid w:val="00E276EC"/>
    <w:pPr>
      <w:spacing w:after="0" w:line="240" w:lineRule="auto"/>
    </w:pPr>
    <w:tblPr>
      <w:tblStyleRowBandSize w:val="1"/>
      <w:tblStyleColBandSize w:val="1"/>
      <w:tblBorders>
        <w:top w:val="single" w:sz="2" w:space="0" w:color="CF8684" w:themeColor="accent6" w:themeTint="99"/>
        <w:bottom w:val="single" w:sz="2" w:space="0" w:color="CF8684" w:themeColor="accent6" w:themeTint="99"/>
        <w:insideH w:val="single" w:sz="2" w:space="0" w:color="CF8684" w:themeColor="accent6" w:themeTint="99"/>
        <w:insideV w:val="single" w:sz="2" w:space="0" w:color="CF8684" w:themeColor="accent6" w:themeTint="99"/>
      </w:tblBorders>
    </w:tblPr>
    <w:tblStylePr w:type="firstRow">
      <w:rPr>
        <w:b/>
        <w:bCs/>
      </w:rPr>
      <w:tblPr/>
      <w:tcPr>
        <w:tcBorders>
          <w:top w:val="nil"/>
          <w:bottom w:val="single" w:sz="12" w:space="0" w:color="CF8684" w:themeColor="accent6" w:themeTint="99"/>
          <w:insideH w:val="nil"/>
          <w:insideV w:val="nil"/>
        </w:tcBorders>
        <w:shd w:val="clear" w:color="auto" w:fill="FFFFFF" w:themeFill="background1"/>
      </w:tcPr>
    </w:tblStylePr>
    <w:tblStylePr w:type="lastRow">
      <w:rPr>
        <w:b/>
        <w:bCs/>
      </w:rPr>
      <w:tblPr/>
      <w:tcPr>
        <w:tcBorders>
          <w:top w:val="double" w:sz="2" w:space="0" w:color="CF868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31">
    <w:name w:val="Grid Table 31"/>
    <w:basedOn w:val="TableNormal"/>
    <w:uiPriority w:val="48"/>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1">
    <w:name w:val="Grid Table 3 - Accent 11"/>
    <w:basedOn w:val="TableNormal"/>
    <w:uiPriority w:val="48"/>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3-Accent21">
    <w:name w:val="Grid Table 3 - Accent 21"/>
    <w:basedOn w:val="TableNormal"/>
    <w:uiPriority w:val="48"/>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3-Accent31">
    <w:name w:val="Grid Table 3 - Accent 31"/>
    <w:basedOn w:val="TableNormal"/>
    <w:uiPriority w:val="48"/>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3-Accent41">
    <w:name w:val="Grid Table 3 - Accent 41"/>
    <w:basedOn w:val="TableNormal"/>
    <w:uiPriority w:val="48"/>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3-Accent51">
    <w:name w:val="Grid Table 3 - Accent 51"/>
    <w:basedOn w:val="TableNormal"/>
    <w:uiPriority w:val="48"/>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3-Accent61">
    <w:name w:val="Grid Table 3 - Accent 61"/>
    <w:basedOn w:val="TableNormal"/>
    <w:uiPriority w:val="48"/>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table" w:customStyle="1" w:styleId="GridTable41">
    <w:name w:val="Grid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1">
    <w:name w:val="Grid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insideV w:val="nil"/>
        </w:tcBorders>
        <w:shd w:val="clear" w:color="auto" w:fill="562241" w:themeFill="accent1"/>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4-Accent21">
    <w:name w:val="Grid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insideV w:val="nil"/>
        </w:tcBorders>
        <w:shd w:val="clear" w:color="auto" w:fill="CCC44F" w:themeFill="accent2"/>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4-Accent31">
    <w:name w:val="Grid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insideV w:val="nil"/>
        </w:tcBorders>
        <w:shd w:val="clear" w:color="auto" w:fill="568F59" w:themeFill="accent3"/>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4-Accent41">
    <w:name w:val="Grid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insideV w:val="nil"/>
        </w:tcBorders>
        <w:shd w:val="clear" w:color="auto" w:fill="806B50" w:themeFill="accent4"/>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4-Accent51">
    <w:name w:val="Grid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insideV w:val="nil"/>
        </w:tcBorders>
        <w:shd w:val="clear" w:color="auto" w:fill="408296" w:themeFill="accent5"/>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4-Accent61">
    <w:name w:val="Grid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insideV w:val="nil"/>
        </w:tcBorders>
        <w:shd w:val="clear" w:color="auto" w:fill="A34240" w:themeFill="accent6"/>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5Dark1">
    <w:name w:val="Grid Table 5 Dark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1">
    <w:name w:val="Grid Table 5 Dark - Accent 1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C7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224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224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224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2241" w:themeFill="accent1"/>
      </w:tcPr>
    </w:tblStylePr>
    <w:tblStylePr w:type="band1Vert">
      <w:tblPr/>
      <w:tcPr>
        <w:shd w:val="clear" w:color="auto" w:fill="D28FB7" w:themeFill="accent1" w:themeFillTint="66"/>
      </w:tcPr>
    </w:tblStylePr>
    <w:tblStylePr w:type="band1Horz">
      <w:tblPr/>
      <w:tcPr>
        <w:shd w:val="clear" w:color="auto" w:fill="D28FB7" w:themeFill="accent1" w:themeFillTint="66"/>
      </w:tcPr>
    </w:tblStylePr>
  </w:style>
  <w:style w:type="table" w:customStyle="1" w:styleId="GridTable5Dark-Accent21">
    <w:name w:val="Grid Table 5 Dark - Accent 2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3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C44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C44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C44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C44F" w:themeFill="accent2"/>
      </w:tcPr>
    </w:tblStylePr>
    <w:tblStylePr w:type="band1Vert">
      <w:tblPr/>
      <w:tcPr>
        <w:shd w:val="clear" w:color="auto" w:fill="EAE7B8" w:themeFill="accent2" w:themeFillTint="66"/>
      </w:tcPr>
    </w:tblStylePr>
    <w:tblStylePr w:type="band1Horz">
      <w:tblPr/>
      <w:tcPr>
        <w:shd w:val="clear" w:color="auto" w:fill="EAE7B8" w:themeFill="accent2" w:themeFillTint="66"/>
      </w:tcPr>
    </w:tblStylePr>
  </w:style>
  <w:style w:type="table" w:customStyle="1" w:styleId="GridTable5Dark-Accent31">
    <w:name w:val="Grid Table 5 Dark - Accent 3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9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8F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8F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8F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8F59" w:themeFill="accent3"/>
      </w:tcPr>
    </w:tblStylePr>
    <w:tblStylePr w:type="band1Vert">
      <w:tblPr/>
      <w:tcPr>
        <w:shd w:val="clear" w:color="auto" w:fill="B8D4BA" w:themeFill="accent3" w:themeFillTint="66"/>
      </w:tcPr>
    </w:tblStylePr>
    <w:tblStylePr w:type="band1Horz">
      <w:tblPr/>
      <w:tcPr>
        <w:shd w:val="clear" w:color="auto" w:fill="B8D4BA" w:themeFill="accent3" w:themeFillTint="66"/>
      </w:tcPr>
    </w:tblStylePr>
  </w:style>
  <w:style w:type="table" w:customStyle="1" w:styleId="GridTable5Dark-Accent41">
    <w:name w:val="Grid Table 5 Dark - Accent 4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1D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B5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B5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B5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B50" w:themeFill="accent4"/>
      </w:tcPr>
    </w:tblStylePr>
    <w:tblStylePr w:type="band1Vert">
      <w:tblPr/>
      <w:tcPr>
        <w:shd w:val="clear" w:color="auto" w:fill="D0C4B4" w:themeFill="accent4" w:themeFillTint="66"/>
      </w:tcPr>
    </w:tblStylePr>
    <w:tblStylePr w:type="band1Horz">
      <w:tblPr/>
      <w:tcPr>
        <w:shd w:val="clear" w:color="auto" w:fill="D0C4B4" w:themeFill="accent4" w:themeFillTint="66"/>
      </w:tcPr>
    </w:tblStylePr>
  </w:style>
  <w:style w:type="table" w:customStyle="1" w:styleId="GridTable5Dark-Accent51">
    <w:name w:val="Grid Table 5 Dark - Accent 5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7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082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082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082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08296" w:themeFill="accent5"/>
      </w:tcPr>
    </w:tblStylePr>
    <w:tblStylePr w:type="band1Vert">
      <w:tblPr/>
      <w:tcPr>
        <w:shd w:val="clear" w:color="auto" w:fill="ABD0DB" w:themeFill="accent5" w:themeFillTint="66"/>
      </w:tcPr>
    </w:tblStylePr>
    <w:tblStylePr w:type="band1Horz">
      <w:tblPr/>
      <w:tcPr>
        <w:shd w:val="clear" w:color="auto" w:fill="ABD0DB" w:themeFill="accent5" w:themeFillTint="66"/>
      </w:tcPr>
    </w:tblStylePr>
  </w:style>
  <w:style w:type="table" w:customStyle="1" w:styleId="GridTable5Dark-Accent61">
    <w:name w:val="Grid Table 5 Dark - Accent 6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D6D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424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424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424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4240" w:themeFill="accent6"/>
      </w:tcPr>
    </w:tblStylePr>
    <w:tblStylePr w:type="band1Vert">
      <w:tblPr/>
      <w:tcPr>
        <w:shd w:val="clear" w:color="auto" w:fill="DFAEAD" w:themeFill="accent6" w:themeFillTint="66"/>
      </w:tcPr>
    </w:tblStylePr>
    <w:tblStylePr w:type="band1Horz">
      <w:tblPr/>
      <w:tcPr>
        <w:shd w:val="clear" w:color="auto" w:fill="DFAEAD" w:themeFill="accent6" w:themeFillTint="66"/>
      </w:tcPr>
    </w:tblStylePr>
  </w:style>
  <w:style w:type="table" w:customStyle="1" w:styleId="GridTable6Colourful1">
    <w:name w:val="Grid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urfulAccent11">
    <w:name w:val="Grid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6ColourfulAccent21">
    <w:name w:val="Grid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6ColourfulAccent31">
    <w:name w:val="Grid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6ColourfulAccent41">
    <w:name w:val="Grid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6ColourfulAccent51">
    <w:name w:val="Grid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6ColourfulAccent61">
    <w:name w:val="Grid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7Colourful1">
    <w:name w:val="Grid Table 7 Colourful1"/>
    <w:basedOn w:val="TableNormal"/>
    <w:uiPriority w:val="52"/>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urfulAccent11">
    <w:name w:val="Grid Table 7 Colourful – Accent 11"/>
    <w:basedOn w:val="TableNormal"/>
    <w:uiPriority w:val="52"/>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7ColourfulAccent21">
    <w:name w:val="Grid Table 7 Colourful – Accent 21"/>
    <w:basedOn w:val="TableNormal"/>
    <w:uiPriority w:val="52"/>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7ColourfulAccent31">
    <w:name w:val="Grid Table 7 Colourful – Accent 31"/>
    <w:basedOn w:val="TableNormal"/>
    <w:uiPriority w:val="52"/>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7ColourfulAccent41">
    <w:name w:val="Grid Table 7 Colourful – Accent 41"/>
    <w:basedOn w:val="TableNormal"/>
    <w:uiPriority w:val="52"/>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7ColourfulAccent51">
    <w:name w:val="Grid Table 7 Colourful – Accent 51"/>
    <w:basedOn w:val="TableNormal"/>
    <w:uiPriority w:val="52"/>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7ColourfulAccent61">
    <w:name w:val="Grid Table 7 Colourful – Accent 61"/>
    <w:basedOn w:val="TableNormal"/>
    <w:uiPriority w:val="52"/>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character" w:styleId="HTMLAcronym">
    <w:name w:val="HTML Acronym"/>
    <w:basedOn w:val="DefaultParagraphFont"/>
    <w:uiPriority w:val="99"/>
    <w:semiHidden/>
    <w:unhideWhenUsed/>
    <w:rsid w:val="00E276EC"/>
  </w:style>
  <w:style w:type="paragraph" w:styleId="HTMLAddress">
    <w:name w:val="HTML Address"/>
    <w:basedOn w:val="Normal"/>
    <w:link w:val="HTMLAddressChar"/>
    <w:uiPriority w:val="99"/>
    <w:semiHidden/>
    <w:unhideWhenUsed/>
    <w:rsid w:val="00E276EC"/>
    <w:pPr>
      <w:spacing w:after="0" w:line="240" w:lineRule="auto"/>
    </w:pPr>
    <w:rPr>
      <w:i/>
      <w:iCs/>
    </w:rPr>
  </w:style>
  <w:style w:type="character" w:customStyle="1" w:styleId="HTMLAddressChar">
    <w:name w:val="HTML Address Char"/>
    <w:basedOn w:val="DefaultParagraphFont"/>
    <w:link w:val="HTMLAddress"/>
    <w:uiPriority w:val="99"/>
    <w:semiHidden/>
    <w:rsid w:val="00E276EC"/>
    <w:rPr>
      <w:i/>
      <w:iCs/>
    </w:rPr>
  </w:style>
  <w:style w:type="character" w:styleId="HTMLCite">
    <w:name w:val="HTML Cite"/>
    <w:basedOn w:val="DefaultParagraphFont"/>
    <w:uiPriority w:val="99"/>
    <w:semiHidden/>
    <w:unhideWhenUsed/>
    <w:rsid w:val="00E276EC"/>
    <w:rPr>
      <w:i/>
      <w:iCs/>
    </w:rPr>
  </w:style>
  <w:style w:type="character" w:styleId="HTMLCode">
    <w:name w:val="HTML Code"/>
    <w:basedOn w:val="DefaultParagraphFont"/>
    <w:uiPriority w:val="99"/>
    <w:semiHidden/>
    <w:unhideWhenUsed/>
    <w:rsid w:val="00E276EC"/>
    <w:rPr>
      <w:rFonts w:ascii="Consolas" w:hAnsi="Consolas"/>
      <w:sz w:val="22"/>
      <w:szCs w:val="20"/>
    </w:rPr>
  </w:style>
  <w:style w:type="character" w:styleId="HTMLDefinition">
    <w:name w:val="HTML Definition"/>
    <w:basedOn w:val="DefaultParagraphFont"/>
    <w:uiPriority w:val="99"/>
    <w:semiHidden/>
    <w:unhideWhenUsed/>
    <w:rsid w:val="00E276EC"/>
    <w:rPr>
      <w:i/>
      <w:iCs/>
    </w:rPr>
  </w:style>
  <w:style w:type="character" w:styleId="HTMLKeyboard">
    <w:name w:val="HTML Keyboard"/>
    <w:basedOn w:val="DefaultParagraphFont"/>
    <w:uiPriority w:val="99"/>
    <w:semiHidden/>
    <w:unhideWhenUsed/>
    <w:rsid w:val="00E276EC"/>
    <w:rPr>
      <w:rFonts w:ascii="Consolas" w:hAnsi="Consolas"/>
      <w:sz w:val="22"/>
      <w:szCs w:val="20"/>
    </w:rPr>
  </w:style>
  <w:style w:type="paragraph" w:styleId="HTMLPreformatted">
    <w:name w:val="HTML Preformatted"/>
    <w:basedOn w:val="Normal"/>
    <w:link w:val="HTMLPreformattedChar"/>
    <w:uiPriority w:val="99"/>
    <w:semiHidden/>
    <w:unhideWhenUsed/>
    <w:rsid w:val="00E276EC"/>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E276EC"/>
    <w:rPr>
      <w:rFonts w:ascii="Consolas" w:hAnsi="Consolas"/>
      <w:sz w:val="22"/>
      <w:szCs w:val="20"/>
    </w:rPr>
  </w:style>
  <w:style w:type="character" w:styleId="HTMLSample">
    <w:name w:val="HTML Sample"/>
    <w:basedOn w:val="DefaultParagraphFont"/>
    <w:uiPriority w:val="99"/>
    <w:semiHidden/>
    <w:unhideWhenUsed/>
    <w:rsid w:val="00E276EC"/>
    <w:rPr>
      <w:rFonts w:ascii="Consolas" w:hAnsi="Consolas"/>
      <w:sz w:val="24"/>
      <w:szCs w:val="24"/>
    </w:rPr>
  </w:style>
  <w:style w:type="character" w:styleId="HTMLTypewriter">
    <w:name w:val="HTML Typewriter"/>
    <w:basedOn w:val="DefaultParagraphFont"/>
    <w:uiPriority w:val="99"/>
    <w:semiHidden/>
    <w:unhideWhenUsed/>
    <w:rsid w:val="00E276EC"/>
    <w:rPr>
      <w:rFonts w:ascii="Consolas" w:hAnsi="Consolas"/>
      <w:sz w:val="22"/>
      <w:szCs w:val="20"/>
    </w:rPr>
  </w:style>
  <w:style w:type="character" w:styleId="HTMLVariable">
    <w:name w:val="HTML Variable"/>
    <w:basedOn w:val="DefaultParagraphFont"/>
    <w:uiPriority w:val="99"/>
    <w:semiHidden/>
    <w:unhideWhenUsed/>
    <w:rsid w:val="00E276EC"/>
    <w:rPr>
      <w:i/>
      <w:iCs/>
    </w:rPr>
  </w:style>
  <w:style w:type="character" w:styleId="Hyperlink">
    <w:name w:val="Hyperlink"/>
    <w:basedOn w:val="DefaultParagraphFont"/>
    <w:uiPriority w:val="99"/>
    <w:unhideWhenUsed/>
    <w:rsid w:val="00E276EC"/>
    <w:rPr>
      <w:color w:val="36A3B8" w:themeColor="hyperlink"/>
      <w:u w:val="single"/>
    </w:rPr>
  </w:style>
  <w:style w:type="paragraph" w:styleId="Index1">
    <w:name w:val="index 1"/>
    <w:basedOn w:val="Normal"/>
    <w:next w:val="Normal"/>
    <w:autoRedefine/>
    <w:uiPriority w:val="99"/>
    <w:semiHidden/>
    <w:unhideWhenUsed/>
    <w:rsid w:val="00E276EC"/>
    <w:pPr>
      <w:spacing w:after="0" w:line="240" w:lineRule="auto"/>
      <w:ind w:left="260" w:hanging="260"/>
    </w:pPr>
  </w:style>
  <w:style w:type="paragraph" w:styleId="Index2">
    <w:name w:val="index 2"/>
    <w:basedOn w:val="Normal"/>
    <w:next w:val="Normal"/>
    <w:autoRedefine/>
    <w:uiPriority w:val="99"/>
    <w:semiHidden/>
    <w:unhideWhenUsed/>
    <w:rsid w:val="00E276EC"/>
    <w:pPr>
      <w:spacing w:after="0" w:line="240" w:lineRule="auto"/>
      <w:ind w:left="520" w:hanging="260"/>
    </w:pPr>
  </w:style>
  <w:style w:type="paragraph" w:styleId="Index3">
    <w:name w:val="index 3"/>
    <w:basedOn w:val="Normal"/>
    <w:next w:val="Normal"/>
    <w:autoRedefine/>
    <w:uiPriority w:val="99"/>
    <w:semiHidden/>
    <w:unhideWhenUsed/>
    <w:rsid w:val="00E276EC"/>
    <w:pPr>
      <w:spacing w:after="0" w:line="240" w:lineRule="auto"/>
      <w:ind w:left="780" w:hanging="260"/>
    </w:pPr>
  </w:style>
  <w:style w:type="paragraph" w:styleId="Index4">
    <w:name w:val="index 4"/>
    <w:basedOn w:val="Normal"/>
    <w:next w:val="Normal"/>
    <w:autoRedefine/>
    <w:uiPriority w:val="99"/>
    <w:semiHidden/>
    <w:unhideWhenUsed/>
    <w:rsid w:val="00E276EC"/>
    <w:pPr>
      <w:spacing w:after="0" w:line="240" w:lineRule="auto"/>
      <w:ind w:left="1040" w:hanging="260"/>
    </w:pPr>
  </w:style>
  <w:style w:type="paragraph" w:styleId="Index5">
    <w:name w:val="index 5"/>
    <w:basedOn w:val="Normal"/>
    <w:next w:val="Normal"/>
    <w:autoRedefine/>
    <w:uiPriority w:val="99"/>
    <w:semiHidden/>
    <w:unhideWhenUsed/>
    <w:rsid w:val="00E276EC"/>
    <w:pPr>
      <w:spacing w:after="0" w:line="240" w:lineRule="auto"/>
      <w:ind w:left="1300" w:hanging="260"/>
    </w:pPr>
  </w:style>
  <w:style w:type="paragraph" w:styleId="Index6">
    <w:name w:val="index 6"/>
    <w:basedOn w:val="Normal"/>
    <w:next w:val="Normal"/>
    <w:autoRedefine/>
    <w:uiPriority w:val="99"/>
    <w:semiHidden/>
    <w:unhideWhenUsed/>
    <w:rsid w:val="00E276EC"/>
    <w:pPr>
      <w:spacing w:after="0" w:line="240" w:lineRule="auto"/>
      <w:ind w:left="1560" w:hanging="260"/>
    </w:pPr>
  </w:style>
  <w:style w:type="paragraph" w:styleId="Index7">
    <w:name w:val="index 7"/>
    <w:basedOn w:val="Normal"/>
    <w:next w:val="Normal"/>
    <w:autoRedefine/>
    <w:uiPriority w:val="99"/>
    <w:semiHidden/>
    <w:unhideWhenUsed/>
    <w:rsid w:val="00E276EC"/>
    <w:pPr>
      <w:spacing w:after="0" w:line="240" w:lineRule="auto"/>
      <w:ind w:left="1820" w:hanging="260"/>
    </w:pPr>
  </w:style>
  <w:style w:type="paragraph" w:styleId="Index8">
    <w:name w:val="index 8"/>
    <w:basedOn w:val="Normal"/>
    <w:next w:val="Normal"/>
    <w:autoRedefine/>
    <w:uiPriority w:val="99"/>
    <w:semiHidden/>
    <w:unhideWhenUsed/>
    <w:rsid w:val="00E276EC"/>
    <w:pPr>
      <w:spacing w:after="0" w:line="240" w:lineRule="auto"/>
      <w:ind w:left="2080" w:hanging="260"/>
    </w:pPr>
  </w:style>
  <w:style w:type="paragraph" w:styleId="Index9">
    <w:name w:val="index 9"/>
    <w:basedOn w:val="Normal"/>
    <w:next w:val="Normal"/>
    <w:autoRedefine/>
    <w:uiPriority w:val="99"/>
    <w:semiHidden/>
    <w:unhideWhenUsed/>
    <w:rsid w:val="00E276EC"/>
    <w:pPr>
      <w:spacing w:after="0" w:line="240" w:lineRule="auto"/>
      <w:ind w:left="2340" w:hanging="260"/>
    </w:pPr>
  </w:style>
  <w:style w:type="paragraph" w:styleId="IndexHeading">
    <w:name w:val="index heading"/>
    <w:basedOn w:val="Normal"/>
    <w:next w:val="Index1"/>
    <w:uiPriority w:val="99"/>
    <w:semiHidden/>
    <w:unhideWhenUsed/>
    <w:rsid w:val="00E276EC"/>
    <w:rPr>
      <w:rFonts w:asciiTheme="majorHAnsi" w:eastAsiaTheme="majorEastAsia" w:hAnsiTheme="majorHAnsi" w:cstheme="majorBidi"/>
      <w:b/>
      <w:bCs/>
    </w:rPr>
  </w:style>
  <w:style w:type="table" w:styleId="LightGrid">
    <w:name w:val="Light Grid"/>
    <w:basedOn w:val="TableNormal"/>
    <w:uiPriority w:val="62"/>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18" w:space="0" w:color="562241" w:themeColor="accent1"/>
          <w:right w:val="single" w:sz="8" w:space="0" w:color="562241" w:themeColor="accent1"/>
          <w:insideH w:val="nil"/>
          <w:insideV w:val="single" w:sz="8" w:space="0" w:color="56224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insideH w:val="nil"/>
          <w:insideV w:val="single" w:sz="8" w:space="0" w:color="56224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shd w:val="clear" w:color="auto" w:fill="E3B9D2" w:themeFill="accent1" w:themeFillTint="3F"/>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shd w:val="clear" w:color="auto" w:fill="E3B9D2" w:themeFill="accent1" w:themeFillTint="3F"/>
      </w:tcPr>
    </w:tblStylePr>
    <w:tblStylePr w:type="band2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tcPr>
    </w:tblStylePr>
  </w:style>
  <w:style w:type="table" w:styleId="LightGrid-Accent2">
    <w:name w:val="Light Grid Accent 2"/>
    <w:basedOn w:val="TableNormal"/>
    <w:uiPriority w:val="62"/>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18" w:space="0" w:color="CCC44F" w:themeColor="accent2"/>
          <w:right w:val="single" w:sz="8" w:space="0" w:color="CCC44F" w:themeColor="accent2"/>
          <w:insideH w:val="nil"/>
          <w:insideV w:val="single" w:sz="8" w:space="0" w:color="CCC44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insideH w:val="nil"/>
          <w:insideV w:val="single" w:sz="8" w:space="0" w:color="CCC44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shd w:val="clear" w:color="auto" w:fill="F2F0D3" w:themeFill="accent2" w:themeFillTint="3F"/>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shd w:val="clear" w:color="auto" w:fill="F2F0D3" w:themeFill="accent2" w:themeFillTint="3F"/>
      </w:tcPr>
    </w:tblStylePr>
    <w:tblStylePr w:type="band2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tcPr>
    </w:tblStylePr>
  </w:style>
  <w:style w:type="table" w:styleId="LightGrid-Accent3">
    <w:name w:val="Light Grid Accent 3"/>
    <w:basedOn w:val="TableNormal"/>
    <w:uiPriority w:val="62"/>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18" w:space="0" w:color="568F59" w:themeColor="accent3"/>
          <w:right w:val="single" w:sz="8" w:space="0" w:color="568F59" w:themeColor="accent3"/>
          <w:insideH w:val="nil"/>
          <w:insideV w:val="single" w:sz="8" w:space="0" w:color="568F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insideH w:val="nil"/>
          <w:insideV w:val="single" w:sz="8" w:space="0" w:color="568F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shd w:val="clear" w:color="auto" w:fill="D3E4D4" w:themeFill="accent3" w:themeFillTint="3F"/>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shd w:val="clear" w:color="auto" w:fill="D3E4D4" w:themeFill="accent3" w:themeFillTint="3F"/>
      </w:tcPr>
    </w:tblStylePr>
    <w:tblStylePr w:type="band2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tcPr>
    </w:tblStylePr>
  </w:style>
  <w:style w:type="table" w:styleId="LightGrid-Accent4">
    <w:name w:val="Light Grid Accent 4"/>
    <w:basedOn w:val="TableNormal"/>
    <w:uiPriority w:val="62"/>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18" w:space="0" w:color="806B50" w:themeColor="accent4"/>
          <w:right w:val="single" w:sz="8" w:space="0" w:color="806B50" w:themeColor="accent4"/>
          <w:insideH w:val="nil"/>
          <w:insideV w:val="single" w:sz="8" w:space="0" w:color="806B5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insideH w:val="nil"/>
          <w:insideV w:val="single" w:sz="8" w:space="0" w:color="806B5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shd w:val="clear" w:color="auto" w:fill="E2DAD1" w:themeFill="accent4" w:themeFillTint="3F"/>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shd w:val="clear" w:color="auto" w:fill="E2DAD1" w:themeFill="accent4" w:themeFillTint="3F"/>
      </w:tcPr>
    </w:tblStylePr>
    <w:tblStylePr w:type="band2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tcPr>
    </w:tblStylePr>
  </w:style>
  <w:style w:type="table" w:styleId="LightGrid-Accent5">
    <w:name w:val="Light Grid Accent 5"/>
    <w:basedOn w:val="TableNormal"/>
    <w:uiPriority w:val="62"/>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18" w:space="0" w:color="408296" w:themeColor="accent5"/>
          <w:right w:val="single" w:sz="8" w:space="0" w:color="408296" w:themeColor="accent5"/>
          <w:insideH w:val="nil"/>
          <w:insideV w:val="single" w:sz="8" w:space="0" w:color="4082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insideH w:val="nil"/>
          <w:insideV w:val="single" w:sz="8" w:space="0" w:color="4082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shd w:val="clear" w:color="auto" w:fill="CBE2E9" w:themeFill="accent5" w:themeFillTint="3F"/>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shd w:val="clear" w:color="auto" w:fill="CBE2E9" w:themeFill="accent5" w:themeFillTint="3F"/>
      </w:tcPr>
    </w:tblStylePr>
    <w:tblStylePr w:type="band2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tcPr>
    </w:tblStylePr>
  </w:style>
  <w:style w:type="table" w:styleId="LightGrid-Accent6">
    <w:name w:val="Light Grid Accent 6"/>
    <w:basedOn w:val="TableNormal"/>
    <w:uiPriority w:val="62"/>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18" w:space="0" w:color="A34240" w:themeColor="accent6"/>
          <w:right w:val="single" w:sz="8" w:space="0" w:color="A34240" w:themeColor="accent6"/>
          <w:insideH w:val="nil"/>
          <w:insideV w:val="single" w:sz="8" w:space="0" w:color="A3424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insideH w:val="nil"/>
          <w:insideV w:val="single" w:sz="8" w:space="0" w:color="A3424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shd w:val="clear" w:color="auto" w:fill="EBCDCC" w:themeFill="accent6" w:themeFillTint="3F"/>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shd w:val="clear" w:color="auto" w:fill="EBCDCC" w:themeFill="accent6" w:themeFillTint="3F"/>
      </w:tcPr>
    </w:tblStylePr>
    <w:tblStylePr w:type="band2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tcPr>
    </w:tblStylePr>
  </w:style>
  <w:style w:type="table" w:styleId="LightList">
    <w:name w:val="Light List"/>
    <w:basedOn w:val="TableNormal"/>
    <w:uiPriority w:val="61"/>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pPr>
        <w:spacing w:before="0" w:after="0" w:line="240" w:lineRule="auto"/>
      </w:pPr>
      <w:rPr>
        <w:b/>
        <w:bCs/>
        <w:color w:val="FFFFFF" w:themeColor="background1"/>
      </w:rPr>
      <w:tblPr/>
      <w:tcPr>
        <w:shd w:val="clear" w:color="auto" w:fill="562241" w:themeFill="accent1"/>
      </w:tcPr>
    </w:tblStylePr>
    <w:tblStylePr w:type="lastRow">
      <w:pPr>
        <w:spacing w:before="0" w:after="0" w:line="240" w:lineRule="auto"/>
      </w:pPr>
      <w:rPr>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tcBorders>
      </w:tcPr>
    </w:tblStylePr>
    <w:tblStylePr w:type="firstCol">
      <w:rPr>
        <w:b/>
        <w:bCs/>
      </w:rPr>
    </w:tblStylePr>
    <w:tblStylePr w:type="lastCol">
      <w:rPr>
        <w:b/>
        <w:bCs/>
      </w:r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style>
  <w:style w:type="table" w:styleId="LightList-Accent2">
    <w:name w:val="Light List Accent 2"/>
    <w:basedOn w:val="TableNormal"/>
    <w:uiPriority w:val="61"/>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pPr>
        <w:spacing w:before="0" w:after="0" w:line="240" w:lineRule="auto"/>
      </w:pPr>
      <w:rPr>
        <w:b/>
        <w:bCs/>
        <w:color w:val="FFFFFF" w:themeColor="background1"/>
      </w:rPr>
      <w:tblPr/>
      <w:tcPr>
        <w:shd w:val="clear" w:color="auto" w:fill="CCC44F" w:themeFill="accent2"/>
      </w:tcPr>
    </w:tblStylePr>
    <w:tblStylePr w:type="lastRow">
      <w:pPr>
        <w:spacing w:before="0" w:after="0" w:line="240" w:lineRule="auto"/>
      </w:pPr>
      <w:rPr>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tcBorders>
      </w:tcPr>
    </w:tblStylePr>
    <w:tblStylePr w:type="firstCol">
      <w:rPr>
        <w:b/>
        <w:bCs/>
      </w:rPr>
    </w:tblStylePr>
    <w:tblStylePr w:type="lastCol">
      <w:rPr>
        <w:b/>
        <w:bCs/>
      </w:r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style>
  <w:style w:type="table" w:styleId="LightList-Accent3">
    <w:name w:val="Light List Accent 3"/>
    <w:basedOn w:val="TableNormal"/>
    <w:uiPriority w:val="61"/>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pPr>
        <w:spacing w:before="0" w:after="0" w:line="240" w:lineRule="auto"/>
      </w:pPr>
      <w:rPr>
        <w:b/>
        <w:bCs/>
        <w:color w:val="FFFFFF" w:themeColor="background1"/>
      </w:rPr>
      <w:tblPr/>
      <w:tcPr>
        <w:shd w:val="clear" w:color="auto" w:fill="568F59" w:themeFill="accent3"/>
      </w:tcPr>
    </w:tblStylePr>
    <w:tblStylePr w:type="lastRow">
      <w:pPr>
        <w:spacing w:before="0" w:after="0" w:line="240" w:lineRule="auto"/>
      </w:pPr>
      <w:rPr>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tcBorders>
      </w:tcPr>
    </w:tblStylePr>
    <w:tblStylePr w:type="firstCol">
      <w:rPr>
        <w:b/>
        <w:bCs/>
      </w:rPr>
    </w:tblStylePr>
    <w:tblStylePr w:type="lastCol">
      <w:rPr>
        <w:b/>
        <w:bCs/>
      </w:r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style>
  <w:style w:type="table" w:styleId="LightList-Accent4">
    <w:name w:val="Light List Accent 4"/>
    <w:basedOn w:val="TableNormal"/>
    <w:uiPriority w:val="61"/>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pPr>
        <w:spacing w:before="0" w:after="0" w:line="240" w:lineRule="auto"/>
      </w:pPr>
      <w:rPr>
        <w:b/>
        <w:bCs/>
        <w:color w:val="FFFFFF" w:themeColor="background1"/>
      </w:rPr>
      <w:tblPr/>
      <w:tcPr>
        <w:shd w:val="clear" w:color="auto" w:fill="806B50" w:themeFill="accent4"/>
      </w:tcPr>
    </w:tblStylePr>
    <w:tblStylePr w:type="lastRow">
      <w:pPr>
        <w:spacing w:before="0" w:after="0" w:line="240" w:lineRule="auto"/>
      </w:pPr>
      <w:rPr>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tcBorders>
      </w:tcPr>
    </w:tblStylePr>
    <w:tblStylePr w:type="firstCol">
      <w:rPr>
        <w:b/>
        <w:bCs/>
      </w:rPr>
    </w:tblStylePr>
    <w:tblStylePr w:type="lastCol">
      <w:rPr>
        <w:b/>
        <w:bCs/>
      </w:r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style>
  <w:style w:type="table" w:styleId="LightList-Accent5">
    <w:name w:val="Light List Accent 5"/>
    <w:basedOn w:val="TableNormal"/>
    <w:uiPriority w:val="61"/>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pPr>
        <w:spacing w:before="0" w:after="0" w:line="240" w:lineRule="auto"/>
      </w:pPr>
      <w:rPr>
        <w:b/>
        <w:bCs/>
        <w:color w:val="FFFFFF" w:themeColor="background1"/>
      </w:rPr>
      <w:tblPr/>
      <w:tcPr>
        <w:shd w:val="clear" w:color="auto" w:fill="408296" w:themeFill="accent5"/>
      </w:tcPr>
    </w:tblStylePr>
    <w:tblStylePr w:type="lastRow">
      <w:pPr>
        <w:spacing w:before="0" w:after="0" w:line="240" w:lineRule="auto"/>
      </w:pPr>
      <w:rPr>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tcBorders>
      </w:tcPr>
    </w:tblStylePr>
    <w:tblStylePr w:type="firstCol">
      <w:rPr>
        <w:b/>
        <w:bCs/>
      </w:rPr>
    </w:tblStylePr>
    <w:tblStylePr w:type="lastCol">
      <w:rPr>
        <w:b/>
        <w:bCs/>
      </w:r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style>
  <w:style w:type="table" w:styleId="LightList-Accent6">
    <w:name w:val="Light List Accent 6"/>
    <w:basedOn w:val="TableNormal"/>
    <w:uiPriority w:val="61"/>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pPr>
        <w:spacing w:before="0" w:after="0" w:line="240" w:lineRule="auto"/>
      </w:pPr>
      <w:rPr>
        <w:b/>
        <w:bCs/>
        <w:color w:val="FFFFFF" w:themeColor="background1"/>
      </w:rPr>
      <w:tblPr/>
      <w:tcPr>
        <w:shd w:val="clear" w:color="auto" w:fill="A34240" w:themeFill="accent6"/>
      </w:tcPr>
    </w:tblStylePr>
    <w:tblStylePr w:type="lastRow">
      <w:pPr>
        <w:spacing w:before="0" w:after="0" w:line="240" w:lineRule="auto"/>
      </w:pPr>
      <w:rPr>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tcBorders>
      </w:tcPr>
    </w:tblStylePr>
    <w:tblStylePr w:type="firstCol">
      <w:rPr>
        <w:b/>
        <w:bCs/>
      </w:rPr>
    </w:tblStylePr>
    <w:tblStylePr w:type="lastCol">
      <w:rPr>
        <w:b/>
        <w:bCs/>
      </w:r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style>
  <w:style w:type="table" w:styleId="LightShading">
    <w:name w:val="Light Shading"/>
    <w:basedOn w:val="TableNormal"/>
    <w:uiPriority w:val="60"/>
    <w:semiHidden/>
    <w:unhideWhenUsed/>
    <w:rsid w:val="00E276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276EC"/>
    <w:pPr>
      <w:spacing w:after="0" w:line="240" w:lineRule="auto"/>
    </w:pPr>
    <w:rPr>
      <w:color w:val="401930" w:themeColor="accent1" w:themeShade="BF"/>
    </w:rPr>
    <w:tblPr>
      <w:tblStyleRowBandSize w:val="1"/>
      <w:tblStyleColBandSize w:val="1"/>
      <w:tblBorders>
        <w:top w:val="single" w:sz="8" w:space="0" w:color="562241" w:themeColor="accent1"/>
        <w:bottom w:val="single" w:sz="8" w:space="0" w:color="562241" w:themeColor="accent1"/>
      </w:tblBorders>
    </w:tblPr>
    <w:tblStylePr w:type="fir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la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left w:val="nil"/>
          <w:right w:val="nil"/>
          <w:insideH w:val="nil"/>
          <w:insideV w:val="nil"/>
        </w:tcBorders>
        <w:shd w:val="clear" w:color="auto" w:fill="E3B9D2" w:themeFill="accent1" w:themeFillTint="3F"/>
      </w:tcPr>
    </w:tblStylePr>
  </w:style>
  <w:style w:type="table" w:styleId="LightShading-Accent2">
    <w:name w:val="Light Shading Accent 2"/>
    <w:basedOn w:val="TableNormal"/>
    <w:uiPriority w:val="60"/>
    <w:semiHidden/>
    <w:unhideWhenUsed/>
    <w:rsid w:val="00E276EC"/>
    <w:pPr>
      <w:spacing w:after="0" w:line="240" w:lineRule="auto"/>
    </w:pPr>
    <w:rPr>
      <w:color w:val="A49C2F" w:themeColor="accent2" w:themeShade="BF"/>
    </w:rPr>
    <w:tblPr>
      <w:tblStyleRowBandSize w:val="1"/>
      <w:tblStyleColBandSize w:val="1"/>
      <w:tblBorders>
        <w:top w:val="single" w:sz="8" w:space="0" w:color="CCC44F" w:themeColor="accent2"/>
        <w:bottom w:val="single" w:sz="8" w:space="0" w:color="CCC44F" w:themeColor="accent2"/>
      </w:tblBorders>
    </w:tblPr>
    <w:tblStylePr w:type="fir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la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left w:val="nil"/>
          <w:right w:val="nil"/>
          <w:insideH w:val="nil"/>
          <w:insideV w:val="nil"/>
        </w:tcBorders>
        <w:shd w:val="clear" w:color="auto" w:fill="F2F0D3" w:themeFill="accent2" w:themeFillTint="3F"/>
      </w:tcPr>
    </w:tblStylePr>
  </w:style>
  <w:style w:type="table" w:styleId="LightShading-Accent3">
    <w:name w:val="Light Shading Accent 3"/>
    <w:basedOn w:val="TableNormal"/>
    <w:uiPriority w:val="60"/>
    <w:semiHidden/>
    <w:unhideWhenUsed/>
    <w:rsid w:val="00E276EC"/>
    <w:pPr>
      <w:spacing w:after="0" w:line="240" w:lineRule="auto"/>
    </w:pPr>
    <w:rPr>
      <w:color w:val="406A42" w:themeColor="accent3" w:themeShade="BF"/>
    </w:rPr>
    <w:tblPr>
      <w:tblStyleRowBandSize w:val="1"/>
      <w:tblStyleColBandSize w:val="1"/>
      <w:tblBorders>
        <w:top w:val="single" w:sz="8" w:space="0" w:color="568F59" w:themeColor="accent3"/>
        <w:bottom w:val="single" w:sz="8" w:space="0" w:color="568F59" w:themeColor="accent3"/>
      </w:tblBorders>
    </w:tblPr>
    <w:tblStylePr w:type="fir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la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left w:val="nil"/>
          <w:right w:val="nil"/>
          <w:insideH w:val="nil"/>
          <w:insideV w:val="nil"/>
        </w:tcBorders>
        <w:shd w:val="clear" w:color="auto" w:fill="D3E4D4" w:themeFill="accent3" w:themeFillTint="3F"/>
      </w:tcPr>
    </w:tblStylePr>
  </w:style>
  <w:style w:type="table" w:styleId="LightShading-Accent4">
    <w:name w:val="Light Shading Accent 4"/>
    <w:basedOn w:val="TableNormal"/>
    <w:uiPriority w:val="60"/>
    <w:semiHidden/>
    <w:unhideWhenUsed/>
    <w:rsid w:val="00E276EC"/>
    <w:pPr>
      <w:spacing w:after="0" w:line="240" w:lineRule="auto"/>
    </w:pPr>
    <w:rPr>
      <w:color w:val="5F503C" w:themeColor="accent4" w:themeShade="BF"/>
    </w:rPr>
    <w:tblPr>
      <w:tblStyleRowBandSize w:val="1"/>
      <w:tblStyleColBandSize w:val="1"/>
      <w:tblBorders>
        <w:top w:val="single" w:sz="8" w:space="0" w:color="806B50" w:themeColor="accent4"/>
        <w:bottom w:val="single" w:sz="8" w:space="0" w:color="806B50" w:themeColor="accent4"/>
      </w:tblBorders>
    </w:tblPr>
    <w:tblStylePr w:type="fir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la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left w:val="nil"/>
          <w:right w:val="nil"/>
          <w:insideH w:val="nil"/>
          <w:insideV w:val="nil"/>
        </w:tcBorders>
        <w:shd w:val="clear" w:color="auto" w:fill="E2DAD1" w:themeFill="accent4" w:themeFillTint="3F"/>
      </w:tcPr>
    </w:tblStylePr>
  </w:style>
  <w:style w:type="table" w:styleId="LightShading-Accent5">
    <w:name w:val="Light Shading Accent 5"/>
    <w:basedOn w:val="TableNormal"/>
    <w:uiPriority w:val="60"/>
    <w:semiHidden/>
    <w:unhideWhenUsed/>
    <w:rsid w:val="00E276EC"/>
    <w:pPr>
      <w:spacing w:after="0" w:line="240" w:lineRule="auto"/>
    </w:pPr>
    <w:rPr>
      <w:color w:val="306070" w:themeColor="accent5" w:themeShade="BF"/>
    </w:rPr>
    <w:tblPr>
      <w:tblStyleRowBandSize w:val="1"/>
      <w:tblStyleColBandSize w:val="1"/>
      <w:tblBorders>
        <w:top w:val="single" w:sz="8" w:space="0" w:color="408296" w:themeColor="accent5"/>
        <w:bottom w:val="single" w:sz="8" w:space="0" w:color="408296" w:themeColor="accent5"/>
      </w:tblBorders>
    </w:tblPr>
    <w:tblStylePr w:type="fir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la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left w:val="nil"/>
          <w:right w:val="nil"/>
          <w:insideH w:val="nil"/>
          <w:insideV w:val="nil"/>
        </w:tcBorders>
        <w:shd w:val="clear" w:color="auto" w:fill="CBE2E9" w:themeFill="accent5" w:themeFillTint="3F"/>
      </w:tcPr>
    </w:tblStylePr>
  </w:style>
  <w:style w:type="table" w:styleId="LightShading-Accent6">
    <w:name w:val="Light Shading Accent 6"/>
    <w:basedOn w:val="TableNormal"/>
    <w:uiPriority w:val="60"/>
    <w:semiHidden/>
    <w:unhideWhenUsed/>
    <w:rsid w:val="00E276EC"/>
    <w:pPr>
      <w:spacing w:after="0" w:line="240" w:lineRule="auto"/>
    </w:pPr>
    <w:rPr>
      <w:color w:val="7A3130" w:themeColor="accent6" w:themeShade="BF"/>
    </w:rPr>
    <w:tblPr>
      <w:tblStyleRowBandSize w:val="1"/>
      <w:tblStyleColBandSize w:val="1"/>
      <w:tblBorders>
        <w:top w:val="single" w:sz="8" w:space="0" w:color="A34240" w:themeColor="accent6"/>
        <w:bottom w:val="single" w:sz="8" w:space="0" w:color="A34240" w:themeColor="accent6"/>
      </w:tblBorders>
    </w:tblPr>
    <w:tblStylePr w:type="fir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la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left w:val="nil"/>
          <w:right w:val="nil"/>
          <w:insideH w:val="nil"/>
          <w:insideV w:val="nil"/>
        </w:tcBorders>
        <w:shd w:val="clear" w:color="auto" w:fill="EBCDCC" w:themeFill="accent6" w:themeFillTint="3F"/>
      </w:tcPr>
    </w:tblStylePr>
  </w:style>
  <w:style w:type="character" w:styleId="LineNumber">
    <w:name w:val="line number"/>
    <w:basedOn w:val="DefaultParagraphFont"/>
    <w:uiPriority w:val="99"/>
    <w:semiHidden/>
    <w:unhideWhenUsed/>
    <w:rsid w:val="00E276EC"/>
  </w:style>
  <w:style w:type="paragraph" w:styleId="List">
    <w:name w:val="List"/>
    <w:basedOn w:val="Normal"/>
    <w:uiPriority w:val="99"/>
    <w:semiHidden/>
    <w:unhideWhenUsed/>
    <w:rsid w:val="00E276EC"/>
    <w:pPr>
      <w:ind w:left="360" w:hanging="360"/>
      <w:contextualSpacing/>
    </w:pPr>
  </w:style>
  <w:style w:type="paragraph" w:styleId="List2">
    <w:name w:val="List 2"/>
    <w:basedOn w:val="Normal"/>
    <w:uiPriority w:val="99"/>
    <w:semiHidden/>
    <w:unhideWhenUsed/>
    <w:rsid w:val="00E276EC"/>
    <w:pPr>
      <w:ind w:left="720" w:hanging="360"/>
      <w:contextualSpacing/>
    </w:pPr>
  </w:style>
  <w:style w:type="paragraph" w:styleId="List3">
    <w:name w:val="List 3"/>
    <w:basedOn w:val="Normal"/>
    <w:uiPriority w:val="99"/>
    <w:semiHidden/>
    <w:unhideWhenUsed/>
    <w:rsid w:val="00E276EC"/>
    <w:pPr>
      <w:ind w:left="1080" w:hanging="360"/>
      <w:contextualSpacing/>
    </w:pPr>
  </w:style>
  <w:style w:type="paragraph" w:styleId="List4">
    <w:name w:val="List 4"/>
    <w:basedOn w:val="Normal"/>
    <w:uiPriority w:val="99"/>
    <w:semiHidden/>
    <w:unhideWhenUsed/>
    <w:rsid w:val="00E276EC"/>
    <w:pPr>
      <w:ind w:left="1440" w:hanging="360"/>
      <w:contextualSpacing/>
    </w:pPr>
  </w:style>
  <w:style w:type="paragraph" w:styleId="List5">
    <w:name w:val="List 5"/>
    <w:basedOn w:val="Normal"/>
    <w:uiPriority w:val="99"/>
    <w:semiHidden/>
    <w:unhideWhenUsed/>
    <w:rsid w:val="00E276EC"/>
    <w:pPr>
      <w:ind w:left="1800" w:hanging="360"/>
      <w:contextualSpacing/>
    </w:pPr>
  </w:style>
  <w:style w:type="paragraph" w:styleId="ListBullet">
    <w:name w:val="List Bullet"/>
    <w:basedOn w:val="Normal"/>
    <w:uiPriority w:val="99"/>
    <w:semiHidden/>
    <w:unhideWhenUsed/>
    <w:rsid w:val="00E276EC"/>
    <w:pPr>
      <w:numPr>
        <w:numId w:val="1"/>
      </w:numPr>
      <w:contextualSpacing/>
    </w:pPr>
  </w:style>
  <w:style w:type="paragraph" w:styleId="ListBullet2">
    <w:name w:val="List Bullet 2"/>
    <w:basedOn w:val="Normal"/>
    <w:uiPriority w:val="99"/>
    <w:semiHidden/>
    <w:unhideWhenUsed/>
    <w:rsid w:val="00E276EC"/>
    <w:pPr>
      <w:numPr>
        <w:numId w:val="2"/>
      </w:numPr>
      <w:contextualSpacing/>
    </w:pPr>
  </w:style>
  <w:style w:type="paragraph" w:styleId="ListBullet3">
    <w:name w:val="List Bullet 3"/>
    <w:basedOn w:val="Normal"/>
    <w:uiPriority w:val="99"/>
    <w:semiHidden/>
    <w:unhideWhenUsed/>
    <w:rsid w:val="00E276EC"/>
    <w:pPr>
      <w:numPr>
        <w:numId w:val="3"/>
      </w:numPr>
      <w:contextualSpacing/>
    </w:pPr>
  </w:style>
  <w:style w:type="paragraph" w:styleId="ListBullet4">
    <w:name w:val="List Bullet 4"/>
    <w:basedOn w:val="Normal"/>
    <w:uiPriority w:val="99"/>
    <w:semiHidden/>
    <w:unhideWhenUsed/>
    <w:rsid w:val="00E276EC"/>
    <w:pPr>
      <w:numPr>
        <w:numId w:val="4"/>
      </w:numPr>
      <w:contextualSpacing/>
    </w:pPr>
  </w:style>
  <w:style w:type="paragraph" w:styleId="ListBullet5">
    <w:name w:val="List Bullet 5"/>
    <w:basedOn w:val="Normal"/>
    <w:uiPriority w:val="99"/>
    <w:semiHidden/>
    <w:unhideWhenUsed/>
    <w:rsid w:val="00E276EC"/>
    <w:pPr>
      <w:numPr>
        <w:numId w:val="5"/>
      </w:numPr>
      <w:contextualSpacing/>
    </w:pPr>
  </w:style>
  <w:style w:type="paragraph" w:styleId="ListContinue">
    <w:name w:val="List Continue"/>
    <w:basedOn w:val="Normal"/>
    <w:uiPriority w:val="99"/>
    <w:semiHidden/>
    <w:unhideWhenUsed/>
    <w:rsid w:val="00E276EC"/>
    <w:pPr>
      <w:spacing w:after="120"/>
      <w:ind w:left="360"/>
      <w:contextualSpacing/>
    </w:pPr>
  </w:style>
  <w:style w:type="paragraph" w:styleId="ListContinue2">
    <w:name w:val="List Continue 2"/>
    <w:basedOn w:val="Normal"/>
    <w:uiPriority w:val="99"/>
    <w:semiHidden/>
    <w:unhideWhenUsed/>
    <w:rsid w:val="00E276EC"/>
    <w:pPr>
      <w:spacing w:after="120"/>
      <w:ind w:left="720"/>
      <w:contextualSpacing/>
    </w:pPr>
  </w:style>
  <w:style w:type="paragraph" w:styleId="ListContinue3">
    <w:name w:val="List Continue 3"/>
    <w:basedOn w:val="Normal"/>
    <w:uiPriority w:val="99"/>
    <w:semiHidden/>
    <w:unhideWhenUsed/>
    <w:rsid w:val="00E276EC"/>
    <w:pPr>
      <w:spacing w:after="120"/>
      <w:ind w:left="1080"/>
      <w:contextualSpacing/>
    </w:pPr>
  </w:style>
  <w:style w:type="paragraph" w:styleId="ListContinue4">
    <w:name w:val="List Continue 4"/>
    <w:basedOn w:val="Normal"/>
    <w:uiPriority w:val="99"/>
    <w:semiHidden/>
    <w:unhideWhenUsed/>
    <w:rsid w:val="00E276EC"/>
    <w:pPr>
      <w:spacing w:after="120"/>
      <w:ind w:left="1440"/>
      <w:contextualSpacing/>
    </w:pPr>
  </w:style>
  <w:style w:type="paragraph" w:styleId="ListContinue5">
    <w:name w:val="List Continue 5"/>
    <w:basedOn w:val="Normal"/>
    <w:uiPriority w:val="99"/>
    <w:semiHidden/>
    <w:unhideWhenUsed/>
    <w:rsid w:val="00E276EC"/>
    <w:pPr>
      <w:spacing w:after="120"/>
      <w:ind w:left="1800"/>
      <w:contextualSpacing/>
    </w:pPr>
  </w:style>
  <w:style w:type="paragraph" w:styleId="ListNumber">
    <w:name w:val="List Number"/>
    <w:basedOn w:val="Normal"/>
    <w:uiPriority w:val="99"/>
    <w:semiHidden/>
    <w:unhideWhenUsed/>
    <w:rsid w:val="00E276EC"/>
    <w:pPr>
      <w:numPr>
        <w:numId w:val="6"/>
      </w:numPr>
      <w:contextualSpacing/>
    </w:pPr>
  </w:style>
  <w:style w:type="paragraph" w:styleId="ListNumber2">
    <w:name w:val="List Number 2"/>
    <w:basedOn w:val="Normal"/>
    <w:uiPriority w:val="99"/>
    <w:semiHidden/>
    <w:unhideWhenUsed/>
    <w:rsid w:val="00E276EC"/>
    <w:pPr>
      <w:numPr>
        <w:numId w:val="7"/>
      </w:numPr>
      <w:contextualSpacing/>
    </w:pPr>
  </w:style>
  <w:style w:type="paragraph" w:styleId="ListNumber3">
    <w:name w:val="List Number 3"/>
    <w:basedOn w:val="Normal"/>
    <w:uiPriority w:val="99"/>
    <w:semiHidden/>
    <w:unhideWhenUsed/>
    <w:rsid w:val="00E276EC"/>
    <w:pPr>
      <w:numPr>
        <w:numId w:val="8"/>
      </w:numPr>
      <w:contextualSpacing/>
    </w:pPr>
  </w:style>
  <w:style w:type="paragraph" w:styleId="ListNumber4">
    <w:name w:val="List Number 4"/>
    <w:basedOn w:val="Normal"/>
    <w:uiPriority w:val="99"/>
    <w:semiHidden/>
    <w:unhideWhenUsed/>
    <w:rsid w:val="00E276EC"/>
    <w:pPr>
      <w:numPr>
        <w:numId w:val="9"/>
      </w:numPr>
      <w:contextualSpacing/>
    </w:pPr>
  </w:style>
  <w:style w:type="paragraph" w:styleId="ListNumber5">
    <w:name w:val="List Number 5"/>
    <w:basedOn w:val="Normal"/>
    <w:uiPriority w:val="99"/>
    <w:semiHidden/>
    <w:unhideWhenUsed/>
    <w:rsid w:val="00E276EC"/>
    <w:pPr>
      <w:numPr>
        <w:numId w:val="10"/>
      </w:numPr>
      <w:contextualSpacing/>
    </w:pPr>
  </w:style>
  <w:style w:type="paragraph" w:styleId="ListParagraph">
    <w:name w:val="List Paragraph"/>
    <w:basedOn w:val="Normal"/>
    <w:uiPriority w:val="34"/>
    <w:unhideWhenUsed/>
    <w:qFormat/>
    <w:rsid w:val="00E276EC"/>
    <w:pPr>
      <w:ind w:left="720"/>
      <w:contextualSpacing/>
    </w:pPr>
  </w:style>
  <w:style w:type="table" w:customStyle="1" w:styleId="ListTable1Light1">
    <w:name w:val="List Table 1 Light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1">
    <w:name w:val="List Table 1 Light - Accent 1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C5793" w:themeColor="accent1" w:themeTint="99"/>
        </w:tcBorders>
      </w:tcPr>
    </w:tblStylePr>
    <w:tblStylePr w:type="lastRow">
      <w:rPr>
        <w:b/>
        <w:bCs/>
      </w:rPr>
      <w:tblPr/>
      <w:tcPr>
        <w:tcBorders>
          <w:top w:val="sing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1Light-Accent21">
    <w:name w:val="List Table 1 Light - Accent 2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E0DB95" w:themeColor="accent2" w:themeTint="99"/>
        </w:tcBorders>
      </w:tcPr>
    </w:tblStylePr>
    <w:tblStylePr w:type="lastRow">
      <w:rPr>
        <w:b/>
        <w:bCs/>
      </w:rPr>
      <w:tblPr/>
      <w:tcPr>
        <w:tcBorders>
          <w:top w:val="sing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1Light-Accent31">
    <w:name w:val="List Table 1 Light - Accent 3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95BF97" w:themeColor="accent3" w:themeTint="99"/>
        </w:tcBorders>
      </w:tcPr>
    </w:tblStylePr>
    <w:tblStylePr w:type="lastRow">
      <w:rPr>
        <w:b/>
        <w:bCs/>
      </w:rPr>
      <w:tblPr/>
      <w:tcPr>
        <w:tcBorders>
          <w:top w:val="sing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1Light-Accent41">
    <w:name w:val="List Table 1 Light - Accent 4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9A68F" w:themeColor="accent4" w:themeTint="99"/>
        </w:tcBorders>
      </w:tcPr>
    </w:tblStylePr>
    <w:tblStylePr w:type="lastRow">
      <w:rPr>
        <w:b/>
        <w:bCs/>
      </w:rPr>
      <w:tblPr/>
      <w:tcPr>
        <w:tcBorders>
          <w:top w:val="sing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1Light-Accent51">
    <w:name w:val="List Table 1 Light - Accent 5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82B9C9" w:themeColor="accent5" w:themeTint="99"/>
        </w:tcBorders>
      </w:tcPr>
    </w:tblStylePr>
    <w:tblStylePr w:type="lastRow">
      <w:rPr>
        <w:b/>
        <w:bCs/>
      </w:rPr>
      <w:tblPr/>
      <w:tcPr>
        <w:tcBorders>
          <w:top w:val="sing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1Light-Accent61">
    <w:name w:val="List Table 1 Light - Accent 6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CF8684" w:themeColor="accent6" w:themeTint="99"/>
        </w:tcBorders>
      </w:tcPr>
    </w:tblStylePr>
    <w:tblStylePr w:type="lastRow">
      <w:rPr>
        <w:b/>
        <w:bCs/>
      </w:rPr>
      <w:tblPr/>
      <w:tcPr>
        <w:tcBorders>
          <w:top w:val="sing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21">
    <w:name w:val="List Table 21"/>
    <w:basedOn w:val="TableNormal"/>
    <w:uiPriority w:val="47"/>
    <w:rsid w:val="00E276E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1">
    <w:name w:val="List Table 2 - Accent 11"/>
    <w:basedOn w:val="TableNormal"/>
    <w:uiPriority w:val="47"/>
    <w:rsid w:val="00E276EC"/>
    <w:pPr>
      <w:spacing w:after="0" w:line="240" w:lineRule="auto"/>
    </w:pPr>
    <w:tblPr>
      <w:tblStyleRowBandSize w:val="1"/>
      <w:tblStyleColBandSize w:val="1"/>
      <w:tblBorders>
        <w:top w:val="single" w:sz="4" w:space="0" w:color="BC5793" w:themeColor="accent1" w:themeTint="99"/>
        <w:bottom w:val="single" w:sz="4" w:space="0" w:color="BC5793" w:themeColor="accent1" w:themeTint="99"/>
        <w:insideH w:val="single" w:sz="4" w:space="0" w:color="BC579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2-Accent21">
    <w:name w:val="List Table 2 - Accent 21"/>
    <w:basedOn w:val="TableNormal"/>
    <w:uiPriority w:val="47"/>
    <w:rsid w:val="00E276EC"/>
    <w:pPr>
      <w:spacing w:after="0" w:line="240" w:lineRule="auto"/>
    </w:pPr>
    <w:tblPr>
      <w:tblStyleRowBandSize w:val="1"/>
      <w:tblStyleColBandSize w:val="1"/>
      <w:tblBorders>
        <w:top w:val="single" w:sz="4" w:space="0" w:color="E0DB95" w:themeColor="accent2" w:themeTint="99"/>
        <w:bottom w:val="single" w:sz="4" w:space="0" w:color="E0DB95" w:themeColor="accent2" w:themeTint="99"/>
        <w:insideH w:val="single" w:sz="4" w:space="0" w:color="E0DB9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2-Accent31">
    <w:name w:val="List Table 2 - Accent 31"/>
    <w:basedOn w:val="TableNormal"/>
    <w:uiPriority w:val="47"/>
    <w:rsid w:val="00E276EC"/>
    <w:pPr>
      <w:spacing w:after="0" w:line="240" w:lineRule="auto"/>
    </w:pPr>
    <w:tblPr>
      <w:tblStyleRowBandSize w:val="1"/>
      <w:tblStyleColBandSize w:val="1"/>
      <w:tblBorders>
        <w:top w:val="single" w:sz="4" w:space="0" w:color="95BF97" w:themeColor="accent3" w:themeTint="99"/>
        <w:bottom w:val="single" w:sz="4" w:space="0" w:color="95BF97" w:themeColor="accent3" w:themeTint="99"/>
        <w:insideH w:val="single" w:sz="4" w:space="0" w:color="95BF9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2-Accent41">
    <w:name w:val="List Table 2 - Accent 41"/>
    <w:basedOn w:val="TableNormal"/>
    <w:uiPriority w:val="47"/>
    <w:rsid w:val="00E276EC"/>
    <w:pPr>
      <w:spacing w:after="0" w:line="240" w:lineRule="auto"/>
    </w:pPr>
    <w:tblPr>
      <w:tblStyleRowBandSize w:val="1"/>
      <w:tblStyleColBandSize w:val="1"/>
      <w:tblBorders>
        <w:top w:val="single" w:sz="4" w:space="0" w:color="B9A68F" w:themeColor="accent4" w:themeTint="99"/>
        <w:bottom w:val="single" w:sz="4" w:space="0" w:color="B9A68F" w:themeColor="accent4" w:themeTint="99"/>
        <w:insideH w:val="single" w:sz="4" w:space="0" w:color="B9A68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2-Accent51">
    <w:name w:val="List Table 2 - Accent 51"/>
    <w:basedOn w:val="TableNormal"/>
    <w:uiPriority w:val="47"/>
    <w:rsid w:val="00E276EC"/>
    <w:pPr>
      <w:spacing w:after="0" w:line="240" w:lineRule="auto"/>
    </w:pPr>
    <w:tblPr>
      <w:tblStyleRowBandSize w:val="1"/>
      <w:tblStyleColBandSize w:val="1"/>
      <w:tblBorders>
        <w:top w:val="single" w:sz="4" w:space="0" w:color="82B9C9" w:themeColor="accent5" w:themeTint="99"/>
        <w:bottom w:val="single" w:sz="4" w:space="0" w:color="82B9C9" w:themeColor="accent5" w:themeTint="99"/>
        <w:insideH w:val="single" w:sz="4" w:space="0" w:color="82B9C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2-Accent61">
    <w:name w:val="List Table 2 - Accent 61"/>
    <w:basedOn w:val="TableNormal"/>
    <w:uiPriority w:val="47"/>
    <w:rsid w:val="00E276EC"/>
    <w:pPr>
      <w:spacing w:after="0" w:line="240" w:lineRule="auto"/>
    </w:pPr>
    <w:tblPr>
      <w:tblStyleRowBandSize w:val="1"/>
      <w:tblStyleColBandSize w:val="1"/>
      <w:tblBorders>
        <w:top w:val="single" w:sz="4" w:space="0" w:color="CF8684" w:themeColor="accent6" w:themeTint="99"/>
        <w:bottom w:val="single" w:sz="4" w:space="0" w:color="CF8684" w:themeColor="accent6" w:themeTint="99"/>
        <w:insideH w:val="single" w:sz="4" w:space="0" w:color="CF868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31">
    <w:name w:val="List Table 31"/>
    <w:basedOn w:val="TableNormal"/>
    <w:uiPriority w:val="48"/>
    <w:rsid w:val="00E276E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1">
    <w:name w:val="List Table 3 - Accent 11"/>
    <w:basedOn w:val="TableNormal"/>
    <w:uiPriority w:val="48"/>
    <w:rsid w:val="00E276EC"/>
    <w:pPr>
      <w:spacing w:after="0" w:line="240" w:lineRule="auto"/>
    </w:pPr>
    <w:tblPr>
      <w:tblStyleRowBandSize w:val="1"/>
      <w:tblStyleColBandSize w:val="1"/>
      <w:tblBorders>
        <w:top w:val="single" w:sz="4" w:space="0" w:color="562241" w:themeColor="accent1"/>
        <w:left w:val="single" w:sz="4" w:space="0" w:color="562241" w:themeColor="accent1"/>
        <w:bottom w:val="single" w:sz="4" w:space="0" w:color="562241" w:themeColor="accent1"/>
        <w:right w:val="single" w:sz="4" w:space="0" w:color="562241" w:themeColor="accent1"/>
      </w:tblBorders>
    </w:tblPr>
    <w:tblStylePr w:type="firstRow">
      <w:rPr>
        <w:b/>
        <w:bCs/>
        <w:color w:val="FFFFFF" w:themeColor="background1"/>
      </w:rPr>
      <w:tblPr/>
      <w:tcPr>
        <w:shd w:val="clear" w:color="auto" w:fill="562241" w:themeFill="accent1"/>
      </w:tcPr>
    </w:tblStylePr>
    <w:tblStylePr w:type="lastRow">
      <w:rPr>
        <w:b/>
        <w:bCs/>
      </w:rPr>
      <w:tblPr/>
      <w:tcPr>
        <w:tcBorders>
          <w:top w:val="double" w:sz="4" w:space="0" w:color="56224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2241" w:themeColor="accent1"/>
          <w:right w:val="single" w:sz="4" w:space="0" w:color="562241" w:themeColor="accent1"/>
        </w:tcBorders>
      </w:tcPr>
    </w:tblStylePr>
    <w:tblStylePr w:type="band1Horz">
      <w:tblPr/>
      <w:tcPr>
        <w:tcBorders>
          <w:top w:val="single" w:sz="4" w:space="0" w:color="562241" w:themeColor="accent1"/>
          <w:bottom w:val="single" w:sz="4" w:space="0" w:color="56224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2241" w:themeColor="accent1"/>
          <w:left w:val="nil"/>
        </w:tcBorders>
      </w:tcPr>
    </w:tblStylePr>
    <w:tblStylePr w:type="swCell">
      <w:tblPr/>
      <w:tcPr>
        <w:tcBorders>
          <w:top w:val="double" w:sz="4" w:space="0" w:color="562241" w:themeColor="accent1"/>
          <w:right w:val="nil"/>
        </w:tcBorders>
      </w:tcPr>
    </w:tblStylePr>
  </w:style>
  <w:style w:type="table" w:customStyle="1" w:styleId="ListTable3-Accent21">
    <w:name w:val="List Table 3 - Accent 21"/>
    <w:basedOn w:val="TableNormal"/>
    <w:uiPriority w:val="48"/>
    <w:rsid w:val="00E276EC"/>
    <w:pPr>
      <w:spacing w:after="0" w:line="240" w:lineRule="auto"/>
    </w:pPr>
    <w:tblPr>
      <w:tblStyleRowBandSize w:val="1"/>
      <w:tblStyleColBandSize w:val="1"/>
      <w:tblBorders>
        <w:top w:val="single" w:sz="4" w:space="0" w:color="CCC44F" w:themeColor="accent2"/>
        <w:left w:val="single" w:sz="4" w:space="0" w:color="CCC44F" w:themeColor="accent2"/>
        <w:bottom w:val="single" w:sz="4" w:space="0" w:color="CCC44F" w:themeColor="accent2"/>
        <w:right w:val="single" w:sz="4" w:space="0" w:color="CCC44F" w:themeColor="accent2"/>
      </w:tblBorders>
    </w:tblPr>
    <w:tblStylePr w:type="firstRow">
      <w:rPr>
        <w:b/>
        <w:bCs/>
        <w:color w:val="FFFFFF" w:themeColor="background1"/>
      </w:rPr>
      <w:tblPr/>
      <w:tcPr>
        <w:shd w:val="clear" w:color="auto" w:fill="CCC44F" w:themeFill="accent2"/>
      </w:tcPr>
    </w:tblStylePr>
    <w:tblStylePr w:type="lastRow">
      <w:rPr>
        <w:b/>
        <w:bCs/>
      </w:rPr>
      <w:tblPr/>
      <w:tcPr>
        <w:tcBorders>
          <w:top w:val="double" w:sz="4" w:space="0" w:color="CCC44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C44F" w:themeColor="accent2"/>
          <w:right w:val="single" w:sz="4" w:space="0" w:color="CCC44F" w:themeColor="accent2"/>
        </w:tcBorders>
      </w:tcPr>
    </w:tblStylePr>
    <w:tblStylePr w:type="band1Horz">
      <w:tblPr/>
      <w:tcPr>
        <w:tcBorders>
          <w:top w:val="single" w:sz="4" w:space="0" w:color="CCC44F" w:themeColor="accent2"/>
          <w:bottom w:val="single" w:sz="4" w:space="0" w:color="CCC44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C44F" w:themeColor="accent2"/>
          <w:left w:val="nil"/>
        </w:tcBorders>
      </w:tcPr>
    </w:tblStylePr>
    <w:tblStylePr w:type="swCell">
      <w:tblPr/>
      <w:tcPr>
        <w:tcBorders>
          <w:top w:val="double" w:sz="4" w:space="0" w:color="CCC44F" w:themeColor="accent2"/>
          <w:right w:val="nil"/>
        </w:tcBorders>
      </w:tcPr>
    </w:tblStylePr>
  </w:style>
  <w:style w:type="table" w:customStyle="1" w:styleId="ListTable3-Accent31">
    <w:name w:val="List Table 3 - Accent 31"/>
    <w:basedOn w:val="TableNormal"/>
    <w:uiPriority w:val="48"/>
    <w:rsid w:val="00E276EC"/>
    <w:pPr>
      <w:spacing w:after="0" w:line="240" w:lineRule="auto"/>
    </w:pPr>
    <w:tblPr>
      <w:tblStyleRowBandSize w:val="1"/>
      <w:tblStyleColBandSize w:val="1"/>
      <w:tblBorders>
        <w:top w:val="single" w:sz="4" w:space="0" w:color="568F59" w:themeColor="accent3"/>
        <w:left w:val="single" w:sz="4" w:space="0" w:color="568F59" w:themeColor="accent3"/>
        <w:bottom w:val="single" w:sz="4" w:space="0" w:color="568F59" w:themeColor="accent3"/>
        <w:right w:val="single" w:sz="4" w:space="0" w:color="568F59" w:themeColor="accent3"/>
      </w:tblBorders>
    </w:tblPr>
    <w:tblStylePr w:type="firstRow">
      <w:rPr>
        <w:b/>
        <w:bCs/>
        <w:color w:val="FFFFFF" w:themeColor="background1"/>
      </w:rPr>
      <w:tblPr/>
      <w:tcPr>
        <w:shd w:val="clear" w:color="auto" w:fill="568F59" w:themeFill="accent3"/>
      </w:tcPr>
    </w:tblStylePr>
    <w:tblStylePr w:type="lastRow">
      <w:rPr>
        <w:b/>
        <w:bCs/>
      </w:rPr>
      <w:tblPr/>
      <w:tcPr>
        <w:tcBorders>
          <w:top w:val="double" w:sz="4" w:space="0" w:color="568F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8F59" w:themeColor="accent3"/>
          <w:right w:val="single" w:sz="4" w:space="0" w:color="568F59" w:themeColor="accent3"/>
        </w:tcBorders>
      </w:tcPr>
    </w:tblStylePr>
    <w:tblStylePr w:type="band1Horz">
      <w:tblPr/>
      <w:tcPr>
        <w:tcBorders>
          <w:top w:val="single" w:sz="4" w:space="0" w:color="568F59" w:themeColor="accent3"/>
          <w:bottom w:val="single" w:sz="4" w:space="0" w:color="568F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8F59" w:themeColor="accent3"/>
          <w:left w:val="nil"/>
        </w:tcBorders>
      </w:tcPr>
    </w:tblStylePr>
    <w:tblStylePr w:type="swCell">
      <w:tblPr/>
      <w:tcPr>
        <w:tcBorders>
          <w:top w:val="double" w:sz="4" w:space="0" w:color="568F59" w:themeColor="accent3"/>
          <w:right w:val="nil"/>
        </w:tcBorders>
      </w:tcPr>
    </w:tblStylePr>
  </w:style>
  <w:style w:type="table" w:customStyle="1" w:styleId="ListTable3-Accent41">
    <w:name w:val="List Table 3 - Accent 41"/>
    <w:basedOn w:val="TableNormal"/>
    <w:uiPriority w:val="48"/>
    <w:rsid w:val="00E276EC"/>
    <w:pPr>
      <w:spacing w:after="0" w:line="240" w:lineRule="auto"/>
    </w:pPr>
    <w:tblPr>
      <w:tblStyleRowBandSize w:val="1"/>
      <w:tblStyleColBandSize w:val="1"/>
      <w:tblBorders>
        <w:top w:val="single" w:sz="4" w:space="0" w:color="806B50" w:themeColor="accent4"/>
        <w:left w:val="single" w:sz="4" w:space="0" w:color="806B50" w:themeColor="accent4"/>
        <w:bottom w:val="single" w:sz="4" w:space="0" w:color="806B50" w:themeColor="accent4"/>
        <w:right w:val="single" w:sz="4" w:space="0" w:color="806B50" w:themeColor="accent4"/>
      </w:tblBorders>
    </w:tblPr>
    <w:tblStylePr w:type="firstRow">
      <w:rPr>
        <w:b/>
        <w:bCs/>
        <w:color w:val="FFFFFF" w:themeColor="background1"/>
      </w:rPr>
      <w:tblPr/>
      <w:tcPr>
        <w:shd w:val="clear" w:color="auto" w:fill="806B50" w:themeFill="accent4"/>
      </w:tcPr>
    </w:tblStylePr>
    <w:tblStylePr w:type="lastRow">
      <w:rPr>
        <w:b/>
        <w:bCs/>
      </w:rPr>
      <w:tblPr/>
      <w:tcPr>
        <w:tcBorders>
          <w:top w:val="double" w:sz="4" w:space="0" w:color="806B5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B50" w:themeColor="accent4"/>
          <w:right w:val="single" w:sz="4" w:space="0" w:color="806B50" w:themeColor="accent4"/>
        </w:tcBorders>
      </w:tcPr>
    </w:tblStylePr>
    <w:tblStylePr w:type="band1Horz">
      <w:tblPr/>
      <w:tcPr>
        <w:tcBorders>
          <w:top w:val="single" w:sz="4" w:space="0" w:color="806B50" w:themeColor="accent4"/>
          <w:bottom w:val="single" w:sz="4" w:space="0" w:color="806B5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B50" w:themeColor="accent4"/>
          <w:left w:val="nil"/>
        </w:tcBorders>
      </w:tcPr>
    </w:tblStylePr>
    <w:tblStylePr w:type="swCell">
      <w:tblPr/>
      <w:tcPr>
        <w:tcBorders>
          <w:top w:val="double" w:sz="4" w:space="0" w:color="806B50" w:themeColor="accent4"/>
          <w:right w:val="nil"/>
        </w:tcBorders>
      </w:tcPr>
    </w:tblStylePr>
  </w:style>
  <w:style w:type="table" w:customStyle="1" w:styleId="ListTable3-Accent51">
    <w:name w:val="List Table 3 - Accent 51"/>
    <w:basedOn w:val="TableNormal"/>
    <w:uiPriority w:val="48"/>
    <w:rsid w:val="00E276EC"/>
    <w:pPr>
      <w:spacing w:after="0" w:line="240" w:lineRule="auto"/>
    </w:pPr>
    <w:tblPr>
      <w:tblStyleRowBandSize w:val="1"/>
      <w:tblStyleColBandSize w:val="1"/>
      <w:tblBorders>
        <w:top w:val="single" w:sz="4" w:space="0" w:color="408296" w:themeColor="accent5"/>
        <w:left w:val="single" w:sz="4" w:space="0" w:color="408296" w:themeColor="accent5"/>
        <w:bottom w:val="single" w:sz="4" w:space="0" w:color="408296" w:themeColor="accent5"/>
        <w:right w:val="single" w:sz="4" w:space="0" w:color="408296" w:themeColor="accent5"/>
      </w:tblBorders>
    </w:tblPr>
    <w:tblStylePr w:type="firstRow">
      <w:rPr>
        <w:b/>
        <w:bCs/>
        <w:color w:val="FFFFFF" w:themeColor="background1"/>
      </w:rPr>
      <w:tblPr/>
      <w:tcPr>
        <w:shd w:val="clear" w:color="auto" w:fill="408296" w:themeFill="accent5"/>
      </w:tcPr>
    </w:tblStylePr>
    <w:tblStylePr w:type="lastRow">
      <w:rPr>
        <w:b/>
        <w:bCs/>
      </w:rPr>
      <w:tblPr/>
      <w:tcPr>
        <w:tcBorders>
          <w:top w:val="double" w:sz="4" w:space="0" w:color="4082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08296" w:themeColor="accent5"/>
          <w:right w:val="single" w:sz="4" w:space="0" w:color="408296" w:themeColor="accent5"/>
        </w:tcBorders>
      </w:tcPr>
    </w:tblStylePr>
    <w:tblStylePr w:type="band1Horz">
      <w:tblPr/>
      <w:tcPr>
        <w:tcBorders>
          <w:top w:val="single" w:sz="4" w:space="0" w:color="408296" w:themeColor="accent5"/>
          <w:bottom w:val="single" w:sz="4" w:space="0" w:color="4082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08296" w:themeColor="accent5"/>
          <w:left w:val="nil"/>
        </w:tcBorders>
      </w:tcPr>
    </w:tblStylePr>
    <w:tblStylePr w:type="swCell">
      <w:tblPr/>
      <w:tcPr>
        <w:tcBorders>
          <w:top w:val="double" w:sz="4" w:space="0" w:color="408296" w:themeColor="accent5"/>
          <w:right w:val="nil"/>
        </w:tcBorders>
      </w:tcPr>
    </w:tblStylePr>
  </w:style>
  <w:style w:type="table" w:customStyle="1" w:styleId="ListTable3-Accent61">
    <w:name w:val="List Table 3 - Accent 61"/>
    <w:basedOn w:val="TableNormal"/>
    <w:uiPriority w:val="48"/>
    <w:rsid w:val="00E276EC"/>
    <w:pPr>
      <w:spacing w:after="0" w:line="240" w:lineRule="auto"/>
    </w:pPr>
    <w:tblPr>
      <w:tblStyleRowBandSize w:val="1"/>
      <w:tblStyleColBandSize w:val="1"/>
      <w:tblBorders>
        <w:top w:val="single" w:sz="4" w:space="0" w:color="A34240" w:themeColor="accent6"/>
        <w:left w:val="single" w:sz="4" w:space="0" w:color="A34240" w:themeColor="accent6"/>
        <w:bottom w:val="single" w:sz="4" w:space="0" w:color="A34240" w:themeColor="accent6"/>
        <w:right w:val="single" w:sz="4" w:space="0" w:color="A34240" w:themeColor="accent6"/>
      </w:tblBorders>
    </w:tblPr>
    <w:tblStylePr w:type="firstRow">
      <w:rPr>
        <w:b/>
        <w:bCs/>
        <w:color w:val="FFFFFF" w:themeColor="background1"/>
      </w:rPr>
      <w:tblPr/>
      <w:tcPr>
        <w:shd w:val="clear" w:color="auto" w:fill="A34240" w:themeFill="accent6"/>
      </w:tcPr>
    </w:tblStylePr>
    <w:tblStylePr w:type="lastRow">
      <w:rPr>
        <w:b/>
        <w:bCs/>
      </w:rPr>
      <w:tblPr/>
      <w:tcPr>
        <w:tcBorders>
          <w:top w:val="double" w:sz="4" w:space="0" w:color="A3424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4240" w:themeColor="accent6"/>
          <w:right w:val="single" w:sz="4" w:space="0" w:color="A34240" w:themeColor="accent6"/>
        </w:tcBorders>
      </w:tcPr>
    </w:tblStylePr>
    <w:tblStylePr w:type="band1Horz">
      <w:tblPr/>
      <w:tcPr>
        <w:tcBorders>
          <w:top w:val="single" w:sz="4" w:space="0" w:color="A34240" w:themeColor="accent6"/>
          <w:bottom w:val="single" w:sz="4" w:space="0" w:color="A3424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4240" w:themeColor="accent6"/>
          <w:left w:val="nil"/>
        </w:tcBorders>
      </w:tcPr>
    </w:tblStylePr>
    <w:tblStylePr w:type="swCell">
      <w:tblPr/>
      <w:tcPr>
        <w:tcBorders>
          <w:top w:val="double" w:sz="4" w:space="0" w:color="A34240" w:themeColor="accent6"/>
          <w:right w:val="nil"/>
        </w:tcBorders>
      </w:tcPr>
    </w:tblStylePr>
  </w:style>
  <w:style w:type="table" w:customStyle="1" w:styleId="ListTable41">
    <w:name w:val="List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tcBorders>
        <w:shd w:val="clear" w:color="auto" w:fill="562241" w:themeFill="accent1"/>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4-Accent21">
    <w:name w:val="List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tcBorders>
        <w:shd w:val="clear" w:color="auto" w:fill="CCC44F" w:themeFill="accent2"/>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4-Accent31">
    <w:name w:val="List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tcBorders>
        <w:shd w:val="clear" w:color="auto" w:fill="568F59" w:themeFill="accent3"/>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4-Accent41">
    <w:name w:val="List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tcBorders>
        <w:shd w:val="clear" w:color="auto" w:fill="806B50" w:themeFill="accent4"/>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4-Accent51">
    <w:name w:val="List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tcBorders>
        <w:shd w:val="clear" w:color="auto" w:fill="408296" w:themeFill="accent5"/>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4-Accent61">
    <w:name w:val="List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tcBorders>
        <w:shd w:val="clear" w:color="auto" w:fill="A34240" w:themeFill="accent6"/>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5Dark1">
    <w:name w:val="List Table 5 Dark1"/>
    <w:basedOn w:val="TableNormal"/>
    <w:uiPriority w:val="50"/>
    <w:rsid w:val="00E276E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1">
    <w:name w:val="List Table 5 Dark - Accent 11"/>
    <w:basedOn w:val="TableNormal"/>
    <w:uiPriority w:val="50"/>
    <w:rsid w:val="00E276EC"/>
    <w:pPr>
      <w:spacing w:after="0" w:line="240" w:lineRule="auto"/>
    </w:pPr>
    <w:rPr>
      <w:color w:val="FFFFFF" w:themeColor="background1"/>
    </w:rPr>
    <w:tblPr>
      <w:tblStyleRowBandSize w:val="1"/>
      <w:tblStyleColBandSize w:val="1"/>
      <w:tblBorders>
        <w:top w:val="single" w:sz="24" w:space="0" w:color="562241" w:themeColor="accent1"/>
        <w:left w:val="single" w:sz="24" w:space="0" w:color="562241" w:themeColor="accent1"/>
        <w:bottom w:val="single" w:sz="24" w:space="0" w:color="562241" w:themeColor="accent1"/>
        <w:right w:val="single" w:sz="24" w:space="0" w:color="562241" w:themeColor="accent1"/>
      </w:tblBorders>
    </w:tblPr>
    <w:tcPr>
      <w:shd w:val="clear" w:color="auto" w:fill="56224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E276EC"/>
    <w:pPr>
      <w:spacing w:after="0" w:line="240" w:lineRule="auto"/>
    </w:pPr>
    <w:rPr>
      <w:color w:val="FFFFFF" w:themeColor="background1"/>
    </w:rPr>
    <w:tblPr>
      <w:tblStyleRowBandSize w:val="1"/>
      <w:tblStyleColBandSize w:val="1"/>
      <w:tblBorders>
        <w:top w:val="single" w:sz="24" w:space="0" w:color="CCC44F" w:themeColor="accent2"/>
        <w:left w:val="single" w:sz="24" w:space="0" w:color="CCC44F" w:themeColor="accent2"/>
        <w:bottom w:val="single" w:sz="24" w:space="0" w:color="CCC44F" w:themeColor="accent2"/>
        <w:right w:val="single" w:sz="24" w:space="0" w:color="CCC44F" w:themeColor="accent2"/>
      </w:tblBorders>
    </w:tblPr>
    <w:tcPr>
      <w:shd w:val="clear" w:color="auto" w:fill="CCC44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1">
    <w:name w:val="List Table 5 Dark - Accent 31"/>
    <w:basedOn w:val="TableNormal"/>
    <w:uiPriority w:val="50"/>
    <w:rsid w:val="00E276EC"/>
    <w:pPr>
      <w:spacing w:after="0" w:line="240" w:lineRule="auto"/>
    </w:pPr>
    <w:rPr>
      <w:color w:val="FFFFFF" w:themeColor="background1"/>
    </w:rPr>
    <w:tblPr>
      <w:tblStyleRowBandSize w:val="1"/>
      <w:tblStyleColBandSize w:val="1"/>
      <w:tblBorders>
        <w:top w:val="single" w:sz="24" w:space="0" w:color="568F59" w:themeColor="accent3"/>
        <w:left w:val="single" w:sz="24" w:space="0" w:color="568F59" w:themeColor="accent3"/>
        <w:bottom w:val="single" w:sz="24" w:space="0" w:color="568F59" w:themeColor="accent3"/>
        <w:right w:val="single" w:sz="24" w:space="0" w:color="568F59" w:themeColor="accent3"/>
      </w:tblBorders>
    </w:tblPr>
    <w:tcPr>
      <w:shd w:val="clear" w:color="auto" w:fill="568F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1">
    <w:name w:val="List Table 5 Dark - Accent 41"/>
    <w:basedOn w:val="TableNormal"/>
    <w:uiPriority w:val="50"/>
    <w:rsid w:val="00E276EC"/>
    <w:pPr>
      <w:spacing w:after="0" w:line="240" w:lineRule="auto"/>
    </w:pPr>
    <w:rPr>
      <w:color w:val="FFFFFF" w:themeColor="background1"/>
    </w:rPr>
    <w:tblPr>
      <w:tblStyleRowBandSize w:val="1"/>
      <w:tblStyleColBandSize w:val="1"/>
      <w:tblBorders>
        <w:top w:val="single" w:sz="24" w:space="0" w:color="806B50" w:themeColor="accent4"/>
        <w:left w:val="single" w:sz="24" w:space="0" w:color="806B50" w:themeColor="accent4"/>
        <w:bottom w:val="single" w:sz="24" w:space="0" w:color="806B50" w:themeColor="accent4"/>
        <w:right w:val="single" w:sz="24" w:space="0" w:color="806B50" w:themeColor="accent4"/>
      </w:tblBorders>
    </w:tblPr>
    <w:tcPr>
      <w:shd w:val="clear" w:color="auto" w:fill="806B5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E276EC"/>
    <w:pPr>
      <w:spacing w:after="0" w:line="240" w:lineRule="auto"/>
    </w:pPr>
    <w:rPr>
      <w:color w:val="FFFFFF" w:themeColor="background1"/>
    </w:rPr>
    <w:tblPr>
      <w:tblStyleRowBandSize w:val="1"/>
      <w:tblStyleColBandSize w:val="1"/>
      <w:tblBorders>
        <w:top w:val="single" w:sz="24" w:space="0" w:color="408296" w:themeColor="accent5"/>
        <w:left w:val="single" w:sz="24" w:space="0" w:color="408296" w:themeColor="accent5"/>
        <w:bottom w:val="single" w:sz="24" w:space="0" w:color="408296" w:themeColor="accent5"/>
        <w:right w:val="single" w:sz="24" w:space="0" w:color="408296" w:themeColor="accent5"/>
      </w:tblBorders>
    </w:tblPr>
    <w:tcPr>
      <w:shd w:val="clear" w:color="auto" w:fill="4082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1">
    <w:name w:val="List Table 5 Dark - Accent 61"/>
    <w:basedOn w:val="TableNormal"/>
    <w:uiPriority w:val="50"/>
    <w:rsid w:val="00E276EC"/>
    <w:pPr>
      <w:spacing w:after="0" w:line="240" w:lineRule="auto"/>
    </w:pPr>
    <w:rPr>
      <w:color w:val="FFFFFF" w:themeColor="background1"/>
    </w:rPr>
    <w:tblPr>
      <w:tblStyleRowBandSize w:val="1"/>
      <w:tblStyleColBandSize w:val="1"/>
      <w:tblBorders>
        <w:top w:val="single" w:sz="24" w:space="0" w:color="A34240" w:themeColor="accent6"/>
        <w:left w:val="single" w:sz="24" w:space="0" w:color="A34240" w:themeColor="accent6"/>
        <w:bottom w:val="single" w:sz="24" w:space="0" w:color="A34240" w:themeColor="accent6"/>
        <w:right w:val="single" w:sz="24" w:space="0" w:color="A34240" w:themeColor="accent6"/>
      </w:tblBorders>
    </w:tblPr>
    <w:tcPr>
      <w:shd w:val="clear" w:color="auto" w:fill="A3424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urful1">
    <w:name w:val="List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urfulAccent11">
    <w:name w:val="List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562241" w:themeColor="accent1"/>
        <w:bottom w:val="single" w:sz="4" w:space="0" w:color="562241" w:themeColor="accent1"/>
      </w:tblBorders>
    </w:tblPr>
    <w:tblStylePr w:type="firstRow">
      <w:rPr>
        <w:b/>
        <w:bCs/>
      </w:rPr>
      <w:tblPr/>
      <w:tcPr>
        <w:tcBorders>
          <w:bottom w:val="single" w:sz="4" w:space="0" w:color="562241" w:themeColor="accent1"/>
        </w:tcBorders>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6ColourfulAccent21">
    <w:name w:val="List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CCC44F" w:themeColor="accent2"/>
        <w:bottom w:val="single" w:sz="4" w:space="0" w:color="CCC44F" w:themeColor="accent2"/>
      </w:tblBorders>
    </w:tblPr>
    <w:tblStylePr w:type="firstRow">
      <w:rPr>
        <w:b/>
        <w:bCs/>
      </w:rPr>
      <w:tblPr/>
      <w:tcPr>
        <w:tcBorders>
          <w:bottom w:val="single" w:sz="4" w:space="0" w:color="CCC44F" w:themeColor="accent2"/>
        </w:tcBorders>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6ColourfulAccent31">
    <w:name w:val="List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568F59" w:themeColor="accent3"/>
        <w:bottom w:val="single" w:sz="4" w:space="0" w:color="568F59" w:themeColor="accent3"/>
      </w:tblBorders>
    </w:tblPr>
    <w:tblStylePr w:type="firstRow">
      <w:rPr>
        <w:b/>
        <w:bCs/>
      </w:rPr>
      <w:tblPr/>
      <w:tcPr>
        <w:tcBorders>
          <w:bottom w:val="single" w:sz="4" w:space="0" w:color="568F59" w:themeColor="accent3"/>
        </w:tcBorders>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6ColourfulAccent41">
    <w:name w:val="List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806B50" w:themeColor="accent4"/>
        <w:bottom w:val="single" w:sz="4" w:space="0" w:color="806B50" w:themeColor="accent4"/>
      </w:tblBorders>
    </w:tblPr>
    <w:tblStylePr w:type="firstRow">
      <w:rPr>
        <w:b/>
        <w:bCs/>
      </w:rPr>
      <w:tblPr/>
      <w:tcPr>
        <w:tcBorders>
          <w:bottom w:val="single" w:sz="4" w:space="0" w:color="806B50" w:themeColor="accent4"/>
        </w:tcBorders>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6ColourfulAccent51">
    <w:name w:val="List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408296" w:themeColor="accent5"/>
        <w:bottom w:val="single" w:sz="4" w:space="0" w:color="408296" w:themeColor="accent5"/>
      </w:tblBorders>
    </w:tblPr>
    <w:tblStylePr w:type="firstRow">
      <w:rPr>
        <w:b/>
        <w:bCs/>
      </w:rPr>
      <w:tblPr/>
      <w:tcPr>
        <w:tcBorders>
          <w:bottom w:val="single" w:sz="4" w:space="0" w:color="408296" w:themeColor="accent5"/>
        </w:tcBorders>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6ColourfulAccent61">
    <w:name w:val="List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A34240" w:themeColor="accent6"/>
        <w:bottom w:val="single" w:sz="4" w:space="0" w:color="A34240" w:themeColor="accent6"/>
      </w:tblBorders>
    </w:tblPr>
    <w:tblStylePr w:type="firstRow">
      <w:rPr>
        <w:b/>
        <w:bCs/>
      </w:rPr>
      <w:tblPr/>
      <w:tcPr>
        <w:tcBorders>
          <w:bottom w:val="single" w:sz="4" w:space="0" w:color="A34240" w:themeColor="accent6"/>
        </w:tcBorders>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7Colourful1">
    <w:name w:val="List Table 7 Colourful1"/>
    <w:basedOn w:val="TableNormal"/>
    <w:uiPriority w:val="52"/>
    <w:rsid w:val="00E276E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11">
    <w:name w:val="List Table 7 Colourful – Accent 11"/>
    <w:basedOn w:val="TableNormal"/>
    <w:uiPriority w:val="52"/>
    <w:rsid w:val="00E276EC"/>
    <w:pPr>
      <w:spacing w:after="0" w:line="240" w:lineRule="auto"/>
    </w:pPr>
    <w:rPr>
      <w:color w:val="40193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224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224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224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2241" w:themeColor="accent1"/>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21">
    <w:name w:val="List Table 7 Colourful – Accent 21"/>
    <w:basedOn w:val="TableNormal"/>
    <w:uiPriority w:val="52"/>
    <w:rsid w:val="00E276EC"/>
    <w:pPr>
      <w:spacing w:after="0" w:line="240" w:lineRule="auto"/>
    </w:pPr>
    <w:rPr>
      <w:color w:val="A49C2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C44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C44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C44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C44F" w:themeColor="accent2"/>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31">
    <w:name w:val="List Table 7 Colourful – Accent 31"/>
    <w:basedOn w:val="TableNormal"/>
    <w:uiPriority w:val="52"/>
    <w:rsid w:val="00E276EC"/>
    <w:pPr>
      <w:spacing w:after="0" w:line="240" w:lineRule="auto"/>
    </w:pPr>
    <w:rPr>
      <w:color w:val="406A4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8F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8F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8F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8F59" w:themeColor="accent3"/>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41">
    <w:name w:val="List Table 7 Colourful – Accent 41"/>
    <w:basedOn w:val="TableNormal"/>
    <w:uiPriority w:val="52"/>
    <w:rsid w:val="00E276EC"/>
    <w:pPr>
      <w:spacing w:after="0" w:line="240" w:lineRule="auto"/>
    </w:pPr>
    <w:rPr>
      <w:color w:val="5F503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6B5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6B5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6B5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6B50" w:themeColor="accent4"/>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E276EC"/>
    <w:pPr>
      <w:spacing w:after="0" w:line="240" w:lineRule="auto"/>
    </w:pPr>
    <w:rPr>
      <w:color w:val="30607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082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082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082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08296" w:themeColor="accent5"/>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61">
    <w:name w:val="List Table 7 Colourful – Accent 61"/>
    <w:basedOn w:val="TableNormal"/>
    <w:uiPriority w:val="52"/>
    <w:rsid w:val="00E276EC"/>
    <w:pPr>
      <w:spacing w:after="0" w:line="240" w:lineRule="auto"/>
    </w:pPr>
    <w:rPr>
      <w:color w:val="7A313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424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424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424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4240" w:themeColor="accent6"/>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E276EC"/>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E276EC"/>
    <w:rPr>
      <w:rFonts w:ascii="Consolas" w:hAnsi="Consolas"/>
      <w:sz w:val="22"/>
      <w:szCs w:val="20"/>
    </w:rPr>
  </w:style>
  <w:style w:type="table" w:styleId="MediumGrid1">
    <w:name w:val="Medium Grid 1"/>
    <w:basedOn w:val="TableNormal"/>
    <w:uiPriority w:val="67"/>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insideV w:val="single" w:sz="8" w:space="0" w:color="9B3D75" w:themeColor="accent1" w:themeTint="BF"/>
      </w:tblBorders>
    </w:tblPr>
    <w:tcPr>
      <w:shd w:val="clear" w:color="auto" w:fill="E3B9D2" w:themeFill="accent1" w:themeFillTint="3F"/>
    </w:tcPr>
    <w:tblStylePr w:type="firstRow">
      <w:rPr>
        <w:b/>
        <w:bCs/>
      </w:rPr>
    </w:tblStylePr>
    <w:tblStylePr w:type="lastRow">
      <w:rPr>
        <w:b/>
        <w:bCs/>
      </w:rPr>
      <w:tblPr/>
      <w:tcPr>
        <w:tcBorders>
          <w:top w:val="single" w:sz="18" w:space="0" w:color="9B3D75" w:themeColor="accent1" w:themeTint="BF"/>
        </w:tcBorders>
      </w:tcPr>
    </w:tblStylePr>
    <w:tblStylePr w:type="firstCol">
      <w:rPr>
        <w:b/>
        <w:bCs/>
      </w:rPr>
    </w:tblStylePr>
    <w:tblStylePr w:type="lastCol">
      <w:rPr>
        <w:b/>
        <w:bCs/>
      </w:r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MediumGrid1-Accent2">
    <w:name w:val="Medium Grid 1 Accent 2"/>
    <w:basedOn w:val="TableNormal"/>
    <w:uiPriority w:val="67"/>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insideV w:val="single" w:sz="8" w:space="0" w:color="D8D27A" w:themeColor="accent2" w:themeTint="BF"/>
      </w:tblBorders>
    </w:tblPr>
    <w:tcPr>
      <w:shd w:val="clear" w:color="auto" w:fill="F2F0D3" w:themeFill="accent2" w:themeFillTint="3F"/>
    </w:tcPr>
    <w:tblStylePr w:type="firstRow">
      <w:rPr>
        <w:b/>
        <w:bCs/>
      </w:rPr>
    </w:tblStylePr>
    <w:tblStylePr w:type="lastRow">
      <w:rPr>
        <w:b/>
        <w:bCs/>
      </w:rPr>
      <w:tblPr/>
      <w:tcPr>
        <w:tcBorders>
          <w:top w:val="single" w:sz="18" w:space="0" w:color="D8D27A" w:themeColor="accent2" w:themeTint="BF"/>
        </w:tcBorders>
      </w:tcPr>
    </w:tblStylePr>
    <w:tblStylePr w:type="firstCol">
      <w:rPr>
        <w:b/>
        <w:bCs/>
      </w:rPr>
    </w:tblStylePr>
    <w:tblStylePr w:type="lastCol">
      <w:rPr>
        <w:b/>
        <w:bCs/>
      </w:r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MediumGrid1-Accent3">
    <w:name w:val="Medium Grid 1 Accent 3"/>
    <w:basedOn w:val="TableNormal"/>
    <w:uiPriority w:val="67"/>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insideV w:val="single" w:sz="8" w:space="0" w:color="7BAF7E" w:themeColor="accent3" w:themeTint="BF"/>
      </w:tblBorders>
    </w:tblPr>
    <w:tcPr>
      <w:shd w:val="clear" w:color="auto" w:fill="D3E4D4" w:themeFill="accent3" w:themeFillTint="3F"/>
    </w:tcPr>
    <w:tblStylePr w:type="firstRow">
      <w:rPr>
        <w:b/>
        <w:bCs/>
      </w:rPr>
    </w:tblStylePr>
    <w:tblStylePr w:type="lastRow">
      <w:rPr>
        <w:b/>
        <w:bCs/>
      </w:rPr>
      <w:tblPr/>
      <w:tcPr>
        <w:tcBorders>
          <w:top w:val="single" w:sz="18" w:space="0" w:color="7BAF7E" w:themeColor="accent3" w:themeTint="BF"/>
        </w:tcBorders>
      </w:tcPr>
    </w:tblStylePr>
    <w:tblStylePr w:type="firstCol">
      <w:rPr>
        <w:b/>
        <w:bCs/>
      </w:rPr>
    </w:tblStylePr>
    <w:tblStylePr w:type="lastCol">
      <w:rPr>
        <w:b/>
        <w:bCs/>
      </w:r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MediumGrid1-Accent4">
    <w:name w:val="Medium Grid 1 Accent 4"/>
    <w:basedOn w:val="TableNormal"/>
    <w:uiPriority w:val="67"/>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insideV w:val="single" w:sz="8" w:space="0" w:color="A89173" w:themeColor="accent4" w:themeTint="BF"/>
      </w:tblBorders>
    </w:tblPr>
    <w:tcPr>
      <w:shd w:val="clear" w:color="auto" w:fill="E2DAD1" w:themeFill="accent4" w:themeFillTint="3F"/>
    </w:tcPr>
    <w:tblStylePr w:type="firstRow">
      <w:rPr>
        <w:b/>
        <w:bCs/>
      </w:rPr>
    </w:tblStylePr>
    <w:tblStylePr w:type="lastRow">
      <w:rPr>
        <w:b/>
        <w:bCs/>
      </w:rPr>
      <w:tblPr/>
      <w:tcPr>
        <w:tcBorders>
          <w:top w:val="single" w:sz="18" w:space="0" w:color="A89173" w:themeColor="accent4" w:themeTint="BF"/>
        </w:tcBorders>
      </w:tcPr>
    </w:tblStylePr>
    <w:tblStylePr w:type="firstCol">
      <w:rPr>
        <w:b/>
        <w:bCs/>
      </w:rPr>
    </w:tblStylePr>
    <w:tblStylePr w:type="lastCol">
      <w:rPr>
        <w:b/>
        <w:bCs/>
      </w:r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MediumGrid1-Accent5">
    <w:name w:val="Medium Grid 1 Accent 5"/>
    <w:basedOn w:val="TableNormal"/>
    <w:uiPriority w:val="67"/>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insideV w:val="single" w:sz="8" w:space="0" w:color="63A7BC" w:themeColor="accent5" w:themeTint="BF"/>
      </w:tblBorders>
    </w:tblPr>
    <w:tcPr>
      <w:shd w:val="clear" w:color="auto" w:fill="CBE2E9" w:themeFill="accent5" w:themeFillTint="3F"/>
    </w:tcPr>
    <w:tblStylePr w:type="firstRow">
      <w:rPr>
        <w:b/>
        <w:bCs/>
      </w:rPr>
    </w:tblStylePr>
    <w:tblStylePr w:type="lastRow">
      <w:rPr>
        <w:b/>
        <w:bCs/>
      </w:rPr>
      <w:tblPr/>
      <w:tcPr>
        <w:tcBorders>
          <w:top w:val="single" w:sz="18" w:space="0" w:color="63A7BC" w:themeColor="accent5" w:themeTint="BF"/>
        </w:tcBorders>
      </w:tcPr>
    </w:tblStylePr>
    <w:tblStylePr w:type="firstCol">
      <w:rPr>
        <w:b/>
        <w:bCs/>
      </w:rPr>
    </w:tblStylePr>
    <w:tblStylePr w:type="lastCol">
      <w:rPr>
        <w:b/>
        <w:bCs/>
      </w:r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MediumGrid1-Accent6">
    <w:name w:val="Medium Grid 1 Accent 6"/>
    <w:basedOn w:val="TableNormal"/>
    <w:uiPriority w:val="67"/>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insideV w:val="single" w:sz="8" w:space="0" w:color="C36866" w:themeColor="accent6" w:themeTint="BF"/>
      </w:tblBorders>
    </w:tblPr>
    <w:tcPr>
      <w:shd w:val="clear" w:color="auto" w:fill="EBCDCC" w:themeFill="accent6" w:themeFillTint="3F"/>
    </w:tcPr>
    <w:tblStylePr w:type="firstRow">
      <w:rPr>
        <w:b/>
        <w:bCs/>
      </w:rPr>
    </w:tblStylePr>
    <w:tblStylePr w:type="lastRow">
      <w:rPr>
        <w:b/>
        <w:bCs/>
      </w:rPr>
      <w:tblPr/>
      <w:tcPr>
        <w:tcBorders>
          <w:top w:val="single" w:sz="18" w:space="0" w:color="C36866" w:themeColor="accent6" w:themeTint="BF"/>
        </w:tcBorders>
      </w:tcPr>
    </w:tblStylePr>
    <w:tblStylePr w:type="firstCol">
      <w:rPr>
        <w:b/>
        <w:bCs/>
      </w:rPr>
    </w:tblStylePr>
    <w:tblStylePr w:type="lastCol">
      <w:rPr>
        <w:b/>
        <w:bCs/>
      </w:r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MediumGrid2">
    <w:name w:val="Medium Grid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cPr>
      <w:shd w:val="clear" w:color="auto" w:fill="E3B9D2" w:themeFill="accent1" w:themeFillTint="3F"/>
    </w:tcPr>
    <w:tblStylePr w:type="firstRow">
      <w:rPr>
        <w:b/>
        <w:bCs/>
        <w:color w:val="000000" w:themeColor="text1"/>
      </w:rPr>
      <w:tblPr/>
      <w:tcPr>
        <w:shd w:val="clear" w:color="auto" w:fill="F4E3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C7DB" w:themeFill="accent1" w:themeFillTint="33"/>
      </w:tcPr>
    </w:tblStylePr>
    <w:tblStylePr w:type="band1Vert">
      <w:tblPr/>
      <w:tcPr>
        <w:shd w:val="clear" w:color="auto" w:fill="C873A5" w:themeFill="accent1" w:themeFillTint="7F"/>
      </w:tcPr>
    </w:tblStylePr>
    <w:tblStylePr w:type="band1Horz">
      <w:tblPr/>
      <w:tcPr>
        <w:tcBorders>
          <w:insideH w:val="single" w:sz="6" w:space="0" w:color="562241" w:themeColor="accent1"/>
          <w:insideV w:val="single" w:sz="6" w:space="0" w:color="562241" w:themeColor="accent1"/>
        </w:tcBorders>
        <w:shd w:val="clear" w:color="auto" w:fill="C873A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cPr>
      <w:shd w:val="clear" w:color="auto" w:fill="F2F0D3" w:themeFill="accent2" w:themeFillTint="3F"/>
    </w:tcPr>
    <w:tblStylePr w:type="firstRow">
      <w:rPr>
        <w:b/>
        <w:bCs/>
        <w:color w:val="000000" w:themeColor="text1"/>
      </w:rPr>
      <w:tblPr/>
      <w:tcPr>
        <w:shd w:val="clear" w:color="auto" w:fill="FAF9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3DB" w:themeFill="accent2" w:themeFillTint="33"/>
      </w:tcPr>
    </w:tblStylePr>
    <w:tblStylePr w:type="band1Vert">
      <w:tblPr/>
      <w:tcPr>
        <w:shd w:val="clear" w:color="auto" w:fill="E5E1A7" w:themeFill="accent2" w:themeFillTint="7F"/>
      </w:tcPr>
    </w:tblStylePr>
    <w:tblStylePr w:type="band1Horz">
      <w:tblPr/>
      <w:tcPr>
        <w:tcBorders>
          <w:insideH w:val="single" w:sz="6" w:space="0" w:color="CCC44F" w:themeColor="accent2"/>
          <w:insideV w:val="single" w:sz="6" w:space="0" w:color="CCC44F" w:themeColor="accent2"/>
        </w:tcBorders>
        <w:shd w:val="clear" w:color="auto" w:fill="E5E1A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cPr>
      <w:shd w:val="clear" w:color="auto" w:fill="D3E4D4" w:themeFill="accent3" w:themeFillTint="3F"/>
    </w:tcPr>
    <w:tblStylePr w:type="firstRow">
      <w:rPr>
        <w:b/>
        <w:bCs/>
        <w:color w:val="000000" w:themeColor="text1"/>
      </w:rPr>
      <w:tblPr/>
      <w:tcPr>
        <w:shd w:val="clear" w:color="auto" w:fill="EDF4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9DC" w:themeFill="accent3" w:themeFillTint="33"/>
      </w:tcPr>
    </w:tblStylePr>
    <w:tblStylePr w:type="band1Vert">
      <w:tblPr/>
      <w:tcPr>
        <w:shd w:val="clear" w:color="auto" w:fill="A7CAA9" w:themeFill="accent3" w:themeFillTint="7F"/>
      </w:tcPr>
    </w:tblStylePr>
    <w:tblStylePr w:type="band1Horz">
      <w:tblPr/>
      <w:tcPr>
        <w:tcBorders>
          <w:insideH w:val="single" w:sz="6" w:space="0" w:color="568F59" w:themeColor="accent3"/>
          <w:insideV w:val="single" w:sz="6" w:space="0" w:color="568F59" w:themeColor="accent3"/>
        </w:tcBorders>
        <w:shd w:val="clear" w:color="auto" w:fill="A7CAA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cPr>
      <w:shd w:val="clear" w:color="auto" w:fill="E2DAD1" w:themeFill="accent4" w:themeFillTint="3F"/>
    </w:tcPr>
    <w:tblStylePr w:type="firstRow">
      <w:rPr>
        <w:b/>
        <w:bCs/>
        <w:color w:val="000000" w:themeColor="text1"/>
      </w:rPr>
      <w:tblPr/>
      <w:tcPr>
        <w:shd w:val="clear" w:color="auto" w:fill="F3F0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1D9" w:themeFill="accent4" w:themeFillTint="33"/>
      </w:tcPr>
    </w:tblStylePr>
    <w:tblStylePr w:type="band1Vert">
      <w:tblPr/>
      <w:tcPr>
        <w:shd w:val="clear" w:color="auto" w:fill="C5B5A2" w:themeFill="accent4" w:themeFillTint="7F"/>
      </w:tcPr>
    </w:tblStylePr>
    <w:tblStylePr w:type="band1Horz">
      <w:tblPr/>
      <w:tcPr>
        <w:tcBorders>
          <w:insideH w:val="single" w:sz="6" w:space="0" w:color="806B50" w:themeColor="accent4"/>
          <w:insideV w:val="single" w:sz="6" w:space="0" w:color="806B50" w:themeColor="accent4"/>
        </w:tcBorders>
        <w:shd w:val="clear" w:color="auto" w:fill="C5B5A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cPr>
      <w:shd w:val="clear" w:color="auto" w:fill="CBE2E9" w:themeFill="accent5" w:themeFillTint="3F"/>
    </w:tcPr>
    <w:tblStylePr w:type="firstRow">
      <w:rPr>
        <w:b/>
        <w:bCs/>
        <w:color w:val="000000" w:themeColor="text1"/>
      </w:rPr>
      <w:tblPr/>
      <w:tcPr>
        <w:shd w:val="clear" w:color="auto" w:fill="EAF3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7ED" w:themeFill="accent5" w:themeFillTint="33"/>
      </w:tcPr>
    </w:tblStylePr>
    <w:tblStylePr w:type="band1Vert">
      <w:tblPr/>
      <w:tcPr>
        <w:shd w:val="clear" w:color="auto" w:fill="97C4D2" w:themeFill="accent5" w:themeFillTint="7F"/>
      </w:tcPr>
    </w:tblStylePr>
    <w:tblStylePr w:type="band1Horz">
      <w:tblPr/>
      <w:tcPr>
        <w:tcBorders>
          <w:insideH w:val="single" w:sz="6" w:space="0" w:color="408296" w:themeColor="accent5"/>
          <w:insideV w:val="single" w:sz="6" w:space="0" w:color="408296" w:themeColor="accent5"/>
        </w:tcBorders>
        <w:shd w:val="clear" w:color="auto" w:fill="97C4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cPr>
      <w:shd w:val="clear" w:color="auto" w:fill="EBCDCC" w:themeFill="accent6" w:themeFillTint="3F"/>
    </w:tcPr>
    <w:tblStylePr w:type="firstRow">
      <w:rPr>
        <w:b/>
        <w:bCs/>
        <w:color w:val="000000" w:themeColor="text1"/>
      </w:rPr>
      <w:tblPr/>
      <w:tcPr>
        <w:shd w:val="clear" w:color="auto" w:fill="F7EB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6D6" w:themeFill="accent6" w:themeFillTint="33"/>
      </w:tcPr>
    </w:tblStylePr>
    <w:tblStylePr w:type="band1Vert">
      <w:tblPr/>
      <w:tcPr>
        <w:shd w:val="clear" w:color="auto" w:fill="D79A99" w:themeFill="accent6" w:themeFillTint="7F"/>
      </w:tcPr>
    </w:tblStylePr>
    <w:tblStylePr w:type="band1Horz">
      <w:tblPr/>
      <w:tcPr>
        <w:tcBorders>
          <w:insideH w:val="single" w:sz="6" w:space="0" w:color="A34240" w:themeColor="accent6"/>
          <w:insideV w:val="single" w:sz="6" w:space="0" w:color="A34240" w:themeColor="accent6"/>
        </w:tcBorders>
        <w:shd w:val="clear" w:color="auto" w:fill="D79A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B9D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224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224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73A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73A5" w:themeFill="accent1" w:themeFillTint="7F"/>
      </w:tcPr>
    </w:tblStylePr>
  </w:style>
  <w:style w:type="table" w:styleId="MediumGrid3-Accent2">
    <w:name w:val="Medium Grid 3 Accent 2"/>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0D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C44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C44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E1A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E1A7" w:themeFill="accent2" w:themeFillTint="7F"/>
      </w:tcPr>
    </w:tblStylePr>
  </w:style>
  <w:style w:type="table" w:styleId="MediumGrid3-Accent3">
    <w:name w:val="Medium Grid 3 Accent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4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8F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8F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CAA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CAA9" w:themeFill="accent3" w:themeFillTint="7F"/>
      </w:tcPr>
    </w:tblStylePr>
  </w:style>
  <w:style w:type="table" w:styleId="MediumGrid3-Accent4">
    <w:name w:val="Medium Grid 3 Accent 4"/>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AD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B5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B5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5A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5A2" w:themeFill="accent4" w:themeFillTint="7F"/>
      </w:tcPr>
    </w:tblStylePr>
  </w:style>
  <w:style w:type="table" w:styleId="MediumGrid3-Accent5">
    <w:name w:val="Medium Grid 3 Accent 5"/>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2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082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082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7C4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7C4D2" w:themeFill="accent5" w:themeFillTint="7F"/>
      </w:tcPr>
    </w:tblStylePr>
  </w:style>
  <w:style w:type="table" w:styleId="MediumGrid3-Accent6">
    <w:name w:val="Medium Grid 3 Accent 6"/>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CDC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424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424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79A9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79A99" w:themeFill="accent6" w:themeFillTint="7F"/>
      </w:tcPr>
    </w:tblStylePr>
  </w:style>
  <w:style w:type="table" w:styleId="MediumList1">
    <w:name w:val="Medium Lis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A3A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2241" w:themeColor="accent1"/>
        <w:bottom w:val="single" w:sz="8" w:space="0" w:color="562241" w:themeColor="accent1"/>
      </w:tblBorders>
    </w:tblPr>
    <w:tblStylePr w:type="firstRow">
      <w:rPr>
        <w:rFonts w:asciiTheme="majorHAnsi" w:eastAsiaTheme="majorEastAsia" w:hAnsiTheme="majorHAnsi" w:cstheme="majorBidi"/>
      </w:rPr>
      <w:tblPr/>
      <w:tcPr>
        <w:tcBorders>
          <w:top w:val="nil"/>
          <w:bottom w:val="single" w:sz="8" w:space="0" w:color="562241" w:themeColor="accent1"/>
        </w:tcBorders>
      </w:tcPr>
    </w:tblStylePr>
    <w:tblStylePr w:type="lastRow">
      <w:rPr>
        <w:b/>
        <w:bCs/>
        <w:color w:val="3A3A3A" w:themeColor="text2"/>
      </w:rPr>
      <w:tblPr/>
      <w:tcPr>
        <w:tcBorders>
          <w:top w:val="single" w:sz="8" w:space="0" w:color="562241" w:themeColor="accent1"/>
          <w:bottom w:val="single" w:sz="8" w:space="0" w:color="562241" w:themeColor="accent1"/>
        </w:tcBorders>
      </w:tcPr>
    </w:tblStylePr>
    <w:tblStylePr w:type="firstCol">
      <w:rPr>
        <w:b/>
        <w:bCs/>
      </w:rPr>
    </w:tblStylePr>
    <w:tblStylePr w:type="lastCol">
      <w:rPr>
        <w:b/>
        <w:bCs/>
      </w:rPr>
      <w:tblPr/>
      <w:tcPr>
        <w:tcBorders>
          <w:top w:val="single" w:sz="8" w:space="0" w:color="562241" w:themeColor="accent1"/>
          <w:bottom w:val="single" w:sz="8" w:space="0" w:color="562241" w:themeColor="accent1"/>
        </w:tcBorders>
      </w:tcPr>
    </w:tblStylePr>
    <w:tblStylePr w:type="band1Vert">
      <w:tblPr/>
      <w:tcPr>
        <w:shd w:val="clear" w:color="auto" w:fill="E3B9D2" w:themeFill="accent1" w:themeFillTint="3F"/>
      </w:tcPr>
    </w:tblStylePr>
    <w:tblStylePr w:type="band1Horz">
      <w:tblPr/>
      <w:tcPr>
        <w:shd w:val="clear" w:color="auto" w:fill="E3B9D2" w:themeFill="accent1" w:themeFillTint="3F"/>
      </w:tcPr>
    </w:tblStylePr>
  </w:style>
  <w:style w:type="table" w:styleId="MediumList1-Accent2">
    <w:name w:val="Medium List 1 Accent 2"/>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CCC44F" w:themeColor="accent2"/>
        <w:bottom w:val="single" w:sz="8" w:space="0" w:color="CCC44F" w:themeColor="accent2"/>
      </w:tblBorders>
    </w:tblPr>
    <w:tblStylePr w:type="firstRow">
      <w:rPr>
        <w:rFonts w:asciiTheme="majorHAnsi" w:eastAsiaTheme="majorEastAsia" w:hAnsiTheme="majorHAnsi" w:cstheme="majorBidi"/>
      </w:rPr>
      <w:tblPr/>
      <w:tcPr>
        <w:tcBorders>
          <w:top w:val="nil"/>
          <w:bottom w:val="single" w:sz="8" w:space="0" w:color="CCC44F" w:themeColor="accent2"/>
        </w:tcBorders>
      </w:tcPr>
    </w:tblStylePr>
    <w:tblStylePr w:type="lastRow">
      <w:rPr>
        <w:b/>
        <w:bCs/>
        <w:color w:val="3A3A3A" w:themeColor="text2"/>
      </w:rPr>
      <w:tblPr/>
      <w:tcPr>
        <w:tcBorders>
          <w:top w:val="single" w:sz="8" w:space="0" w:color="CCC44F" w:themeColor="accent2"/>
          <w:bottom w:val="single" w:sz="8" w:space="0" w:color="CCC44F" w:themeColor="accent2"/>
        </w:tcBorders>
      </w:tcPr>
    </w:tblStylePr>
    <w:tblStylePr w:type="firstCol">
      <w:rPr>
        <w:b/>
        <w:bCs/>
      </w:rPr>
    </w:tblStylePr>
    <w:tblStylePr w:type="lastCol">
      <w:rPr>
        <w:b/>
        <w:bCs/>
      </w:rPr>
      <w:tblPr/>
      <w:tcPr>
        <w:tcBorders>
          <w:top w:val="single" w:sz="8" w:space="0" w:color="CCC44F" w:themeColor="accent2"/>
          <w:bottom w:val="single" w:sz="8" w:space="0" w:color="CCC44F" w:themeColor="accent2"/>
        </w:tcBorders>
      </w:tcPr>
    </w:tblStylePr>
    <w:tblStylePr w:type="band1Vert">
      <w:tblPr/>
      <w:tcPr>
        <w:shd w:val="clear" w:color="auto" w:fill="F2F0D3" w:themeFill="accent2" w:themeFillTint="3F"/>
      </w:tcPr>
    </w:tblStylePr>
    <w:tblStylePr w:type="band1Horz">
      <w:tblPr/>
      <w:tcPr>
        <w:shd w:val="clear" w:color="auto" w:fill="F2F0D3" w:themeFill="accent2" w:themeFillTint="3F"/>
      </w:tcPr>
    </w:tblStylePr>
  </w:style>
  <w:style w:type="table" w:styleId="MediumList1-Accent3">
    <w:name w:val="Medium List 1 Accent 3"/>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8F59" w:themeColor="accent3"/>
        <w:bottom w:val="single" w:sz="8" w:space="0" w:color="568F59" w:themeColor="accent3"/>
      </w:tblBorders>
    </w:tblPr>
    <w:tblStylePr w:type="firstRow">
      <w:rPr>
        <w:rFonts w:asciiTheme="majorHAnsi" w:eastAsiaTheme="majorEastAsia" w:hAnsiTheme="majorHAnsi" w:cstheme="majorBidi"/>
      </w:rPr>
      <w:tblPr/>
      <w:tcPr>
        <w:tcBorders>
          <w:top w:val="nil"/>
          <w:bottom w:val="single" w:sz="8" w:space="0" w:color="568F59" w:themeColor="accent3"/>
        </w:tcBorders>
      </w:tcPr>
    </w:tblStylePr>
    <w:tblStylePr w:type="lastRow">
      <w:rPr>
        <w:b/>
        <w:bCs/>
        <w:color w:val="3A3A3A" w:themeColor="text2"/>
      </w:rPr>
      <w:tblPr/>
      <w:tcPr>
        <w:tcBorders>
          <w:top w:val="single" w:sz="8" w:space="0" w:color="568F59" w:themeColor="accent3"/>
          <w:bottom w:val="single" w:sz="8" w:space="0" w:color="568F59" w:themeColor="accent3"/>
        </w:tcBorders>
      </w:tcPr>
    </w:tblStylePr>
    <w:tblStylePr w:type="firstCol">
      <w:rPr>
        <w:b/>
        <w:bCs/>
      </w:rPr>
    </w:tblStylePr>
    <w:tblStylePr w:type="lastCol">
      <w:rPr>
        <w:b/>
        <w:bCs/>
      </w:rPr>
      <w:tblPr/>
      <w:tcPr>
        <w:tcBorders>
          <w:top w:val="single" w:sz="8" w:space="0" w:color="568F59" w:themeColor="accent3"/>
          <w:bottom w:val="single" w:sz="8" w:space="0" w:color="568F59" w:themeColor="accent3"/>
        </w:tcBorders>
      </w:tcPr>
    </w:tblStylePr>
    <w:tblStylePr w:type="band1Vert">
      <w:tblPr/>
      <w:tcPr>
        <w:shd w:val="clear" w:color="auto" w:fill="D3E4D4" w:themeFill="accent3" w:themeFillTint="3F"/>
      </w:tcPr>
    </w:tblStylePr>
    <w:tblStylePr w:type="band1Horz">
      <w:tblPr/>
      <w:tcPr>
        <w:shd w:val="clear" w:color="auto" w:fill="D3E4D4" w:themeFill="accent3" w:themeFillTint="3F"/>
      </w:tcPr>
    </w:tblStylePr>
  </w:style>
  <w:style w:type="table" w:styleId="MediumList1-Accent4">
    <w:name w:val="Medium List 1 Accent 4"/>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806B50" w:themeColor="accent4"/>
        <w:bottom w:val="single" w:sz="8" w:space="0" w:color="806B50" w:themeColor="accent4"/>
      </w:tblBorders>
    </w:tblPr>
    <w:tblStylePr w:type="firstRow">
      <w:rPr>
        <w:rFonts w:asciiTheme="majorHAnsi" w:eastAsiaTheme="majorEastAsia" w:hAnsiTheme="majorHAnsi" w:cstheme="majorBidi"/>
      </w:rPr>
      <w:tblPr/>
      <w:tcPr>
        <w:tcBorders>
          <w:top w:val="nil"/>
          <w:bottom w:val="single" w:sz="8" w:space="0" w:color="806B50" w:themeColor="accent4"/>
        </w:tcBorders>
      </w:tcPr>
    </w:tblStylePr>
    <w:tblStylePr w:type="lastRow">
      <w:rPr>
        <w:b/>
        <w:bCs/>
        <w:color w:val="3A3A3A" w:themeColor="text2"/>
      </w:rPr>
      <w:tblPr/>
      <w:tcPr>
        <w:tcBorders>
          <w:top w:val="single" w:sz="8" w:space="0" w:color="806B50" w:themeColor="accent4"/>
          <w:bottom w:val="single" w:sz="8" w:space="0" w:color="806B50" w:themeColor="accent4"/>
        </w:tcBorders>
      </w:tcPr>
    </w:tblStylePr>
    <w:tblStylePr w:type="firstCol">
      <w:rPr>
        <w:b/>
        <w:bCs/>
      </w:rPr>
    </w:tblStylePr>
    <w:tblStylePr w:type="lastCol">
      <w:rPr>
        <w:b/>
        <w:bCs/>
      </w:rPr>
      <w:tblPr/>
      <w:tcPr>
        <w:tcBorders>
          <w:top w:val="single" w:sz="8" w:space="0" w:color="806B50" w:themeColor="accent4"/>
          <w:bottom w:val="single" w:sz="8" w:space="0" w:color="806B50" w:themeColor="accent4"/>
        </w:tcBorders>
      </w:tcPr>
    </w:tblStylePr>
    <w:tblStylePr w:type="band1Vert">
      <w:tblPr/>
      <w:tcPr>
        <w:shd w:val="clear" w:color="auto" w:fill="E2DAD1" w:themeFill="accent4" w:themeFillTint="3F"/>
      </w:tcPr>
    </w:tblStylePr>
    <w:tblStylePr w:type="band1Horz">
      <w:tblPr/>
      <w:tcPr>
        <w:shd w:val="clear" w:color="auto" w:fill="E2DAD1" w:themeFill="accent4" w:themeFillTint="3F"/>
      </w:tcPr>
    </w:tblStylePr>
  </w:style>
  <w:style w:type="table" w:styleId="MediumList1-Accent5">
    <w:name w:val="Medium List 1 Accent 5"/>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408296" w:themeColor="accent5"/>
        <w:bottom w:val="single" w:sz="8" w:space="0" w:color="408296" w:themeColor="accent5"/>
      </w:tblBorders>
    </w:tblPr>
    <w:tblStylePr w:type="firstRow">
      <w:rPr>
        <w:rFonts w:asciiTheme="majorHAnsi" w:eastAsiaTheme="majorEastAsia" w:hAnsiTheme="majorHAnsi" w:cstheme="majorBidi"/>
      </w:rPr>
      <w:tblPr/>
      <w:tcPr>
        <w:tcBorders>
          <w:top w:val="nil"/>
          <w:bottom w:val="single" w:sz="8" w:space="0" w:color="408296" w:themeColor="accent5"/>
        </w:tcBorders>
      </w:tcPr>
    </w:tblStylePr>
    <w:tblStylePr w:type="lastRow">
      <w:rPr>
        <w:b/>
        <w:bCs/>
        <w:color w:val="3A3A3A" w:themeColor="text2"/>
      </w:rPr>
      <w:tblPr/>
      <w:tcPr>
        <w:tcBorders>
          <w:top w:val="single" w:sz="8" w:space="0" w:color="408296" w:themeColor="accent5"/>
          <w:bottom w:val="single" w:sz="8" w:space="0" w:color="408296" w:themeColor="accent5"/>
        </w:tcBorders>
      </w:tcPr>
    </w:tblStylePr>
    <w:tblStylePr w:type="firstCol">
      <w:rPr>
        <w:b/>
        <w:bCs/>
      </w:rPr>
    </w:tblStylePr>
    <w:tblStylePr w:type="lastCol">
      <w:rPr>
        <w:b/>
        <w:bCs/>
      </w:rPr>
      <w:tblPr/>
      <w:tcPr>
        <w:tcBorders>
          <w:top w:val="single" w:sz="8" w:space="0" w:color="408296" w:themeColor="accent5"/>
          <w:bottom w:val="single" w:sz="8" w:space="0" w:color="408296" w:themeColor="accent5"/>
        </w:tcBorders>
      </w:tcPr>
    </w:tblStylePr>
    <w:tblStylePr w:type="band1Vert">
      <w:tblPr/>
      <w:tcPr>
        <w:shd w:val="clear" w:color="auto" w:fill="CBE2E9" w:themeFill="accent5" w:themeFillTint="3F"/>
      </w:tcPr>
    </w:tblStylePr>
    <w:tblStylePr w:type="band1Horz">
      <w:tblPr/>
      <w:tcPr>
        <w:shd w:val="clear" w:color="auto" w:fill="CBE2E9" w:themeFill="accent5" w:themeFillTint="3F"/>
      </w:tcPr>
    </w:tblStylePr>
  </w:style>
  <w:style w:type="table" w:styleId="MediumList1-Accent6">
    <w:name w:val="Medium List 1 Accent 6"/>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A34240" w:themeColor="accent6"/>
        <w:bottom w:val="single" w:sz="8" w:space="0" w:color="A34240" w:themeColor="accent6"/>
      </w:tblBorders>
    </w:tblPr>
    <w:tblStylePr w:type="firstRow">
      <w:rPr>
        <w:rFonts w:asciiTheme="majorHAnsi" w:eastAsiaTheme="majorEastAsia" w:hAnsiTheme="majorHAnsi" w:cstheme="majorBidi"/>
      </w:rPr>
      <w:tblPr/>
      <w:tcPr>
        <w:tcBorders>
          <w:top w:val="nil"/>
          <w:bottom w:val="single" w:sz="8" w:space="0" w:color="A34240" w:themeColor="accent6"/>
        </w:tcBorders>
      </w:tcPr>
    </w:tblStylePr>
    <w:tblStylePr w:type="lastRow">
      <w:rPr>
        <w:b/>
        <w:bCs/>
        <w:color w:val="3A3A3A" w:themeColor="text2"/>
      </w:rPr>
      <w:tblPr/>
      <w:tcPr>
        <w:tcBorders>
          <w:top w:val="single" w:sz="8" w:space="0" w:color="A34240" w:themeColor="accent6"/>
          <w:bottom w:val="single" w:sz="8" w:space="0" w:color="A34240" w:themeColor="accent6"/>
        </w:tcBorders>
      </w:tcPr>
    </w:tblStylePr>
    <w:tblStylePr w:type="firstCol">
      <w:rPr>
        <w:b/>
        <w:bCs/>
      </w:rPr>
    </w:tblStylePr>
    <w:tblStylePr w:type="lastCol">
      <w:rPr>
        <w:b/>
        <w:bCs/>
      </w:rPr>
      <w:tblPr/>
      <w:tcPr>
        <w:tcBorders>
          <w:top w:val="single" w:sz="8" w:space="0" w:color="A34240" w:themeColor="accent6"/>
          <w:bottom w:val="single" w:sz="8" w:space="0" w:color="A34240" w:themeColor="accent6"/>
        </w:tcBorders>
      </w:tcPr>
    </w:tblStylePr>
    <w:tblStylePr w:type="band1Vert">
      <w:tblPr/>
      <w:tcPr>
        <w:shd w:val="clear" w:color="auto" w:fill="EBCDCC" w:themeFill="accent6" w:themeFillTint="3F"/>
      </w:tcPr>
    </w:tblStylePr>
    <w:tblStylePr w:type="band1Horz">
      <w:tblPr/>
      <w:tcPr>
        <w:shd w:val="clear" w:color="auto" w:fill="EBCDCC" w:themeFill="accent6" w:themeFillTint="3F"/>
      </w:tcPr>
    </w:tblStylePr>
  </w:style>
  <w:style w:type="table" w:styleId="MediumList2">
    <w:name w:val="Medium Lis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rPr>
        <w:sz w:val="24"/>
        <w:szCs w:val="24"/>
      </w:rPr>
      <w:tblPr/>
      <w:tcPr>
        <w:tcBorders>
          <w:top w:val="nil"/>
          <w:left w:val="nil"/>
          <w:bottom w:val="single" w:sz="24" w:space="0" w:color="56224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2241" w:themeColor="accent1"/>
          <w:insideH w:val="nil"/>
          <w:insideV w:val="nil"/>
        </w:tcBorders>
        <w:shd w:val="clear" w:color="auto" w:fill="FFFFFF" w:themeFill="background1"/>
      </w:tcPr>
    </w:tblStylePr>
    <w:tblStylePr w:type="lastCol">
      <w:tblPr/>
      <w:tcPr>
        <w:tcBorders>
          <w:top w:val="nil"/>
          <w:left w:val="single" w:sz="8" w:space="0" w:color="56224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top w:val="nil"/>
          <w:bottom w:val="nil"/>
          <w:insideH w:val="nil"/>
          <w:insideV w:val="nil"/>
        </w:tcBorders>
        <w:shd w:val="clear" w:color="auto" w:fill="E3B9D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rPr>
        <w:sz w:val="24"/>
        <w:szCs w:val="24"/>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C44F" w:themeColor="accent2"/>
          <w:insideH w:val="nil"/>
          <w:insideV w:val="nil"/>
        </w:tcBorders>
        <w:shd w:val="clear" w:color="auto" w:fill="FFFFFF" w:themeFill="background1"/>
      </w:tcPr>
    </w:tblStylePr>
    <w:tblStylePr w:type="lastCol">
      <w:tblPr/>
      <w:tcPr>
        <w:tcBorders>
          <w:top w:val="nil"/>
          <w:left w:val="single" w:sz="8" w:space="0" w:color="CCC44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top w:val="nil"/>
          <w:bottom w:val="nil"/>
          <w:insideH w:val="nil"/>
          <w:insideV w:val="nil"/>
        </w:tcBorders>
        <w:shd w:val="clear" w:color="auto" w:fill="F2F0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rPr>
        <w:sz w:val="24"/>
        <w:szCs w:val="24"/>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8F59" w:themeColor="accent3"/>
          <w:insideH w:val="nil"/>
          <w:insideV w:val="nil"/>
        </w:tcBorders>
        <w:shd w:val="clear" w:color="auto" w:fill="FFFFFF" w:themeFill="background1"/>
      </w:tcPr>
    </w:tblStylePr>
    <w:tblStylePr w:type="lastCol">
      <w:tblPr/>
      <w:tcPr>
        <w:tcBorders>
          <w:top w:val="nil"/>
          <w:left w:val="single" w:sz="8" w:space="0" w:color="568F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top w:val="nil"/>
          <w:bottom w:val="nil"/>
          <w:insideH w:val="nil"/>
          <w:insideV w:val="nil"/>
        </w:tcBorders>
        <w:shd w:val="clear" w:color="auto" w:fill="D3E4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rPr>
        <w:sz w:val="24"/>
        <w:szCs w:val="24"/>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B50" w:themeColor="accent4"/>
          <w:insideH w:val="nil"/>
          <w:insideV w:val="nil"/>
        </w:tcBorders>
        <w:shd w:val="clear" w:color="auto" w:fill="FFFFFF" w:themeFill="background1"/>
      </w:tcPr>
    </w:tblStylePr>
    <w:tblStylePr w:type="lastCol">
      <w:tblPr/>
      <w:tcPr>
        <w:tcBorders>
          <w:top w:val="nil"/>
          <w:left w:val="single" w:sz="8" w:space="0" w:color="806B5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top w:val="nil"/>
          <w:bottom w:val="nil"/>
          <w:insideH w:val="nil"/>
          <w:insideV w:val="nil"/>
        </w:tcBorders>
        <w:shd w:val="clear" w:color="auto" w:fill="E2DAD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rPr>
        <w:sz w:val="24"/>
        <w:szCs w:val="24"/>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08296" w:themeColor="accent5"/>
          <w:insideH w:val="nil"/>
          <w:insideV w:val="nil"/>
        </w:tcBorders>
        <w:shd w:val="clear" w:color="auto" w:fill="FFFFFF" w:themeFill="background1"/>
      </w:tcPr>
    </w:tblStylePr>
    <w:tblStylePr w:type="lastCol">
      <w:tblPr/>
      <w:tcPr>
        <w:tcBorders>
          <w:top w:val="nil"/>
          <w:left w:val="single" w:sz="8" w:space="0" w:color="4082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top w:val="nil"/>
          <w:bottom w:val="nil"/>
          <w:insideH w:val="nil"/>
          <w:insideV w:val="nil"/>
        </w:tcBorders>
        <w:shd w:val="clear" w:color="auto" w:fill="CBE2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rPr>
        <w:sz w:val="24"/>
        <w:szCs w:val="24"/>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4240" w:themeColor="accent6"/>
          <w:insideH w:val="nil"/>
          <w:insideV w:val="nil"/>
        </w:tcBorders>
        <w:shd w:val="clear" w:color="auto" w:fill="FFFFFF" w:themeFill="background1"/>
      </w:tcPr>
    </w:tblStylePr>
    <w:tblStylePr w:type="lastCol">
      <w:tblPr/>
      <w:tcPr>
        <w:tcBorders>
          <w:top w:val="nil"/>
          <w:left w:val="single" w:sz="8" w:space="0" w:color="A3424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top w:val="nil"/>
          <w:bottom w:val="nil"/>
          <w:insideH w:val="nil"/>
          <w:insideV w:val="nil"/>
        </w:tcBorders>
        <w:shd w:val="clear" w:color="auto" w:fill="EBCD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tblBorders>
    </w:tblPr>
    <w:tblStylePr w:type="firstRow">
      <w:pPr>
        <w:spacing w:before="0" w:after="0" w:line="240" w:lineRule="auto"/>
      </w:pPr>
      <w:rPr>
        <w:b/>
        <w:bCs/>
        <w:color w:val="FFFFFF" w:themeColor="background1"/>
      </w:rPr>
      <w:tblPr/>
      <w:tcPr>
        <w:tc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shd w:val="clear" w:color="auto" w:fill="562241" w:themeFill="accent1"/>
      </w:tcPr>
    </w:tblStylePr>
    <w:tblStylePr w:type="lastRow">
      <w:pPr>
        <w:spacing w:before="0" w:after="0" w:line="240" w:lineRule="auto"/>
      </w:pPr>
      <w:rPr>
        <w:b/>
        <w:bCs/>
      </w:rPr>
      <w:tblPr/>
      <w:tcPr>
        <w:tcBorders>
          <w:top w:val="double" w:sz="6"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E3B9D2" w:themeFill="accent1" w:themeFillTint="3F"/>
      </w:tcPr>
    </w:tblStylePr>
    <w:tblStylePr w:type="band1Horz">
      <w:tblPr/>
      <w:tcPr>
        <w:tcBorders>
          <w:insideH w:val="nil"/>
          <w:insideV w:val="nil"/>
        </w:tcBorders>
        <w:shd w:val="clear" w:color="auto" w:fill="E3B9D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tblBorders>
    </w:tblPr>
    <w:tblStylePr w:type="firstRow">
      <w:pPr>
        <w:spacing w:before="0" w:after="0" w:line="240" w:lineRule="auto"/>
      </w:pPr>
      <w:rPr>
        <w:b/>
        <w:bCs/>
        <w:color w:val="FFFFFF" w:themeColor="background1"/>
      </w:rPr>
      <w:tblPr/>
      <w:tcPr>
        <w:tc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shd w:val="clear" w:color="auto" w:fill="CCC44F" w:themeFill="accent2"/>
      </w:tcPr>
    </w:tblStylePr>
    <w:tblStylePr w:type="lastRow">
      <w:pPr>
        <w:spacing w:before="0" w:after="0" w:line="240" w:lineRule="auto"/>
      </w:pPr>
      <w:rPr>
        <w:b/>
        <w:bCs/>
      </w:rPr>
      <w:tblPr/>
      <w:tcPr>
        <w:tcBorders>
          <w:top w:val="double" w:sz="6"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F0D3" w:themeFill="accent2" w:themeFillTint="3F"/>
      </w:tcPr>
    </w:tblStylePr>
    <w:tblStylePr w:type="band1Horz">
      <w:tblPr/>
      <w:tcPr>
        <w:tcBorders>
          <w:insideH w:val="nil"/>
          <w:insideV w:val="nil"/>
        </w:tcBorders>
        <w:shd w:val="clear" w:color="auto" w:fill="F2F0D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tblBorders>
    </w:tblPr>
    <w:tblStylePr w:type="firstRow">
      <w:pPr>
        <w:spacing w:before="0" w:after="0" w:line="240" w:lineRule="auto"/>
      </w:pPr>
      <w:rPr>
        <w:b/>
        <w:bCs/>
        <w:color w:val="FFFFFF" w:themeColor="background1"/>
      </w:rPr>
      <w:tblPr/>
      <w:tcPr>
        <w:tc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shd w:val="clear" w:color="auto" w:fill="568F59" w:themeFill="accent3"/>
      </w:tcPr>
    </w:tblStylePr>
    <w:tblStylePr w:type="lastRow">
      <w:pPr>
        <w:spacing w:before="0" w:after="0" w:line="240" w:lineRule="auto"/>
      </w:pPr>
      <w:rPr>
        <w:b/>
        <w:bCs/>
      </w:rPr>
      <w:tblPr/>
      <w:tcPr>
        <w:tcBorders>
          <w:top w:val="double" w:sz="6"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4D4" w:themeFill="accent3" w:themeFillTint="3F"/>
      </w:tcPr>
    </w:tblStylePr>
    <w:tblStylePr w:type="band1Horz">
      <w:tblPr/>
      <w:tcPr>
        <w:tcBorders>
          <w:insideH w:val="nil"/>
          <w:insideV w:val="nil"/>
        </w:tcBorders>
        <w:shd w:val="clear" w:color="auto" w:fill="D3E4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tblBorders>
    </w:tblPr>
    <w:tblStylePr w:type="firstRow">
      <w:pPr>
        <w:spacing w:before="0" w:after="0" w:line="240" w:lineRule="auto"/>
      </w:pPr>
      <w:rPr>
        <w:b/>
        <w:bCs/>
        <w:color w:val="FFFFFF" w:themeColor="background1"/>
      </w:rPr>
      <w:tblPr/>
      <w:tcPr>
        <w:tc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shd w:val="clear" w:color="auto" w:fill="806B50" w:themeFill="accent4"/>
      </w:tcPr>
    </w:tblStylePr>
    <w:tblStylePr w:type="lastRow">
      <w:pPr>
        <w:spacing w:before="0" w:after="0" w:line="240" w:lineRule="auto"/>
      </w:pPr>
      <w:rPr>
        <w:b/>
        <w:bCs/>
      </w:rPr>
      <w:tblPr/>
      <w:tcPr>
        <w:tcBorders>
          <w:top w:val="double" w:sz="6"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tcPr>
    </w:tblStylePr>
    <w:tblStylePr w:type="firstCol">
      <w:rPr>
        <w:b/>
        <w:bCs/>
      </w:rPr>
    </w:tblStylePr>
    <w:tblStylePr w:type="lastCol">
      <w:rPr>
        <w:b/>
        <w:bCs/>
      </w:rPr>
    </w:tblStylePr>
    <w:tblStylePr w:type="band1Vert">
      <w:tblPr/>
      <w:tcPr>
        <w:shd w:val="clear" w:color="auto" w:fill="E2DAD1" w:themeFill="accent4" w:themeFillTint="3F"/>
      </w:tcPr>
    </w:tblStylePr>
    <w:tblStylePr w:type="band1Horz">
      <w:tblPr/>
      <w:tcPr>
        <w:tcBorders>
          <w:insideH w:val="nil"/>
          <w:insideV w:val="nil"/>
        </w:tcBorders>
        <w:shd w:val="clear" w:color="auto" w:fill="E2DAD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tblBorders>
    </w:tblPr>
    <w:tblStylePr w:type="firstRow">
      <w:pPr>
        <w:spacing w:before="0" w:after="0" w:line="240" w:lineRule="auto"/>
      </w:pPr>
      <w:rPr>
        <w:b/>
        <w:bCs/>
        <w:color w:val="FFFFFF" w:themeColor="background1"/>
      </w:rPr>
      <w:tblPr/>
      <w:tcPr>
        <w:tc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shd w:val="clear" w:color="auto" w:fill="408296" w:themeFill="accent5"/>
      </w:tcPr>
    </w:tblStylePr>
    <w:tblStylePr w:type="lastRow">
      <w:pPr>
        <w:spacing w:before="0" w:after="0" w:line="240" w:lineRule="auto"/>
      </w:pPr>
      <w:rPr>
        <w:b/>
        <w:bCs/>
      </w:rPr>
      <w:tblPr/>
      <w:tcPr>
        <w:tcBorders>
          <w:top w:val="double" w:sz="6"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E2E9" w:themeFill="accent5" w:themeFillTint="3F"/>
      </w:tcPr>
    </w:tblStylePr>
    <w:tblStylePr w:type="band1Horz">
      <w:tblPr/>
      <w:tcPr>
        <w:tcBorders>
          <w:insideH w:val="nil"/>
          <w:insideV w:val="nil"/>
        </w:tcBorders>
        <w:shd w:val="clear" w:color="auto" w:fill="CBE2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tblBorders>
    </w:tblPr>
    <w:tblStylePr w:type="firstRow">
      <w:pPr>
        <w:spacing w:before="0" w:after="0" w:line="240" w:lineRule="auto"/>
      </w:pPr>
      <w:rPr>
        <w:b/>
        <w:bCs/>
        <w:color w:val="FFFFFF" w:themeColor="background1"/>
      </w:rPr>
      <w:tblPr/>
      <w:tcPr>
        <w:tc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shd w:val="clear" w:color="auto" w:fill="A34240" w:themeFill="accent6"/>
      </w:tcPr>
    </w:tblStylePr>
    <w:tblStylePr w:type="lastRow">
      <w:pPr>
        <w:spacing w:before="0" w:after="0" w:line="240" w:lineRule="auto"/>
      </w:pPr>
      <w:rPr>
        <w:b/>
        <w:bCs/>
      </w:rPr>
      <w:tblPr/>
      <w:tcPr>
        <w:tcBorders>
          <w:top w:val="double" w:sz="6"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BCDCC" w:themeFill="accent6" w:themeFillTint="3F"/>
      </w:tcPr>
    </w:tblStylePr>
    <w:tblStylePr w:type="band1Horz">
      <w:tblPr/>
      <w:tcPr>
        <w:tcBorders>
          <w:insideH w:val="nil"/>
          <w:insideV w:val="nil"/>
        </w:tcBorders>
        <w:shd w:val="clear" w:color="auto" w:fill="EBCD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224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2241" w:themeFill="accent1"/>
      </w:tcPr>
    </w:tblStylePr>
    <w:tblStylePr w:type="lastCol">
      <w:rPr>
        <w:b/>
        <w:bCs/>
        <w:color w:val="FFFFFF" w:themeColor="background1"/>
      </w:rPr>
      <w:tblPr/>
      <w:tcPr>
        <w:tcBorders>
          <w:left w:val="nil"/>
          <w:right w:val="nil"/>
          <w:insideH w:val="nil"/>
          <w:insideV w:val="nil"/>
        </w:tcBorders>
        <w:shd w:val="clear" w:color="auto" w:fill="56224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C44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CC44F" w:themeFill="accent2"/>
      </w:tcPr>
    </w:tblStylePr>
    <w:tblStylePr w:type="lastCol">
      <w:rPr>
        <w:b/>
        <w:bCs/>
        <w:color w:val="FFFFFF" w:themeColor="background1"/>
      </w:rPr>
      <w:tblPr/>
      <w:tcPr>
        <w:tcBorders>
          <w:left w:val="nil"/>
          <w:right w:val="nil"/>
          <w:insideH w:val="nil"/>
          <w:insideV w:val="nil"/>
        </w:tcBorders>
        <w:shd w:val="clear" w:color="auto" w:fill="CCC44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8F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8F59" w:themeFill="accent3"/>
      </w:tcPr>
    </w:tblStylePr>
    <w:tblStylePr w:type="lastCol">
      <w:rPr>
        <w:b/>
        <w:bCs/>
        <w:color w:val="FFFFFF" w:themeColor="background1"/>
      </w:rPr>
      <w:tblPr/>
      <w:tcPr>
        <w:tcBorders>
          <w:left w:val="nil"/>
          <w:right w:val="nil"/>
          <w:insideH w:val="nil"/>
          <w:insideV w:val="nil"/>
        </w:tcBorders>
        <w:shd w:val="clear" w:color="auto" w:fill="568F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B5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6B50" w:themeFill="accent4"/>
      </w:tcPr>
    </w:tblStylePr>
    <w:tblStylePr w:type="lastCol">
      <w:rPr>
        <w:b/>
        <w:bCs/>
        <w:color w:val="FFFFFF" w:themeColor="background1"/>
      </w:rPr>
      <w:tblPr/>
      <w:tcPr>
        <w:tcBorders>
          <w:left w:val="nil"/>
          <w:right w:val="nil"/>
          <w:insideH w:val="nil"/>
          <w:insideV w:val="nil"/>
        </w:tcBorders>
        <w:shd w:val="clear" w:color="auto" w:fill="806B5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082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08296" w:themeFill="accent5"/>
      </w:tcPr>
    </w:tblStylePr>
    <w:tblStylePr w:type="lastCol">
      <w:rPr>
        <w:b/>
        <w:bCs/>
        <w:color w:val="FFFFFF" w:themeColor="background1"/>
      </w:rPr>
      <w:tblPr/>
      <w:tcPr>
        <w:tcBorders>
          <w:left w:val="nil"/>
          <w:right w:val="nil"/>
          <w:insideH w:val="nil"/>
          <w:insideV w:val="nil"/>
        </w:tcBorders>
        <w:shd w:val="clear" w:color="auto" w:fill="4082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424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4240" w:themeFill="accent6"/>
      </w:tcPr>
    </w:tblStylePr>
    <w:tblStylePr w:type="lastCol">
      <w:rPr>
        <w:b/>
        <w:bCs/>
        <w:color w:val="FFFFFF" w:themeColor="background1"/>
      </w:rPr>
      <w:tblPr/>
      <w:tcPr>
        <w:tcBorders>
          <w:left w:val="nil"/>
          <w:right w:val="nil"/>
          <w:insideH w:val="nil"/>
          <w:insideV w:val="nil"/>
        </w:tcBorders>
        <w:shd w:val="clear" w:color="auto" w:fill="A342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E276EC"/>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276EC"/>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E276EC"/>
    <w:pPr>
      <w:spacing w:after="0" w:line="240" w:lineRule="auto"/>
    </w:pPr>
  </w:style>
  <w:style w:type="paragraph" w:styleId="NormalWeb">
    <w:name w:val="Normal (Web)"/>
    <w:basedOn w:val="Normal"/>
    <w:uiPriority w:val="99"/>
    <w:semiHidden/>
    <w:unhideWhenUsed/>
    <w:rsid w:val="00E276EC"/>
    <w:rPr>
      <w:rFonts w:ascii="Times New Roman" w:hAnsi="Times New Roman" w:cs="Times New Roman"/>
      <w:sz w:val="24"/>
      <w:szCs w:val="24"/>
    </w:rPr>
  </w:style>
  <w:style w:type="paragraph" w:styleId="NormalIndent">
    <w:name w:val="Normal Indent"/>
    <w:basedOn w:val="Normal"/>
    <w:uiPriority w:val="99"/>
    <w:semiHidden/>
    <w:unhideWhenUsed/>
    <w:rsid w:val="00E276EC"/>
    <w:pPr>
      <w:ind w:left="720"/>
    </w:pPr>
  </w:style>
  <w:style w:type="paragraph" w:styleId="NoteHeading">
    <w:name w:val="Note Heading"/>
    <w:basedOn w:val="Normal"/>
    <w:next w:val="Normal"/>
    <w:link w:val="NoteHeadingChar"/>
    <w:uiPriority w:val="99"/>
    <w:semiHidden/>
    <w:unhideWhenUsed/>
    <w:rsid w:val="00E276EC"/>
    <w:pPr>
      <w:spacing w:after="0" w:line="240" w:lineRule="auto"/>
    </w:pPr>
  </w:style>
  <w:style w:type="character" w:customStyle="1" w:styleId="NoteHeadingChar">
    <w:name w:val="Note Heading Char"/>
    <w:basedOn w:val="DefaultParagraphFont"/>
    <w:link w:val="NoteHeading"/>
    <w:uiPriority w:val="99"/>
    <w:semiHidden/>
    <w:rsid w:val="00E276EC"/>
  </w:style>
  <w:style w:type="character" w:styleId="PageNumber">
    <w:name w:val="page number"/>
    <w:basedOn w:val="DefaultParagraphFont"/>
    <w:uiPriority w:val="99"/>
    <w:semiHidden/>
    <w:unhideWhenUsed/>
    <w:rsid w:val="00E276EC"/>
  </w:style>
  <w:style w:type="table" w:customStyle="1" w:styleId="PlainTable11">
    <w:name w:val="Plain Table 11"/>
    <w:basedOn w:val="TableNormal"/>
    <w:uiPriority w:val="41"/>
    <w:rsid w:val="00E276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E276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E276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E276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E276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E276EC"/>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E276EC"/>
    <w:rPr>
      <w:rFonts w:ascii="Consolas" w:hAnsi="Consolas"/>
      <w:sz w:val="22"/>
      <w:szCs w:val="21"/>
    </w:rPr>
  </w:style>
  <w:style w:type="paragraph" w:styleId="Salutation">
    <w:name w:val="Salutation"/>
    <w:basedOn w:val="Normal"/>
    <w:next w:val="Normal"/>
    <w:link w:val="SalutationChar"/>
    <w:uiPriority w:val="99"/>
    <w:semiHidden/>
    <w:unhideWhenUsed/>
    <w:rsid w:val="00E276EC"/>
  </w:style>
  <w:style w:type="character" w:customStyle="1" w:styleId="SalutationChar">
    <w:name w:val="Salutation Char"/>
    <w:basedOn w:val="DefaultParagraphFont"/>
    <w:link w:val="Salutation"/>
    <w:uiPriority w:val="99"/>
    <w:semiHidden/>
    <w:rsid w:val="00E276EC"/>
  </w:style>
  <w:style w:type="paragraph" w:styleId="Signature">
    <w:name w:val="Signature"/>
    <w:basedOn w:val="Normal"/>
    <w:link w:val="SignatureChar"/>
    <w:uiPriority w:val="99"/>
    <w:semiHidden/>
    <w:unhideWhenUsed/>
    <w:rsid w:val="00E276EC"/>
    <w:pPr>
      <w:spacing w:after="0" w:line="240" w:lineRule="auto"/>
      <w:ind w:left="4320"/>
    </w:pPr>
  </w:style>
  <w:style w:type="character" w:customStyle="1" w:styleId="SignatureChar">
    <w:name w:val="Signature Char"/>
    <w:basedOn w:val="DefaultParagraphFont"/>
    <w:link w:val="Signature"/>
    <w:uiPriority w:val="99"/>
    <w:semiHidden/>
    <w:rsid w:val="00E276EC"/>
  </w:style>
  <w:style w:type="table" w:styleId="Table3Deffects1">
    <w:name w:val="Table 3D effects 1"/>
    <w:basedOn w:val="TableNormal"/>
    <w:uiPriority w:val="99"/>
    <w:semiHidden/>
    <w:unhideWhenUsed/>
    <w:rsid w:val="00E276EC"/>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276EC"/>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276EC"/>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276E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276EC"/>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E276E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E276EC"/>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E276EC"/>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276EC"/>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276EC"/>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276EC"/>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276EC"/>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276EC"/>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276E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276EC"/>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276EC"/>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276EC"/>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276EC"/>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276EC"/>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276EC"/>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TableGridLight1">
    <w:name w:val="Table Grid Light1"/>
    <w:basedOn w:val="TableNormal"/>
    <w:uiPriority w:val="40"/>
    <w:rsid w:val="00E276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276E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276E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276EC"/>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276EC"/>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276E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276E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E276EC"/>
    <w:pPr>
      <w:spacing w:after="0"/>
      <w:ind w:left="260" w:hanging="260"/>
    </w:pPr>
  </w:style>
  <w:style w:type="paragraph" w:styleId="TableofFigures">
    <w:name w:val="table of figures"/>
    <w:basedOn w:val="Normal"/>
    <w:next w:val="Normal"/>
    <w:uiPriority w:val="99"/>
    <w:semiHidden/>
    <w:unhideWhenUsed/>
    <w:rsid w:val="00E276EC"/>
    <w:pPr>
      <w:spacing w:after="0"/>
    </w:pPr>
  </w:style>
  <w:style w:type="table" w:styleId="TableProfessional">
    <w:name w:val="Table Professional"/>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276EC"/>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276E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276E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E276E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27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276EC"/>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276EC"/>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E276EC"/>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E276EC"/>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276EC"/>
    <w:pPr>
      <w:spacing w:after="100"/>
    </w:pPr>
  </w:style>
  <w:style w:type="paragraph" w:styleId="TOC2">
    <w:name w:val="toc 2"/>
    <w:basedOn w:val="Normal"/>
    <w:next w:val="Normal"/>
    <w:autoRedefine/>
    <w:uiPriority w:val="39"/>
    <w:semiHidden/>
    <w:unhideWhenUsed/>
    <w:rsid w:val="00E276EC"/>
    <w:pPr>
      <w:spacing w:after="100"/>
      <w:ind w:left="260"/>
    </w:pPr>
  </w:style>
  <w:style w:type="paragraph" w:styleId="TOC3">
    <w:name w:val="toc 3"/>
    <w:basedOn w:val="Normal"/>
    <w:next w:val="Normal"/>
    <w:autoRedefine/>
    <w:uiPriority w:val="39"/>
    <w:semiHidden/>
    <w:unhideWhenUsed/>
    <w:rsid w:val="00E276EC"/>
    <w:pPr>
      <w:spacing w:after="100"/>
      <w:ind w:left="520"/>
    </w:pPr>
  </w:style>
  <w:style w:type="paragraph" w:styleId="TOC4">
    <w:name w:val="toc 4"/>
    <w:basedOn w:val="Normal"/>
    <w:next w:val="Normal"/>
    <w:autoRedefine/>
    <w:uiPriority w:val="39"/>
    <w:semiHidden/>
    <w:unhideWhenUsed/>
    <w:rsid w:val="00E276EC"/>
    <w:pPr>
      <w:spacing w:after="100"/>
      <w:ind w:left="780"/>
    </w:pPr>
  </w:style>
  <w:style w:type="paragraph" w:styleId="TOC5">
    <w:name w:val="toc 5"/>
    <w:basedOn w:val="Normal"/>
    <w:next w:val="Normal"/>
    <w:autoRedefine/>
    <w:uiPriority w:val="39"/>
    <w:semiHidden/>
    <w:unhideWhenUsed/>
    <w:rsid w:val="00E276EC"/>
    <w:pPr>
      <w:spacing w:after="100"/>
      <w:ind w:left="1040"/>
    </w:pPr>
  </w:style>
  <w:style w:type="paragraph" w:styleId="TOC6">
    <w:name w:val="toc 6"/>
    <w:basedOn w:val="Normal"/>
    <w:next w:val="Normal"/>
    <w:autoRedefine/>
    <w:uiPriority w:val="39"/>
    <w:semiHidden/>
    <w:unhideWhenUsed/>
    <w:rsid w:val="00E276EC"/>
    <w:pPr>
      <w:spacing w:after="100"/>
      <w:ind w:left="1300"/>
    </w:pPr>
  </w:style>
  <w:style w:type="paragraph" w:styleId="TOC7">
    <w:name w:val="toc 7"/>
    <w:basedOn w:val="Normal"/>
    <w:next w:val="Normal"/>
    <w:autoRedefine/>
    <w:uiPriority w:val="39"/>
    <w:semiHidden/>
    <w:unhideWhenUsed/>
    <w:rsid w:val="00E276EC"/>
    <w:pPr>
      <w:spacing w:after="100"/>
      <w:ind w:left="1560"/>
    </w:pPr>
  </w:style>
  <w:style w:type="paragraph" w:styleId="TOC8">
    <w:name w:val="toc 8"/>
    <w:basedOn w:val="Normal"/>
    <w:next w:val="Normal"/>
    <w:autoRedefine/>
    <w:uiPriority w:val="39"/>
    <w:semiHidden/>
    <w:unhideWhenUsed/>
    <w:rsid w:val="00E276EC"/>
    <w:pPr>
      <w:spacing w:after="100"/>
      <w:ind w:left="1820"/>
    </w:pPr>
  </w:style>
  <w:style w:type="paragraph" w:styleId="TOC9">
    <w:name w:val="toc 9"/>
    <w:basedOn w:val="Normal"/>
    <w:next w:val="Normal"/>
    <w:autoRedefine/>
    <w:uiPriority w:val="39"/>
    <w:semiHidden/>
    <w:unhideWhenUsed/>
    <w:rsid w:val="00E276EC"/>
    <w:pPr>
      <w:spacing w:after="100"/>
      <w:ind w:left="2080"/>
    </w:pPr>
  </w:style>
  <w:style w:type="character" w:styleId="UnresolvedMention">
    <w:name w:val="Unresolved Mention"/>
    <w:basedOn w:val="DefaultParagraphFont"/>
    <w:uiPriority w:val="99"/>
    <w:semiHidden/>
    <w:unhideWhenUsed/>
    <w:rsid w:val="00592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8235">
      <w:bodyDiv w:val="1"/>
      <w:marLeft w:val="0"/>
      <w:marRight w:val="0"/>
      <w:marTop w:val="0"/>
      <w:marBottom w:val="0"/>
      <w:divBdr>
        <w:top w:val="none" w:sz="0" w:space="0" w:color="auto"/>
        <w:left w:val="none" w:sz="0" w:space="0" w:color="auto"/>
        <w:bottom w:val="none" w:sz="0" w:space="0" w:color="auto"/>
        <w:right w:val="none" w:sz="0" w:space="0" w:color="auto"/>
      </w:divBdr>
    </w:div>
    <w:div w:id="345401703">
      <w:bodyDiv w:val="1"/>
      <w:marLeft w:val="0"/>
      <w:marRight w:val="0"/>
      <w:marTop w:val="0"/>
      <w:marBottom w:val="0"/>
      <w:divBdr>
        <w:top w:val="none" w:sz="0" w:space="0" w:color="auto"/>
        <w:left w:val="none" w:sz="0" w:space="0" w:color="auto"/>
        <w:bottom w:val="none" w:sz="0" w:space="0" w:color="auto"/>
        <w:right w:val="none" w:sz="0" w:space="0" w:color="auto"/>
      </w:divBdr>
    </w:div>
    <w:div w:id="838039983">
      <w:bodyDiv w:val="1"/>
      <w:marLeft w:val="0"/>
      <w:marRight w:val="0"/>
      <w:marTop w:val="0"/>
      <w:marBottom w:val="0"/>
      <w:divBdr>
        <w:top w:val="none" w:sz="0" w:space="0" w:color="auto"/>
        <w:left w:val="none" w:sz="0" w:space="0" w:color="auto"/>
        <w:bottom w:val="none" w:sz="0" w:space="0" w:color="auto"/>
        <w:right w:val="none" w:sz="0" w:space="0" w:color="auto"/>
      </w:divBdr>
    </w:div>
    <w:div w:id="159478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Eliz2/5-6/11/contents" TargetMode="External"/><Relationship Id="rId18" Type="http://schemas.openxmlformats.org/officeDocument/2006/relationships/hyperlink" Target="https://www.judiciary.uk/wp-content/uploads/2022/07/chief-coroners-guide-to-act-sept2013.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www.legislation.gov.uk/ukpga/2009/25/section/52" TargetMode="External"/><Relationship Id="rId17" Type="http://schemas.openxmlformats.org/officeDocument/2006/relationships/hyperlink" Target="https://simplestudying.com/r-v-dowds-stephen-andrew-2012-ewca-crim-281/" TargetMode="External"/><Relationship Id="rId2" Type="http://schemas.openxmlformats.org/officeDocument/2006/relationships/customXml" Target="../customXml/item2.xml"/><Relationship Id="rId16" Type="http://schemas.openxmlformats.org/officeDocument/2006/relationships/hyperlink" Target="http://www.e-lawresources.co.uk/R-v-Byrne.ph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9/25/contents" TargetMode="External"/><Relationship Id="rId5" Type="http://schemas.openxmlformats.org/officeDocument/2006/relationships/styles" Target="styles.xml"/><Relationship Id="rId15" Type="http://schemas.openxmlformats.org/officeDocument/2006/relationships/hyperlink" Target="https://www.hse.gov.uk/corpmanslaughter/about.htm" TargetMode="External"/><Relationship Id="rId23" Type="http://schemas.openxmlformats.org/officeDocument/2006/relationships/theme" Target="theme/theme1.xml"/><Relationship Id="rId10" Type="http://schemas.openxmlformats.org/officeDocument/2006/relationships/hyperlink" Target="https://researchbriefings.files.parliament.uk/documents/RP09-07/RP09-07.pdf" TargetMode="External"/><Relationship Id="rId19" Type="http://schemas.openxmlformats.org/officeDocument/2006/relationships/hyperlink" Target="https://www.theguardian.com/uk-news/2016/nov/07/bereaved-families-face-disgraceful-delays-of-up-to-two-years-for-inque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onslibrary.parliament.uk/research-briefings/sn07158/"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00760F60-CFED-7647-893B-5D8F3943A360%7dtf16392116.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84F43B-497C-4926-BEA8-96B1E0F8192A}">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2.xml><?xml version="1.0" encoding="utf-8"?>
<ds:datastoreItem xmlns:ds="http://schemas.openxmlformats.org/officeDocument/2006/customXml" ds:itemID="{5844F1CA-163E-4D54-B720-656E6B50B769}">
  <ds:schemaRefs>
    <ds:schemaRef ds:uri="http://schemas.microsoft.com/sharepoint/v3/contenttype/forms"/>
  </ds:schemaRefs>
</ds:datastoreItem>
</file>

<file path=customXml/itemProps3.xml><?xml version="1.0" encoding="utf-8"?>
<ds:datastoreItem xmlns:ds="http://schemas.openxmlformats.org/officeDocument/2006/customXml" ds:itemID="{1D406B6B-A440-4F50-8CFF-5A1C14983998}">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docProps/app.xml><?xml version="1.0" encoding="utf-8"?>
<Properties xmlns="http://schemas.openxmlformats.org/officeDocument/2006/extended-properties" xmlns:vt="http://schemas.openxmlformats.org/officeDocument/2006/docPropsVTypes">
  <Template>%7b00760F60-CFED-7647-893B-5D8F3943A360%7dtf16392116.dotx</Template>
  <TotalTime>0</TotalTime>
  <Pages>9</Pages>
  <Words>1687</Words>
  <Characters>9621</Characters>
  <Application>Microsoft Office Word</Application>
  <DocSecurity>0</DocSecurity>
  <Lines>80</Lines>
  <Paragraphs>22</Paragraphs>
  <ScaleCrop>false</ScaleCrop>
  <Company/>
  <LinksUpToDate>false</LinksUpToDate>
  <CharactersWithSpaces>11286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dc:creator>
  <cp:keywords/>
  <dc:description/>
  <cp:lastModifiedBy>Sophie Evans</cp:lastModifiedBy>
  <cp:revision>2</cp:revision>
  <dcterms:created xsi:type="dcterms:W3CDTF">2023-03-10T20:44:00Z</dcterms:created>
  <dcterms:modified xsi:type="dcterms:W3CDTF">2023-03-10T20:44:00Z</dcterms:modified>
</cp:coreProperties>
</file>