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C8CBA3" w14:textId="77777777" w:rsidR="00B71381" w:rsidRDefault="00B71381" w:rsidP="00B71381"/>
    <w:p w14:paraId="5B38FF62" w14:textId="77777777" w:rsidR="00B71381" w:rsidRPr="00A85BFE" w:rsidRDefault="00B71381" w:rsidP="00B71381">
      <w:pPr>
        <w:pStyle w:val="Header"/>
        <w:tabs>
          <w:tab w:val="clear" w:pos="4153"/>
          <w:tab w:val="clear" w:pos="8306"/>
        </w:tabs>
        <w:jc w:val="right"/>
        <w:rPr>
          <w:rFonts w:ascii="Arial" w:hAnsi="Arial" w:cs="Arial"/>
          <w:b/>
          <w:bCs/>
          <w:sz w:val="28"/>
          <w:szCs w:val="28"/>
        </w:rPr>
      </w:pPr>
      <w:r>
        <w:tab/>
      </w:r>
      <w:r w:rsidRPr="00A406E5">
        <w:rPr>
          <w:rFonts w:ascii="Arial" w:hAnsi="Arial" w:cs="Arial"/>
          <w:noProof/>
          <w:lang w:val="en-US" w:eastAsia="en-US"/>
        </w:rPr>
        <w:drawing>
          <wp:anchor distT="0" distB="0" distL="114300" distR="114300" simplePos="0" relativeHeight="251659264" behindDoc="0" locked="0" layoutInCell="1" allowOverlap="1" wp14:anchorId="6E7F718F" wp14:editId="2A346F8A">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34AA4445" w14:textId="77777777" w:rsidR="00B71381" w:rsidRPr="00A406E5" w:rsidRDefault="00B71381" w:rsidP="00B71381">
      <w:pPr>
        <w:rPr>
          <w:rFonts w:ascii="Arial" w:hAnsi="Arial" w:cs="Arial"/>
        </w:rPr>
      </w:pPr>
    </w:p>
    <w:tbl>
      <w:tblPr>
        <w:tblW w:w="0" w:type="auto"/>
        <w:tblInd w:w="-4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B71381" w:rsidRPr="00A406E5" w14:paraId="2B0767D4" w14:textId="77777777" w:rsidTr="003F4D74">
        <w:tc>
          <w:tcPr>
            <w:tcW w:w="8618" w:type="dxa"/>
            <w:shd w:val="clear" w:color="auto" w:fill="C0C0C0"/>
          </w:tcPr>
          <w:p w14:paraId="0309D39A" w14:textId="77777777" w:rsidR="00B71381" w:rsidRPr="00A406E5" w:rsidRDefault="00B71381" w:rsidP="003F4D74">
            <w:pPr>
              <w:pStyle w:val="Heading4"/>
              <w:rPr>
                <w:rFonts w:ascii="Arial" w:hAnsi="Arial" w:cs="Arial"/>
                <w:b/>
                <w:bCs/>
              </w:rPr>
            </w:pPr>
            <w:r w:rsidRPr="6D4D0207">
              <w:rPr>
                <w:rFonts w:ascii="Arial" w:hAnsi="Arial" w:cs="Arial"/>
                <w:b/>
                <w:bCs/>
              </w:rPr>
              <w:t xml:space="preserve">LEVEL 6 ASSESSMENT SPECIFICATION </w:t>
            </w:r>
          </w:p>
        </w:tc>
      </w:tr>
    </w:tbl>
    <w:p w14:paraId="5627024A" w14:textId="77777777" w:rsidR="00B71381" w:rsidRPr="00A406E5" w:rsidRDefault="00B71381" w:rsidP="00B71381">
      <w:pPr>
        <w:jc w:val="center"/>
        <w:rPr>
          <w:rFonts w:ascii="Arial" w:hAnsi="Arial" w:cs="Arial"/>
          <w:b/>
          <w:i/>
          <w:sz w:val="32"/>
        </w:rPr>
      </w:pPr>
    </w:p>
    <w:tbl>
      <w:tblPr>
        <w:tblW w:w="9922" w:type="dxa"/>
        <w:tblInd w:w="-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71381" w:rsidRPr="00A406E5" w14:paraId="7B268938" w14:textId="77777777" w:rsidTr="003F4D74">
        <w:tc>
          <w:tcPr>
            <w:tcW w:w="2093" w:type="dxa"/>
            <w:shd w:val="clear" w:color="auto" w:fill="auto"/>
          </w:tcPr>
          <w:p w14:paraId="318FAC4C"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6FD1AA29" w14:textId="77777777" w:rsidR="00B71381" w:rsidRPr="00A406E5" w:rsidRDefault="00B71381" w:rsidP="003F4D74">
            <w:pPr>
              <w:spacing w:before="120" w:after="120"/>
              <w:jc w:val="both"/>
              <w:rPr>
                <w:rFonts w:ascii="Arial" w:hAnsi="Arial" w:cs="Arial"/>
                <w:b/>
                <w:sz w:val="22"/>
                <w:szCs w:val="22"/>
              </w:rPr>
            </w:pPr>
            <w:r>
              <w:rPr>
                <w:rFonts w:ascii="Arial" w:hAnsi="Arial" w:cs="Arial"/>
                <w:b/>
                <w:sz w:val="22"/>
                <w:szCs w:val="22"/>
              </w:rPr>
              <w:t>Nicole Watkins</w:t>
            </w:r>
          </w:p>
        </w:tc>
        <w:tc>
          <w:tcPr>
            <w:tcW w:w="2268" w:type="dxa"/>
            <w:shd w:val="clear" w:color="auto" w:fill="D9D9D9" w:themeFill="background1" w:themeFillShade="D9"/>
          </w:tcPr>
          <w:p w14:paraId="5979DCD5"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3319AD9F" w14:textId="77777777" w:rsidR="00B71381" w:rsidRPr="00A406E5" w:rsidRDefault="00B71381" w:rsidP="003F4D74">
            <w:pPr>
              <w:spacing w:before="120" w:after="120"/>
              <w:jc w:val="both"/>
              <w:rPr>
                <w:rFonts w:ascii="Arial" w:hAnsi="Arial" w:cs="Arial"/>
                <w:b/>
                <w:sz w:val="22"/>
                <w:szCs w:val="22"/>
              </w:rPr>
            </w:pPr>
            <w:r>
              <w:rPr>
                <w:rFonts w:ascii="Arial" w:hAnsi="Arial" w:cs="Arial"/>
                <w:b/>
                <w:sz w:val="22"/>
                <w:szCs w:val="22"/>
              </w:rPr>
              <w:t>P138657</w:t>
            </w:r>
          </w:p>
        </w:tc>
      </w:tr>
      <w:tr w:rsidR="00B71381" w:rsidRPr="00A406E5" w14:paraId="73760393" w14:textId="77777777" w:rsidTr="003F4D74">
        <w:tc>
          <w:tcPr>
            <w:tcW w:w="2093" w:type="dxa"/>
            <w:shd w:val="clear" w:color="auto" w:fill="auto"/>
          </w:tcPr>
          <w:p w14:paraId="106B2F18"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7AFA6808" w14:textId="77777777" w:rsidR="00B71381" w:rsidRPr="00A406E5" w:rsidRDefault="00B71381" w:rsidP="003F4D74">
            <w:pPr>
              <w:spacing w:before="120" w:after="120"/>
              <w:jc w:val="both"/>
              <w:rPr>
                <w:rFonts w:ascii="Arial" w:hAnsi="Arial" w:cs="Arial"/>
                <w:b/>
                <w:sz w:val="22"/>
                <w:szCs w:val="22"/>
              </w:rPr>
            </w:pPr>
            <w:r>
              <w:rPr>
                <w:rFonts w:ascii="Arial" w:hAnsi="Arial" w:cs="Arial"/>
                <w:b/>
                <w:sz w:val="22"/>
                <w:szCs w:val="22"/>
              </w:rPr>
              <w:t>Secondary PGCE</w:t>
            </w:r>
          </w:p>
        </w:tc>
      </w:tr>
      <w:tr w:rsidR="00B71381" w:rsidRPr="00A406E5" w14:paraId="48740F25" w14:textId="77777777" w:rsidTr="003F4D74">
        <w:tc>
          <w:tcPr>
            <w:tcW w:w="2093" w:type="dxa"/>
            <w:shd w:val="clear" w:color="auto" w:fill="auto"/>
          </w:tcPr>
          <w:p w14:paraId="1174043C"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2AD31F94" w14:textId="77777777" w:rsidR="00B71381" w:rsidRPr="009476C2" w:rsidRDefault="00B71381" w:rsidP="003F4D74">
            <w:pPr>
              <w:spacing w:before="100" w:beforeAutospacing="1" w:after="100" w:afterAutospacing="1"/>
              <w:rPr>
                <w:sz w:val="22"/>
                <w:szCs w:val="22"/>
              </w:rPr>
            </w:pPr>
            <w:r w:rsidRPr="009476C2">
              <w:rPr>
                <w:rFonts w:ascii="Arial" w:hAnsi="Arial" w:cs="Arial"/>
                <w:b/>
                <w:bCs/>
                <w:sz w:val="22"/>
                <w:szCs w:val="22"/>
              </w:rPr>
              <w:t xml:space="preserve">Curriculum Development and Enhancement </w:t>
            </w:r>
          </w:p>
          <w:p w14:paraId="006F49EF" w14:textId="77777777" w:rsidR="00B71381" w:rsidRPr="00A406E5" w:rsidRDefault="00B71381" w:rsidP="003F4D74">
            <w:pPr>
              <w:spacing w:before="120" w:after="120"/>
              <w:jc w:val="both"/>
              <w:rPr>
                <w:rFonts w:ascii="Arial" w:hAnsi="Arial" w:cs="Arial"/>
                <w:b/>
                <w:sz w:val="22"/>
                <w:szCs w:val="22"/>
              </w:rPr>
            </w:pPr>
          </w:p>
        </w:tc>
      </w:tr>
      <w:tr w:rsidR="00B71381" w:rsidRPr="00A406E5" w14:paraId="0EBA4EE4" w14:textId="77777777" w:rsidTr="003F4D74">
        <w:tc>
          <w:tcPr>
            <w:tcW w:w="2093" w:type="dxa"/>
            <w:shd w:val="clear" w:color="auto" w:fill="auto"/>
          </w:tcPr>
          <w:p w14:paraId="2775D68F"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6EB50244" w14:textId="77777777" w:rsidR="00B71381" w:rsidRPr="00A406E5" w:rsidRDefault="00B71381" w:rsidP="003F4D74">
            <w:pPr>
              <w:spacing w:before="120" w:after="120"/>
              <w:jc w:val="both"/>
              <w:rPr>
                <w:rFonts w:ascii="Arial" w:hAnsi="Arial" w:cs="Arial"/>
                <w:b/>
                <w:sz w:val="22"/>
                <w:szCs w:val="22"/>
              </w:rPr>
            </w:pPr>
            <w:r>
              <w:rPr>
                <w:rFonts w:ascii="Arial" w:hAnsi="Arial" w:cs="Arial"/>
                <w:b/>
                <w:sz w:val="22"/>
                <w:szCs w:val="22"/>
              </w:rPr>
              <w:t>ECSP6004</w:t>
            </w:r>
          </w:p>
        </w:tc>
        <w:tc>
          <w:tcPr>
            <w:tcW w:w="2268" w:type="dxa"/>
            <w:shd w:val="clear" w:color="auto" w:fill="D9D9D9" w:themeFill="background1" w:themeFillShade="D9"/>
          </w:tcPr>
          <w:p w14:paraId="3124CE22" w14:textId="77777777" w:rsidR="00B71381" w:rsidRPr="004D5E9B" w:rsidRDefault="00B71381" w:rsidP="003F4D74">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6C04C9B0" w14:textId="77777777" w:rsidR="00B71381" w:rsidRPr="00A406E5" w:rsidRDefault="00B71381" w:rsidP="003F4D74">
            <w:pPr>
              <w:spacing w:before="120" w:after="120"/>
              <w:jc w:val="both"/>
              <w:rPr>
                <w:rFonts w:ascii="Arial" w:hAnsi="Arial" w:cs="Arial"/>
                <w:b/>
                <w:sz w:val="22"/>
                <w:szCs w:val="22"/>
              </w:rPr>
            </w:pPr>
            <w:r>
              <w:rPr>
                <w:rFonts w:ascii="Arial" w:hAnsi="Arial" w:cs="Arial"/>
                <w:b/>
                <w:sz w:val="22"/>
                <w:szCs w:val="22"/>
              </w:rPr>
              <w:t>100%</w:t>
            </w:r>
          </w:p>
        </w:tc>
      </w:tr>
      <w:tr w:rsidR="00B71381" w:rsidRPr="00A406E5" w14:paraId="534816DB" w14:textId="77777777" w:rsidTr="003F4D74">
        <w:tc>
          <w:tcPr>
            <w:tcW w:w="2093" w:type="dxa"/>
            <w:shd w:val="clear" w:color="auto" w:fill="auto"/>
          </w:tcPr>
          <w:p w14:paraId="1C712E50"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3D0A705B" w14:textId="77777777" w:rsidR="00B71381" w:rsidRPr="00A406E5" w:rsidRDefault="00B71381" w:rsidP="003F4D74">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hemeFill="background1" w:themeFillShade="D9"/>
          </w:tcPr>
          <w:p w14:paraId="54851CDD"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11B120E8" w14:textId="77777777" w:rsidR="00B71381" w:rsidRPr="00A406E5" w:rsidRDefault="00B71381" w:rsidP="003F4D74">
            <w:pPr>
              <w:spacing w:before="120" w:after="120"/>
              <w:jc w:val="both"/>
              <w:rPr>
                <w:rFonts w:ascii="Arial" w:hAnsi="Arial" w:cs="Arial"/>
                <w:b/>
                <w:sz w:val="22"/>
                <w:szCs w:val="22"/>
              </w:rPr>
            </w:pPr>
          </w:p>
        </w:tc>
      </w:tr>
      <w:tr w:rsidR="00B71381" w:rsidRPr="00A406E5" w14:paraId="6B9D48BA" w14:textId="77777777" w:rsidTr="003F4D74">
        <w:tc>
          <w:tcPr>
            <w:tcW w:w="2093" w:type="dxa"/>
            <w:shd w:val="clear" w:color="auto" w:fill="auto"/>
          </w:tcPr>
          <w:p w14:paraId="0FA1C0B4"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4B6A7781" w14:textId="77777777" w:rsidR="00B71381" w:rsidRPr="00A406E5" w:rsidRDefault="00B71381" w:rsidP="003F4D74">
            <w:pPr>
              <w:spacing w:before="120" w:after="120"/>
              <w:jc w:val="both"/>
              <w:rPr>
                <w:rFonts w:ascii="Arial" w:hAnsi="Arial" w:cs="Arial"/>
                <w:b/>
                <w:sz w:val="22"/>
                <w:szCs w:val="22"/>
              </w:rPr>
            </w:pPr>
            <w:r>
              <w:rPr>
                <w:rFonts w:ascii="Arial" w:hAnsi="Arial" w:cs="Arial"/>
                <w:b/>
                <w:sz w:val="22"/>
                <w:szCs w:val="22"/>
              </w:rPr>
              <w:t>Research Study including Ethics Form</w:t>
            </w:r>
          </w:p>
        </w:tc>
        <w:tc>
          <w:tcPr>
            <w:tcW w:w="2268" w:type="dxa"/>
            <w:shd w:val="clear" w:color="auto" w:fill="auto"/>
          </w:tcPr>
          <w:p w14:paraId="4E777FF5"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5974A9A7" w14:textId="77777777" w:rsidR="00B71381" w:rsidRPr="00A406E5" w:rsidRDefault="00B71381" w:rsidP="003F4D74">
            <w:pPr>
              <w:spacing w:before="120" w:after="120"/>
              <w:jc w:val="both"/>
              <w:rPr>
                <w:rFonts w:ascii="Arial" w:hAnsi="Arial" w:cs="Arial"/>
                <w:b/>
                <w:sz w:val="22"/>
                <w:szCs w:val="22"/>
              </w:rPr>
            </w:pPr>
            <w:r>
              <w:rPr>
                <w:rFonts w:ascii="Arial" w:hAnsi="Arial" w:cs="Arial"/>
                <w:b/>
                <w:sz w:val="22"/>
                <w:szCs w:val="22"/>
              </w:rPr>
              <w:t>10.000 words in total including an Ethics form (to be given in on January 11</w:t>
            </w:r>
            <w:r w:rsidRPr="00A92235">
              <w:rPr>
                <w:rFonts w:ascii="Arial" w:hAnsi="Arial" w:cs="Arial"/>
                <w:b/>
                <w:sz w:val="22"/>
                <w:szCs w:val="22"/>
                <w:vertAlign w:val="superscript"/>
              </w:rPr>
              <w:t>th</w:t>
            </w:r>
            <w:r>
              <w:rPr>
                <w:rFonts w:ascii="Arial" w:hAnsi="Arial" w:cs="Arial"/>
                <w:b/>
                <w:sz w:val="22"/>
                <w:szCs w:val="22"/>
              </w:rPr>
              <w:t xml:space="preserve"> 2019)</w:t>
            </w:r>
          </w:p>
        </w:tc>
      </w:tr>
      <w:tr w:rsidR="00B71381" w:rsidRPr="00A406E5" w14:paraId="69D65389" w14:textId="77777777" w:rsidTr="003F4D74">
        <w:tc>
          <w:tcPr>
            <w:tcW w:w="2093" w:type="dxa"/>
            <w:shd w:val="clear" w:color="auto" w:fill="auto"/>
          </w:tcPr>
          <w:p w14:paraId="0BFBF857"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5C72E351" w14:textId="13A39CE7" w:rsidR="00B71381" w:rsidRPr="00A406E5" w:rsidRDefault="001F0739" w:rsidP="003F4D74">
            <w:pPr>
              <w:spacing w:before="120" w:after="120"/>
              <w:jc w:val="both"/>
              <w:rPr>
                <w:rFonts w:ascii="Arial" w:hAnsi="Arial" w:cs="Arial"/>
                <w:b/>
                <w:sz w:val="22"/>
                <w:szCs w:val="22"/>
              </w:rPr>
            </w:pPr>
            <w:r>
              <w:rPr>
                <w:rFonts w:ascii="Arial" w:hAnsi="Arial" w:cs="Arial"/>
                <w:b/>
                <w:sz w:val="22"/>
                <w:szCs w:val="22"/>
              </w:rPr>
              <w:t>July 2</w:t>
            </w:r>
            <w:r w:rsidR="00A162C5">
              <w:rPr>
                <w:rFonts w:ascii="Arial" w:hAnsi="Arial" w:cs="Arial"/>
                <w:b/>
                <w:sz w:val="22"/>
                <w:szCs w:val="22"/>
              </w:rPr>
              <w:t>7</w:t>
            </w:r>
            <w:bookmarkStart w:id="0" w:name="_GoBack"/>
            <w:bookmarkEnd w:id="0"/>
            <w:r w:rsidR="00B71381" w:rsidRPr="009476C2">
              <w:rPr>
                <w:rFonts w:ascii="Arial" w:hAnsi="Arial" w:cs="Arial"/>
                <w:b/>
                <w:sz w:val="22"/>
                <w:szCs w:val="22"/>
                <w:vertAlign w:val="superscript"/>
              </w:rPr>
              <w:t>th</w:t>
            </w:r>
            <w:r w:rsidR="00B71381">
              <w:rPr>
                <w:rFonts w:ascii="Arial" w:hAnsi="Arial" w:cs="Arial"/>
                <w:b/>
                <w:sz w:val="22"/>
                <w:szCs w:val="22"/>
              </w:rPr>
              <w:t xml:space="preserve"> 2019</w:t>
            </w:r>
          </w:p>
        </w:tc>
        <w:tc>
          <w:tcPr>
            <w:tcW w:w="2268" w:type="dxa"/>
            <w:shd w:val="clear" w:color="auto" w:fill="auto"/>
          </w:tcPr>
          <w:p w14:paraId="3E877FBB"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6F3BF296" w14:textId="77269AFB" w:rsidR="00B71381" w:rsidRPr="00A406E5" w:rsidRDefault="001F0739" w:rsidP="003F4D74">
            <w:pPr>
              <w:spacing w:before="120" w:after="120"/>
              <w:jc w:val="both"/>
              <w:rPr>
                <w:rFonts w:ascii="Arial" w:hAnsi="Arial" w:cs="Arial"/>
                <w:b/>
                <w:sz w:val="22"/>
                <w:szCs w:val="22"/>
              </w:rPr>
            </w:pPr>
            <w:r>
              <w:rPr>
                <w:rFonts w:ascii="Arial" w:hAnsi="Arial" w:cs="Arial"/>
                <w:b/>
                <w:sz w:val="22"/>
                <w:szCs w:val="22"/>
              </w:rPr>
              <w:t>July 31</w:t>
            </w:r>
            <w:r w:rsidR="00B71381" w:rsidRPr="009476C2">
              <w:rPr>
                <w:rFonts w:ascii="Arial" w:hAnsi="Arial" w:cs="Arial"/>
                <w:b/>
                <w:sz w:val="22"/>
                <w:szCs w:val="22"/>
                <w:vertAlign w:val="superscript"/>
              </w:rPr>
              <w:t>th</w:t>
            </w:r>
            <w:r w:rsidR="00B71381">
              <w:rPr>
                <w:rFonts w:ascii="Arial" w:hAnsi="Arial" w:cs="Arial"/>
                <w:b/>
                <w:sz w:val="22"/>
                <w:szCs w:val="22"/>
              </w:rPr>
              <w:t xml:space="preserve"> 2019</w:t>
            </w:r>
          </w:p>
        </w:tc>
      </w:tr>
      <w:tr w:rsidR="00B71381" w:rsidRPr="00A406E5" w14:paraId="378DBAF5" w14:textId="77777777" w:rsidTr="003F4D74">
        <w:tc>
          <w:tcPr>
            <w:tcW w:w="2093" w:type="dxa"/>
            <w:shd w:val="clear" w:color="auto" w:fill="auto"/>
          </w:tcPr>
          <w:p w14:paraId="5E4F901A"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2D580D6A" w14:textId="77777777" w:rsidR="00B71381" w:rsidRPr="00A406E5" w:rsidRDefault="00B71381" w:rsidP="003F4D74">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07586D"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02D81AED" w14:textId="77777777" w:rsidR="00B71381" w:rsidRPr="00A406E5" w:rsidRDefault="00B71381" w:rsidP="003F4D74">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B71381" w:rsidRPr="00A406E5" w14:paraId="41308ACF" w14:textId="77777777" w:rsidTr="003F4D74">
        <w:tc>
          <w:tcPr>
            <w:tcW w:w="2093" w:type="dxa"/>
            <w:shd w:val="clear" w:color="auto" w:fill="auto"/>
          </w:tcPr>
          <w:p w14:paraId="534A2012" w14:textId="77777777" w:rsidR="00B71381" w:rsidRPr="00A406E5" w:rsidRDefault="00B71381" w:rsidP="003F4D74">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5DBD45ED" w14:textId="77777777" w:rsidR="00B71381" w:rsidRPr="00A406E5" w:rsidRDefault="00B71381" w:rsidP="003F4D74">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E4A0EBF" w14:textId="77777777" w:rsidR="00B71381" w:rsidRPr="00A406E5" w:rsidRDefault="00B71381" w:rsidP="00B71381">
      <w:pPr>
        <w:rPr>
          <w:rFonts w:ascii="Arial" w:hAnsi="Arial" w:cs="Arial"/>
          <w:sz w:val="32"/>
        </w:rPr>
      </w:pPr>
    </w:p>
    <w:p w14:paraId="7A24B6A3" w14:textId="77777777" w:rsidR="003925C9" w:rsidRDefault="00A162C5"/>
    <w:p w14:paraId="6D7F71CA" w14:textId="77777777" w:rsidR="00F955A0" w:rsidRDefault="00F955A0"/>
    <w:p w14:paraId="4D3D45D9" w14:textId="77777777" w:rsidR="00F955A0" w:rsidRDefault="00F955A0"/>
    <w:p w14:paraId="42AD6C39" w14:textId="77777777" w:rsidR="00F955A0" w:rsidRDefault="00F955A0"/>
    <w:p w14:paraId="4A51DACC" w14:textId="414390FC" w:rsidR="001F0739" w:rsidRPr="0061410D" w:rsidRDefault="001F0739" w:rsidP="001F0739">
      <w:pPr>
        <w:spacing w:before="100" w:beforeAutospacing="1" w:after="100" w:afterAutospacing="1"/>
        <w:jc w:val="center"/>
        <w:rPr>
          <w:sz w:val="22"/>
          <w:szCs w:val="22"/>
        </w:rPr>
      </w:pPr>
      <w:r w:rsidRPr="0061410D">
        <w:rPr>
          <w:rFonts w:ascii="Arial" w:hAnsi="Arial" w:cs="Arial"/>
          <w:b/>
          <w:bCs/>
          <w:sz w:val="22"/>
          <w:szCs w:val="22"/>
        </w:rPr>
        <w:lastRenderedPageBreak/>
        <w:t>Curriculum Development and Enhancement</w:t>
      </w:r>
    </w:p>
    <w:p w14:paraId="18202FF4" w14:textId="77777777" w:rsidR="00F955A0" w:rsidRPr="0061410D" w:rsidRDefault="00F955A0" w:rsidP="001F0739">
      <w:pPr>
        <w:pStyle w:val="NormalWeb"/>
        <w:rPr>
          <w:rFonts w:asciiTheme="minorHAnsi" w:hAnsiTheme="minorHAnsi" w:cs="Arial"/>
          <w:bCs/>
          <w:color w:val="000000" w:themeColor="text1"/>
          <w:lang w:val="en-GB"/>
        </w:rPr>
      </w:pPr>
    </w:p>
    <w:p w14:paraId="7ECF5A33" w14:textId="77777777" w:rsidR="00D02082" w:rsidRDefault="00D02082" w:rsidP="00D020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This essay aims to investigate some of the issues that were observed to be hindering the development of pupils within school X. Examining why boys are underperforming in comparison to girls, and subsequently why they are less likely to choose art when they go on to choose their subjects for GCSE. Based on a report 66% of girls sat the GSCE art exam in 2013/14 and 67% in 2017/18, whereas the number of boys interested in the subject is 34%, and 34% in the last five years (WJEC, 2018). There is an abundance of prominent named male artist and designers that are well known to the general public. This well-understood popularity of male artists shows recognition for men in a creative profession, leading to the question of why are teenage boys not choosing art and design as a GCSE subject.</w:t>
      </w:r>
    </w:p>
    <w:p w14:paraId="73C465DD" w14:textId="77777777" w:rsidR="00D02082" w:rsidRDefault="00D02082" w:rsidP="00D020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 xml:space="preserve"> </w:t>
      </w:r>
    </w:p>
    <w:p w14:paraId="5084BB8E" w14:textId="77777777" w:rsidR="00D02082" w:rsidRDefault="00D02082" w:rsidP="00D020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On the other hand, despite the lack of focus on female artists, it seems strange that art is a female-dominated subject (Knott, 2018). This investigation's focus was to use a variety of tasks to help motivate and inspire boys to choose the subject aiming to convince them of the possibilities art could offer them in future careers while increasing their performance in the subject. The goal was to view whether using competition, defined as "the activity or condition of striving to gain or win something by defeating or establishing superiority over others." (Dictionary, 1999), could be beneficial to encourage interaction within the art room. Furthermore, bridging the gap between genders and enhancing pupils' performance (Econ, 2011). In the hope that this would then help with the written portion of the subject. Embracing and implementing techniques such as competitive tasks to analyse artists' pieces of work to motivate boys within the class is a useful pedagogical method, outlined by professor Graham Donaldson in the new curriculum for Wales (2015).</w:t>
      </w:r>
    </w:p>
    <w:p w14:paraId="1273FB26" w14:textId="77777777" w:rsidR="00F955A0" w:rsidRPr="0061410D" w:rsidRDefault="00F955A0" w:rsidP="00F955A0">
      <w:pPr>
        <w:pStyle w:val="paragraph"/>
        <w:spacing w:before="0" w:beforeAutospacing="0" w:after="0" w:afterAutospacing="0"/>
        <w:textAlignment w:val="baseline"/>
        <w:rPr>
          <w:lang w:val="en-GB"/>
        </w:rPr>
      </w:pPr>
    </w:p>
    <w:p w14:paraId="0676A18C" w14:textId="6EF2ED58" w:rsidR="00F955A0" w:rsidRPr="0061410D" w:rsidRDefault="00656CD8" w:rsidP="00F955A0">
      <w:pPr>
        <w:rPr>
          <w:rFonts w:eastAsiaTheme="minorEastAsia"/>
          <w:color w:val="375623" w:themeColor="accent6" w:themeShade="7F"/>
        </w:rPr>
      </w:pPr>
      <w:r>
        <w:rPr>
          <w:rFonts w:ascii="Arial" w:eastAsia="Arial" w:hAnsi="Arial" w:cs="Arial"/>
        </w:rPr>
        <w:t xml:space="preserve">Some of the literature such as Successful futures (2015) which outlines the new curriculum, also an introduction to art therapy (Rubin, 1998), as well as some others, which will be expanded upon throughout this investigation. Another goal for this investigation was looking at the role and importance of art and how this can help with resilience and create a positive mental attitude. In the importance of mind-set book, Carol Dweck (2012) talks about Thomas Edison and his ability to create the device that has had a positive impact on our lives as people, the light bulb. The bulb has become a symbol of that single moment when </w:t>
      </w:r>
      <w:r w:rsidR="00EE66A8">
        <w:rPr>
          <w:rFonts w:ascii="Arial" w:eastAsia="Arial" w:hAnsi="Arial" w:cs="Arial"/>
        </w:rPr>
        <w:t xml:space="preserve">the great solution is realised. </w:t>
      </w:r>
      <w:r w:rsidR="00EE66A8">
        <w:rPr>
          <w:rFonts w:ascii="Arial" w:eastAsia="Arial" w:hAnsi="Arial" w:cs="Arial"/>
        </w:rPr>
        <w:t>The lightbulb was not a single device, but a network of time-consuming moments with a team of inventors. If they are enormous or not, we all have interests that can flourish into abilities. Dweck (2012) refers to these strengths and limitations as mind-sets, both fixed and growth. The fixed mind-set limits achievement makes an effort undesirable and leads to inferior learning strategies. Whereas growth can be simplified down to “I may not be able to do it, yet (Dweck, 2012)."</w:t>
      </w:r>
    </w:p>
    <w:p w14:paraId="3B177B47" w14:textId="77777777" w:rsidR="006D6A6E" w:rsidRDefault="006D6A6E" w:rsidP="00F955A0">
      <w:pPr>
        <w:rPr>
          <w:rFonts w:eastAsiaTheme="minorEastAsia"/>
        </w:rPr>
      </w:pPr>
    </w:p>
    <w:p w14:paraId="06D12AE4" w14:textId="77777777" w:rsidR="00EE66A8" w:rsidRDefault="00EE66A8" w:rsidP="00EE66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 xml:space="preserve">It is understood that every pupil has his or her learning style, and what may work for one is not guaranteed to work for another. Dylan Wiliam (2019) examines the debate between teachers concerning our understanding of what we do in the classroom and what the pupils learned. Marshell (2019) supports this argument by noting that "everything works somewhere, and nothing works everywhere." </w:t>
      </w:r>
    </w:p>
    <w:p w14:paraId="216727E0" w14:textId="77777777" w:rsidR="00EE66A8" w:rsidRDefault="00EE66A8" w:rsidP="00EE66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 xml:space="preserve"> This can come down to several factors, such as; brain development, learning abilities or gender. Through small-scale research, differences in gender were considered and how the variations within the structure of the brain, the psychological level, and how those can generate different levels of learning (Illeris,2007) and how these factors impact on the results. On a physiological level, girls/ women on average mature more quickly, and boys/men tend to be physically stronger than women. This then feeds into the hegemonic masculine tendencies that detract from boys feeling as though they can express themselves in their hobbies without being judged on the level of masculinity (Connell, 2005). Concerning art and design, some of the roles of expression and creativity can be seen as feminine. However, Judith Butler (2004) also asserts that we need to avoid labelling young people based on their appearance or how society believes they should look or behave.  </w:t>
      </w:r>
    </w:p>
    <w:p w14:paraId="14CC9086" w14:textId="77777777" w:rsidR="00EE66A8" w:rsidRPr="0061410D" w:rsidRDefault="00EE66A8" w:rsidP="00F955A0">
      <w:pPr>
        <w:rPr>
          <w:rFonts w:eastAsiaTheme="minorEastAsia"/>
        </w:rPr>
      </w:pPr>
    </w:p>
    <w:p w14:paraId="1F013DCB" w14:textId="77777777" w:rsidR="00F955A0" w:rsidRPr="0061410D" w:rsidRDefault="00F955A0" w:rsidP="00F955A0">
      <w:pPr>
        <w:rPr>
          <w:rFonts w:eastAsiaTheme="minorEastAsia"/>
          <w:color w:val="7030A0"/>
        </w:rPr>
      </w:pPr>
    </w:p>
    <w:p w14:paraId="4FAFE0B3" w14:textId="77777777" w:rsidR="005E18A9" w:rsidRDefault="005E18A9" w:rsidP="005E18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After learning what some say becomes irrelevant when we leave education (McCormick, 2007), I wanted to ensure the pupils understood that analysing and evaluating a piece of art, or an artist, is an exercise that improves critical thinking, a skill which is crucial in their other subjects, and promotes more in-depth analysis of a subject as encouraged by Armstrong (n.d.).This is transferred to the classroom and put in to practice (Gershon, 2018) by looking at what activates can better the lessons themselves and help gage the pupils understanding through assessment and questioning. Within the new curriculum, professor Graham Donaldson (2015) emphasises the need to ensure that young people can benefit from their education and that they are well-rounded learners. Each pupil should have an education that is adapted to fit their personal learning needs.</w:t>
      </w:r>
    </w:p>
    <w:p w14:paraId="5F65578B" w14:textId="77777777" w:rsidR="00936790" w:rsidRDefault="00936790" w:rsidP="0093679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 xml:space="preserve">A high level of boys is underrepresented in art, as previously stating that a mere 34% (Knott, 2018), and GCSE and underperforming at crucial stage three according to the Estyn (2008) report, boys are more likely to than girls to be identified with special educational needs (SEN), Seventy percent identified with this are boys (Estyn, 2008). They are more likely to attend special schools, and boys make up almost eighty percent of the pupils excluded from schools (Knott, 2018). The Welsh Assembly Government (2006) launched a report discussing the need to close the gap between the underachievement of boys in comparison to girls. </w:t>
      </w:r>
    </w:p>
    <w:p w14:paraId="4DDC5BC4" w14:textId="77777777" w:rsidR="00936790" w:rsidRDefault="00936790" w:rsidP="0093679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 xml:space="preserve">For this reason, in 2008, Estyn (2008) released a report' closing the gap between boys' and girls' attainment in school'. 11 schools had been chosen because of their positive comments received in their most recent inspection, and this was attributable to the accomplishments of girls overtaking those of boys in all subjects from the National Curriculum (Estyn, 2008) </w:t>
      </w:r>
    </w:p>
    <w:p w14:paraId="28FDA7EC" w14:textId="77777777" w:rsidR="00F955A0" w:rsidRPr="0061410D" w:rsidRDefault="00F955A0" w:rsidP="00F955A0">
      <w:pPr>
        <w:rPr>
          <w:rFonts w:eastAsiaTheme="minorEastAsia"/>
        </w:rPr>
      </w:pPr>
    </w:p>
    <w:p w14:paraId="73DE0009" w14:textId="77777777" w:rsidR="00FC16FC" w:rsidRDefault="00FC16FC" w:rsidP="00FC16F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 xml:space="preserve">For the short period that we have pupils in the school environment with us, it is imperative that we are teaching them on specific subject components, as well as valuable life skills that will guide them into their future. There are many ways in which art, and art therapy, can be used for either understanding or for helping people to work through their issues and relive some of the stresses within each person's situation (Rubin, 1998) </w:t>
      </w:r>
    </w:p>
    <w:p w14:paraId="326BC57A" w14:textId="77777777" w:rsidR="00757ECF" w:rsidRDefault="00757ECF" w:rsidP="00757EC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This subject was chosen because within the art room pupils have a different style of learning to any other classroom in the school. The environment within the art room has always felt like a safer space for most pupils to feel comfortable and relaxed. In the room pupils can escape from isolation through Art (Rubin, 1998) This is not necessarily during lesson time, either at lunchtime or break time, it is likely that escape to the art room is the biggest thing. Giving this environment, it is an idea for staff to have the opportunity to discuss stress issues on hand with the pupils so that they feel they can open up to one and other. Nicholas Addison and Lesley Burgess discuss in their book, issues in art and design teaching (2003) that the creative industry is grossing GBS 112 billion for the UK economy, and the output is creating jobs faster than any other area of work. For pupils that feel there is no successful future within the Art and design industry, they should be taught that accusation is false.</w:t>
      </w:r>
    </w:p>
    <w:p w14:paraId="519C92EA" w14:textId="77777777" w:rsidR="00F955A0" w:rsidRPr="0061410D" w:rsidRDefault="00F955A0" w:rsidP="00F955A0">
      <w:pPr>
        <w:rPr>
          <w:rFonts w:eastAsiaTheme="minorEastAsia"/>
        </w:rPr>
      </w:pPr>
    </w:p>
    <w:p w14:paraId="1E542F24" w14:textId="77777777" w:rsidR="000503A6" w:rsidRPr="000503A6" w:rsidRDefault="000503A6" w:rsidP="000503A6">
      <w:pPr>
        <w:spacing w:line="360" w:lineRule="auto"/>
        <w:rPr>
          <w:rFonts w:ascii="Arial" w:eastAsia="Arial" w:hAnsi="Arial" w:cs="Arial"/>
        </w:rPr>
      </w:pPr>
      <w:r w:rsidRPr="000503A6">
        <w:rPr>
          <w:rFonts w:ascii="Arial" w:eastAsia="Arial" w:hAnsi="Arial" w:cs="Arial"/>
        </w:rPr>
        <w:t>A form of art that has the ability to invite boys to participate in the subject is graffiti (Martin A. Monto, 2012). This style of art can be an alluring form of expression, although what entices most to do so is the act of rebelliousness as it is treated as a crime. It has a masculine identity as it promotes status respect among male peers (Martin A. Monto, 2012). By turning this into a classroom activity it helps to intrigue the boys within the classroom and show how it can be used in a non-illegal way that can help them express their creativity, although Monto (2012) does then go on to suggest that this would then impact the internet of girls in the subject as it is a male oriented field, and can cause the promotion of vandalism</w:t>
      </w:r>
      <w:r w:rsidRPr="000503A6">
        <w:rPr>
          <w:rFonts w:ascii="Arial" w:eastAsiaTheme="minorEastAsia" w:hAnsi="Arial" w:cs="Arial"/>
          <w:color w:val="000000" w:themeColor="text1"/>
        </w:rPr>
        <w:t xml:space="preserve">. </w:t>
      </w:r>
      <w:r w:rsidRPr="000503A6">
        <w:rPr>
          <w:rFonts w:ascii="Arial" w:eastAsia="Arial" w:hAnsi="Arial" w:cs="Arial"/>
        </w:rPr>
        <w:t>Estyn (2016) would like to see schools challenging the gender stereotype and provide more positive role models for boys, this can then open a discussion within the classroom, and that then includes both genders. By having a discussion over what makes art illegal and what are the reasons why people still do it, can then create a social learning environment that all pupils can participate in which deals with the areas addressed in the welsh government's education for sustainable development and global citizenship (2012).</w:t>
      </w:r>
    </w:p>
    <w:p w14:paraId="1EA13273" w14:textId="77777777" w:rsidR="000503A6" w:rsidRDefault="000503A6" w:rsidP="000503A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sidRPr="000503A6">
        <w:rPr>
          <w:rFonts w:ascii="Arial" w:eastAsia="Arial" w:hAnsi="Arial" w:cs="Arial"/>
        </w:rPr>
        <w:t xml:space="preserve">Knud Illeris (2007) discusses the notion that humans primarily learn through the brain and central nervous system. Based on this understanding, the goal was to foster a learning environment through movement and play so that both are </w:t>
      </w:r>
      <w:r>
        <w:rPr>
          <w:rFonts w:ascii="Arial" w:eastAsia="Arial" w:hAnsi="Arial" w:cs="Arial"/>
        </w:rPr>
        <w:t xml:space="preserve">combined. This then connects both pathways of learning Illeris (2007) talks about for the pupils to reach a deeper understanding of the topic we were investigating. </w:t>
      </w:r>
    </w:p>
    <w:p w14:paraId="59C840C2" w14:textId="77777777" w:rsidR="00AF5B9D" w:rsidRDefault="00AF5B9D" w:rsidP="00AF5B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French philosopher, Rene Descartes (1596-1660) who originated the famous fraise 'I think therefore I am' or in Latin' cogito ergo sum' foreseeing even in the seventeenth century (Descartes, 1967 [1637]) the understanding we have today of our early development, how the idea of the thought process can form our ability and knowledge and therefore underline us as learners, in the sense of how we learn (Cary, 2014). The exact translation of this meaning has been brought to question numerous times by a variety of pioneers, for example a well-known Norwegian historian, Arne Naess, looks at philosophy, states that the Latin should rather be 'I experience' or 'I am somewhat aware' rather than 'I think' (Naess, 1963 [1962]). As we move forward and consider tools, for example, they have played a fundamental role in development. How tools themselves, we have refined and has led to technological breakthroughs (Illeris, 2007). The goal is then to create a bank of successful exercises that schools could use throughout the departments, so that the accomplishments for both boys and girls would be equal and that both were achieving their full potential (Estyn, 2016) this would then put the focus on the factors that were in the schools control and how they could close that gap between boys' and girls' attainments.</w:t>
      </w:r>
    </w:p>
    <w:p w14:paraId="5A19308D" w14:textId="77777777" w:rsidR="001E5E4C" w:rsidRDefault="001E5E4C" w:rsidP="001E5E4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Learning is something that takes place within the single individual; however, how that individual learns is through a social and societal framework that scaffolds what we learn and how (Illeris, 2007). Different environments promote different ways of learning. Through being taught in school, work and even everyday life, the tasks pupils will be presented will need to be tackled in differing ways. Successful futures (2015) hopes to address this by using what we learn in school to lay the foundations for everyday life and the world outside of the educational system. The learning that is taking place within the school can be considered a social learning experience where interaction is vital. Therefore, felt using the strategy of having the pupils interact with one and other in a competitive manner to gain points and expand their artist knowledge would be beneficial for the pupils within the investigation. As Illeris (2007) continues by noting, learning to hold your own from and educational standpoint has become an essential prerequisite today, in doing so by having the best of an education you are giving yourself the best chance to have a successful future, excluding limitations and minimising the risk of uncertainty regarding employment. This is best achieved by providing young learners with a theory by Lev Vygotsky (1934/1978) as scaffolding. In which learning techniques are placed, and other learners with a higher understanding in group situations so that the less able can adapt specific learning skills and become independent (Joyce, 2005). This is solidified by Dweck (2012) when talking about the team of people used to create the light bulb.</w:t>
      </w:r>
    </w:p>
    <w:p w14:paraId="5A6A42F6" w14:textId="77777777" w:rsidR="003D306F" w:rsidRDefault="003D306F" w:rsidP="003D30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Dylan Wiliam, and Paul Black (1998) although dated still resonates as a key factor in pupils' development. Once given a mark or a grade from their work, it is believed the useful feedback becomes irrelevant. It is often ignored, and the interest within the work becomes obsolete. For the pupil to gain from the feedback given, Wiliam suggests that teachers avoid grading or giving a definite mark. In saying this the National curriculum (2008) needs grade boundaries to track pupils' development and progress, Wiliam suggests the use of peer learning within the classroom to engage the pupils and help them, with some guidance to teach one and other. This is similar to Vygotsky (1934/1978) theory of teaching, where within a group dynamic the pupils can learn more through the support of skills from others than they would alone.</w:t>
      </w:r>
    </w:p>
    <w:p w14:paraId="1221242E" w14:textId="77777777" w:rsidR="00C925DA" w:rsidRPr="0061410D" w:rsidRDefault="00C925DA" w:rsidP="00F955A0">
      <w:pPr>
        <w:rPr>
          <w:rFonts w:eastAsiaTheme="minorEastAsia"/>
          <w:color w:val="000000" w:themeColor="text1"/>
        </w:rPr>
      </w:pPr>
    </w:p>
    <w:p w14:paraId="474D03B2" w14:textId="77777777" w:rsidR="004D1CFD" w:rsidRDefault="004D1CFD" w:rsidP="004D1CF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 xml:space="preserve">This papers investigation was also aimed at key stage three pupils following the national curriculum of wales (2008) focusing on understanding and investigation. This will then help build the foundations of their critical thinking and analysis to the level needed for when they reach GCSE, and then in this way will make the process less daunting because of the understanding they have developed (Armstrong, n.d.) in this portion of their educational experience thus far. The national curriculum and design for Wales (2008) identifies three areas for key stage three; the first is understanding, research and making, learning to analyse, compare and evaluate when gathering understanding. The second is observation, experience and imagination through investigation. The third is making, through exploring, experimenting and design along with many other techniques in the making. These three points are an umbrella into different areas of the subject and therefore, cannot be assessed under the same category as other subjects (Government, 2008). This can be said for most school departments. </w:t>
      </w:r>
    </w:p>
    <w:p w14:paraId="5F981DB8" w14:textId="3E59C544" w:rsidR="00AC6C9D" w:rsidRPr="00766446" w:rsidRDefault="001A620C" w:rsidP="00F955A0">
      <w:pPr>
        <w:spacing w:after="240" w:line="340" w:lineRule="atLeast"/>
        <w:rPr>
          <w:rFonts w:eastAsiaTheme="minorEastAsia"/>
          <w:color w:val="7030A0"/>
        </w:rPr>
      </w:pPr>
      <w:r>
        <w:rPr>
          <w:rFonts w:ascii="Arial" w:eastAsia="Arial" w:hAnsi="Arial" w:cs="Arial"/>
        </w:rPr>
        <w:t xml:space="preserve">This brings in to question the fluidity of a school being taught from the leadership team down, or whether it is better to be taught from individual departments up. By having each department decide how their topic is best taught and had a say in what they felt would need to improve within their specific subject area that could then improve the school as a whole, however it would contradict with what the new curriculum, successful futures that is being introduced (Donaldson, 2015). In saying this, it would also be met with some subjects falling behind, and the loss of a sense of unity within the school, and conflict between departments. Through working together and showing unity as educators within a school, this ensures the pupils feel comfortable and can focus on teaching. The bulk of change is bringing its processes into reality (Fullan 2007). </w:t>
      </w:r>
      <w:r w:rsidR="00BF28B7">
        <w:rPr>
          <w:rFonts w:ascii="Arial" w:eastAsia="Arial" w:hAnsi="Arial" w:cs="Arial"/>
        </w:rPr>
        <w:t>Within education it is a cycle of development that can be never ending. Change is inevitable, as a society, people adapt and change to deal with the environment at hand. This is not to say that we should remove the old ways. However, it is an opportunity for assessed that have been working, what is not, and what needs to be done as this is taken forward. As the health and well-being problem grows as suggested by a report by the Welsh government in 2003, schools need to critically evaluate the current plans they have in place and make the changes where necessary to better support pupils. Fullan (2007) suggests that moral purpose and knowledge are the two main drivers of change that stimulate success. Dweck argues that in order to achieve these goals, special consideration needs to be awarded to a growth mindset (2012). Whereas having a positive mental attitude when teaching is crucial to a pupils' development, it is also equally essential that the scaffolding of knowledge is in place to build upon.</w:t>
      </w:r>
    </w:p>
    <w:p w14:paraId="43931D73" w14:textId="77777777" w:rsidR="00BF28B7" w:rsidRDefault="00BF28B7" w:rsidP="00BF28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 xml:space="preserve">Based on an article by Patricia Armstrong (n.d), former assistant director of the centre for teaching, she gives an overview understanding of Benjamin Bloom's taxonomy strand 1956. Bloom's taxonomy was created with four others with the intention of building a framework for categorising educational aims (Armstrong, n.d.) has six major categories within the scheme, knowledge, understanding, application, synthesis, and evaluation. Pupils need to be building on these categories to achieve maximum learning potential. First, the information must be obtained, then they could understand what they have spread, pupils should be able to do this back to their work, analyse what they have written to evaluation, and then it leads to something new. This is then estimated by skills and abilities, with the understanding that knowledge is needed to be able to apply these skills and abilities. According to the national curriculum of wales (2008), The level of challenge pupils experience is different depending on their year group. This should be voiced more by the teacher, so the class knows the level they need to be working towards as well and what work is needed to be produced. </w:t>
      </w:r>
    </w:p>
    <w:p w14:paraId="3BBBB252" w14:textId="2F34C616" w:rsidR="00BF28B7" w:rsidRDefault="00BF28B7" w:rsidP="00BF28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 xml:space="preserve">Every child matters agenda in the UK (HM Government, 2003) highlights the importance within the education system of pupils making a positive contribution, being healthy, staying safe, enjoying and achieving, and achieving economic well-being (McCormick, 2007) with the growing development of technology and the pressures of the work environment it is considered vital that we prepare our pupils within the education system for that many people refer as the 'real world'. This can only be done through nurture and growth within a safe environment, the art room being a perfect location for this. Through art, the pupils have the best chance of being able to express themselves and challenge a different way of thinking in a calm and safe place (Rubin, 1998) from research into this topic differences in schools is pronounced this can be seen </w:t>
      </w:r>
      <w:r>
        <w:rPr>
          <w:rFonts w:ascii="Arial" w:eastAsia="Arial" w:hAnsi="Arial" w:cs="Arial"/>
        </w:rPr>
        <w:t>specifically</w:t>
      </w:r>
      <w:r>
        <w:rPr>
          <w:rFonts w:ascii="Arial" w:eastAsia="Arial" w:hAnsi="Arial" w:cs="Arial"/>
        </w:rPr>
        <w:t xml:space="preserve"> in classroom environments a large number of pupils find it comforting being in the art room itself. It is a place where they feel most comfortable and relaxed. Baring this in mind I believe that with the new curriculum successful futures (2015) puts emphasis on the arts and how they will play a fundamental role in how we educate young learners and better them for their adult life and stressful situations. (Donaldson, 2015)</w:t>
      </w:r>
    </w:p>
    <w:p w14:paraId="262E0ED6" w14:textId="77777777" w:rsidR="00BF28B7" w:rsidRDefault="00BF28B7" w:rsidP="00BF28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By having the pupils use a deeper way of thinking (Armstrong, n.d.) through evaluation themselves a piece of art work, I was then able to ask them the question of why they expressed that opinion to an individual piece of artist work. This then opens the pupils to engage in a conversation within the classroom, that can result in a difference of opinion and learning to then except that of others.</w:t>
      </w:r>
    </w:p>
    <w:p w14:paraId="0EC1E63D" w14:textId="77777777" w:rsidR="00BF28B7" w:rsidRDefault="00BF28B7" w:rsidP="00BF28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The Literacy and Numeracy Framework (LNF) talks about in what way they would like young people to achieve a certain level in literacy, reading and writing. Develop solid reasoning, using number skills, using measuring skills, and using data skills for numeracy (LNF, 2013) whereas Dweck (2012) discusses aiming in the directing of effort rather than ability in pupils' developments. Helping them to understand the importance of taking part and trying rather than giving up purely because they think they cannot (Dweck, 2012) some then criticise this as setting the pupils up to fail. Case Western university formed a study showing that the growth mind-set does not have a massive weight on the effects of academic achievements (Beall, 2018).</w:t>
      </w:r>
    </w:p>
    <w:p w14:paraId="7AFE3B83" w14:textId="77777777" w:rsidR="000503A6" w:rsidRDefault="000503A6" w:rsidP="000503A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Through this investigation, it has been necessary to evaluate first the schools' policy and practice. What has been gathered from the improvement plan are the five key points that the department has emerged and has looked at in detail through all sections. One of these is outlining raising markers across all subjects focusing on development in the core subjects and their outcomes (Appendix 1). Like school X, most schools tend to put much focus on their core subjects. This then means that they tend to lose pupils' effort in the other subjects. Fewer academic achievements within the non-core subjects that are equally important get left behind because of the pressure that is placed on those key subject lessons.</w:t>
      </w:r>
    </w:p>
    <w:p w14:paraId="063E1A63" w14:textId="77777777" w:rsidR="000503A6" w:rsidRDefault="000503A6" w:rsidP="000503A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Furthermore, while these lessons are considered vital for the pupils' future, over emphasis on the core subjects often leaves pupils not well-rounded individuals as the new curriculum and successful futures (2015) requires. Art is needed to help pupils work through their struggles in an open environment (Rubin, 1998). It is then difficult to get pupils involved in any other subject than the core that they emphasise in particular. They may also feel as though they are doing poorly in those areas, there is no hope of life after school, that is a lot of stress to put on a young child.</w:t>
      </w:r>
    </w:p>
    <w:p w14:paraId="79DF0D65" w14:textId="77777777" w:rsidR="004A1222" w:rsidRDefault="004A1222" w:rsidP="000503A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p>
    <w:p w14:paraId="5DB896C2" w14:textId="77777777" w:rsidR="004A1222" w:rsidRDefault="004A1222" w:rsidP="004A1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From doing professional teaching practice in school X, it was observed that within the art room pupils are finding it difficult to learn or retain information regarding artist and artist research. The goal was to enhance the pupils understanding of the artist following the topic.</w:t>
      </w:r>
    </w:p>
    <w:p w14:paraId="0D66ADF9" w14:textId="2D6CCA94" w:rsidR="00F955A0" w:rsidRDefault="004A1222" w:rsidP="004A1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 xml:space="preserve"> In school X, the head of the department has a sheet that they use to help pupils when writing an analysis of an artist piece of work (Appendix 1). It has a list of key words; it answers what an analysis, sentence starters, the task required of them and the aims and objectives of the task is. This was given only if asked and was a lot of black and white writing on one page, and this could be to printing cutbacks within the department. Whatever the reason I felt as though it was not used to its full potential in helping the pupils, there could be more. This also shone a light on much of girls in the class outshining most boys when it came to written assignments, through reading the school policy (Appendix 1) I found little to no policies in school X on closing the gender gap within the department. It is essential that schools not only have a strategic plan, but they follow what has been said. It is all very good to say, 'this is what we intend to do' nerveless if they do not follow what they have said, then there was no point getting the plan in place. A strategic plan not only represents the values ​​held by the staff, but it also gives pupils information about what is expected of them. It gives the school a clear focus and drive for the next four years and how to improve pupils' learning experience for the better. It allows staff to set clear goals and targets and to implement strategies to ensure that the targets are met.</w:t>
      </w:r>
    </w:p>
    <w:p w14:paraId="41A457D9" w14:textId="77777777" w:rsidR="004A1222" w:rsidRPr="004A1222" w:rsidRDefault="004A1222" w:rsidP="004A1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p>
    <w:p w14:paraId="30C91664" w14:textId="77777777" w:rsidR="004A1222" w:rsidRDefault="004A1222" w:rsidP="004A12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 xml:space="preserve">Through using action research this allows educators to evaluate their practice (Kemmis and McTaggert, 2000) this is then looking at the pre, and post-test information to measure the impact of the pupils learning based on the methodology through having a specific intervention. By having the pupils analyse the artwork first, this then showed what they are capable of without support. This comes with limitations such as factors such as pupils' motivation in the subject, timing, and so on impacting the post-test. Kumar (2014) specifies that most action research is realising there is a problem, as a teacher, we then look to how we can make the issue better, or improve the situation. </w:t>
      </w:r>
    </w:p>
    <w:p w14:paraId="61AABF45" w14:textId="77777777" w:rsidR="00BA5407" w:rsidRDefault="00BA5407" w:rsidP="00BA540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This assignments methodology within this investigation consisted of a pre-test, intervention, and a post-test. The pre-test was an artist handout and sheet critiquing a specified piece of work from that artist; their role was to read through the information sheet and then answer the questions based on the work. The aim was to gauge the level of competency of the pupil's ability to analyse a piece of work by an artist based on the handout the department has created. The pupils then had to acknowledge the critical words used when answering the sentence starters provided. These results varied depending on mood, effort, and interest in the artist chosen. Initially, the success criteria to assess the testing against, however, seeing the results of the pre-test I altered the success criteria to include the new success criteria that then had an absolute right or wrong answer. This meant that the information gathered was far more difficult to analyse.</w:t>
      </w:r>
    </w:p>
    <w:p w14:paraId="79D29423" w14:textId="77777777" w:rsidR="00BA5407" w:rsidRDefault="00BA5407" w:rsidP="00BA540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For the intervention section of the research paper, a board game was created where the pupils would competitively make their way across the board answering questions from the artist handouts, with numeracy to challenge their LNF (2013) understanding. They would have an A3 mat on the table with images of a male artists work that they had recently been analysing, they then had a pack which included dice, counters, and questions provided so that they could make their way around the board. If landing on an image of the artists’ work, they must then find the correlating question to that image, and there were also numerical questions to help entice the ones more mathematical inclined (Connell, 2008). The game was a way to grasp all pupils so that everyone could play and understand. Through working as a team, they can help each other to grow and develop. As well as giving the competitive edge to entice both boys' and girls' enthusiasm for artist and their work (Martin A. Monto, 2012).</w:t>
      </w:r>
    </w:p>
    <w:p w14:paraId="2F3B2B25" w14:textId="77777777" w:rsidR="00F955A0" w:rsidRPr="0061410D"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340" w:lineRule="atLeast"/>
        <w:rPr>
          <w:rFonts w:eastAsiaTheme="minorEastAsia"/>
        </w:rPr>
      </w:pPr>
      <w:r w:rsidRPr="0061410D">
        <w:rPr>
          <w:rFonts w:eastAsiaTheme="minorEastAsia"/>
        </w:rPr>
        <w:t xml:space="preserve">When thinking of the groups, try to have mixed ability, and gender, in so that the more able and talented in the group can help the less able through the game. Which would then also give a healthy competitive angle. </w:t>
      </w:r>
    </w:p>
    <w:p w14:paraId="54FECFD3" w14:textId="77777777" w:rsidR="00BA5407" w:rsidRDefault="00BA5407" w:rsidP="00BA540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 xml:space="preserve">When thinking of the groups, try to have mixed ability, and gender, in so that the more able and talented in the group can help the less able through the game, which would then also give a healthy competitive angle. </w:t>
      </w:r>
    </w:p>
    <w:p w14:paraId="4E77A6D8" w14:textId="77777777" w:rsidR="00BA5407" w:rsidRDefault="00BA5407" w:rsidP="00BA540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McCormick (2007) comments on how pupils learn and what we learn, and how a majority of this becomes irrelevant when we leave education, my hope was to make it, so they understood how evaluating a piece of art work, or an artist can then stretch into not only other subjects but also critically analysing and opening their thought process to a deeper thinking (Armstrong, n.d.) This is transferred to the classroom and put in to practice (Gershon, 2018) by looking at what activates can better the lessons themselves and help gage the pupils understanding through assessment and questioning. Within the new curriculum (Donaldson, 2015) there is a lot of emphasis on making sure that all young people can benefit from their education, and that it is adapted to fit their personal needs within the system. Taking into consideration the importance of the LNF (2013), a game was created to encourage pupils in school X to look at learning from a different angle. This way, there are aspects of competitiveness, excitement, enthusiasm, and hopefully, they are retaining some of the information. There was a simple premise for the game whereas a team within their groups they could help one and other, and in doing so, the pupils would be enhancing their competences to becoming well rounded learners. This would then appeal to the boys in the class so that they then would then participate in the art lesson (Connell, 2005)</w:t>
      </w:r>
    </w:p>
    <w:p w14:paraId="000E0D52" w14:textId="77777777" w:rsidR="00BA5407" w:rsidRDefault="00BA5407" w:rsidP="00BA540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 xml:space="preserve">A post-test came from the game that was used as the intervention. The questions I had made into cards for the game initially, I then created a sheet of paper with space for the pupils to answer with the same questions on that sheet. This was a simple way of gauging whether, or not the intervention had succeeded, and if the pupils could remember the questions well enough to answer the handout. </w:t>
      </w:r>
    </w:p>
    <w:p w14:paraId="3621A8C7" w14:textId="77777777" w:rsidR="00BA5407" w:rsidRDefault="00BA5407" w:rsidP="00BA540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The evaluation of the investigation, when looking at the pre-test is, having a variety of images of the artist's work was useful in helping the pupils to visualise and choose their piece they wanted to analyse however, the extent of each writing piece was too extensive for the hour lesson, and many did not answer the last few questions which effected their overall mark. If I were to do this again I would have the first half of the lesson pupils answering the questions, then the other half, or maybe even in the next lesson I could have the pupils answering the questions as group discussion format (Wiliam, 1998) where the pupils can give their opinions and critique each other's work as Dylan Wiliam (1998) suggests. This would then help the pupils to understand themselves, through discussion how they can evaluate a piece of work by an artist.</w:t>
      </w:r>
    </w:p>
    <w:p w14:paraId="564412A8" w14:textId="77777777" w:rsidR="00BA5407" w:rsidRDefault="00BA5407" w:rsidP="00BA540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p>
    <w:p w14:paraId="23E6547D" w14:textId="77777777" w:rsidR="00BA5407" w:rsidRDefault="00BA5407" w:rsidP="00BA540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 xml:space="preserve">With the intervention, the class became lost due to school activities and therefore had to discard a lot of the information to make the investigation truthful. The pupils that were available found this part different and entertaining, and once we had gone through the success criteria as a class and they were left in their groups to continue with the game, it seemed to work. The class was then observed in a circle as the game went on, making sure conversation was based on the lesson and not what had happened during break or lunchtime. Asking pupils questions that they had previously answered based on where they landed on the board, most were able to give the correct answer they had found. Many of the pupils enjoyed the competitive aspect and did not realise that they were, in fact, learning about the artist (Connell, 2008). If this intervention were to be done again, the pupils would be encouraged to write or highlight the correct answers they found from their artist handouts, this would then give reassurance that they were all working together to find the correct answer, and not just one finding the information and feeding this back to the rest of the group. (Wiliam, 1998) </w:t>
      </w:r>
    </w:p>
    <w:p w14:paraId="5D162BFB" w14:textId="7106909A" w:rsidR="00F955A0" w:rsidRPr="0061410D"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1F4D78" w:themeColor="accent5" w:themeShade="7F"/>
        </w:rPr>
      </w:pPr>
    </w:p>
    <w:p w14:paraId="067C39C0" w14:textId="77777777" w:rsidR="00BA5407" w:rsidRDefault="00BA5407" w:rsidP="00BA540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The post-test, with regards to the intervention seemed to work. Using the scaffolding (Vygotsky, 1934/1978) from the intervention, I then used the questions form the game created to make a handout that the pupils could then answer, and the questions were the same, the format of how they were presented was different. It was found that the pupils did not realise that they were the same questions form the last lesson because of how they were laid out (Lytton, 1971). When they saw a sheet of paper with writing and empty spaces the pupils immediately reacted negatively towards the task, this the solidified the notion of needing to create more enticing ways of teaching the pupils and not having them dread or worry about writing tasks within the classroom, which is in line with Addison and Burgess (2003) ideas on how art and design is taught, and the need for a positive mind-set (Dweck, 2012). The National Curriculum (Government, 2013) outlines the need for literacy and numeracy in all classrooms. However, there must be a way of making it a more enjoyable experience for pupils so that they do not avoid it at all costs.</w:t>
      </w:r>
    </w:p>
    <w:p w14:paraId="1CE30210" w14:textId="77777777" w:rsidR="00F955A0" w:rsidRPr="0061410D"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1F4D78" w:themeColor="accent5" w:themeShade="7F"/>
          <w:u w:val="single"/>
        </w:rPr>
      </w:pPr>
    </w:p>
    <w:p w14:paraId="74CBA379" w14:textId="77777777" w:rsidR="00BA5407" w:rsidRDefault="00BA5407" w:rsidP="00BA540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Arial" w:hAnsi="Arial" w:cs="Arial"/>
        </w:rPr>
      </w:pPr>
      <w:r>
        <w:rPr>
          <w:rFonts w:ascii="Arial" w:eastAsia="Arial" w:hAnsi="Arial" w:cs="Arial"/>
        </w:rPr>
        <w:t xml:space="preserve">Based on the researcher projects findings and the results, the investigation seemed to work. However, by having an uneven number of pupils willing and able to take part in the investigation, there were eight boys and seven girls. The uncertainties with the number of pupils and even number between gender then outweigh the confidence in the results given. Because of the unevenness within the boy-girl ratio, this then has made gaging the class development difficult. However, individual pupils' development was tracked, on average most pupils did far better in the post-test to compare with the pre-test in the first lesson. This includes the boys attaining higher marks (Estyn, 2008). </w:t>
      </w:r>
    </w:p>
    <w:p w14:paraId="4A59240E" w14:textId="77777777" w:rsidR="00EE1CDC" w:rsidRDefault="00EE1CDC"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000000" w:themeColor="text1"/>
        </w:rPr>
      </w:pPr>
    </w:p>
    <w:p w14:paraId="64CFE7F5" w14:textId="77777777" w:rsidR="00EE1CDC" w:rsidRDefault="00EE1CDC"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000000" w:themeColor="text1"/>
        </w:rPr>
      </w:pPr>
    </w:p>
    <w:p w14:paraId="1702A030" w14:textId="77777777" w:rsidR="00EE1CDC" w:rsidRPr="0061410D" w:rsidRDefault="00EE1CDC"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000000" w:themeColor="text1"/>
        </w:rPr>
      </w:pPr>
    </w:p>
    <w:p w14:paraId="727C29FE" w14:textId="6BA3E2C2" w:rsidR="00F955A0" w:rsidRPr="0061410D" w:rsidRDefault="00EE1CDC"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000000" w:themeColor="text1"/>
        </w:rPr>
      </w:pPr>
      <w:r>
        <w:rPr>
          <w:noProof/>
          <w:lang w:val="en-US"/>
        </w:rPr>
        <w:drawing>
          <wp:inline distT="0" distB="0" distL="0" distR="0" wp14:anchorId="093F2F15" wp14:editId="60BB2D39">
            <wp:extent cx="6223635" cy="3846629"/>
            <wp:effectExtent l="0" t="0" r="24765" b="1460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22D257D" w14:textId="77777777" w:rsidR="00B71381" w:rsidRPr="0061410D" w:rsidRDefault="00B71381"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Calibri" w:cs="Calibri"/>
          <w:color w:val="000000" w:themeColor="text1"/>
        </w:rPr>
      </w:pPr>
    </w:p>
    <w:p w14:paraId="3526FF7F" w14:textId="77777777" w:rsidR="00BA5407" w:rsidRDefault="00BA5407" w:rsidP="00BA5407">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360" w:lineRule="auto"/>
        <w:rPr>
          <w:rFonts w:ascii="Arial" w:eastAsia="Arial" w:hAnsi="Arial" w:cs="Arial"/>
        </w:rPr>
      </w:pPr>
      <w:r>
        <w:rPr>
          <w:rFonts w:ascii="Arial" w:eastAsia="Arial" w:hAnsi="Arial" w:cs="Arial"/>
        </w:rPr>
        <w:t xml:space="preserve">From the table above it can be seen that all pupils did better on the post-test. Pupils 1,5,8,9,11,13, and 15 were female. Pupils 2,3,4,6,7,10,12, and 14 were male. </w:t>
      </w:r>
    </w:p>
    <w:p w14:paraId="34247C49" w14:textId="77777777" w:rsidR="00BA5407" w:rsidRDefault="00BA5407" w:rsidP="00BA5407">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360" w:lineRule="auto"/>
        <w:rPr>
          <w:rFonts w:ascii="Arial" w:eastAsia="Arial" w:hAnsi="Arial" w:cs="Arial"/>
        </w:rPr>
      </w:pPr>
      <w:r>
        <w:rPr>
          <w:rFonts w:ascii="Arial" w:eastAsia="Arial" w:hAnsi="Arial" w:cs="Arial"/>
        </w:rPr>
        <w:t>Through the outcomes of the pre, and post-test indicate that, either the pre-test was too challenging for many of the pupils, or that the intervention used was a successful way of improving the pupils understanding through the means of using competition and peer learning (Wiliam, 1998).</w:t>
      </w:r>
    </w:p>
    <w:p w14:paraId="6F06BDDD" w14:textId="70AEC131" w:rsidR="00BA5407" w:rsidRDefault="00BA5407" w:rsidP="00BA5407">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360" w:lineRule="auto"/>
        <w:rPr>
          <w:rFonts w:ascii="Arial" w:eastAsia="Arial" w:hAnsi="Arial" w:cs="Arial"/>
        </w:rPr>
      </w:pPr>
      <w:r>
        <w:rPr>
          <w:rFonts w:ascii="Arial" w:eastAsia="Arial" w:hAnsi="Arial" w:cs="Arial"/>
        </w:rPr>
        <w:t>In saying this with regards to the pre-test and post-test the connection between the both is far too vague and because of this the results cannot determine whether the pupils understood the main objective, purely because the main objective was unclear. If the investigation were to hold a higher value with regards to understanding the pupils learning, it would be possible to adjust either the pre</w:t>
      </w:r>
      <w:r>
        <w:rPr>
          <w:rFonts w:ascii="Arial" w:eastAsia="Arial" w:hAnsi="Arial" w:cs="Arial"/>
        </w:rPr>
        <w:t>,</w:t>
      </w:r>
      <w:r>
        <w:rPr>
          <w:rFonts w:ascii="Arial" w:eastAsia="Arial" w:hAnsi="Arial" w:cs="Arial"/>
        </w:rPr>
        <w:t xml:space="preserve"> or post-test to gage a more precise outcome.  </w:t>
      </w:r>
    </w:p>
    <w:p w14:paraId="70819825" w14:textId="77777777" w:rsidR="00BA5407" w:rsidRDefault="00BA5407" w:rsidP="00BA5407">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360" w:lineRule="auto"/>
        <w:rPr>
          <w:rFonts w:ascii="Arial" w:eastAsia="Arial" w:hAnsi="Arial" w:cs="Arial"/>
        </w:rPr>
      </w:pPr>
      <w:r>
        <w:rPr>
          <w:rFonts w:ascii="Arial" w:eastAsia="Arial" w:hAnsi="Arial" w:cs="Arial"/>
        </w:rPr>
        <w:t xml:space="preserve">In conclusion, this essay found that through the game created boys were more competitive and so had more drive to answer the questions to gain points (Connell, 2008) in knowing this I created mixed groups so that the girls could productively push the boy's competitiveness. If I were to do this investigation again I would have a variety of groups, for example one group all female, one male, and one mixed to evaluate the development of each group, and if havening that variety of groups to assess the if the outcomes would be beneficial for development and learning (Connell, 2005). I felt like the investigation did not work due to the lack of variety within groups and the inconsistency between pre, and post-testing. If I were to change either the pre-test, post-test, and the length of lessons in which it was presented to the pupils I feel as though the game aspect of introducing the artist to the pupils was not only innovative and creative. It also gave the pupils an understanding of that artist without realising they were even learning. However, I feel as though there needed to be more time for pupils to discuss after each lesson (Wiliam, 1998) to measure their full understanding of the tasks and the information they had retained. The thinking process did not work not long term (Armstrong, n.d.) but slightly short term, in the circumstances they remembered the answer at the moment because they needed to so that they could get the mark and answer the question. Whereas if asked in the next lessons the same question, perhaps they would not know the answer. By taking what really could have been a series of lessons over a term, and condensing them down to three to four lessons this then takes away from gauging the pupils real understanding of the subject (Government, 2008). With most things creative, it is better to have more time rather than less to focus on the task at hand. Through my findings, I have discovered that within art, there is never enough time to get all the things desired finished to a high standard. </w:t>
      </w:r>
    </w:p>
    <w:p w14:paraId="1C3765CB" w14:textId="77777777" w:rsidR="00BA5407" w:rsidRDefault="00BA5407" w:rsidP="00BA5407">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360" w:lineRule="auto"/>
        <w:rPr>
          <w:rFonts w:ascii="Arial" w:eastAsia="Arial" w:hAnsi="Arial" w:cs="Arial"/>
        </w:rPr>
      </w:pPr>
      <w:r>
        <w:rPr>
          <w:rFonts w:ascii="Arial" w:eastAsia="Arial" w:hAnsi="Arial" w:cs="Arial"/>
        </w:rPr>
        <w:t>Based on the limitations and the design of the research, I do not know how transferable this is to other subjects, or in other schools. Criticism with peer learning and marking based on Dylan Wiliams (1998) from walking around the classroom and listening as the pupils played the game, from what I heard they were working together with a healthy competition to answer the questions. However, I do not know if when unsupervised, the pupils continued to work as a group, rather one pupil did all the work as the other sat back idle. Furthermore, defeating the object of all pupils being amerced in the aspects of the game.</w:t>
      </w:r>
    </w:p>
    <w:p w14:paraId="4CB5DAD9" w14:textId="0709DCB1" w:rsidR="00BA5407" w:rsidRDefault="00BA5407" w:rsidP="00BA5407">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360" w:lineRule="auto"/>
        <w:rPr>
          <w:rFonts w:ascii="Arial" w:eastAsia="Arial" w:hAnsi="Arial" w:cs="Arial"/>
        </w:rPr>
      </w:pPr>
      <w:r>
        <w:rPr>
          <w:rFonts w:ascii="Arial" w:eastAsia="Arial" w:hAnsi="Arial" w:cs="Arial"/>
        </w:rPr>
        <w:t xml:space="preserve">Illeris (2007) discusses how A child's brain must developed generally in the areas that play a part in certain aspects of learning, acalculia, the ability to perform simple calculations. This then makes it </w:t>
      </w:r>
      <w:r w:rsidR="00A162C5">
        <w:rPr>
          <w:rFonts w:ascii="Arial" w:eastAsia="Arial" w:hAnsi="Arial" w:cs="Arial"/>
        </w:rPr>
        <w:t>challenging</w:t>
      </w:r>
      <w:r>
        <w:rPr>
          <w:rFonts w:ascii="Arial" w:eastAsia="Arial" w:hAnsi="Arial" w:cs="Arial"/>
        </w:rPr>
        <w:t xml:space="preserve"> to integrate questions that relate to the LNF (Government, 2013) if the pupil feels embarrassed for not being able to answer questions that some might find in the group easier. Or a physical problem could hinder a pupils' ability to concentrate or communicate, the body must be balanced to focus on tasks within the environment rather than these issues taking all their energy to become engaged when they are battling hunger or tiredness (Illeris, 2007) making taking part in the activity stressful rather than a learning experience.</w:t>
      </w:r>
    </w:p>
    <w:p w14:paraId="63F65427" w14:textId="1CEA1824" w:rsidR="00BA5407" w:rsidRDefault="00BA5407" w:rsidP="00BA5407">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360" w:lineRule="auto"/>
        <w:rPr>
          <w:rFonts w:ascii="Arial" w:eastAsia="Arial" w:hAnsi="Arial" w:cs="Arial"/>
        </w:rPr>
      </w:pPr>
      <w:r>
        <w:rPr>
          <w:rFonts w:ascii="Arial" w:eastAsia="Arial" w:hAnsi="Arial" w:cs="Arial"/>
        </w:rPr>
        <w:t>We need to consider ethics within our practice and investigation to know that what we are evaluating is ethically sound of any immoralities, and so that the pupils are with safe hands. Therefore</w:t>
      </w:r>
      <w:r>
        <w:rPr>
          <w:rFonts w:ascii="Arial" w:eastAsia="Arial" w:hAnsi="Arial" w:cs="Arial"/>
        </w:rPr>
        <w:t>,</w:t>
      </w:r>
      <w:r>
        <w:rPr>
          <w:rFonts w:ascii="Arial" w:eastAsia="Arial" w:hAnsi="Arial" w:cs="Arial"/>
        </w:rPr>
        <w:t xml:space="preserve"> understanding that being thorough when accommodation </w:t>
      </w:r>
      <w:r w:rsidR="00A162C5">
        <w:rPr>
          <w:rFonts w:ascii="Arial" w:eastAsia="Arial" w:hAnsi="Arial" w:cs="Arial"/>
        </w:rPr>
        <w:t>pupils’</w:t>
      </w:r>
      <w:r>
        <w:rPr>
          <w:rFonts w:ascii="Arial" w:eastAsia="Arial" w:hAnsi="Arial" w:cs="Arial"/>
        </w:rPr>
        <w:t xml:space="preserve"> needs are vital for their overall development (Illeris, 2007). School X works off a two-week timetable which makes the consistency of the subject lessons painful and loses a sense of routine within the structure of the weeks, by varying the time of day, lesson. This varies the willingness of the pupils to learn, and or absorb any information given to them.</w:t>
      </w:r>
    </w:p>
    <w:p w14:paraId="0A8CD3AD" w14:textId="723F34E9" w:rsidR="00BA5407" w:rsidRDefault="00BA5407" w:rsidP="00BA5407">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360" w:lineRule="auto"/>
        <w:rPr>
          <w:rFonts w:ascii="Arial" w:eastAsia="Arial" w:hAnsi="Arial" w:cs="Arial"/>
        </w:rPr>
      </w:pPr>
      <w:r>
        <w:rPr>
          <w:rFonts w:ascii="Arial" w:eastAsia="Arial" w:hAnsi="Arial" w:cs="Arial"/>
        </w:rPr>
        <w:t xml:space="preserve">By being a researcher and teacher, it is vital knowing where to draw the line when in the classroom (Bera, 2018). By knowing the participants, it is both a positive and negating attribute, and it can often lead to the investigation being more flexible and by getting too involved can make the teacher forget the purpose of the research in the first place. The research role should inform our teaching role, be aware by being a teacher and researcher that we do not impose on the pupils. Allow them to opt out of the investigation either coming to speak to me quietly, after the lesson or with a not so that it does not indicate a power relationship in any way. This is how some pupils chose to opt out of this investigation within the class. </w:t>
      </w:r>
      <w:r w:rsidR="00A162C5">
        <w:rPr>
          <w:rFonts w:ascii="Arial" w:eastAsia="Arial" w:hAnsi="Arial" w:cs="Arial"/>
        </w:rPr>
        <w:t>Also,</w:t>
      </w:r>
      <w:r>
        <w:rPr>
          <w:rFonts w:ascii="Arial" w:eastAsia="Arial" w:hAnsi="Arial" w:cs="Arial"/>
        </w:rPr>
        <w:t xml:space="preserve"> I was not able to use some findings due to inconsistency within the lesson, for example, pupils having sports, or other school activities to attend making for gaps in their work. By choosing one group of pupils as a 'control class' this could then give disadvantage to other classes of that year group (Bera, 2018) to make this ethically sound the scheme was thought throughout the year group, and only one was choosing to be the study (Kumar, 2014). By using a pre, and post-test I can measure a direct measurement of change however, my pre-test was too varied for my post-test to have a precise measurement of depth of the pupils understanding. The variation within the study population also varied due to the loss of pupils because of unforeseen circumstances. The dependent variable was then effected by the independent variable, such as change of classroom, and the time of day in which the lesson was thought then affecting the mood of the pupil, and the atmosphere of the room.  </w:t>
      </w:r>
    </w:p>
    <w:p w14:paraId="7AC6CB40" w14:textId="77777777" w:rsidR="00A162C5" w:rsidRDefault="00A162C5" w:rsidP="00A162C5">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360" w:lineRule="auto"/>
        <w:rPr>
          <w:rFonts w:ascii="Arial" w:eastAsia="Arial" w:hAnsi="Arial" w:cs="Arial"/>
        </w:rPr>
      </w:pPr>
      <w:r>
        <w:rPr>
          <w:rFonts w:ascii="Arial" w:eastAsia="Arial" w:hAnsi="Arial" w:cs="Arial"/>
        </w:rPr>
        <w:t xml:space="preserve">The timetable in school X was on a two-week basis. I was only able to see the pupils once a week, depending on the timetable it would either be an end of day on a Friday lesson or at the start of the week before lunch. This meant I had very different attitudes coming into the lesson and the pupils work ethic was lacking depending on the week (Wiliam, 1998). There was no routine within my lessons with the pupils, having this 'hit or miss.' aspect of learning meant that the information I was gathering could be affected by the lesson timeslot and this could have influenced the pupil's abilities that day.  A low percentage of pupils are on free school meals in school X, although some of the pupils have a challenging background (Rubin, 1998). This can affect their school life due to lack of support, the home life of the individuals, and financial situation, leaving pupils to go without food. Some pupils had to be excluded from the investigation due to extracurricular activities within the school. i.e. netball, rugby, and hockey games being held away in various locations meaning that a few pupils were not present for either the pre-test, post-test, or the in intervention that took place. </w:t>
      </w:r>
    </w:p>
    <w:p w14:paraId="69ABBB40" w14:textId="77777777" w:rsidR="00C607B3" w:rsidRPr="00C607B3" w:rsidRDefault="00C607B3"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Cs/>
          <w:color w:val="000000" w:themeColor="text1"/>
        </w:rPr>
      </w:pPr>
    </w:p>
    <w:p w14:paraId="1F58709D"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
          <w:bCs/>
          <w:color w:val="7030A0"/>
          <w:lang w:val="en-US"/>
        </w:rPr>
      </w:pPr>
    </w:p>
    <w:p w14:paraId="61422783" w14:textId="77777777" w:rsidR="0094604E" w:rsidRDefault="0094604E"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
          <w:bCs/>
          <w:color w:val="7030A0"/>
          <w:lang w:val="en-US"/>
        </w:rPr>
      </w:pPr>
    </w:p>
    <w:p w14:paraId="29B2B05F" w14:textId="77777777" w:rsidR="0094604E" w:rsidRDefault="0094604E"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
          <w:bCs/>
          <w:color w:val="7030A0"/>
          <w:lang w:val="en-US"/>
        </w:rPr>
      </w:pPr>
    </w:p>
    <w:p w14:paraId="37703EDA" w14:textId="77777777" w:rsidR="00A162C5" w:rsidRDefault="00A162C5"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
          <w:bCs/>
          <w:color w:val="7030A0"/>
          <w:lang w:val="en-US"/>
        </w:rPr>
      </w:pPr>
    </w:p>
    <w:p w14:paraId="6827FA8C" w14:textId="77777777" w:rsidR="00A162C5" w:rsidRDefault="00A162C5"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
          <w:bCs/>
          <w:color w:val="7030A0"/>
          <w:lang w:val="en-US"/>
        </w:rPr>
      </w:pPr>
    </w:p>
    <w:p w14:paraId="60C3C664" w14:textId="77777777" w:rsidR="00A162C5" w:rsidRDefault="00A162C5"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
          <w:bCs/>
          <w:color w:val="7030A0"/>
          <w:lang w:val="en-US"/>
        </w:rPr>
      </w:pPr>
    </w:p>
    <w:p w14:paraId="519EDBFE" w14:textId="77777777" w:rsidR="00A162C5" w:rsidRDefault="00A162C5"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
          <w:bCs/>
          <w:color w:val="7030A0"/>
          <w:lang w:val="en-US"/>
        </w:rPr>
      </w:pPr>
    </w:p>
    <w:p w14:paraId="47250753" w14:textId="77777777" w:rsidR="0094604E" w:rsidRDefault="0094604E"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
          <w:bCs/>
          <w:color w:val="7030A0"/>
          <w:lang w:val="en-US"/>
        </w:rPr>
      </w:pPr>
    </w:p>
    <w:p w14:paraId="7296DAAF" w14:textId="77777777" w:rsidR="0094604E" w:rsidRDefault="0094604E"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Arial"/>
          <w:b/>
          <w:bCs/>
          <w:color w:val="7030A0"/>
          <w:lang w:val="en-US"/>
        </w:rPr>
      </w:pPr>
    </w:p>
    <w:p w14:paraId="1EE4EFE8" w14:textId="77777777" w:rsidR="00F955A0" w:rsidRDefault="00F955A0" w:rsidP="00F955A0">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40" w:lineRule="atLeast"/>
        <w:rPr>
          <w:rFonts w:cs="Times"/>
          <w:color w:val="000000" w:themeColor="text1"/>
          <w:u w:val="single"/>
          <w:lang w:val="en-US"/>
        </w:rPr>
      </w:pPr>
      <w:r>
        <w:rPr>
          <w:rFonts w:cs="Arial"/>
          <w:b/>
          <w:bCs/>
          <w:color w:val="000000" w:themeColor="text1"/>
          <w:u w:val="single"/>
          <w:lang w:val="en-US"/>
        </w:rPr>
        <w:t xml:space="preserve">Appendices </w:t>
      </w:r>
    </w:p>
    <w:p w14:paraId="4FD46BF3" w14:textId="77777777" w:rsidR="00F955A0" w:rsidRDefault="00F955A0" w:rsidP="00F955A0">
      <w:pPr>
        <w:pStyle w:val="ListParagraph"/>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imes New Roman"/>
          <w:lang w:val="en-US"/>
        </w:rPr>
      </w:pPr>
      <w:r>
        <w:rPr>
          <w:rFonts w:eastAsia="Times New Roman" w:cs="Times New Roman"/>
          <w:color w:val="000000"/>
        </w:rPr>
        <w:t>Cynllun ysgol X (school improvement plan)</w:t>
      </w:r>
    </w:p>
    <w:p w14:paraId="233E2CDC" w14:textId="77777777" w:rsidR="00F955A0" w:rsidRDefault="00F955A0" w:rsidP="00F955A0">
      <w:pPr>
        <w:pStyle w:val="ListParagraph"/>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t>Ysfrifennu Dadansoddiad taflen (writing an analysis sheet)</w:t>
      </w:r>
    </w:p>
    <w:p w14:paraId="234BB6C3" w14:textId="77777777" w:rsidR="00F955A0" w:rsidRDefault="00F955A0" w:rsidP="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lang w:val="en-US"/>
        </w:rPr>
      </w:pPr>
    </w:p>
    <w:sdt>
      <w:sdtPr>
        <w:rPr>
          <w:rFonts w:asciiTheme="minorHAnsi" w:eastAsiaTheme="minorHAnsi" w:hAnsiTheme="minorHAnsi" w:cstheme="minorBidi"/>
          <w:b w:val="0"/>
          <w:bCs w:val="0"/>
          <w:color w:val="auto"/>
          <w:sz w:val="24"/>
          <w:szCs w:val="24"/>
          <w:lang w:val="cy-GB" w:bidi="ar-SA"/>
        </w:rPr>
        <w:id w:val="-264930074"/>
        <w:docPartObj>
          <w:docPartGallery w:val="Bibliographies"/>
          <w:docPartUnique/>
        </w:docPartObj>
      </w:sdtPr>
      <w:sdtEndPr>
        <w:rPr>
          <w:lang w:val="en-GB"/>
        </w:rPr>
      </w:sdtEndPr>
      <w:sdtContent>
        <w:p w14:paraId="2AAF0B37" w14:textId="77777777" w:rsidR="00F955A0" w:rsidRDefault="00F955A0" w:rsidP="00F955A0">
          <w:pPr>
            <w:pStyle w:val="Heading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olor w:val="auto"/>
              <w:sz w:val="24"/>
              <w:szCs w:val="24"/>
            </w:rPr>
          </w:pPr>
          <w:r w:rsidRPr="0094604E">
            <w:rPr>
              <w:rFonts w:asciiTheme="minorHAnsi" w:hAnsiTheme="minorHAnsi"/>
              <w:color w:val="auto"/>
              <w:sz w:val="24"/>
              <w:szCs w:val="24"/>
            </w:rPr>
            <w:t>Bibliography</w:t>
          </w:r>
        </w:p>
        <w:p w14:paraId="030C45E8" w14:textId="77777777" w:rsidR="0094604E" w:rsidRPr="0094604E" w:rsidRDefault="0094604E" w:rsidP="0094604E">
          <w:pPr>
            <w:rPr>
              <w:lang w:val="en-US" w:bidi="en-US"/>
            </w:rPr>
          </w:pPr>
        </w:p>
        <w:sdt>
          <w:sdtPr>
            <w:id w:val="111145805"/>
            <w:bibliography/>
          </w:sdtPr>
          <w:sdtEndPr/>
          <w:sdtContent>
            <w:p w14:paraId="43C548EB" w14:textId="77777777" w:rsidR="00A162C5" w:rsidRDefault="00F955A0" w:rsidP="00A162C5">
              <w:pPr>
                <w:pStyle w:val="Bibliography"/>
                <w:rPr>
                  <w:noProof/>
                </w:rPr>
              </w:pPr>
              <w:r>
                <w:fldChar w:fldCharType="begin"/>
              </w:r>
              <w:r>
                <w:instrText xml:space="preserve"> BIBLIOGRAPHY </w:instrText>
              </w:r>
              <w:r>
                <w:fldChar w:fldCharType="separate"/>
              </w:r>
              <w:r w:rsidR="00A162C5">
                <w:rPr>
                  <w:noProof/>
                </w:rPr>
                <w:t xml:space="preserve">Addison, n. &amp;. B. L., 2003. </w:t>
              </w:r>
              <w:r w:rsidR="00A162C5">
                <w:rPr>
                  <w:i/>
                  <w:iCs/>
                  <w:noProof/>
                </w:rPr>
                <w:t xml:space="preserve">Issues in art and design teaching. </w:t>
              </w:r>
              <w:r w:rsidR="00A162C5">
                <w:rPr>
                  <w:noProof/>
                </w:rPr>
                <w:t>london: RoutledgeFalmer.</w:t>
              </w:r>
            </w:p>
            <w:p w14:paraId="028B4A26" w14:textId="77777777" w:rsidR="00A162C5" w:rsidRDefault="00A162C5" w:rsidP="00A162C5">
              <w:pPr>
                <w:pStyle w:val="Bibliography"/>
                <w:rPr>
                  <w:noProof/>
                </w:rPr>
              </w:pPr>
              <w:r>
                <w:rPr>
                  <w:noProof/>
                </w:rPr>
                <w:t xml:space="preserve">Armstrong, P., n.d. </w:t>
              </w:r>
              <w:r>
                <w:rPr>
                  <w:i/>
                  <w:iCs/>
                  <w:noProof/>
                </w:rPr>
                <w:t xml:space="preserve">Bloom's Taxonomy. </w:t>
              </w:r>
              <w:r>
                <w:rPr>
                  <w:noProof/>
                </w:rPr>
                <w:t xml:space="preserve">[Online] </w:t>
              </w:r>
              <w:r>
                <w:rPr>
                  <w:noProof/>
                </w:rPr>
                <w:br/>
                <w:t xml:space="preserve">Available at: </w:t>
              </w:r>
              <w:r>
                <w:rPr>
                  <w:noProof/>
                  <w:u w:val="single"/>
                </w:rPr>
                <w:t>https://cft.vanderbilt.edu/guides-sub-pages/blooms-taxonomy/</w:t>
              </w:r>
              <w:r>
                <w:rPr>
                  <w:noProof/>
                </w:rPr>
                <w:br/>
                <w:t>[Accessed 25 april 2019].</w:t>
              </w:r>
            </w:p>
            <w:p w14:paraId="34A84110" w14:textId="77777777" w:rsidR="00A162C5" w:rsidRDefault="00A162C5" w:rsidP="00A162C5">
              <w:pPr>
                <w:pStyle w:val="Bibliography"/>
                <w:rPr>
                  <w:noProof/>
                </w:rPr>
              </w:pPr>
              <w:r>
                <w:rPr>
                  <w:noProof/>
                </w:rPr>
                <w:t xml:space="preserve">Beall, A., 2018. </w:t>
              </w:r>
              <w:r>
                <w:rPr>
                  <w:i/>
                  <w:iCs/>
                  <w:noProof/>
                </w:rPr>
                <w:t xml:space="preserve">The growth minset, which has become hugely popular theory for how we educate our children, might be a psychological mirage. </w:t>
              </w:r>
              <w:r>
                <w:rPr>
                  <w:noProof/>
                </w:rPr>
                <w:t xml:space="preserve">[Online] </w:t>
              </w:r>
              <w:r>
                <w:rPr>
                  <w:noProof/>
                </w:rPr>
                <w:br/>
                <w:t xml:space="preserve">Available at: </w:t>
              </w:r>
              <w:r>
                <w:rPr>
                  <w:noProof/>
                  <w:u w:val="single"/>
                </w:rPr>
                <w:t>https://www.wired.co.uk/article/growth-mindset-education-psychological-theory-children-mirage</w:t>
              </w:r>
              <w:r>
                <w:rPr>
                  <w:noProof/>
                </w:rPr>
                <w:br/>
                <w:t>[Accessed 15 may 2019].</w:t>
              </w:r>
            </w:p>
            <w:p w14:paraId="35D4D191" w14:textId="77777777" w:rsidR="00A162C5" w:rsidRDefault="00A162C5" w:rsidP="00A162C5">
              <w:pPr>
                <w:pStyle w:val="Bibliography"/>
                <w:rPr>
                  <w:noProof/>
                </w:rPr>
              </w:pPr>
              <w:r>
                <w:rPr>
                  <w:noProof/>
                </w:rPr>
                <w:t xml:space="preserve">Burgess, N. A. a. L., 2015. </w:t>
              </w:r>
              <w:r>
                <w:rPr>
                  <w:i/>
                  <w:iCs/>
                  <w:noProof/>
                </w:rPr>
                <w:t xml:space="preserve">Learning to Teach Art and Design in the Secondary School. </w:t>
              </w:r>
              <w:r>
                <w:rPr>
                  <w:noProof/>
                </w:rPr>
                <w:t>3rd Edition ed. London: Routledge.</w:t>
              </w:r>
            </w:p>
            <w:p w14:paraId="40786E7C" w14:textId="77777777" w:rsidR="00A162C5" w:rsidRDefault="00A162C5" w:rsidP="00A162C5">
              <w:pPr>
                <w:pStyle w:val="Bibliography"/>
                <w:rPr>
                  <w:noProof/>
                </w:rPr>
              </w:pPr>
              <w:r>
                <w:rPr>
                  <w:noProof/>
                </w:rPr>
                <w:t xml:space="preserve">Butler, J., 2004. </w:t>
              </w:r>
              <w:r>
                <w:rPr>
                  <w:i/>
                  <w:iCs/>
                  <w:noProof/>
                </w:rPr>
                <w:t xml:space="preserve">Undoing Gender. </w:t>
              </w:r>
              <w:r>
                <w:rPr>
                  <w:noProof/>
                </w:rPr>
                <w:t>1st Edition ed. New York: Routledge.</w:t>
              </w:r>
            </w:p>
            <w:p w14:paraId="67335779" w14:textId="77777777" w:rsidR="00A162C5" w:rsidRDefault="00A162C5" w:rsidP="00A162C5">
              <w:pPr>
                <w:pStyle w:val="Bibliography"/>
                <w:rPr>
                  <w:noProof/>
                </w:rPr>
              </w:pPr>
              <w:r>
                <w:rPr>
                  <w:noProof/>
                </w:rPr>
                <w:t xml:space="preserve">Cary, B., 2014. </w:t>
              </w:r>
              <w:r>
                <w:rPr>
                  <w:i/>
                  <w:iCs/>
                  <w:noProof/>
                </w:rPr>
                <w:t xml:space="preserve">How We Learn: The surprising Truth About When, Where, and Why it Happens. </w:t>
              </w:r>
              <w:r>
                <w:rPr>
                  <w:noProof/>
                </w:rPr>
                <w:t>1st Edition ed. New York: Random House.</w:t>
              </w:r>
            </w:p>
            <w:p w14:paraId="37AFA149" w14:textId="77777777" w:rsidR="00A162C5" w:rsidRDefault="00A162C5" w:rsidP="00A162C5">
              <w:pPr>
                <w:pStyle w:val="Bibliography"/>
                <w:rPr>
                  <w:noProof/>
                </w:rPr>
              </w:pPr>
              <w:r>
                <w:rPr>
                  <w:noProof/>
                </w:rPr>
                <w:t xml:space="preserve">Connell, R., 2008. Masculinity construction and sports in boys' education: a framework for thinking about the issue. In: T. &amp;. F. group, ed. </w:t>
              </w:r>
              <w:r>
                <w:rPr>
                  <w:i/>
                  <w:iCs/>
                  <w:noProof/>
                </w:rPr>
                <w:t xml:space="preserve">Sport, Education and Society. </w:t>
              </w:r>
              <w:r>
                <w:rPr>
                  <w:noProof/>
                </w:rPr>
                <w:t>s.l.:Routledge, pp. 131-145.</w:t>
              </w:r>
            </w:p>
            <w:p w14:paraId="67CB4FAC" w14:textId="77777777" w:rsidR="00A162C5" w:rsidRDefault="00A162C5" w:rsidP="00A162C5">
              <w:pPr>
                <w:pStyle w:val="Bibliography"/>
                <w:rPr>
                  <w:noProof/>
                </w:rPr>
              </w:pPr>
              <w:r>
                <w:rPr>
                  <w:noProof/>
                </w:rPr>
                <w:t xml:space="preserve">Connell, R. W., 2005. Hegemonic Masculinity: Rethinking the Cocept. </w:t>
              </w:r>
              <w:r>
                <w:rPr>
                  <w:i/>
                  <w:iCs/>
                  <w:noProof/>
                </w:rPr>
                <w:t xml:space="preserve">Gender &amp; Society, </w:t>
              </w:r>
              <w:r>
                <w:rPr>
                  <w:noProof/>
                </w:rPr>
                <w:t>6 december, 19(6), pp. 829-859.</w:t>
              </w:r>
            </w:p>
            <w:p w14:paraId="7DBC77BC" w14:textId="77777777" w:rsidR="00A162C5" w:rsidRDefault="00A162C5" w:rsidP="00A162C5">
              <w:pPr>
                <w:pStyle w:val="Bibliography"/>
                <w:rPr>
                  <w:noProof/>
                </w:rPr>
              </w:pPr>
              <w:r>
                <w:rPr>
                  <w:noProof/>
                </w:rPr>
                <w:t xml:space="preserve">Descartes, R., 1967 [1637]. </w:t>
              </w:r>
              <w:r>
                <w:rPr>
                  <w:i/>
                  <w:iCs/>
                  <w:noProof/>
                </w:rPr>
                <w:t xml:space="preserve">The Philosophical Works of Descartes. </w:t>
              </w:r>
              <w:r>
                <w:rPr>
                  <w:noProof/>
                </w:rPr>
                <w:t>3rd reprint ed. Cambridge: UK: Cambridge Unuversity Press.</w:t>
              </w:r>
            </w:p>
            <w:p w14:paraId="424A69F9" w14:textId="77777777" w:rsidR="00A162C5" w:rsidRDefault="00A162C5" w:rsidP="00A162C5">
              <w:pPr>
                <w:pStyle w:val="Bibliography"/>
                <w:rPr>
                  <w:noProof/>
                </w:rPr>
              </w:pPr>
              <w:r>
                <w:rPr>
                  <w:noProof/>
                </w:rPr>
                <w:t xml:space="preserve">Dictionary, C., 1999. </w:t>
              </w:r>
              <w:r>
                <w:rPr>
                  <w:i/>
                  <w:iCs/>
                  <w:noProof/>
                </w:rPr>
                <w:t xml:space="preserve">Cambridge University Press. </w:t>
              </w:r>
              <w:r>
                <w:rPr>
                  <w:noProof/>
                </w:rPr>
                <w:t xml:space="preserve">[Online] </w:t>
              </w:r>
              <w:r>
                <w:rPr>
                  <w:noProof/>
                </w:rPr>
                <w:br/>
                <w:t xml:space="preserve">Available at: </w:t>
              </w:r>
              <w:r>
                <w:rPr>
                  <w:noProof/>
                  <w:u w:val="single"/>
                </w:rPr>
                <w:t>https://dictionary.cambridge.org/about.html</w:t>
              </w:r>
              <w:r>
                <w:rPr>
                  <w:noProof/>
                </w:rPr>
                <w:br/>
                <w:t>[Accessed 15 july 2019].</w:t>
              </w:r>
            </w:p>
            <w:p w14:paraId="3BD046E8" w14:textId="77777777" w:rsidR="00A162C5" w:rsidRDefault="00A162C5" w:rsidP="00A162C5">
              <w:pPr>
                <w:pStyle w:val="Bibliography"/>
                <w:rPr>
                  <w:noProof/>
                </w:rPr>
              </w:pPr>
              <w:r>
                <w:rPr>
                  <w:noProof/>
                </w:rPr>
                <w:t xml:space="preserve">Donaldson, P. G., 2015. </w:t>
              </w:r>
              <w:r>
                <w:rPr>
                  <w:i/>
                  <w:iCs/>
                  <w:noProof/>
                </w:rPr>
                <w:t xml:space="preserve">Successful Futures, </w:t>
              </w:r>
              <w:r>
                <w:rPr>
                  <w:noProof/>
                </w:rPr>
                <w:t>wales: Welsh Government .</w:t>
              </w:r>
            </w:p>
            <w:p w14:paraId="403CF6C4" w14:textId="77777777" w:rsidR="00A162C5" w:rsidRDefault="00A162C5" w:rsidP="00A162C5">
              <w:pPr>
                <w:pStyle w:val="Bibliography"/>
                <w:rPr>
                  <w:noProof/>
                </w:rPr>
              </w:pPr>
              <w:r>
                <w:rPr>
                  <w:noProof/>
                </w:rPr>
                <w:t xml:space="preserve">Dweck, C. S., 2012. </w:t>
              </w:r>
              <w:r>
                <w:rPr>
                  <w:i/>
                  <w:iCs/>
                  <w:noProof/>
                </w:rPr>
                <w:t xml:space="preserve">mindset Changing that way you think to fulfil your potential. </w:t>
              </w:r>
              <w:r>
                <w:rPr>
                  <w:noProof/>
                </w:rPr>
                <w:t>2nd Edition ed. London: Robinson.</w:t>
              </w:r>
            </w:p>
            <w:p w14:paraId="7DD397CA" w14:textId="77777777" w:rsidR="00A162C5" w:rsidRDefault="00A162C5" w:rsidP="00A162C5">
              <w:pPr>
                <w:pStyle w:val="Bibliography"/>
                <w:rPr>
                  <w:noProof/>
                </w:rPr>
              </w:pPr>
              <w:r>
                <w:rPr>
                  <w:noProof/>
                </w:rPr>
                <w:t xml:space="preserve">Econ, A. R., 2011. </w:t>
              </w:r>
              <w:r>
                <w:rPr>
                  <w:i/>
                  <w:iCs/>
                  <w:noProof/>
                </w:rPr>
                <w:t xml:space="preserve">Gender and competition. </w:t>
              </w:r>
              <w:r>
                <w:rPr>
                  <w:noProof/>
                </w:rPr>
                <w:t xml:space="preserve">[Online] </w:t>
              </w:r>
              <w:r>
                <w:rPr>
                  <w:noProof/>
                </w:rPr>
                <w:br/>
                <w:t xml:space="preserve">Available at: </w:t>
              </w:r>
              <w:r>
                <w:rPr>
                  <w:noProof/>
                  <w:u w:val="single"/>
                </w:rPr>
                <w:t>https://web.stanford.edu/~niederle/NV.AnnualReview.Print.pdf</w:t>
              </w:r>
              <w:r>
                <w:rPr>
                  <w:noProof/>
                </w:rPr>
                <w:br/>
                <w:t>[Accessed 15 july 2019].</w:t>
              </w:r>
            </w:p>
            <w:p w14:paraId="39731160" w14:textId="77777777" w:rsidR="00A162C5" w:rsidRDefault="00A162C5" w:rsidP="00A162C5">
              <w:pPr>
                <w:pStyle w:val="Bibliography"/>
                <w:rPr>
                  <w:noProof/>
                </w:rPr>
              </w:pPr>
              <w:r>
                <w:rPr>
                  <w:noProof/>
                </w:rPr>
                <w:t xml:space="preserve">Estyn, 2008. </w:t>
              </w:r>
              <w:r>
                <w:rPr>
                  <w:i/>
                  <w:iCs/>
                  <w:noProof/>
                </w:rPr>
                <w:t xml:space="preserve">Closing the gap between boys' and girls' attainment in school, </w:t>
              </w:r>
              <w:r>
                <w:rPr>
                  <w:noProof/>
                </w:rPr>
                <w:t>Cardiff: Education and Training in Wales .</w:t>
              </w:r>
            </w:p>
            <w:p w14:paraId="0E6E666C" w14:textId="77777777" w:rsidR="00A162C5" w:rsidRDefault="00A162C5" w:rsidP="00A162C5">
              <w:pPr>
                <w:pStyle w:val="Bibliography"/>
                <w:rPr>
                  <w:noProof/>
                </w:rPr>
              </w:pPr>
              <w:r>
                <w:rPr>
                  <w:noProof/>
                </w:rPr>
                <w:t xml:space="preserve">Estyn, 2016. </w:t>
              </w:r>
              <w:r>
                <w:rPr>
                  <w:i/>
                  <w:iCs/>
                  <w:noProof/>
                </w:rPr>
                <w:t xml:space="preserve">Best Practice in the Creative arts at Key stages 3 and 4, </w:t>
              </w:r>
              <w:r>
                <w:rPr>
                  <w:noProof/>
                </w:rPr>
                <w:t>Cardiff: Estyn .</w:t>
              </w:r>
            </w:p>
            <w:p w14:paraId="3C5BE8D8" w14:textId="77777777" w:rsidR="00A162C5" w:rsidRDefault="00A162C5" w:rsidP="00A162C5">
              <w:pPr>
                <w:pStyle w:val="Bibliography"/>
                <w:rPr>
                  <w:noProof/>
                </w:rPr>
              </w:pPr>
              <w:r>
                <w:rPr>
                  <w:noProof/>
                </w:rPr>
                <w:t xml:space="preserve">framework, w. G. D. c., 2016. </w:t>
              </w:r>
              <w:r>
                <w:rPr>
                  <w:i/>
                  <w:iCs/>
                  <w:noProof/>
                </w:rPr>
                <w:t xml:space="preserve">wales digital competency framework. </w:t>
              </w:r>
              <w:r>
                <w:rPr>
                  <w:noProof/>
                </w:rPr>
                <w:t xml:space="preserve">[Online] </w:t>
              </w:r>
              <w:r>
                <w:rPr>
                  <w:noProof/>
                </w:rPr>
                <w:br/>
                <w:t xml:space="preserve">Available at: </w:t>
              </w:r>
              <w:r>
                <w:rPr>
                  <w:noProof/>
                  <w:u w:val="single"/>
                </w:rPr>
                <w:t>https://learning.gov.wales/docs/learningwales/publications/160831-dcf-guidance-en-v2.pdf</w:t>
              </w:r>
              <w:r>
                <w:rPr>
                  <w:noProof/>
                </w:rPr>
                <w:br/>
                <w:t>[Accessed 17 april 2019].</w:t>
              </w:r>
            </w:p>
            <w:p w14:paraId="2D00755F" w14:textId="77777777" w:rsidR="00A162C5" w:rsidRDefault="00A162C5" w:rsidP="00A162C5">
              <w:pPr>
                <w:pStyle w:val="Bibliography"/>
                <w:rPr>
                  <w:noProof/>
                </w:rPr>
              </w:pPr>
              <w:r>
                <w:rPr>
                  <w:noProof/>
                </w:rPr>
                <w:t xml:space="preserve">Gershon, M., 2018. </w:t>
              </w:r>
              <w:r>
                <w:rPr>
                  <w:i/>
                  <w:iCs/>
                  <w:noProof/>
                </w:rPr>
                <w:t xml:space="preserve">How to use Bloom's Taxonomy in the Classroom The Complete Guide. </w:t>
              </w:r>
              <w:r>
                <w:rPr>
                  <w:noProof/>
                </w:rPr>
                <w:t>1st Edition ed. s.l.:Learning Sciences International.</w:t>
              </w:r>
            </w:p>
            <w:p w14:paraId="05A37B42" w14:textId="77777777" w:rsidR="00A162C5" w:rsidRDefault="00A162C5" w:rsidP="00A162C5">
              <w:pPr>
                <w:pStyle w:val="Bibliography"/>
                <w:rPr>
                  <w:noProof/>
                </w:rPr>
              </w:pPr>
              <w:r>
                <w:rPr>
                  <w:noProof/>
                </w:rPr>
                <w:t xml:space="preserve">Government, H., 2003. </w:t>
              </w:r>
              <w:r>
                <w:rPr>
                  <w:i/>
                  <w:iCs/>
                  <w:noProof/>
                </w:rPr>
                <w:t xml:space="preserve">Every Child Matters, </w:t>
              </w:r>
              <w:r>
                <w:rPr>
                  <w:noProof/>
                </w:rPr>
                <w:t>London: HMSO: CM 5860.</w:t>
              </w:r>
            </w:p>
            <w:p w14:paraId="6BBC39DD" w14:textId="77777777" w:rsidR="00A162C5" w:rsidRDefault="00A162C5" w:rsidP="00A162C5">
              <w:pPr>
                <w:pStyle w:val="Bibliography"/>
                <w:rPr>
                  <w:noProof/>
                </w:rPr>
              </w:pPr>
              <w:r>
                <w:rPr>
                  <w:noProof/>
                </w:rPr>
                <w:t xml:space="preserve">Government, W., 2013. </w:t>
              </w:r>
              <w:r>
                <w:rPr>
                  <w:i/>
                  <w:iCs/>
                  <w:noProof/>
                </w:rPr>
                <w:t xml:space="preserve">National Literacy and Numeracy Framework. </w:t>
              </w:r>
              <w:r>
                <w:rPr>
                  <w:noProof/>
                </w:rPr>
                <w:t xml:space="preserve">[Online] </w:t>
              </w:r>
              <w:r>
                <w:rPr>
                  <w:noProof/>
                </w:rPr>
                <w:br/>
                <w:t xml:space="preserve">Available at: </w:t>
              </w:r>
              <w:r>
                <w:rPr>
                  <w:noProof/>
                  <w:u w:val="single"/>
                </w:rPr>
                <w:t>https://s3-eu-west-1.amazonaws.com/hwb-live-storage/ce/44/26/0c/4830422ab1e6a190b11feac9/to-support-schools-in-introducing-the-national-literacy-and-numeracy-framework.pdf</w:t>
              </w:r>
              <w:r>
                <w:rPr>
                  <w:noProof/>
                </w:rPr>
                <w:br/>
                <w:t>[Accessed 22 April 2019].</w:t>
              </w:r>
            </w:p>
            <w:p w14:paraId="2F04B78A" w14:textId="77777777" w:rsidR="00A162C5" w:rsidRDefault="00A162C5" w:rsidP="00A162C5">
              <w:pPr>
                <w:pStyle w:val="Bibliography"/>
                <w:rPr>
                  <w:noProof/>
                </w:rPr>
              </w:pPr>
              <w:r>
                <w:rPr>
                  <w:noProof/>
                </w:rPr>
                <w:t xml:space="preserve">Government, W., 2018. </w:t>
              </w:r>
              <w:r>
                <w:rPr>
                  <w:i/>
                  <w:iCs/>
                  <w:noProof/>
                </w:rPr>
                <w:t xml:space="preserve">gov.wales. </w:t>
              </w:r>
              <w:r>
                <w:rPr>
                  <w:noProof/>
                </w:rPr>
                <w:t xml:space="preserve">[Online] </w:t>
              </w:r>
              <w:r>
                <w:rPr>
                  <w:noProof/>
                </w:rPr>
                <w:br/>
                <w:t xml:space="preserve">Available at: </w:t>
              </w:r>
              <w:r>
                <w:rPr>
                  <w:noProof/>
                  <w:u w:val="single"/>
                </w:rPr>
                <w:t>https://gov.wales/sites/default/files/consultations/2018-12/consultation-document-draft-additional-learning-needs-code_0.pdf</w:t>
              </w:r>
              <w:r>
                <w:rPr>
                  <w:noProof/>
                </w:rPr>
                <w:br/>
                <w:t>[Accessed 13 May 2019].</w:t>
              </w:r>
            </w:p>
            <w:p w14:paraId="63020478" w14:textId="77777777" w:rsidR="00A162C5" w:rsidRDefault="00A162C5" w:rsidP="00A162C5">
              <w:pPr>
                <w:pStyle w:val="Bibliography"/>
                <w:rPr>
                  <w:noProof/>
                </w:rPr>
              </w:pPr>
              <w:r>
                <w:rPr>
                  <w:noProof/>
                </w:rPr>
                <w:t xml:space="preserve">Government, W. A., 2006. </w:t>
              </w:r>
              <w:r>
                <w:rPr>
                  <w:i/>
                  <w:iCs/>
                  <w:noProof/>
                </w:rPr>
                <w:t xml:space="preserve">The learning Country: Vision into Action. </w:t>
              </w:r>
              <w:r>
                <w:rPr>
                  <w:noProof/>
                </w:rPr>
                <w:t xml:space="preserve">[Online] </w:t>
              </w:r>
              <w:r>
                <w:rPr>
                  <w:noProof/>
                </w:rPr>
                <w:br/>
                <w:t xml:space="preserve">Available at: </w:t>
              </w:r>
              <w:r>
                <w:rPr>
                  <w:noProof/>
                  <w:u w:val="single"/>
                </w:rPr>
                <w:t>https://dera.ioe.ac.uk/8834/3/A9R3F9F_Redacted.pdf</w:t>
              </w:r>
              <w:r>
                <w:rPr>
                  <w:noProof/>
                </w:rPr>
                <w:br/>
                <w:t>[Accessed 16 April 2019].</w:t>
              </w:r>
            </w:p>
            <w:p w14:paraId="5F72598A" w14:textId="77777777" w:rsidR="00A162C5" w:rsidRDefault="00A162C5" w:rsidP="00A162C5">
              <w:pPr>
                <w:pStyle w:val="Bibliography"/>
                <w:rPr>
                  <w:noProof/>
                </w:rPr>
              </w:pPr>
              <w:r>
                <w:rPr>
                  <w:noProof/>
                </w:rPr>
                <w:t xml:space="preserve">Government, W. A., 2008. </w:t>
              </w:r>
              <w:r>
                <w:rPr>
                  <w:i/>
                  <w:iCs/>
                  <w:noProof/>
                </w:rPr>
                <w:t xml:space="preserve">Art and design in the National Curriculum for Wales. </w:t>
              </w:r>
              <w:r>
                <w:rPr>
                  <w:noProof/>
                </w:rPr>
                <w:t xml:space="preserve">[Online] </w:t>
              </w:r>
              <w:r>
                <w:rPr>
                  <w:noProof/>
                </w:rPr>
                <w:br/>
                <w:t xml:space="preserve">Available at: </w:t>
              </w:r>
              <w:r>
                <w:rPr>
                  <w:noProof/>
                  <w:u w:val="single"/>
                </w:rPr>
                <w:t>https://s3-eu-west-1.amazonaws.com/hwb-live-storage/bc/07/01/39/22d34f35b10cb1bf2a180ab3/art-and-design-in-the-national-curriculum.pdf</w:t>
              </w:r>
              <w:r>
                <w:rPr>
                  <w:noProof/>
                </w:rPr>
                <w:br/>
                <w:t>[Accessed 30 April 2019].</w:t>
              </w:r>
            </w:p>
            <w:p w14:paraId="40E1FD31" w14:textId="77777777" w:rsidR="00A162C5" w:rsidRDefault="00A162C5" w:rsidP="00A162C5">
              <w:pPr>
                <w:pStyle w:val="Bibliography"/>
                <w:rPr>
                  <w:noProof/>
                </w:rPr>
              </w:pPr>
              <w:r>
                <w:rPr>
                  <w:noProof/>
                </w:rPr>
                <w:t xml:space="preserve">Illeris, K., 2007. </w:t>
              </w:r>
              <w:r>
                <w:rPr>
                  <w:i/>
                  <w:iCs/>
                  <w:noProof/>
                </w:rPr>
                <w:t xml:space="preserve">How We Learn - Learning and non-learning in school and beyond. </w:t>
              </w:r>
              <w:r>
                <w:rPr>
                  <w:noProof/>
                </w:rPr>
                <w:t>2nd edition ed. Oxon: Routledge.</w:t>
              </w:r>
            </w:p>
            <w:p w14:paraId="38BB1685" w14:textId="77777777" w:rsidR="00A162C5" w:rsidRDefault="00A162C5" w:rsidP="00A162C5">
              <w:pPr>
                <w:pStyle w:val="Bibliography"/>
                <w:rPr>
                  <w:noProof/>
                </w:rPr>
              </w:pPr>
              <w:r>
                <w:rPr>
                  <w:noProof/>
                </w:rPr>
                <w:t xml:space="preserve">Joyce, A. B. H. d. S., 2005. </w:t>
              </w:r>
              <w:r>
                <w:rPr>
                  <w:i/>
                  <w:iCs/>
                  <w:noProof/>
                </w:rPr>
                <w:t xml:space="preserve">Teachers' voices 8: Explicitly supporting reading and writing , </w:t>
              </w:r>
              <w:r>
                <w:rPr>
                  <w:noProof/>
                </w:rPr>
                <w:t>Sydney: the National Centure for English Language teaching and research .</w:t>
              </w:r>
            </w:p>
            <w:p w14:paraId="7C5BBE5C" w14:textId="77777777" w:rsidR="00A162C5" w:rsidRDefault="00A162C5" w:rsidP="00A162C5">
              <w:pPr>
                <w:pStyle w:val="Bibliography"/>
                <w:rPr>
                  <w:noProof/>
                </w:rPr>
              </w:pPr>
              <w:r>
                <w:rPr>
                  <w:noProof/>
                </w:rPr>
                <w:t xml:space="preserve">Knott, J., 2018. </w:t>
              </w:r>
              <w:r>
                <w:rPr>
                  <w:i/>
                  <w:iCs/>
                  <w:noProof/>
                </w:rPr>
                <w:t xml:space="preserve">arts professional. </w:t>
              </w:r>
              <w:r>
                <w:rPr>
                  <w:noProof/>
                </w:rPr>
                <w:t xml:space="preserve">[Online] </w:t>
              </w:r>
              <w:r>
                <w:rPr>
                  <w:noProof/>
                </w:rPr>
                <w:br/>
                <w:t xml:space="preserve">Available at: </w:t>
              </w:r>
              <w:r>
                <w:rPr>
                  <w:noProof/>
                  <w:u w:val="single"/>
                </w:rPr>
                <w:t>https://www.artsprofessional.co.uk/news/ebacc-blamed-growing-gender-imbalance-gcse-choices</w:t>
              </w:r>
              <w:r>
                <w:rPr>
                  <w:noProof/>
                </w:rPr>
                <w:br/>
                <w:t>[Accessed 15 july 2019].</w:t>
              </w:r>
            </w:p>
            <w:p w14:paraId="66A2CBA7" w14:textId="77777777" w:rsidR="00A162C5" w:rsidRDefault="00A162C5" w:rsidP="00A162C5">
              <w:pPr>
                <w:pStyle w:val="Bibliography"/>
                <w:rPr>
                  <w:noProof/>
                </w:rPr>
              </w:pPr>
              <w:r>
                <w:rPr>
                  <w:noProof/>
                </w:rPr>
                <w:t xml:space="preserve">Lytton, H., 1971. </w:t>
              </w:r>
              <w:r>
                <w:rPr>
                  <w:i/>
                  <w:iCs/>
                  <w:noProof/>
                </w:rPr>
                <w:t xml:space="preserve">Creativity and Education. </w:t>
              </w:r>
              <w:r>
                <w:rPr>
                  <w:noProof/>
                </w:rPr>
                <w:t>1st edition ed. Great Britain: Routledge &amp; Kegan Paul Ltd.</w:t>
              </w:r>
            </w:p>
            <w:p w14:paraId="0E6BA5CE" w14:textId="77777777" w:rsidR="00A162C5" w:rsidRDefault="00A162C5" w:rsidP="00A162C5">
              <w:pPr>
                <w:pStyle w:val="Bibliography"/>
                <w:rPr>
                  <w:noProof/>
                </w:rPr>
              </w:pPr>
              <w:r>
                <w:rPr>
                  <w:noProof/>
                </w:rPr>
                <w:t xml:space="preserve">Marshell, K., 2019. Dylan Wiliam on the Powerful Potential of Formative Assessment. </w:t>
              </w:r>
              <w:r>
                <w:rPr>
                  <w:i/>
                  <w:iCs/>
                  <w:noProof/>
                </w:rPr>
                <w:t xml:space="preserve">International Educator, </w:t>
              </w:r>
              <w:r>
                <w:rPr>
                  <w:noProof/>
                </w:rPr>
                <w:t>febuary , 33(3), pp. 19-24, 2p.</w:t>
              </w:r>
            </w:p>
            <w:p w14:paraId="52C48509" w14:textId="77777777" w:rsidR="00A162C5" w:rsidRDefault="00A162C5" w:rsidP="00A162C5">
              <w:pPr>
                <w:pStyle w:val="Bibliography"/>
                <w:rPr>
                  <w:noProof/>
                </w:rPr>
              </w:pPr>
              <w:r>
                <w:rPr>
                  <w:noProof/>
                </w:rPr>
                <w:t xml:space="preserve">Martin A. Monto, J. M. T. L. A., 2012. Boys Doing Art: The Construction of outlaw Masculinity in a Portland, Oregon, Graffiti Crew. </w:t>
              </w:r>
              <w:r>
                <w:rPr>
                  <w:i/>
                  <w:iCs/>
                  <w:noProof/>
                </w:rPr>
                <w:t xml:space="preserve">Journal of Contemporary Ethnography, </w:t>
              </w:r>
              <w:r>
                <w:rPr>
                  <w:noProof/>
                </w:rPr>
                <w:t>3 December, 42(3), pp. 259 - 290.</w:t>
              </w:r>
            </w:p>
            <w:p w14:paraId="583082C2" w14:textId="77777777" w:rsidR="00A162C5" w:rsidRDefault="00A162C5" w:rsidP="00A162C5">
              <w:pPr>
                <w:pStyle w:val="Bibliography"/>
                <w:rPr>
                  <w:noProof/>
                </w:rPr>
              </w:pPr>
              <w:r>
                <w:rPr>
                  <w:noProof/>
                </w:rPr>
                <w:t xml:space="preserve">McCormick, M. J. a. R., 2007. </w:t>
              </w:r>
              <w:r>
                <w:rPr>
                  <w:i/>
                  <w:iCs/>
                  <w:noProof/>
                </w:rPr>
                <w:t xml:space="preserve">improving Learning How to Learn. </w:t>
              </w:r>
              <w:r>
                <w:rPr>
                  <w:noProof/>
                </w:rPr>
                <w:t>2nd Edition ed. London: Routledge.</w:t>
              </w:r>
            </w:p>
            <w:p w14:paraId="58153A2C" w14:textId="77777777" w:rsidR="00A162C5" w:rsidRDefault="00A162C5" w:rsidP="00A162C5">
              <w:pPr>
                <w:pStyle w:val="Bibliography"/>
                <w:rPr>
                  <w:noProof/>
                </w:rPr>
              </w:pPr>
              <w:r>
                <w:rPr>
                  <w:noProof/>
                </w:rPr>
                <w:t xml:space="preserve">Naess, A., 1963 [1962]. </w:t>
              </w:r>
              <w:r>
                <w:rPr>
                  <w:i/>
                  <w:iCs/>
                  <w:noProof/>
                </w:rPr>
                <w:t xml:space="preserve">Filosofiens Historie II - fra middelalder til nyere tid. [The History of Philosophy]. </w:t>
              </w:r>
              <w:r>
                <w:rPr>
                  <w:noProof/>
                </w:rPr>
                <w:t>Copenhagen: OECD.</w:t>
              </w:r>
            </w:p>
            <w:p w14:paraId="416580D4" w14:textId="77777777" w:rsidR="00A162C5" w:rsidRDefault="00A162C5" w:rsidP="00A162C5">
              <w:pPr>
                <w:pStyle w:val="Bibliography"/>
                <w:rPr>
                  <w:noProof/>
                </w:rPr>
              </w:pPr>
              <w:r>
                <w:rPr>
                  <w:noProof/>
                </w:rPr>
                <w:t xml:space="preserve">Nuttall, K. A. R. a. D. L., 1994. </w:t>
              </w:r>
              <w:r>
                <w:rPr>
                  <w:i/>
                  <w:iCs/>
                  <w:noProof/>
                </w:rPr>
                <w:t xml:space="preserve">Measuring Quality, Education indicators - united kingdom and international perspective. </w:t>
              </w:r>
              <w:r>
                <w:rPr>
                  <w:noProof/>
                </w:rPr>
                <w:t>1st edition ed. London: Burgess Science press.</w:t>
              </w:r>
            </w:p>
            <w:p w14:paraId="6E0C0C7F" w14:textId="77777777" w:rsidR="00A162C5" w:rsidRDefault="00A162C5" w:rsidP="00A162C5">
              <w:pPr>
                <w:pStyle w:val="Bibliography"/>
                <w:rPr>
                  <w:noProof/>
                </w:rPr>
              </w:pPr>
              <w:r>
                <w:rPr>
                  <w:noProof/>
                </w:rPr>
                <w:t xml:space="preserve">Rubin, J. A., 1998. </w:t>
              </w:r>
              <w:r>
                <w:rPr>
                  <w:i/>
                  <w:iCs/>
                  <w:noProof/>
                </w:rPr>
                <w:t xml:space="preserve">Art Therapy - An introduction. </w:t>
              </w:r>
              <w:r>
                <w:rPr>
                  <w:noProof/>
                </w:rPr>
                <w:t>London: Brunner/Mazel.</w:t>
              </w:r>
            </w:p>
            <w:p w14:paraId="5F4848EA" w14:textId="77777777" w:rsidR="00A162C5" w:rsidRDefault="00A162C5" w:rsidP="00A162C5">
              <w:pPr>
                <w:pStyle w:val="Bibliography"/>
                <w:rPr>
                  <w:noProof/>
                </w:rPr>
              </w:pPr>
              <w:r>
                <w:rPr>
                  <w:noProof/>
                </w:rPr>
                <w:t xml:space="preserve">tyler J. Burleigh, D. V. M., 2017. Risky prospects and risk aversion tendencies: does competition in the classroom depend on grading practice and knowledge of peer-status?. </w:t>
              </w:r>
              <w:r>
                <w:rPr>
                  <w:i/>
                  <w:iCs/>
                  <w:noProof/>
                </w:rPr>
                <w:t xml:space="preserve">CrossMark, </w:t>
              </w:r>
              <w:r>
                <w:rPr>
                  <w:noProof/>
                </w:rPr>
                <w:t>13 december.</w:t>
              </w:r>
            </w:p>
            <w:p w14:paraId="73221EAF" w14:textId="77777777" w:rsidR="00A162C5" w:rsidRDefault="00A162C5" w:rsidP="00A162C5">
              <w:pPr>
                <w:pStyle w:val="Bibliography"/>
                <w:rPr>
                  <w:noProof/>
                </w:rPr>
              </w:pPr>
              <w:r>
                <w:rPr>
                  <w:noProof/>
                </w:rPr>
                <w:t xml:space="preserve">Vygotsky, L. S., 1934/1978. </w:t>
              </w:r>
              <w:r>
                <w:rPr>
                  <w:i/>
                  <w:iCs/>
                  <w:noProof/>
                </w:rPr>
                <w:t xml:space="preserve">Thought and Language (Translated by A. Kozulin.). </w:t>
              </w:r>
              <w:r>
                <w:rPr>
                  <w:noProof/>
                </w:rPr>
                <w:t>Cambridge: MA: Harvard University Press.</w:t>
              </w:r>
            </w:p>
            <w:p w14:paraId="7F000C11" w14:textId="77777777" w:rsidR="00A162C5" w:rsidRDefault="00A162C5" w:rsidP="00A162C5">
              <w:pPr>
                <w:pStyle w:val="Bibliography"/>
                <w:rPr>
                  <w:noProof/>
                </w:rPr>
              </w:pPr>
              <w:r>
                <w:rPr>
                  <w:noProof/>
                </w:rPr>
                <w:t xml:space="preserve">Waldfogel, J., 2010. </w:t>
              </w:r>
              <w:r>
                <w:rPr>
                  <w:i/>
                  <w:iCs/>
                  <w:noProof/>
                </w:rPr>
                <w:t xml:space="preserve">What Children Need. </w:t>
              </w:r>
              <w:r>
                <w:rPr>
                  <w:noProof/>
                </w:rPr>
                <w:t>1st edition ed. Harvard: Harvard University Press .</w:t>
              </w:r>
            </w:p>
            <w:p w14:paraId="3FDBE8FA" w14:textId="77777777" w:rsidR="00A162C5" w:rsidRDefault="00A162C5" w:rsidP="00A162C5">
              <w:pPr>
                <w:pStyle w:val="Bibliography"/>
                <w:rPr>
                  <w:noProof/>
                </w:rPr>
              </w:pPr>
              <w:r>
                <w:rPr>
                  <w:noProof/>
                </w:rPr>
                <w:t xml:space="preserve">Wiliam, P. B. D., 1998. </w:t>
              </w:r>
              <w:r>
                <w:rPr>
                  <w:i/>
                  <w:iCs/>
                  <w:noProof/>
                </w:rPr>
                <w:t xml:space="preserve">Inside the Black Box: Raising standards through Classroom Assessment. </w:t>
              </w:r>
              <w:r>
                <w:rPr>
                  <w:noProof/>
                </w:rPr>
                <w:t xml:space="preserve">[Online] </w:t>
              </w:r>
              <w:r>
                <w:rPr>
                  <w:noProof/>
                </w:rPr>
                <w:br/>
                <w:t xml:space="preserve">Available at: </w:t>
              </w:r>
              <w:r>
                <w:rPr>
                  <w:noProof/>
                  <w:u w:val="single"/>
                </w:rPr>
                <w:t xml:space="preserve">https://www.rdc.udel.edu/wp-content/uploads/2015/04/InsideBlackBox.pdf </w:t>
              </w:r>
              <w:r>
                <w:rPr>
                  <w:noProof/>
                </w:rPr>
                <w:br/>
                <w:t>[Accessed 15 May 2019].</w:t>
              </w:r>
            </w:p>
            <w:p w14:paraId="7285A1F3" w14:textId="77777777" w:rsidR="00A162C5" w:rsidRDefault="00A162C5" w:rsidP="00A162C5">
              <w:pPr>
                <w:pStyle w:val="Bibliography"/>
                <w:rPr>
                  <w:noProof/>
                </w:rPr>
              </w:pPr>
              <w:r>
                <w:rPr>
                  <w:noProof/>
                </w:rPr>
                <w:t xml:space="preserve">WJEC, 2018. </w:t>
              </w:r>
              <w:r>
                <w:rPr>
                  <w:i/>
                  <w:iCs/>
                  <w:noProof/>
                </w:rPr>
                <w:t xml:space="preserve">GCSE Examiners' Report Art and Design, </w:t>
              </w:r>
              <w:r>
                <w:rPr>
                  <w:noProof/>
                </w:rPr>
                <w:t>Wales: WJEC.</w:t>
              </w:r>
            </w:p>
            <w:p w14:paraId="57C2735F" w14:textId="7C3B81A7" w:rsidR="00F955A0" w:rsidRDefault="00F955A0" w:rsidP="00A162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rPr>
                  <w:b/>
                  <w:bCs/>
                  <w:noProof/>
                </w:rPr>
                <w:fldChar w:fldCharType="end"/>
              </w:r>
            </w:p>
          </w:sdtContent>
        </w:sdt>
      </w:sdtContent>
    </w:sdt>
    <w:sectPr w:rsidR="00F955A0" w:rsidSect="004B7360">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Courier New">
    <w:panose1 w:val="02070309020205020404"/>
    <w:charset w:val="00"/>
    <w:family w:val="auto"/>
    <w:pitch w:val="variable"/>
    <w:sig w:usb0="E0002AFF" w:usb1="C0007843" w:usb2="00000009" w:usb3="00000000" w:csb0="000001F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4D"/>
    <w:family w:val="roman"/>
    <w:notTrueType/>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2B04E1D"/>
    <w:multiLevelType w:val="hybridMultilevel"/>
    <w:tmpl w:val="ED80EE0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8"/>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55A0"/>
    <w:rsid w:val="000022B8"/>
    <w:rsid w:val="00003FCB"/>
    <w:rsid w:val="000118BE"/>
    <w:rsid w:val="000150F9"/>
    <w:rsid w:val="0001517C"/>
    <w:rsid w:val="00024E7F"/>
    <w:rsid w:val="000363DC"/>
    <w:rsid w:val="000503A6"/>
    <w:rsid w:val="00051F49"/>
    <w:rsid w:val="0005442E"/>
    <w:rsid w:val="00066352"/>
    <w:rsid w:val="00072498"/>
    <w:rsid w:val="00087997"/>
    <w:rsid w:val="000A4074"/>
    <w:rsid w:val="000B6989"/>
    <w:rsid w:val="000E3124"/>
    <w:rsid w:val="000E4918"/>
    <w:rsid w:val="000F3F93"/>
    <w:rsid w:val="00140C5C"/>
    <w:rsid w:val="0014428C"/>
    <w:rsid w:val="00154B00"/>
    <w:rsid w:val="00154BE3"/>
    <w:rsid w:val="00186491"/>
    <w:rsid w:val="00187424"/>
    <w:rsid w:val="001A304A"/>
    <w:rsid w:val="001A620C"/>
    <w:rsid w:val="001B62A4"/>
    <w:rsid w:val="001C1ED1"/>
    <w:rsid w:val="001C5C27"/>
    <w:rsid w:val="001D3D78"/>
    <w:rsid w:val="001E5E4C"/>
    <w:rsid w:val="001F0739"/>
    <w:rsid w:val="00214ABC"/>
    <w:rsid w:val="002179E8"/>
    <w:rsid w:val="002229F2"/>
    <w:rsid w:val="0025493E"/>
    <w:rsid w:val="002567B8"/>
    <w:rsid w:val="002E7075"/>
    <w:rsid w:val="0030172A"/>
    <w:rsid w:val="0031208C"/>
    <w:rsid w:val="003632B4"/>
    <w:rsid w:val="00372D77"/>
    <w:rsid w:val="0038268E"/>
    <w:rsid w:val="0038518C"/>
    <w:rsid w:val="003B21A8"/>
    <w:rsid w:val="003C0589"/>
    <w:rsid w:val="003D306F"/>
    <w:rsid w:val="003F707A"/>
    <w:rsid w:val="00401919"/>
    <w:rsid w:val="0040325B"/>
    <w:rsid w:val="004119D6"/>
    <w:rsid w:val="004138FA"/>
    <w:rsid w:val="0042452F"/>
    <w:rsid w:val="00427620"/>
    <w:rsid w:val="00454D6B"/>
    <w:rsid w:val="00456694"/>
    <w:rsid w:val="00457EB4"/>
    <w:rsid w:val="00460783"/>
    <w:rsid w:val="004815B7"/>
    <w:rsid w:val="004922CF"/>
    <w:rsid w:val="004A1222"/>
    <w:rsid w:val="004B0D54"/>
    <w:rsid w:val="004B7360"/>
    <w:rsid w:val="004D1CFD"/>
    <w:rsid w:val="00506944"/>
    <w:rsid w:val="005168A8"/>
    <w:rsid w:val="00525523"/>
    <w:rsid w:val="005364A2"/>
    <w:rsid w:val="0054453A"/>
    <w:rsid w:val="005475B3"/>
    <w:rsid w:val="00566E57"/>
    <w:rsid w:val="00585CEF"/>
    <w:rsid w:val="005910C9"/>
    <w:rsid w:val="005D6064"/>
    <w:rsid w:val="005D669D"/>
    <w:rsid w:val="005E18A9"/>
    <w:rsid w:val="005E27E8"/>
    <w:rsid w:val="005F1A8D"/>
    <w:rsid w:val="0061410D"/>
    <w:rsid w:val="00626BB8"/>
    <w:rsid w:val="00653B19"/>
    <w:rsid w:val="00656CD8"/>
    <w:rsid w:val="0067030A"/>
    <w:rsid w:val="006A0E1D"/>
    <w:rsid w:val="006C08A3"/>
    <w:rsid w:val="006C2B16"/>
    <w:rsid w:val="006D6A6E"/>
    <w:rsid w:val="006D6E19"/>
    <w:rsid w:val="006E4227"/>
    <w:rsid w:val="0071282F"/>
    <w:rsid w:val="00721587"/>
    <w:rsid w:val="00721DF8"/>
    <w:rsid w:val="00726BE4"/>
    <w:rsid w:val="00731696"/>
    <w:rsid w:val="00747B0D"/>
    <w:rsid w:val="00757ECF"/>
    <w:rsid w:val="00766446"/>
    <w:rsid w:val="00776259"/>
    <w:rsid w:val="007848D8"/>
    <w:rsid w:val="00791A41"/>
    <w:rsid w:val="007B287B"/>
    <w:rsid w:val="007C0F87"/>
    <w:rsid w:val="007C29BB"/>
    <w:rsid w:val="007F058A"/>
    <w:rsid w:val="007F0F90"/>
    <w:rsid w:val="007F237A"/>
    <w:rsid w:val="007F6127"/>
    <w:rsid w:val="00804454"/>
    <w:rsid w:val="00821C13"/>
    <w:rsid w:val="00831FD1"/>
    <w:rsid w:val="008371B9"/>
    <w:rsid w:val="00851EFC"/>
    <w:rsid w:val="00853F16"/>
    <w:rsid w:val="008700E1"/>
    <w:rsid w:val="00872A53"/>
    <w:rsid w:val="00873784"/>
    <w:rsid w:val="008749EC"/>
    <w:rsid w:val="00880C12"/>
    <w:rsid w:val="0089397C"/>
    <w:rsid w:val="008B7F16"/>
    <w:rsid w:val="008C51A4"/>
    <w:rsid w:val="008D0349"/>
    <w:rsid w:val="008D4A72"/>
    <w:rsid w:val="009034C4"/>
    <w:rsid w:val="00913EE2"/>
    <w:rsid w:val="00914E98"/>
    <w:rsid w:val="00936790"/>
    <w:rsid w:val="0094604E"/>
    <w:rsid w:val="00953F4D"/>
    <w:rsid w:val="00964E3C"/>
    <w:rsid w:val="009A7BD1"/>
    <w:rsid w:val="009B2243"/>
    <w:rsid w:val="009B24DC"/>
    <w:rsid w:val="009B507F"/>
    <w:rsid w:val="009C19C5"/>
    <w:rsid w:val="00A0061B"/>
    <w:rsid w:val="00A016FA"/>
    <w:rsid w:val="00A10CB9"/>
    <w:rsid w:val="00A162C5"/>
    <w:rsid w:val="00A27E6F"/>
    <w:rsid w:val="00A40187"/>
    <w:rsid w:val="00A57865"/>
    <w:rsid w:val="00A871B9"/>
    <w:rsid w:val="00A91954"/>
    <w:rsid w:val="00A96F89"/>
    <w:rsid w:val="00AA0EE5"/>
    <w:rsid w:val="00AC2725"/>
    <w:rsid w:val="00AC6C9D"/>
    <w:rsid w:val="00AE34F6"/>
    <w:rsid w:val="00AF5B9D"/>
    <w:rsid w:val="00AF62BE"/>
    <w:rsid w:val="00B03512"/>
    <w:rsid w:val="00B12801"/>
    <w:rsid w:val="00B15622"/>
    <w:rsid w:val="00B242E8"/>
    <w:rsid w:val="00B26B6F"/>
    <w:rsid w:val="00B27653"/>
    <w:rsid w:val="00B31023"/>
    <w:rsid w:val="00B442B9"/>
    <w:rsid w:val="00B51F5F"/>
    <w:rsid w:val="00B6200A"/>
    <w:rsid w:val="00B71381"/>
    <w:rsid w:val="00B74699"/>
    <w:rsid w:val="00B77778"/>
    <w:rsid w:val="00B91AAB"/>
    <w:rsid w:val="00B93AE7"/>
    <w:rsid w:val="00BA5407"/>
    <w:rsid w:val="00BA715B"/>
    <w:rsid w:val="00BC16E0"/>
    <w:rsid w:val="00BC333D"/>
    <w:rsid w:val="00BD2B6F"/>
    <w:rsid w:val="00BE5E78"/>
    <w:rsid w:val="00BF28B7"/>
    <w:rsid w:val="00C12CBD"/>
    <w:rsid w:val="00C260AD"/>
    <w:rsid w:val="00C26C92"/>
    <w:rsid w:val="00C503EC"/>
    <w:rsid w:val="00C57514"/>
    <w:rsid w:val="00C607B3"/>
    <w:rsid w:val="00C821D2"/>
    <w:rsid w:val="00C925DA"/>
    <w:rsid w:val="00C92919"/>
    <w:rsid w:val="00CB1947"/>
    <w:rsid w:val="00CC06F2"/>
    <w:rsid w:val="00CC31D0"/>
    <w:rsid w:val="00CD6D71"/>
    <w:rsid w:val="00CE407D"/>
    <w:rsid w:val="00CE429F"/>
    <w:rsid w:val="00D02082"/>
    <w:rsid w:val="00D0669C"/>
    <w:rsid w:val="00D1680D"/>
    <w:rsid w:val="00D513C4"/>
    <w:rsid w:val="00D84561"/>
    <w:rsid w:val="00DB3841"/>
    <w:rsid w:val="00DE0BA2"/>
    <w:rsid w:val="00DF376F"/>
    <w:rsid w:val="00E22CEC"/>
    <w:rsid w:val="00E44B5E"/>
    <w:rsid w:val="00E5520C"/>
    <w:rsid w:val="00E55FA2"/>
    <w:rsid w:val="00E62E0C"/>
    <w:rsid w:val="00E769D5"/>
    <w:rsid w:val="00E824AB"/>
    <w:rsid w:val="00E9140E"/>
    <w:rsid w:val="00EA6038"/>
    <w:rsid w:val="00EB26CD"/>
    <w:rsid w:val="00EB31D1"/>
    <w:rsid w:val="00EB3245"/>
    <w:rsid w:val="00EE1CDC"/>
    <w:rsid w:val="00EE66A8"/>
    <w:rsid w:val="00EF0F78"/>
    <w:rsid w:val="00F05528"/>
    <w:rsid w:val="00F07BF9"/>
    <w:rsid w:val="00F13009"/>
    <w:rsid w:val="00F2269B"/>
    <w:rsid w:val="00F26121"/>
    <w:rsid w:val="00F3435B"/>
    <w:rsid w:val="00F51BD8"/>
    <w:rsid w:val="00F65E6A"/>
    <w:rsid w:val="00F955A0"/>
    <w:rsid w:val="00FA00CF"/>
    <w:rsid w:val="00FB31C0"/>
    <w:rsid w:val="00FB7FE6"/>
    <w:rsid w:val="00FC16FC"/>
    <w:rsid w:val="00FE55F3"/>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FB7245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955A0"/>
    <w:rPr>
      <w:lang w:val="en-GB"/>
    </w:rPr>
  </w:style>
  <w:style w:type="paragraph" w:styleId="Heading1">
    <w:name w:val="heading 1"/>
    <w:basedOn w:val="Normal"/>
    <w:next w:val="Normal"/>
    <w:link w:val="Heading1Char"/>
    <w:uiPriority w:val="9"/>
    <w:qFormat/>
    <w:rsid w:val="00F955A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B7138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7138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5A0"/>
    <w:rPr>
      <w:rFonts w:asciiTheme="majorHAnsi" w:eastAsiaTheme="majorEastAsia" w:hAnsiTheme="majorHAnsi" w:cstheme="majorBidi"/>
      <w:b/>
      <w:bCs/>
      <w:color w:val="2F5496" w:themeColor="accent1" w:themeShade="BF"/>
      <w:sz w:val="28"/>
      <w:szCs w:val="28"/>
      <w:lang w:bidi="en-US"/>
    </w:rPr>
  </w:style>
  <w:style w:type="paragraph" w:styleId="HTMLPreformatted">
    <w:name w:val="HTML Preformatted"/>
    <w:basedOn w:val="Normal"/>
    <w:link w:val="HTMLPreformattedChar"/>
    <w:uiPriority w:val="99"/>
    <w:semiHidden/>
    <w:unhideWhenUsed/>
    <w:rsid w:val="00F955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F955A0"/>
    <w:rPr>
      <w:rFonts w:ascii="Courier New" w:hAnsi="Courier New" w:cs="Courier New"/>
      <w:sz w:val="20"/>
      <w:szCs w:val="20"/>
    </w:rPr>
  </w:style>
  <w:style w:type="paragraph" w:styleId="NormalWeb">
    <w:name w:val="Normal (Web)"/>
    <w:basedOn w:val="Normal"/>
    <w:uiPriority w:val="99"/>
    <w:semiHidden/>
    <w:unhideWhenUsed/>
    <w:rsid w:val="00F955A0"/>
    <w:pPr>
      <w:spacing w:before="100" w:beforeAutospacing="1" w:after="100" w:afterAutospacing="1"/>
    </w:pPr>
    <w:rPr>
      <w:rFonts w:ascii="Times New Roman" w:hAnsi="Times New Roman" w:cs="Times New Roman"/>
      <w:lang w:val="en-US"/>
    </w:rPr>
  </w:style>
  <w:style w:type="paragraph" w:styleId="ListParagraph">
    <w:name w:val="List Paragraph"/>
    <w:basedOn w:val="Normal"/>
    <w:uiPriority w:val="34"/>
    <w:qFormat/>
    <w:rsid w:val="00F955A0"/>
    <w:pPr>
      <w:ind w:left="720"/>
      <w:contextualSpacing/>
    </w:pPr>
  </w:style>
  <w:style w:type="paragraph" w:styleId="Bibliography">
    <w:name w:val="Bibliography"/>
    <w:basedOn w:val="Normal"/>
    <w:next w:val="Normal"/>
    <w:uiPriority w:val="37"/>
    <w:unhideWhenUsed/>
    <w:rsid w:val="00F955A0"/>
  </w:style>
  <w:style w:type="paragraph" w:customStyle="1" w:styleId="paragraph">
    <w:name w:val="paragraph"/>
    <w:basedOn w:val="Normal"/>
    <w:uiPriority w:val="99"/>
    <w:semiHidden/>
    <w:rsid w:val="00F955A0"/>
    <w:pPr>
      <w:spacing w:before="100" w:beforeAutospacing="1" w:after="100" w:afterAutospacing="1"/>
    </w:pPr>
    <w:rPr>
      <w:rFonts w:ascii="Times New Roman" w:hAnsi="Times New Roman" w:cs="Times New Roman"/>
      <w:lang w:val="en-US"/>
    </w:rPr>
  </w:style>
  <w:style w:type="character" w:customStyle="1" w:styleId="normaltextrun">
    <w:name w:val="normaltextrun"/>
    <w:basedOn w:val="DefaultParagraphFont"/>
    <w:rsid w:val="00F955A0"/>
  </w:style>
  <w:style w:type="character" w:customStyle="1" w:styleId="eop">
    <w:name w:val="eop"/>
    <w:basedOn w:val="DefaultParagraphFont"/>
    <w:rsid w:val="00F955A0"/>
  </w:style>
  <w:style w:type="character" w:customStyle="1" w:styleId="apple-converted-space">
    <w:name w:val="apple-converted-space"/>
    <w:basedOn w:val="DefaultParagraphFont"/>
    <w:rsid w:val="00F955A0"/>
  </w:style>
  <w:style w:type="character" w:customStyle="1" w:styleId="spellingerror">
    <w:name w:val="spellingerror"/>
    <w:basedOn w:val="DefaultParagraphFont"/>
    <w:rsid w:val="00F955A0"/>
  </w:style>
  <w:style w:type="character" w:customStyle="1" w:styleId="Heading2Char">
    <w:name w:val="Heading 2 Char"/>
    <w:basedOn w:val="DefaultParagraphFont"/>
    <w:link w:val="Heading2"/>
    <w:uiPriority w:val="9"/>
    <w:semiHidden/>
    <w:rsid w:val="00B71381"/>
    <w:rPr>
      <w:rFonts w:asciiTheme="majorHAnsi" w:eastAsiaTheme="majorEastAsia" w:hAnsiTheme="majorHAnsi" w:cstheme="majorBidi"/>
      <w:color w:val="2F5496" w:themeColor="accent1" w:themeShade="BF"/>
      <w:sz w:val="26"/>
      <w:szCs w:val="26"/>
      <w:lang w:val="cy-GB"/>
    </w:rPr>
  </w:style>
  <w:style w:type="character" w:customStyle="1" w:styleId="Heading4Char">
    <w:name w:val="Heading 4 Char"/>
    <w:basedOn w:val="DefaultParagraphFont"/>
    <w:link w:val="Heading4"/>
    <w:uiPriority w:val="9"/>
    <w:semiHidden/>
    <w:rsid w:val="00B71381"/>
    <w:rPr>
      <w:rFonts w:asciiTheme="majorHAnsi" w:eastAsiaTheme="majorEastAsia" w:hAnsiTheme="majorHAnsi" w:cstheme="majorBidi"/>
      <w:i/>
      <w:iCs/>
      <w:color w:val="2F5496" w:themeColor="accent1" w:themeShade="BF"/>
      <w:lang w:val="cy-GB"/>
    </w:rPr>
  </w:style>
  <w:style w:type="paragraph" w:styleId="Header">
    <w:name w:val="header"/>
    <w:basedOn w:val="Normal"/>
    <w:link w:val="HeaderChar"/>
    <w:rsid w:val="00B71381"/>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71381"/>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404051">
      <w:bodyDiv w:val="1"/>
      <w:marLeft w:val="0"/>
      <w:marRight w:val="0"/>
      <w:marTop w:val="0"/>
      <w:marBottom w:val="0"/>
      <w:divBdr>
        <w:top w:val="none" w:sz="0" w:space="0" w:color="auto"/>
        <w:left w:val="none" w:sz="0" w:space="0" w:color="auto"/>
        <w:bottom w:val="none" w:sz="0" w:space="0" w:color="auto"/>
        <w:right w:val="none" w:sz="0" w:space="0" w:color="auto"/>
      </w:divBdr>
    </w:div>
    <w:div w:id="24454137">
      <w:bodyDiv w:val="1"/>
      <w:marLeft w:val="0"/>
      <w:marRight w:val="0"/>
      <w:marTop w:val="0"/>
      <w:marBottom w:val="0"/>
      <w:divBdr>
        <w:top w:val="none" w:sz="0" w:space="0" w:color="auto"/>
        <w:left w:val="none" w:sz="0" w:space="0" w:color="auto"/>
        <w:bottom w:val="none" w:sz="0" w:space="0" w:color="auto"/>
        <w:right w:val="none" w:sz="0" w:space="0" w:color="auto"/>
      </w:divBdr>
    </w:div>
    <w:div w:id="34745727">
      <w:bodyDiv w:val="1"/>
      <w:marLeft w:val="0"/>
      <w:marRight w:val="0"/>
      <w:marTop w:val="0"/>
      <w:marBottom w:val="0"/>
      <w:divBdr>
        <w:top w:val="none" w:sz="0" w:space="0" w:color="auto"/>
        <w:left w:val="none" w:sz="0" w:space="0" w:color="auto"/>
        <w:bottom w:val="none" w:sz="0" w:space="0" w:color="auto"/>
        <w:right w:val="none" w:sz="0" w:space="0" w:color="auto"/>
      </w:divBdr>
    </w:div>
    <w:div w:id="41829133">
      <w:bodyDiv w:val="1"/>
      <w:marLeft w:val="0"/>
      <w:marRight w:val="0"/>
      <w:marTop w:val="0"/>
      <w:marBottom w:val="0"/>
      <w:divBdr>
        <w:top w:val="none" w:sz="0" w:space="0" w:color="auto"/>
        <w:left w:val="none" w:sz="0" w:space="0" w:color="auto"/>
        <w:bottom w:val="none" w:sz="0" w:space="0" w:color="auto"/>
        <w:right w:val="none" w:sz="0" w:space="0" w:color="auto"/>
      </w:divBdr>
    </w:div>
    <w:div w:id="58751442">
      <w:bodyDiv w:val="1"/>
      <w:marLeft w:val="0"/>
      <w:marRight w:val="0"/>
      <w:marTop w:val="0"/>
      <w:marBottom w:val="0"/>
      <w:divBdr>
        <w:top w:val="none" w:sz="0" w:space="0" w:color="auto"/>
        <w:left w:val="none" w:sz="0" w:space="0" w:color="auto"/>
        <w:bottom w:val="none" w:sz="0" w:space="0" w:color="auto"/>
        <w:right w:val="none" w:sz="0" w:space="0" w:color="auto"/>
      </w:divBdr>
    </w:div>
    <w:div w:id="73746643">
      <w:bodyDiv w:val="1"/>
      <w:marLeft w:val="0"/>
      <w:marRight w:val="0"/>
      <w:marTop w:val="0"/>
      <w:marBottom w:val="0"/>
      <w:divBdr>
        <w:top w:val="none" w:sz="0" w:space="0" w:color="auto"/>
        <w:left w:val="none" w:sz="0" w:space="0" w:color="auto"/>
        <w:bottom w:val="none" w:sz="0" w:space="0" w:color="auto"/>
        <w:right w:val="none" w:sz="0" w:space="0" w:color="auto"/>
      </w:divBdr>
    </w:div>
    <w:div w:id="74789503">
      <w:bodyDiv w:val="1"/>
      <w:marLeft w:val="0"/>
      <w:marRight w:val="0"/>
      <w:marTop w:val="0"/>
      <w:marBottom w:val="0"/>
      <w:divBdr>
        <w:top w:val="none" w:sz="0" w:space="0" w:color="auto"/>
        <w:left w:val="none" w:sz="0" w:space="0" w:color="auto"/>
        <w:bottom w:val="none" w:sz="0" w:space="0" w:color="auto"/>
        <w:right w:val="none" w:sz="0" w:space="0" w:color="auto"/>
      </w:divBdr>
    </w:div>
    <w:div w:id="85342906">
      <w:bodyDiv w:val="1"/>
      <w:marLeft w:val="0"/>
      <w:marRight w:val="0"/>
      <w:marTop w:val="0"/>
      <w:marBottom w:val="0"/>
      <w:divBdr>
        <w:top w:val="none" w:sz="0" w:space="0" w:color="auto"/>
        <w:left w:val="none" w:sz="0" w:space="0" w:color="auto"/>
        <w:bottom w:val="none" w:sz="0" w:space="0" w:color="auto"/>
        <w:right w:val="none" w:sz="0" w:space="0" w:color="auto"/>
      </w:divBdr>
    </w:div>
    <w:div w:id="106043851">
      <w:bodyDiv w:val="1"/>
      <w:marLeft w:val="0"/>
      <w:marRight w:val="0"/>
      <w:marTop w:val="0"/>
      <w:marBottom w:val="0"/>
      <w:divBdr>
        <w:top w:val="none" w:sz="0" w:space="0" w:color="auto"/>
        <w:left w:val="none" w:sz="0" w:space="0" w:color="auto"/>
        <w:bottom w:val="none" w:sz="0" w:space="0" w:color="auto"/>
        <w:right w:val="none" w:sz="0" w:space="0" w:color="auto"/>
      </w:divBdr>
    </w:div>
    <w:div w:id="133066033">
      <w:bodyDiv w:val="1"/>
      <w:marLeft w:val="0"/>
      <w:marRight w:val="0"/>
      <w:marTop w:val="0"/>
      <w:marBottom w:val="0"/>
      <w:divBdr>
        <w:top w:val="none" w:sz="0" w:space="0" w:color="auto"/>
        <w:left w:val="none" w:sz="0" w:space="0" w:color="auto"/>
        <w:bottom w:val="none" w:sz="0" w:space="0" w:color="auto"/>
        <w:right w:val="none" w:sz="0" w:space="0" w:color="auto"/>
      </w:divBdr>
    </w:div>
    <w:div w:id="146359822">
      <w:bodyDiv w:val="1"/>
      <w:marLeft w:val="0"/>
      <w:marRight w:val="0"/>
      <w:marTop w:val="0"/>
      <w:marBottom w:val="0"/>
      <w:divBdr>
        <w:top w:val="none" w:sz="0" w:space="0" w:color="auto"/>
        <w:left w:val="none" w:sz="0" w:space="0" w:color="auto"/>
        <w:bottom w:val="none" w:sz="0" w:space="0" w:color="auto"/>
        <w:right w:val="none" w:sz="0" w:space="0" w:color="auto"/>
      </w:divBdr>
    </w:div>
    <w:div w:id="171385193">
      <w:bodyDiv w:val="1"/>
      <w:marLeft w:val="0"/>
      <w:marRight w:val="0"/>
      <w:marTop w:val="0"/>
      <w:marBottom w:val="0"/>
      <w:divBdr>
        <w:top w:val="none" w:sz="0" w:space="0" w:color="auto"/>
        <w:left w:val="none" w:sz="0" w:space="0" w:color="auto"/>
        <w:bottom w:val="none" w:sz="0" w:space="0" w:color="auto"/>
        <w:right w:val="none" w:sz="0" w:space="0" w:color="auto"/>
      </w:divBdr>
    </w:div>
    <w:div w:id="174539907">
      <w:bodyDiv w:val="1"/>
      <w:marLeft w:val="0"/>
      <w:marRight w:val="0"/>
      <w:marTop w:val="0"/>
      <w:marBottom w:val="0"/>
      <w:divBdr>
        <w:top w:val="none" w:sz="0" w:space="0" w:color="auto"/>
        <w:left w:val="none" w:sz="0" w:space="0" w:color="auto"/>
        <w:bottom w:val="none" w:sz="0" w:space="0" w:color="auto"/>
        <w:right w:val="none" w:sz="0" w:space="0" w:color="auto"/>
      </w:divBdr>
    </w:div>
    <w:div w:id="179123534">
      <w:bodyDiv w:val="1"/>
      <w:marLeft w:val="0"/>
      <w:marRight w:val="0"/>
      <w:marTop w:val="0"/>
      <w:marBottom w:val="0"/>
      <w:divBdr>
        <w:top w:val="none" w:sz="0" w:space="0" w:color="auto"/>
        <w:left w:val="none" w:sz="0" w:space="0" w:color="auto"/>
        <w:bottom w:val="none" w:sz="0" w:space="0" w:color="auto"/>
        <w:right w:val="none" w:sz="0" w:space="0" w:color="auto"/>
      </w:divBdr>
    </w:div>
    <w:div w:id="179589791">
      <w:bodyDiv w:val="1"/>
      <w:marLeft w:val="0"/>
      <w:marRight w:val="0"/>
      <w:marTop w:val="0"/>
      <w:marBottom w:val="0"/>
      <w:divBdr>
        <w:top w:val="none" w:sz="0" w:space="0" w:color="auto"/>
        <w:left w:val="none" w:sz="0" w:space="0" w:color="auto"/>
        <w:bottom w:val="none" w:sz="0" w:space="0" w:color="auto"/>
        <w:right w:val="none" w:sz="0" w:space="0" w:color="auto"/>
      </w:divBdr>
    </w:div>
    <w:div w:id="186481176">
      <w:bodyDiv w:val="1"/>
      <w:marLeft w:val="0"/>
      <w:marRight w:val="0"/>
      <w:marTop w:val="0"/>
      <w:marBottom w:val="0"/>
      <w:divBdr>
        <w:top w:val="none" w:sz="0" w:space="0" w:color="auto"/>
        <w:left w:val="none" w:sz="0" w:space="0" w:color="auto"/>
        <w:bottom w:val="none" w:sz="0" w:space="0" w:color="auto"/>
        <w:right w:val="none" w:sz="0" w:space="0" w:color="auto"/>
      </w:divBdr>
    </w:div>
    <w:div w:id="218980570">
      <w:bodyDiv w:val="1"/>
      <w:marLeft w:val="0"/>
      <w:marRight w:val="0"/>
      <w:marTop w:val="0"/>
      <w:marBottom w:val="0"/>
      <w:divBdr>
        <w:top w:val="none" w:sz="0" w:space="0" w:color="auto"/>
        <w:left w:val="none" w:sz="0" w:space="0" w:color="auto"/>
        <w:bottom w:val="none" w:sz="0" w:space="0" w:color="auto"/>
        <w:right w:val="none" w:sz="0" w:space="0" w:color="auto"/>
      </w:divBdr>
    </w:div>
    <w:div w:id="222984929">
      <w:bodyDiv w:val="1"/>
      <w:marLeft w:val="0"/>
      <w:marRight w:val="0"/>
      <w:marTop w:val="0"/>
      <w:marBottom w:val="0"/>
      <w:divBdr>
        <w:top w:val="none" w:sz="0" w:space="0" w:color="auto"/>
        <w:left w:val="none" w:sz="0" w:space="0" w:color="auto"/>
        <w:bottom w:val="none" w:sz="0" w:space="0" w:color="auto"/>
        <w:right w:val="none" w:sz="0" w:space="0" w:color="auto"/>
      </w:divBdr>
    </w:div>
    <w:div w:id="227036699">
      <w:bodyDiv w:val="1"/>
      <w:marLeft w:val="0"/>
      <w:marRight w:val="0"/>
      <w:marTop w:val="0"/>
      <w:marBottom w:val="0"/>
      <w:divBdr>
        <w:top w:val="none" w:sz="0" w:space="0" w:color="auto"/>
        <w:left w:val="none" w:sz="0" w:space="0" w:color="auto"/>
        <w:bottom w:val="none" w:sz="0" w:space="0" w:color="auto"/>
        <w:right w:val="none" w:sz="0" w:space="0" w:color="auto"/>
      </w:divBdr>
    </w:div>
    <w:div w:id="236791670">
      <w:bodyDiv w:val="1"/>
      <w:marLeft w:val="0"/>
      <w:marRight w:val="0"/>
      <w:marTop w:val="0"/>
      <w:marBottom w:val="0"/>
      <w:divBdr>
        <w:top w:val="none" w:sz="0" w:space="0" w:color="auto"/>
        <w:left w:val="none" w:sz="0" w:space="0" w:color="auto"/>
        <w:bottom w:val="none" w:sz="0" w:space="0" w:color="auto"/>
        <w:right w:val="none" w:sz="0" w:space="0" w:color="auto"/>
      </w:divBdr>
    </w:div>
    <w:div w:id="237599207">
      <w:bodyDiv w:val="1"/>
      <w:marLeft w:val="0"/>
      <w:marRight w:val="0"/>
      <w:marTop w:val="0"/>
      <w:marBottom w:val="0"/>
      <w:divBdr>
        <w:top w:val="none" w:sz="0" w:space="0" w:color="auto"/>
        <w:left w:val="none" w:sz="0" w:space="0" w:color="auto"/>
        <w:bottom w:val="none" w:sz="0" w:space="0" w:color="auto"/>
        <w:right w:val="none" w:sz="0" w:space="0" w:color="auto"/>
      </w:divBdr>
    </w:div>
    <w:div w:id="245461323">
      <w:bodyDiv w:val="1"/>
      <w:marLeft w:val="0"/>
      <w:marRight w:val="0"/>
      <w:marTop w:val="0"/>
      <w:marBottom w:val="0"/>
      <w:divBdr>
        <w:top w:val="none" w:sz="0" w:space="0" w:color="auto"/>
        <w:left w:val="none" w:sz="0" w:space="0" w:color="auto"/>
        <w:bottom w:val="none" w:sz="0" w:space="0" w:color="auto"/>
        <w:right w:val="none" w:sz="0" w:space="0" w:color="auto"/>
      </w:divBdr>
    </w:div>
    <w:div w:id="261034742">
      <w:bodyDiv w:val="1"/>
      <w:marLeft w:val="0"/>
      <w:marRight w:val="0"/>
      <w:marTop w:val="0"/>
      <w:marBottom w:val="0"/>
      <w:divBdr>
        <w:top w:val="none" w:sz="0" w:space="0" w:color="auto"/>
        <w:left w:val="none" w:sz="0" w:space="0" w:color="auto"/>
        <w:bottom w:val="none" w:sz="0" w:space="0" w:color="auto"/>
        <w:right w:val="none" w:sz="0" w:space="0" w:color="auto"/>
      </w:divBdr>
    </w:div>
    <w:div w:id="276059960">
      <w:bodyDiv w:val="1"/>
      <w:marLeft w:val="0"/>
      <w:marRight w:val="0"/>
      <w:marTop w:val="0"/>
      <w:marBottom w:val="0"/>
      <w:divBdr>
        <w:top w:val="none" w:sz="0" w:space="0" w:color="auto"/>
        <w:left w:val="none" w:sz="0" w:space="0" w:color="auto"/>
        <w:bottom w:val="none" w:sz="0" w:space="0" w:color="auto"/>
        <w:right w:val="none" w:sz="0" w:space="0" w:color="auto"/>
      </w:divBdr>
    </w:div>
    <w:div w:id="283730600">
      <w:bodyDiv w:val="1"/>
      <w:marLeft w:val="0"/>
      <w:marRight w:val="0"/>
      <w:marTop w:val="0"/>
      <w:marBottom w:val="0"/>
      <w:divBdr>
        <w:top w:val="none" w:sz="0" w:space="0" w:color="auto"/>
        <w:left w:val="none" w:sz="0" w:space="0" w:color="auto"/>
        <w:bottom w:val="none" w:sz="0" w:space="0" w:color="auto"/>
        <w:right w:val="none" w:sz="0" w:space="0" w:color="auto"/>
      </w:divBdr>
    </w:div>
    <w:div w:id="293607651">
      <w:bodyDiv w:val="1"/>
      <w:marLeft w:val="0"/>
      <w:marRight w:val="0"/>
      <w:marTop w:val="0"/>
      <w:marBottom w:val="0"/>
      <w:divBdr>
        <w:top w:val="none" w:sz="0" w:space="0" w:color="auto"/>
        <w:left w:val="none" w:sz="0" w:space="0" w:color="auto"/>
        <w:bottom w:val="none" w:sz="0" w:space="0" w:color="auto"/>
        <w:right w:val="none" w:sz="0" w:space="0" w:color="auto"/>
      </w:divBdr>
    </w:div>
    <w:div w:id="299652036">
      <w:bodyDiv w:val="1"/>
      <w:marLeft w:val="0"/>
      <w:marRight w:val="0"/>
      <w:marTop w:val="0"/>
      <w:marBottom w:val="0"/>
      <w:divBdr>
        <w:top w:val="none" w:sz="0" w:space="0" w:color="auto"/>
        <w:left w:val="none" w:sz="0" w:space="0" w:color="auto"/>
        <w:bottom w:val="none" w:sz="0" w:space="0" w:color="auto"/>
        <w:right w:val="none" w:sz="0" w:space="0" w:color="auto"/>
      </w:divBdr>
    </w:div>
    <w:div w:id="335423803">
      <w:bodyDiv w:val="1"/>
      <w:marLeft w:val="0"/>
      <w:marRight w:val="0"/>
      <w:marTop w:val="0"/>
      <w:marBottom w:val="0"/>
      <w:divBdr>
        <w:top w:val="none" w:sz="0" w:space="0" w:color="auto"/>
        <w:left w:val="none" w:sz="0" w:space="0" w:color="auto"/>
        <w:bottom w:val="none" w:sz="0" w:space="0" w:color="auto"/>
        <w:right w:val="none" w:sz="0" w:space="0" w:color="auto"/>
      </w:divBdr>
    </w:div>
    <w:div w:id="336468385">
      <w:bodyDiv w:val="1"/>
      <w:marLeft w:val="0"/>
      <w:marRight w:val="0"/>
      <w:marTop w:val="0"/>
      <w:marBottom w:val="0"/>
      <w:divBdr>
        <w:top w:val="none" w:sz="0" w:space="0" w:color="auto"/>
        <w:left w:val="none" w:sz="0" w:space="0" w:color="auto"/>
        <w:bottom w:val="none" w:sz="0" w:space="0" w:color="auto"/>
        <w:right w:val="none" w:sz="0" w:space="0" w:color="auto"/>
      </w:divBdr>
    </w:div>
    <w:div w:id="336689874">
      <w:bodyDiv w:val="1"/>
      <w:marLeft w:val="0"/>
      <w:marRight w:val="0"/>
      <w:marTop w:val="0"/>
      <w:marBottom w:val="0"/>
      <w:divBdr>
        <w:top w:val="none" w:sz="0" w:space="0" w:color="auto"/>
        <w:left w:val="none" w:sz="0" w:space="0" w:color="auto"/>
        <w:bottom w:val="none" w:sz="0" w:space="0" w:color="auto"/>
        <w:right w:val="none" w:sz="0" w:space="0" w:color="auto"/>
      </w:divBdr>
    </w:div>
    <w:div w:id="370498417">
      <w:bodyDiv w:val="1"/>
      <w:marLeft w:val="0"/>
      <w:marRight w:val="0"/>
      <w:marTop w:val="0"/>
      <w:marBottom w:val="0"/>
      <w:divBdr>
        <w:top w:val="none" w:sz="0" w:space="0" w:color="auto"/>
        <w:left w:val="none" w:sz="0" w:space="0" w:color="auto"/>
        <w:bottom w:val="none" w:sz="0" w:space="0" w:color="auto"/>
        <w:right w:val="none" w:sz="0" w:space="0" w:color="auto"/>
      </w:divBdr>
    </w:div>
    <w:div w:id="371148368">
      <w:bodyDiv w:val="1"/>
      <w:marLeft w:val="0"/>
      <w:marRight w:val="0"/>
      <w:marTop w:val="0"/>
      <w:marBottom w:val="0"/>
      <w:divBdr>
        <w:top w:val="none" w:sz="0" w:space="0" w:color="auto"/>
        <w:left w:val="none" w:sz="0" w:space="0" w:color="auto"/>
        <w:bottom w:val="none" w:sz="0" w:space="0" w:color="auto"/>
        <w:right w:val="none" w:sz="0" w:space="0" w:color="auto"/>
      </w:divBdr>
    </w:div>
    <w:div w:id="381945113">
      <w:bodyDiv w:val="1"/>
      <w:marLeft w:val="0"/>
      <w:marRight w:val="0"/>
      <w:marTop w:val="0"/>
      <w:marBottom w:val="0"/>
      <w:divBdr>
        <w:top w:val="none" w:sz="0" w:space="0" w:color="auto"/>
        <w:left w:val="none" w:sz="0" w:space="0" w:color="auto"/>
        <w:bottom w:val="none" w:sz="0" w:space="0" w:color="auto"/>
        <w:right w:val="none" w:sz="0" w:space="0" w:color="auto"/>
      </w:divBdr>
    </w:div>
    <w:div w:id="384334956">
      <w:bodyDiv w:val="1"/>
      <w:marLeft w:val="0"/>
      <w:marRight w:val="0"/>
      <w:marTop w:val="0"/>
      <w:marBottom w:val="0"/>
      <w:divBdr>
        <w:top w:val="none" w:sz="0" w:space="0" w:color="auto"/>
        <w:left w:val="none" w:sz="0" w:space="0" w:color="auto"/>
        <w:bottom w:val="none" w:sz="0" w:space="0" w:color="auto"/>
        <w:right w:val="none" w:sz="0" w:space="0" w:color="auto"/>
      </w:divBdr>
    </w:div>
    <w:div w:id="385228111">
      <w:bodyDiv w:val="1"/>
      <w:marLeft w:val="0"/>
      <w:marRight w:val="0"/>
      <w:marTop w:val="0"/>
      <w:marBottom w:val="0"/>
      <w:divBdr>
        <w:top w:val="none" w:sz="0" w:space="0" w:color="auto"/>
        <w:left w:val="none" w:sz="0" w:space="0" w:color="auto"/>
        <w:bottom w:val="none" w:sz="0" w:space="0" w:color="auto"/>
        <w:right w:val="none" w:sz="0" w:space="0" w:color="auto"/>
      </w:divBdr>
    </w:div>
    <w:div w:id="389236273">
      <w:bodyDiv w:val="1"/>
      <w:marLeft w:val="0"/>
      <w:marRight w:val="0"/>
      <w:marTop w:val="0"/>
      <w:marBottom w:val="0"/>
      <w:divBdr>
        <w:top w:val="none" w:sz="0" w:space="0" w:color="auto"/>
        <w:left w:val="none" w:sz="0" w:space="0" w:color="auto"/>
        <w:bottom w:val="none" w:sz="0" w:space="0" w:color="auto"/>
        <w:right w:val="none" w:sz="0" w:space="0" w:color="auto"/>
      </w:divBdr>
    </w:div>
    <w:div w:id="429087328">
      <w:bodyDiv w:val="1"/>
      <w:marLeft w:val="0"/>
      <w:marRight w:val="0"/>
      <w:marTop w:val="0"/>
      <w:marBottom w:val="0"/>
      <w:divBdr>
        <w:top w:val="none" w:sz="0" w:space="0" w:color="auto"/>
        <w:left w:val="none" w:sz="0" w:space="0" w:color="auto"/>
        <w:bottom w:val="none" w:sz="0" w:space="0" w:color="auto"/>
        <w:right w:val="none" w:sz="0" w:space="0" w:color="auto"/>
      </w:divBdr>
    </w:div>
    <w:div w:id="447700900">
      <w:bodyDiv w:val="1"/>
      <w:marLeft w:val="0"/>
      <w:marRight w:val="0"/>
      <w:marTop w:val="0"/>
      <w:marBottom w:val="0"/>
      <w:divBdr>
        <w:top w:val="none" w:sz="0" w:space="0" w:color="auto"/>
        <w:left w:val="none" w:sz="0" w:space="0" w:color="auto"/>
        <w:bottom w:val="none" w:sz="0" w:space="0" w:color="auto"/>
        <w:right w:val="none" w:sz="0" w:space="0" w:color="auto"/>
      </w:divBdr>
    </w:div>
    <w:div w:id="472793517">
      <w:bodyDiv w:val="1"/>
      <w:marLeft w:val="0"/>
      <w:marRight w:val="0"/>
      <w:marTop w:val="0"/>
      <w:marBottom w:val="0"/>
      <w:divBdr>
        <w:top w:val="none" w:sz="0" w:space="0" w:color="auto"/>
        <w:left w:val="none" w:sz="0" w:space="0" w:color="auto"/>
        <w:bottom w:val="none" w:sz="0" w:space="0" w:color="auto"/>
        <w:right w:val="none" w:sz="0" w:space="0" w:color="auto"/>
      </w:divBdr>
    </w:div>
    <w:div w:id="472910752">
      <w:bodyDiv w:val="1"/>
      <w:marLeft w:val="0"/>
      <w:marRight w:val="0"/>
      <w:marTop w:val="0"/>
      <w:marBottom w:val="0"/>
      <w:divBdr>
        <w:top w:val="none" w:sz="0" w:space="0" w:color="auto"/>
        <w:left w:val="none" w:sz="0" w:space="0" w:color="auto"/>
        <w:bottom w:val="none" w:sz="0" w:space="0" w:color="auto"/>
        <w:right w:val="none" w:sz="0" w:space="0" w:color="auto"/>
      </w:divBdr>
    </w:div>
    <w:div w:id="474954754">
      <w:bodyDiv w:val="1"/>
      <w:marLeft w:val="0"/>
      <w:marRight w:val="0"/>
      <w:marTop w:val="0"/>
      <w:marBottom w:val="0"/>
      <w:divBdr>
        <w:top w:val="none" w:sz="0" w:space="0" w:color="auto"/>
        <w:left w:val="none" w:sz="0" w:space="0" w:color="auto"/>
        <w:bottom w:val="none" w:sz="0" w:space="0" w:color="auto"/>
        <w:right w:val="none" w:sz="0" w:space="0" w:color="auto"/>
      </w:divBdr>
    </w:div>
    <w:div w:id="476531691">
      <w:bodyDiv w:val="1"/>
      <w:marLeft w:val="0"/>
      <w:marRight w:val="0"/>
      <w:marTop w:val="0"/>
      <w:marBottom w:val="0"/>
      <w:divBdr>
        <w:top w:val="none" w:sz="0" w:space="0" w:color="auto"/>
        <w:left w:val="none" w:sz="0" w:space="0" w:color="auto"/>
        <w:bottom w:val="none" w:sz="0" w:space="0" w:color="auto"/>
        <w:right w:val="none" w:sz="0" w:space="0" w:color="auto"/>
      </w:divBdr>
    </w:div>
    <w:div w:id="479200156">
      <w:bodyDiv w:val="1"/>
      <w:marLeft w:val="0"/>
      <w:marRight w:val="0"/>
      <w:marTop w:val="0"/>
      <w:marBottom w:val="0"/>
      <w:divBdr>
        <w:top w:val="none" w:sz="0" w:space="0" w:color="auto"/>
        <w:left w:val="none" w:sz="0" w:space="0" w:color="auto"/>
        <w:bottom w:val="none" w:sz="0" w:space="0" w:color="auto"/>
        <w:right w:val="none" w:sz="0" w:space="0" w:color="auto"/>
      </w:divBdr>
    </w:div>
    <w:div w:id="494683725">
      <w:bodyDiv w:val="1"/>
      <w:marLeft w:val="0"/>
      <w:marRight w:val="0"/>
      <w:marTop w:val="0"/>
      <w:marBottom w:val="0"/>
      <w:divBdr>
        <w:top w:val="none" w:sz="0" w:space="0" w:color="auto"/>
        <w:left w:val="none" w:sz="0" w:space="0" w:color="auto"/>
        <w:bottom w:val="none" w:sz="0" w:space="0" w:color="auto"/>
        <w:right w:val="none" w:sz="0" w:space="0" w:color="auto"/>
      </w:divBdr>
    </w:div>
    <w:div w:id="501552969">
      <w:bodyDiv w:val="1"/>
      <w:marLeft w:val="0"/>
      <w:marRight w:val="0"/>
      <w:marTop w:val="0"/>
      <w:marBottom w:val="0"/>
      <w:divBdr>
        <w:top w:val="none" w:sz="0" w:space="0" w:color="auto"/>
        <w:left w:val="none" w:sz="0" w:space="0" w:color="auto"/>
        <w:bottom w:val="none" w:sz="0" w:space="0" w:color="auto"/>
        <w:right w:val="none" w:sz="0" w:space="0" w:color="auto"/>
      </w:divBdr>
    </w:div>
    <w:div w:id="507721982">
      <w:bodyDiv w:val="1"/>
      <w:marLeft w:val="0"/>
      <w:marRight w:val="0"/>
      <w:marTop w:val="0"/>
      <w:marBottom w:val="0"/>
      <w:divBdr>
        <w:top w:val="none" w:sz="0" w:space="0" w:color="auto"/>
        <w:left w:val="none" w:sz="0" w:space="0" w:color="auto"/>
        <w:bottom w:val="none" w:sz="0" w:space="0" w:color="auto"/>
        <w:right w:val="none" w:sz="0" w:space="0" w:color="auto"/>
      </w:divBdr>
    </w:div>
    <w:div w:id="517545461">
      <w:bodyDiv w:val="1"/>
      <w:marLeft w:val="0"/>
      <w:marRight w:val="0"/>
      <w:marTop w:val="0"/>
      <w:marBottom w:val="0"/>
      <w:divBdr>
        <w:top w:val="none" w:sz="0" w:space="0" w:color="auto"/>
        <w:left w:val="none" w:sz="0" w:space="0" w:color="auto"/>
        <w:bottom w:val="none" w:sz="0" w:space="0" w:color="auto"/>
        <w:right w:val="none" w:sz="0" w:space="0" w:color="auto"/>
      </w:divBdr>
    </w:div>
    <w:div w:id="517623128">
      <w:bodyDiv w:val="1"/>
      <w:marLeft w:val="0"/>
      <w:marRight w:val="0"/>
      <w:marTop w:val="0"/>
      <w:marBottom w:val="0"/>
      <w:divBdr>
        <w:top w:val="none" w:sz="0" w:space="0" w:color="auto"/>
        <w:left w:val="none" w:sz="0" w:space="0" w:color="auto"/>
        <w:bottom w:val="none" w:sz="0" w:space="0" w:color="auto"/>
        <w:right w:val="none" w:sz="0" w:space="0" w:color="auto"/>
      </w:divBdr>
    </w:div>
    <w:div w:id="530728686">
      <w:bodyDiv w:val="1"/>
      <w:marLeft w:val="0"/>
      <w:marRight w:val="0"/>
      <w:marTop w:val="0"/>
      <w:marBottom w:val="0"/>
      <w:divBdr>
        <w:top w:val="none" w:sz="0" w:space="0" w:color="auto"/>
        <w:left w:val="none" w:sz="0" w:space="0" w:color="auto"/>
        <w:bottom w:val="none" w:sz="0" w:space="0" w:color="auto"/>
        <w:right w:val="none" w:sz="0" w:space="0" w:color="auto"/>
      </w:divBdr>
    </w:div>
    <w:div w:id="553349489">
      <w:bodyDiv w:val="1"/>
      <w:marLeft w:val="0"/>
      <w:marRight w:val="0"/>
      <w:marTop w:val="0"/>
      <w:marBottom w:val="0"/>
      <w:divBdr>
        <w:top w:val="none" w:sz="0" w:space="0" w:color="auto"/>
        <w:left w:val="none" w:sz="0" w:space="0" w:color="auto"/>
        <w:bottom w:val="none" w:sz="0" w:space="0" w:color="auto"/>
        <w:right w:val="none" w:sz="0" w:space="0" w:color="auto"/>
      </w:divBdr>
    </w:div>
    <w:div w:id="554121005">
      <w:bodyDiv w:val="1"/>
      <w:marLeft w:val="0"/>
      <w:marRight w:val="0"/>
      <w:marTop w:val="0"/>
      <w:marBottom w:val="0"/>
      <w:divBdr>
        <w:top w:val="none" w:sz="0" w:space="0" w:color="auto"/>
        <w:left w:val="none" w:sz="0" w:space="0" w:color="auto"/>
        <w:bottom w:val="none" w:sz="0" w:space="0" w:color="auto"/>
        <w:right w:val="none" w:sz="0" w:space="0" w:color="auto"/>
      </w:divBdr>
    </w:div>
    <w:div w:id="579410197">
      <w:bodyDiv w:val="1"/>
      <w:marLeft w:val="0"/>
      <w:marRight w:val="0"/>
      <w:marTop w:val="0"/>
      <w:marBottom w:val="0"/>
      <w:divBdr>
        <w:top w:val="none" w:sz="0" w:space="0" w:color="auto"/>
        <w:left w:val="none" w:sz="0" w:space="0" w:color="auto"/>
        <w:bottom w:val="none" w:sz="0" w:space="0" w:color="auto"/>
        <w:right w:val="none" w:sz="0" w:space="0" w:color="auto"/>
      </w:divBdr>
    </w:div>
    <w:div w:id="580335501">
      <w:bodyDiv w:val="1"/>
      <w:marLeft w:val="0"/>
      <w:marRight w:val="0"/>
      <w:marTop w:val="0"/>
      <w:marBottom w:val="0"/>
      <w:divBdr>
        <w:top w:val="none" w:sz="0" w:space="0" w:color="auto"/>
        <w:left w:val="none" w:sz="0" w:space="0" w:color="auto"/>
        <w:bottom w:val="none" w:sz="0" w:space="0" w:color="auto"/>
        <w:right w:val="none" w:sz="0" w:space="0" w:color="auto"/>
      </w:divBdr>
    </w:div>
    <w:div w:id="582762340">
      <w:bodyDiv w:val="1"/>
      <w:marLeft w:val="0"/>
      <w:marRight w:val="0"/>
      <w:marTop w:val="0"/>
      <w:marBottom w:val="0"/>
      <w:divBdr>
        <w:top w:val="none" w:sz="0" w:space="0" w:color="auto"/>
        <w:left w:val="none" w:sz="0" w:space="0" w:color="auto"/>
        <w:bottom w:val="none" w:sz="0" w:space="0" w:color="auto"/>
        <w:right w:val="none" w:sz="0" w:space="0" w:color="auto"/>
      </w:divBdr>
    </w:div>
    <w:div w:id="593783251">
      <w:bodyDiv w:val="1"/>
      <w:marLeft w:val="0"/>
      <w:marRight w:val="0"/>
      <w:marTop w:val="0"/>
      <w:marBottom w:val="0"/>
      <w:divBdr>
        <w:top w:val="none" w:sz="0" w:space="0" w:color="auto"/>
        <w:left w:val="none" w:sz="0" w:space="0" w:color="auto"/>
        <w:bottom w:val="none" w:sz="0" w:space="0" w:color="auto"/>
        <w:right w:val="none" w:sz="0" w:space="0" w:color="auto"/>
      </w:divBdr>
    </w:div>
    <w:div w:id="595797108">
      <w:bodyDiv w:val="1"/>
      <w:marLeft w:val="0"/>
      <w:marRight w:val="0"/>
      <w:marTop w:val="0"/>
      <w:marBottom w:val="0"/>
      <w:divBdr>
        <w:top w:val="none" w:sz="0" w:space="0" w:color="auto"/>
        <w:left w:val="none" w:sz="0" w:space="0" w:color="auto"/>
        <w:bottom w:val="none" w:sz="0" w:space="0" w:color="auto"/>
        <w:right w:val="none" w:sz="0" w:space="0" w:color="auto"/>
      </w:divBdr>
    </w:div>
    <w:div w:id="596138327">
      <w:bodyDiv w:val="1"/>
      <w:marLeft w:val="0"/>
      <w:marRight w:val="0"/>
      <w:marTop w:val="0"/>
      <w:marBottom w:val="0"/>
      <w:divBdr>
        <w:top w:val="none" w:sz="0" w:space="0" w:color="auto"/>
        <w:left w:val="none" w:sz="0" w:space="0" w:color="auto"/>
        <w:bottom w:val="none" w:sz="0" w:space="0" w:color="auto"/>
        <w:right w:val="none" w:sz="0" w:space="0" w:color="auto"/>
      </w:divBdr>
    </w:div>
    <w:div w:id="625358435">
      <w:bodyDiv w:val="1"/>
      <w:marLeft w:val="0"/>
      <w:marRight w:val="0"/>
      <w:marTop w:val="0"/>
      <w:marBottom w:val="0"/>
      <w:divBdr>
        <w:top w:val="none" w:sz="0" w:space="0" w:color="auto"/>
        <w:left w:val="none" w:sz="0" w:space="0" w:color="auto"/>
        <w:bottom w:val="none" w:sz="0" w:space="0" w:color="auto"/>
        <w:right w:val="none" w:sz="0" w:space="0" w:color="auto"/>
      </w:divBdr>
    </w:div>
    <w:div w:id="653871007">
      <w:bodyDiv w:val="1"/>
      <w:marLeft w:val="0"/>
      <w:marRight w:val="0"/>
      <w:marTop w:val="0"/>
      <w:marBottom w:val="0"/>
      <w:divBdr>
        <w:top w:val="none" w:sz="0" w:space="0" w:color="auto"/>
        <w:left w:val="none" w:sz="0" w:space="0" w:color="auto"/>
        <w:bottom w:val="none" w:sz="0" w:space="0" w:color="auto"/>
        <w:right w:val="none" w:sz="0" w:space="0" w:color="auto"/>
      </w:divBdr>
    </w:div>
    <w:div w:id="658191905">
      <w:bodyDiv w:val="1"/>
      <w:marLeft w:val="0"/>
      <w:marRight w:val="0"/>
      <w:marTop w:val="0"/>
      <w:marBottom w:val="0"/>
      <w:divBdr>
        <w:top w:val="none" w:sz="0" w:space="0" w:color="auto"/>
        <w:left w:val="none" w:sz="0" w:space="0" w:color="auto"/>
        <w:bottom w:val="none" w:sz="0" w:space="0" w:color="auto"/>
        <w:right w:val="none" w:sz="0" w:space="0" w:color="auto"/>
      </w:divBdr>
    </w:div>
    <w:div w:id="678002090">
      <w:bodyDiv w:val="1"/>
      <w:marLeft w:val="0"/>
      <w:marRight w:val="0"/>
      <w:marTop w:val="0"/>
      <w:marBottom w:val="0"/>
      <w:divBdr>
        <w:top w:val="none" w:sz="0" w:space="0" w:color="auto"/>
        <w:left w:val="none" w:sz="0" w:space="0" w:color="auto"/>
        <w:bottom w:val="none" w:sz="0" w:space="0" w:color="auto"/>
        <w:right w:val="none" w:sz="0" w:space="0" w:color="auto"/>
      </w:divBdr>
    </w:div>
    <w:div w:id="679546705">
      <w:bodyDiv w:val="1"/>
      <w:marLeft w:val="0"/>
      <w:marRight w:val="0"/>
      <w:marTop w:val="0"/>
      <w:marBottom w:val="0"/>
      <w:divBdr>
        <w:top w:val="none" w:sz="0" w:space="0" w:color="auto"/>
        <w:left w:val="none" w:sz="0" w:space="0" w:color="auto"/>
        <w:bottom w:val="none" w:sz="0" w:space="0" w:color="auto"/>
        <w:right w:val="none" w:sz="0" w:space="0" w:color="auto"/>
      </w:divBdr>
    </w:div>
    <w:div w:id="685450105">
      <w:bodyDiv w:val="1"/>
      <w:marLeft w:val="0"/>
      <w:marRight w:val="0"/>
      <w:marTop w:val="0"/>
      <w:marBottom w:val="0"/>
      <w:divBdr>
        <w:top w:val="none" w:sz="0" w:space="0" w:color="auto"/>
        <w:left w:val="none" w:sz="0" w:space="0" w:color="auto"/>
        <w:bottom w:val="none" w:sz="0" w:space="0" w:color="auto"/>
        <w:right w:val="none" w:sz="0" w:space="0" w:color="auto"/>
      </w:divBdr>
    </w:div>
    <w:div w:id="705836140">
      <w:bodyDiv w:val="1"/>
      <w:marLeft w:val="0"/>
      <w:marRight w:val="0"/>
      <w:marTop w:val="0"/>
      <w:marBottom w:val="0"/>
      <w:divBdr>
        <w:top w:val="none" w:sz="0" w:space="0" w:color="auto"/>
        <w:left w:val="none" w:sz="0" w:space="0" w:color="auto"/>
        <w:bottom w:val="none" w:sz="0" w:space="0" w:color="auto"/>
        <w:right w:val="none" w:sz="0" w:space="0" w:color="auto"/>
      </w:divBdr>
    </w:div>
    <w:div w:id="732436986">
      <w:bodyDiv w:val="1"/>
      <w:marLeft w:val="0"/>
      <w:marRight w:val="0"/>
      <w:marTop w:val="0"/>
      <w:marBottom w:val="0"/>
      <w:divBdr>
        <w:top w:val="none" w:sz="0" w:space="0" w:color="auto"/>
        <w:left w:val="none" w:sz="0" w:space="0" w:color="auto"/>
        <w:bottom w:val="none" w:sz="0" w:space="0" w:color="auto"/>
        <w:right w:val="none" w:sz="0" w:space="0" w:color="auto"/>
      </w:divBdr>
    </w:div>
    <w:div w:id="736518544">
      <w:bodyDiv w:val="1"/>
      <w:marLeft w:val="0"/>
      <w:marRight w:val="0"/>
      <w:marTop w:val="0"/>
      <w:marBottom w:val="0"/>
      <w:divBdr>
        <w:top w:val="none" w:sz="0" w:space="0" w:color="auto"/>
        <w:left w:val="none" w:sz="0" w:space="0" w:color="auto"/>
        <w:bottom w:val="none" w:sz="0" w:space="0" w:color="auto"/>
        <w:right w:val="none" w:sz="0" w:space="0" w:color="auto"/>
      </w:divBdr>
    </w:div>
    <w:div w:id="744374004">
      <w:bodyDiv w:val="1"/>
      <w:marLeft w:val="0"/>
      <w:marRight w:val="0"/>
      <w:marTop w:val="0"/>
      <w:marBottom w:val="0"/>
      <w:divBdr>
        <w:top w:val="none" w:sz="0" w:space="0" w:color="auto"/>
        <w:left w:val="none" w:sz="0" w:space="0" w:color="auto"/>
        <w:bottom w:val="none" w:sz="0" w:space="0" w:color="auto"/>
        <w:right w:val="none" w:sz="0" w:space="0" w:color="auto"/>
      </w:divBdr>
    </w:div>
    <w:div w:id="757678704">
      <w:bodyDiv w:val="1"/>
      <w:marLeft w:val="0"/>
      <w:marRight w:val="0"/>
      <w:marTop w:val="0"/>
      <w:marBottom w:val="0"/>
      <w:divBdr>
        <w:top w:val="none" w:sz="0" w:space="0" w:color="auto"/>
        <w:left w:val="none" w:sz="0" w:space="0" w:color="auto"/>
        <w:bottom w:val="none" w:sz="0" w:space="0" w:color="auto"/>
        <w:right w:val="none" w:sz="0" w:space="0" w:color="auto"/>
      </w:divBdr>
    </w:div>
    <w:div w:id="780762627">
      <w:bodyDiv w:val="1"/>
      <w:marLeft w:val="0"/>
      <w:marRight w:val="0"/>
      <w:marTop w:val="0"/>
      <w:marBottom w:val="0"/>
      <w:divBdr>
        <w:top w:val="none" w:sz="0" w:space="0" w:color="auto"/>
        <w:left w:val="none" w:sz="0" w:space="0" w:color="auto"/>
        <w:bottom w:val="none" w:sz="0" w:space="0" w:color="auto"/>
        <w:right w:val="none" w:sz="0" w:space="0" w:color="auto"/>
      </w:divBdr>
    </w:div>
    <w:div w:id="782699111">
      <w:bodyDiv w:val="1"/>
      <w:marLeft w:val="0"/>
      <w:marRight w:val="0"/>
      <w:marTop w:val="0"/>
      <w:marBottom w:val="0"/>
      <w:divBdr>
        <w:top w:val="none" w:sz="0" w:space="0" w:color="auto"/>
        <w:left w:val="none" w:sz="0" w:space="0" w:color="auto"/>
        <w:bottom w:val="none" w:sz="0" w:space="0" w:color="auto"/>
        <w:right w:val="none" w:sz="0" w:space="0" w:color="auto"/>
      </w:divBdr>
    </w:div>
    <w:div w:id="782849290">
      <w:bodyDiv w:val="1"/>
      <w:marLeft w:val="0"/>
      <w:marRight w:val="0"/>
      <w:marTop w:val="0"/>
      <w:marBottom w:val="0"/>
      <w:divBdr>
        <w:top w:val="none" w:sz="0" w:space="0" w:color="auto"/>
        <w:left w:val="none" w:sz="0" w:space="0" w:color="auto"/>
        <w:bottom w:val="none" w:sz="0" w:space="0" w:color="auto"/>
        <w:right w:val="none" w:sz="0" w:space="0" w:color="auto"/>
      </w:divBdr>
    </w:div>
    <w:div w:id="805589297">
      <w:bodyDiv w:val="1"/>
      <w:marLeft w:val="0"/>
      <w:marRight w:val="0"/>
      <w:marTop w:val="0"/>
      <w:marBottom w:val="0"/>
      <w:divBdr>
        <w:top w:val="none" w:sz="0" w:space="0" w:color="auto"/>
        <w:left w:val="none" w:sz="0" w:space="0" w:color="auto"/>
        <w:bottom w:val="none" w:sz="0" w:space="0" w:color="auto"/>
        <w:right w:val="none" w:sz="0" w:space="0" w:color="auto"/>
      </w:divBdr>
    </w:div>
    <w:div w:id="805853232">
      <w:bodyDiv w:val="1"/>
      <w:marLeft w:val="0"/>
      <w:marRight w:val="0"/>
      <w:marTop w:val="0"/>
      <w:marBottom w:val="0"/>
      <w:divBdr>
        <w:top w:val="none" w:sz="0" w:space="0" w:color="auto"/>
        <w:left w:val="none" w:sz="0" w:space="0" w:color="auto"/>
        <w:bottom w:val="none" w:sz="0" w:space="0" w:color="auto"/>
        <w:right w:val="none" w:sz="0" w:space="0" w:color="auto"/>
      </w:divBdr>
    </w:div>
    <w:div w:id="807236506">
      <w:bodyDiv w:val="1"/>
      <w:marLeft w:val="0"/>
      <w:marRight w:val="0"/>
      <w:marTop w:val="0"/>
      <w:marBottom w:val="0"/>
      <w:divBdr>
        <w:top w:val="none" w:sz="0" w:space="0" w:color="auto"/>
        <w:left w:val="none" w:sz="0" w:space="0" w:color="auto"/>
        <w:bottom w:val="none" w:sz="0" w:space="0" w:color="auto"/>
        <w:right w:val="none" w:sz="0" w:space="0" w:color="auto"/>
      </w:divBdr>
    </w:div>
    <w:div w:id="810830745">
      <w:bodyDiv w:val="1"/>
      <w:marLeft w:val="0"/>
      <w:marRight w:val="0"/>
      <w:marTop w:val="0"/>
      <w:marBottom w:val="0"/>
      <w:divBdr>
        <w:top w:val="none" w:sz="0" w:space="0" w:color="auto"/>
        <w:left w:val="none" w:sz="0" w:space="0" w:color="auto"/>
        <w:bottom w:val="none" w:sz="0" w:space="0" w:color="auto"/>
        <w:right w:val="none" w:sz="0" w:space="0" w:color="auto"/>
      </w:divBdr>
    </w:div>
    <w:div w:id="812482109">
      <w:bodyDiv w:val="1"/>
      <w:marLeft w:val="0"/>
      <w:marRight w:val="0"/>
      <w:marTop w:val="0"/>
      <w:marBottom w:val="0"/>
      <w:divBdr>
        <w:top w:val="none" w:sz="0" w:space="0" w:color="auto"/>
        <w:left w:val="none" w:sz="0" w:space="0" w:color="auto"/>
        <w:bottom w:val="none" w:sz="0" w:space="0" w:color="auto"/>
        <w:right w:val="none" w:sz="0" w:space="0" w:color="auto"/>
      </w:divBdr>
    </w:div>
    <w:div w:id="816337586">
      <w:bodyDiv w:val="1"/>
      <w:marLeft w:val="0"/>
      <w:marRight w:val="0"/>
      <w:marTop w:val="0"/>
      <w:marBottom w:val="0"/>
      <w:divBdr>
        <w:top w:val="none" w:sz="0" w:space="0" w:color="auto"/>
        <w:left w:val="none" w:sz="0" w:space="0" w:color="auto"/>
        <w:bottom w:val="none" w:sz="0" w:space="0" w:color="auto"/>
        <w:right w:val="none" w:sz="0" w:space="0" w:color="auto"/>
      </w:divBdr>
    </w:div>
    <w:div w:id="820384377">
      <w:bodyDiv w:val="1"/>
      <w:marLeft w:val="0"/>
      <w:marRight w:val="0"/>
      <w:marTop w:val="0"/>
      <w:marBottom w:val="0"/>
      <w:divBdr>
        <w:top w:val="none" w:sz="0" w:space="0" w:color="auto"/>
        <w:left w:val="none" w:sz="0" w:space="0" w:color="auto"/>
        <w:bottom w:val="none" w:sz="0" w:space="0" w:color="auto"/>
        <w:right w:val="none" w:sz="0" w:space="0" w:color="auto"/>
      </w:divBdr>
    </w:div>
    <w:div w:id="835077119">
      <w:bodyDiv w:val="1"/>
      <w:marLeft w:val="0"/>
      <w:marRight w:val="0"/>
      <w:marTop w:val="0"/>
      <w:marBottom w:val="0"/>
      <w:divBdr>
        <w:top w:val="none" w:sz="0" w:space="0" w:color="auto"/>
        <w:left w:val="none" w:sz="0" w:space="0" w:color="auto"/>
        <w:bottom w:val="none" w:sz="0" w:space="0" w:color="auto"/>
        <w:right w:val="none" w:sz="0" w:space="0" w:color="auto"/>
      </w:divBdr>
    </w:div>
    <w:div w:id="857238127">
      <w:bodyDiv w:val="1"/>
      <w:marLeft w:val="0"/>
      <w:marRight w:val="0"/>
      <w:marTop w:val="0"/>
      <w:marBottom w:val="0"/>
      <w:divBdr>
        <w:top w:val="none" w:sz="0" w:space="0" w:color="auto"/>
        <w:left w:val="none" w:sz="0" w:space="0" w:color="auto"/>
        <w:bottom w:val="none" w:sz="0" w:space="0" w:color="auto"/>
        <w:right w:val="none" w:sz="0" w:space="0" w:color="auto"/>
      </w:divBdr>
    </w:div>
    <w:div w:id="891190228">
      <w:bodyDiv w:val="1"/>
      <w:marLeft w:val="0"/>
      <w:marRight w:val="0"/>
      <w:marTop w:val="0"/>
      <w:marBottom w:val="0"/>
      <w:divBdr>
        <w:top w:val="none" w:sz="0" w:space="0" w:color="auto"/>
        <w:left w:val="none" w:sz="0" w:space="0" w:color="auto"/>
        <w:bottom w:val="none" w:sz="0" w:space="0" w:color="auto"/>
        <w:right w:val="none" w:sz="0" w:space="0" w:color="auto"/>
      </w:divBdr>
    </w:div>
    <w:div w:id="904607370">
      <w:bodyDiv w:val="1"/>
      <w:marLeft w:val="0"/>
      <w:marRight w:val="0"/>
      <w:marTop w:val="0"/>
      <w:marBottom w:val="0"/>
      <w:divBdr>
        <w:top w:val="none" w:sz="0" w:space="0" w:color="auto"/>
        <w:left w:val="none" w:sz="0" w:space="0" w:color="auto"/>
        <w:bottom w:val="none" w:sz="0" w:space="0" w:color="auto"/>
        <w:right w:val="none" w:sz="0" w:space="0" w:color="auto"/>
      </w:divBdr>
    </w:div>
    <w:div w:id="915627997">
      <w:bodyDiv w:val="1"/>
      <w:marLeft w:val="0"/>
      <w:marRight w:val="0"/>
      <w:marTop w:val="0"/>
      <w:marBottom w:val="0"/>
      <w:divBdr>
        <w:top w:val="none" w:sz="0" w:space="0" w:color="auto"/>
        <w:left w:val="none" w:sz="0" w:space="0" w:color="auto"/>
        <w:bottom w:val="none" w:sz="0" w:space="0" w:color="auto"/>
        <w:right w:val="none" w:sz="0" w:space="0" w:color="auto"/>
      </w:divBdr>
    </w:div>
    <w:div w:id="921985837">
      <w:bodyDiv w:val="1"/>
      <w:marLeft w:val="0"/>
      <w:marRight w:val="0"/>
      <w:marTop w:val="0"/>
      <w:marBottom w:val="0"/>
      <w:divBdr>
        <w:top w:val="none" w:sz="0" w:space="0" w:color="auto"/>
        <w:left w:val="none" w:sz="0" w:space="0" w:color="auto"/>
        <w:bottom w:val="none" w:sz="0" w:space="0" w:color="auto"/>
        <w:right w:val="none" w:sz="0" w:space="0" w:color="auto"/>
      </w:divBdr>
    </w:div>
    <w:div w:id="924264571">
      <w:bodyDiv w:val="1"/>
      <w:marLeft w:val="0"/>
      <w:marRight w:val="0"/>
      <w:marTop w:val="0"/>
      <w:marBottom w:val="0"/>
      <w:divBdr>
        <w:top w:val="none" w:sz="0" w:space="0" w:color="auto"/>
        <w:left w:val="none" w:sz="0" w:space="0" w:color="auto"/>
        <w:bottom w:val="none" w:sz="0" w:space="0" w:color="auto"/>
        <w:right w:val="none" w:sz="0" w:space="0" w:color="auto"/>
      </w:divBdr>
    </w:div>
    <w:div w:id="980502843">
      <w:bodyDiv w:val="1"/>
      <w:marLeft w:val="0"/>
      <w:marRight w:val="0"/>
      <w:marTop w:val="0"/>
      <w:marBottom w:val="0"/>
      <w:divBdr>
        <w:top w:val="none" w:sz="0" w:space="0" w:color="auto"/>
        <w:left w:val="none" w:sz="0" w:space="0" w:color="auto"/>
        <w:bottom w:val="none" w:sz="0" w:space="0" w:color="auto"/>
        <w:right w:val="none" w:sz="0" w:space="0" w:color="auto"/>
      </w:divBdr>
    </w:div>
    <w:div w:id="986322133">
      <w:bodyDiv w:val="1"/>
      <w:marLeft w:val="0"/>
      <w:marRight w:val="0"/>
      <w:marTop w:val="0"/>
      <w:marBottom w:val="0"/>
      <w:divBdr>
        <w:top w:val="none" w:sz="0" w:space="0" w:color="auto"/>
        <w:left w:val="none" w:sz="0" w:space="0" w:color="auto"/>
        <w:bottom w:val="none" w:sz="0" w:space="0" w:color="auto"/>
        <w:right w:val="none" w:sz="0" w:space="0" w:color="auto"/>
      </w:divBdr>
    </w:div>
    <w:div w:id="989140050">
      <w:bodyDiv w:val="1"/>
      <w:marLeft w:val="0"/>
      <w:marRight w:val="0"/>
      <w:marTop w:val="0"/>
      <w:marBottom w:val="0"/>
      <w:divBdr>
        <w:top w:val="none" w:sz="0" w:space="0" w:color="auto"/>
        <w:left w:val="none" w:sz="0" w:space="0" w:color="auto"/>
        <w:bottom w:val="none" w:sz="0" w:space="0" w:color="auto"/>
        <w:right w:val="none" w:sz="0" w:space="0" w:color="auto"/>
      </w:divBdr>
    </w:div>
    <w:div w:id="999432271">
      <w:bodyDiv w:val="1"/>
      <w:marLeft w:val="0"/>
      <w:marRight w:val="0"/>
      <w:marTop w:val="0"/>
      <w:marBottom w:val="0"/>
      <w:divBdr>
        <w:top w:val="none" w:sz="0" w:space="0" w:color="auto"/>
        <w:left w:val="none" w:sz="0" w:space="0" w:color="auto"/>
        <w:bottom w:val="none" w:sz="0" w:space="0" w:color="auto"/>
        <w:right w:val="none" w:sz="0" w:space="0" w:color="auto"/>
      </w:divBdr>
    </w:div>
    <w:div w:id="1013264020">
      <w:bodyDiv w:val="1"/>
      <w:marLeft w:val="0"/>
      <w:marRight w:val="0"/>
      <w:marTop w:val="0"/>
      <w:marBottom w:val="0"/>
      <w:divBdr>
        <w:top w:val="none" w:sz="0" w:space="0" w:color="auto"/>
        <w:left w:val="none" w:sz="0" w:space="0" w:color="auto"/>
        <w:bottom w:val="none" w:sz="0" w:space="0" w:color="auto"/>
        <w:right w:val="none" w:sz="0" w:space="0" w:color="auto"/>
      </w:divBdr>
    </w:div>
    <w:div w:id="1015305475">
      <w:bodyDiv w:val="1"/>
      <w:marLeft w:val="0"/>
      <w:marRight w:val="0"/>
      <w:marTop w:val="0"/>
      <w:marBottom w:val="0"/>
      <w:divBdr>
        <w:top w:val="none" w:sz="0" w:space="0" w:color="auto"/>
        <w:left w:val="none" w:sz="0" w:space="0" w:color="auto"/>
        <w:bottom w:val="none" w:sz="0" w:space="0" w:color="auto"/>
        <w:right w:val="none" w:sz="0" w:space="0" w:color="auto"/>
      </w:divBdr>
    </w:div>
    <w:div w:id="1020932975">
      <w:bodyDiv w:val="1"/>
      <w:marLeft w:val="0"/>
      <w:marRight w:val="0"/>
      <w:marTop w:val="0"/>
      <w:marBottom w:val="0"/>
      <w:divBdr>
        <w:top w:val="none" w:sz="0" w:space="0" w:color="auto"/>
        <w:left w:val="none" w:sz="0" w:space="0" w:color="auto"/>
        <w:bottom w:val="none" w:sz="0" w:space="0" w:color="auto"/>
        <w:right w:val="none" w:sz="0" w:space="0" w:color="auto"/>
      </w:divBdr>
    </w:div>
    <w:div w:id="1040864209">
      <w:bodyDiv w:val="1"/>
      <w:marLeft w:val="0"/>
      <w:marRight w:val="0"/>
      <w:marTop w:val="0"/>
      <w:marBottom w:val="0"/>
      <w:divBdr>
        <w:top w:val="none" w:sz="0" w:space="0" w:color="auto"/>
        <w:left w:val="none" w:sz="0" w:space="0" w:color="auto"/>
        <w:bottom w:val="none" w:sz="0" w:space="0" w:color="auto"/>
        <w:right w:val="none" w:sz="0" w:space="0" w:color="auto"/>
      </w:divBdr>
    </w:div>
    <w:div w:id="1060910362">
      <w:bodyDiv w:val="1"/>
      <w:marLeft w:val="0"/>
      <w:marRight w:val="0"/>
      <w:marTop w:val="0"/>
      <w:marBottom w:val="0"/>
      <w:divBdr>
        <w:top w:val="none" w:sz="0" w:space="0" w:color="auto"/>
        <w:left w:val="none" w:sz="0" w:space="0" w:color="auto"/>
        <w:bottom w:val="none" w:sz="0" w:space="0" w:color="auto"/>
        <w:right w:val="none" w:sz="0" w:space="0" w:color="auto"/>
      </w:divBdr>
    </w:div>
    <w:div w:id="1061563339">
      <w:bodyDiv w:val="1"/>
      <w:marLeft w:val="0"/>
      <w:marRight w:val="0"/>
      <w:marTop w:val="0"/>
      <w:marBottom w:val="0"/>
      <w:divBdr>
        <w:top w:val="none" w:sz="0" w:space="0" w:color="auto"/>
        <w:left w:val="none" w:sz="0" w:space="0" w:color="auto"/>
        <w:bottom w:val="none" w:sz="0" w:space="0" w:color="auto"/>
        <w:right w:val="none" w:sz="0" w:space="0" w:color="auto"/>
      </w:divBdr>
    </w:div>
    <w:div w:id="1077900481">
      <w:bodyDiv w:val="1"/>
      <w:marLeft w:val="0"/>
      <w:marRight w:val="0"/>
      <w:marTop w:val="0"/>
      <w:marBottom w:val="0"/>
      <w:divBdr>
        <w:top w:val="none" w:sz="0" w:space="0" w:color="auto"/>
        <w:left w:val="none" w:sz="0" w:space="0" w:color="auto"/>
        <w:bottom w:val="none" w:sz="0" w:space="0" w:color="auto"/>
        <w:right w:val="none" w:sz="0" w:space="0" w:color="auto"/>
      </w:divBdr>
    </w:div>
    <w:div w:id="1079208660">
      <w:bodyDiv w:val="1"/>
      <w:marLeft w:val="0"/>
      <w:marRight w:val="0"/>
      <w:marTop w:val="0"/>
      <w:marBottom w:val="0"/>
      <w:divBdr>
        <w:top w:val="none" w:sz="0" w:space="0" w:color="auto"/>
        <w:left w:val="none" w:sz="0" w:space="0" w:color="auto"/>
        <w:bottom w:val="none" w:sz="0" w:space="0" w:color="auto"/>
        <w:right w:val="none" w:sz="0" w:space="0" w:color="auto"/>
      </w:divBdr>
    </w:div>
    <w:div w:id="1084688475">
      <w:bodyDiv w:val="1"/>
      <w:marLeft w:val="0"/>
      <w:marRight w:val="0"/>
      <w:marTop w:val="0"/>
      <w:marBottom w:val="0"/>
      <w:divBdr>
        <w:top w:val="none" w:sz="0" w:space="0" w:color="auto"/>
        <w:left w:val="none" w:sz="0" w:space="0" w:color="auto"/>
        <w:bottom w:val="none" w:sz="0" w:space="0" w:color="auto"/>
        <w:right w:val="none" w:sz="0" w:space="0" w:color="auto"/>
      </w:divBdr>
    </w:div>
    <w:div w:id="1121680706">
      <w:bodyDiv w:val="1"/>
      <w:marLeft w:val="0"/>
      <w:marRight w:val="0"/>
      <w:marTop w:val="0"/>
      <w:marBottom w:val="0"/>
      <w:divBdr>
        <w:top w:val="none" w:sz="0" w:space="0" w:color="auto"/>
        <w:left w:val="none" w:sz="0" w:space="0" w:color="auto"/>
        <w:bottom w:val="none" w:sz="0" w:space="0" w:color="auto"/>
        <w:right w:val="none" w:sz="0" w:space="0" w:color="auto"/>
      </w:divBdr>
    </w:div>
    <w:div w:id="1156453477">
      <w:bodyDiv w:val="1"/>
      <w:marLeft w:val="0"/>
      <w:marRight w:val="0"/>
      <w:marTop w:val="0"/>
      <w:marBottom w:val="0"/>
      <w:divBdr>
        <w:top w:val="none" w:sz="0" w:space="0" w:color="auto"/>
        <w:left w:val="none" w:sz="0" w:space="0" w:color="auto"/>
        <w:bottom w:val="none" w:sz="0" w:space="0" w:color="auto"/>
        <w:right w:val="none" w:sz="0" w:space="0" w:color="auto"/>
      </w:divBdr>
    </w:div>
    <w:div w:id="1176766607">
      <w:bodyDiv w:val="1"/>
      <w:marLeft w:val="0"/>
      <w:marRight w:val="0"/>
      <w:marTop w:val="0"/>
      <w:marBottom w:val="0"/>
      <w:divBdr>
        <w:top w:val="none" w:sz="0" w:space="0" w:color="auto"/>
        <w:left w:val="none" w:sz="0" w:space="0" w:color="auto"/>
        <w:bottom w:val="none" w:sz="0" w:space="0" w:color="auto"/>
        <w:right w:val="none" w:sz="0" w:space="0" w:color="auto"/>
      </w:divBdr>
    </w:div>
    <w:div w:id="1196120968">
      <w:bodyDiv w:val="1"/>
      <w:marLeft w:val="0"/>
      <w:marRight w:val="0"/>
      <w:marTop w:val="0"/>
      <w:marBottom w:val="0"/>
      <w:divBdr>
        <w:top w:val="none" w:sz="0" w:space="0" w:color="auto"/>
        <w:left w:val="none" w:sz="0" w:space="0" w:color="auto"/>
        <w:bottom w:val="none" w:sz="0" w:space="0" w:color="auto"/>
        <w:right w:val="none" w:sz="0" w:space="0" w:color="auto"/>
      </w:divBdr>
    </w:div>
    <w:div w:id="1204708863">
      <w:bodyDiv w:val="1"/>
      <w:marLeft w:val="0"/>
      <w:marRight w:val="0"/>
      <w:marTop w:val="0"/>
      <w:marBottom w:val="0"/>
      <w:divBdr>
        <w:top w:val="none" w:sz="0" w:space="0" w:color="auto"/>
        <w:left w:val="none" w:sz="0" w:space="0" w:color="auto"/>
        <w:bottom w:val="none" w:sz="0" w:space="0" w:color="auto"/>
        <w:right w:val="none" w:sz="0" w:space="0" w:color="auto"/>
      </w:divBdr>
    </w:div>
    <w:div w:id="1211189855">
      <w:bodyDiv w:val="1"/>
      <w:marLeft w:val="0"/>
      <w:marRight w:val="0"/>
      <w:marTop w:val="0"/>
      <w:marBottom w:val="0"/>
      <w:divBdr>
        <w:top w:val="none" w:sz="0" w:space="0" w:color="auto"/>
        <w:left w:val="none" w:sz="0" w:space="0" w:color="auto"/>
        <w:bottom w:val="none" w:sz="0" w:space="0" w:color="auto"/>
        <w:right w:val="none" w:sz="0" w:space="0" w:color="auto"/>
      </w:divBdr>
    </w:div>
    <w:div w:id="1226794008">
      <w:bodyDiv w:val="1"/>
      <w:marLeft w:val="0"/>
      <w:marRight w:val="0"/>
      <w:marTop w:val="0"/>
      <w:marBottom w:val="0"/>
      <w:divBdr>
        <w:top w:val="none" w:sz="0" w:space="0" w:color="auto"/>
        <w:left w:val="none" w:sz="0" w:space="0" w:color="auto"/>
        <w:bottom w:val="none" w:sz="0" w:space="0" w:color="auto"/>
        <w:right w:val="none" w:sz="0" w:space="0" w:color="auto"/>
      </w:divBdr>
    </w:div>
    <w:div w:id="1233198583">
      <w:bodyDiv w:val="1"/>
      <w:marLeft w:val="0"/>
      <w:marRight w:val="0"/>
      <w:marTop w:val="0"/>
      <w:marBottom w:val="0"/>
      <w:divBdr>
        <w:top w:val="none" w:sz="0" w:space="0" w:color="auto"/>
        <w:left w:val="none" w:sz="0" w:space="0" w:color="auto"/>
        <w:bottom w:val="none" w:sz="0" w:space="0" w:color="auto"/>
        <w:right w:val="none" w:sz="0" w:space="0" w:color="auto"/>
      </w:divBdr>
    </w:div>
    <w:div w:id="1235776523">
      <w:bodyDiv w:val="1"/>
      <w:marLeft w:val="0"/>
      <w:marRight w:val="0"/>
      <w:marTop w:val="0"/>
      <w:marBottom w:val="0"/>
      <w:divBdr>
        <w:top w:val="none" w:sz="0" w:space="0" w:color="auto"/>
        <w:left w:val="none" w:sz="0" w:space="0" w:color="auto"/>
        <w:bottom w:val="none" w:sz="0" w:space="0" w:color="auto"/>
        <w:right w:val="none" w:sz="0" w:space="0" w:color="auto"/>
      </w:divBdr>
    </w:div>
    <w:div w:id="1252855141">
      <w:bodyDiv w:val="1"/>
      <w:marLeft w:val="0"/>
      <w:marRight w:val="0"/>
      <w:marTop w:val="0"/>
      <w:marBottom w:val="0"/>
      <w:divBdr>
        <w:top w:val="none" w:sz="0" w:space="0" w:color="auto"/>
        <w:left w:val="none" w:sz="0" w:space="0" w:color="auto"/>
        <w:bottom w:val="none" w:sz="0" w:space="0" w:color="auto"/>
        <w:right w:val="none" w:sz="0" w:space="0" w:color="auto"/>
      </w:divBdr>
    </w:div>
    <w:div w:id="1257127602">
      <w:bodyDiv w:val="1"/>
      <w:marLeft w:val="0"/>
      <w:marRight w:val="0"/>
      <w:marTop w:val="0"/>
      <w:marBottom w:val="0"/>
      <w:divBdr>
        <w:top w:val="none" w:sz="0" w:space="0" w:color="auto"/>
        <w:left w:val="none" w:sz="0" w:space="0" w:color="auto"/>
        <w:bottom w:val="none" w:sz="0" w:space="0" w:color="auto"/>
        <w:right w:val="none" w:sz="0" w:space="0" w:color="auto"/>
      </w:divBdr>
    </w:div>
    <w:div w:id="1269580898">
      <w:bodyDiv w:val="1"/>
      <w:marLeft w:val="0"/>
      <w:marRight w:val="0"/>
      <w:marTop w:val="0"/>
      <w:marBottom w:val="0"/>
      <w:divBdr>
        <w:top w:val="none" w:sz="0" w:space="0" w:color="auto"/>
        <w:left w:val="none" w:sz="0" w:space="0" w:color="auto"/>
        <w:bottom w:val="none" w:sz="0" w:space="0" w:color="auto"/>
        <w:right w:val="none" w:sz="0" w:space="0" w:color="auto"/>
      </w:divBdr>
    </w:div>
    <w:div w:id="1271888771">
      <w:bodyDiv w:val="1"/>
      <w:marLeft w:val="0"/>
      <w:marRight w:val="0"/>
      <w:marTop w:val="0"/>
      <w:marBottom w:val="0"/>
      <w:divBdr>
        <w:top w:val="none" w:sz="0" w:space="0" w:color="auto"/>
        <w:left w:val="none" w:sz="0" w:space="0" w:color="auto"/>
        <w:bottom w:val="none" w:sz="0" w:space="0" w:color="auto"/>
        <w:right w:val="none" w:sz="0" w:space="0" w:color="auto"/>
      </w:divBdr>
    </w:div>
    <w:div w:id="1276447583">
      <w:bodyDiv w:val="1"/>
      <w:marLeft w:val="0"/>
      <w:marRight w:val="0"/>
      <w:marTop w:val="0"/>
      <w:marBottom w:val="0"/>
      <w:divBdr>
        <w:top w:val="none" w:sz="0" w:space="0" w:color="auto"/>
        <w:left w:val="none" w:sz="0" w:space="0" w:color="auto"/>
        <w:bottom w:val="none" w:sz="0" w:space="0" w:color="auto"/>
        <w:right w:val="none" w:sz="0" w:space="0" w:color="auto"/>
      </w:divBdr>
    </w:div>
    <w:div w:id="1282420298">
      <w:bodyDiv w:val="1"/>
      <w:marLeft w:val="0"/>
      <w:marRight w:val="0"/>
      <w:marTop w:val="0"/>
      <w:marBottom w:val="0"/>
      <w:divBdr>
        <w:top w:val="none" w:sz="0" w:space="0" w:color="auto"/>
        <w:left w:val="none" w:sz="0" w:space="0" w:color="auto"/>
        <w:bottom w:val="none" w:sz="0" w:space="0" w:color="auto"/>
        <w:right w:val="none" w:sz="0" w:space="0" w:color="auto"/>
      </w:divBdr>
    </w:div>
    <w:div w:id="1290697702">
      <w:bodyDiv w:val="1"/>
      <w:marLeft w:val="0"/>
      <w:marRight w:val="0"/>
      <w:marTop w:val="0"/>
      <w:marBottom w:val="0"/>
      <w:divBdr>
        <w:top w:val="none" w:sz="0" w:space="0" w:color="auto"/>
        <w:left w:val="none" w:sz="0" w:space="0" w:color="auto"/>
        <w:bottom w:val="none" w:sz="0" w:space="0" w:color="auto"/>
        <w:right w:val="none" w:sz="0" w:space="0" w:color="auto"/>
      </w:divBdr>
    </w:div>
    <w:div w:id="1328095322">
      <w:bodyDiv w:val="1"/>
      <w:marLeft w:val="0"/>
      <w:marRight w:val="0"/>
      <w:marTop w:val="0"/>
      <w:marBottom w:val="0"/>
      <w:divBdr>
        <w:top w:val="none" w:sz="0" w:space="0" w:color="auto"/>
        <w:left w:val="none" w:sz="0" w:space="0" w:color="auto"/>
        <w:bottom w:val="none" w:sz="0" w:space="0" w:color="auto"/>
        <w:right w:val="none" w:sz="0" w:space="0" w:color="auto"/>
      </w:divBdr>
    </w:div>
    <w:div w:id="1333679526">
      <w:bodyDiv w:val="1"/>
      <w:marLeft w:val="0"/>
      <w:marRight w:val="0"/>
      <w:marTop w:val="0"/>
      <w:marBottom w:val="0"/>
      <w:divBdr>
        <w:top w:val="none" w:sz="0" w:space="0" w:color="auto"/>
        <w:left w:val="none" w:sz="0" w:space="0" w:color="auto"/>
        <w:bottom w:val="none" w:sz="0" w:space="0" w:color="auto"/>
        <w:right w:val="none" w:sz="0" w:space="0" w:color="auto"/>
      </w:divBdr>
    </w:div>
    <w:div w:id="1341615148">
      <w:bodyDiv w:val="1"/>
      <w:marLeft w:val="0"/>
      <w:marRight w:val="0"/>
      <w:marTop w:val="0"/>
      <w:marBottom w:val="0"/>
      <w:divBdr>
        <w:top w:val="none" w:sz="0" w:space="0" w:color="auto"/>
        <w:left w:val="none" w:sz="0" w:space="0" w:color="auto"/>
        <w:bottom w:val="none" w:sz="0" w:space="0" w:color="auto"/>
        <w:right w:val="none" w:sz="0" w:space="0" w:color="auto"/>
      </w:divBdr>
    </w:div>
    <w:div w:id="1351177684">
      <w:bodyDiv w:val="1"/>
      <w:marLeft w:val="0"/>
      <w:marRight w:val="0"/>
      <w:marTop w:val="0"/>
      <w:marBottom w:val="0"/>
      <w:divBdr>
        <w:top w:val="none" w:sz="0" w:space="0" w:color="auto"/>
        <w:left w:val="none" w:sz="0" w:space="0" w:color="auto"/>
        <w:bottom w:val="none" w:sz="0" w:space="0" w:color="auto"/>
        <w:right w:val="none" w:sz="0" w:space="0" w:color="auto"/>
      </w:divBdr>
    </w:div>
    <w:div w:id="1358046648">
      <w:bodyDiv w:val="1"/>
      <w:marLeft w:val="0"/>
      <w:marRight w:val="0"/>
      <w:marTop w:val="0"/>
      <w:marBottom w:val="0"/>
      <w:divBdr>
        <w:top w:val="none" w:sz="0" w:space="0" w:color="auto"/>
        <w:left w:val="none" w:sz="0" w:space="0" w:color="auto"/>
        <w:bottom w:val="none" w:sz="0" w:space="0" w:color="auto"/>
        <w:right w:val="none" w:sz="0" w:space="0" w:color="auto"/>
      </w:divBdr>
    </w:div>
    <w:div w:id="1361662522">
      <w:bodyDiv w:val="1"/>
      <w:marLeft w:val="0"/>
      <w:marRight w:val="0"/>
      <w:marTop w:val="0"/>
      <w:marBottom w:val="0"/>
      <w:divBdr>
        <w:top w:val="none" w:sz="0" w:space="0" w:color="auto"/>
        <w:left w:val="none" w:sz="0" w:space="0" w:color="auto"/>
        <w:bottom w:val="none" w:sz="0" w:space="0" w:color="auto"/>
        <w:right w:val="none" w:sz="0" w:space="0" w:color="auto"/>
      </w:divBdr>
    </w:div>
    <w:div w:id="1363893956">
      <w:bodyDiv w:val="1"/>
      <w:marLeft w:val="0"/>
      <w:marRight w:val="0"/>
      <w:marTop w:val="0"/>
      <w:marBottom w:val="0"/>
      <w:divBdr>
        <w:top w:val="none" w:sz="0" w:space="0" w:color="auto"/>
        <w:left w:val="none" w:sz="0" w:space="0" w:color="auto"/>
        <w:bottom w:val="none" w:sz="0" w:space="0" w:color="auto"/>
        <w:right w:val="none" w:sz="0" w:space="0" w:color="auto"/>
      </w:divBdr>
    </w:div>
    <w:div w:id="1393115582">
      <w:bodyDiv w:val="1"/>
      <w:marLeft w:val="0"/>
      <w:marRight w:val="0"/>
      <w:marTop w:val="0"/>
      <w:marBottom w:val="0"/>
      <w:divBdr>
        <w:top w:val="none" w:sz="0" w:space="0" w:color="auto"/>
        <w:left w:val="none" w:sz="0" w:space="0" w:color="auto"/>
        <w:bottom w:val="none" w:sz="0" w:space="0" w:color="auto"/>
        <w:right w:val="none" w:sz="0" w:space="0" w:color="auto"/>
      </w:divBdr>
    </w:div>
    <w:div w:id="1398674333">
      <w:bodyDiv w:val="1"/>
      <w:marLeft w:val="0"/>
      <w:marRight w:val="0"/>
      <w:marTop w:val="0"/>
      <w:marBottom w:val="0"/>
      <w:divBdr>
        <w:top w:val="none" w:sz="0" w:space="0" w:color="auto"/>
        <w:left w:val="none" w:sz="0" w:space="0" w:color="auto"/>
        <w:bottom w:val="none" w:sz="0" w:space="0" w:color="auto"/>
        <w:right w:val="none" w:sz="0" w:space="0" w:color="auto"/>
      </w:divBdr>
    </w:div>
    <w:div w:id="1408579069">
      <w:bodyDiv w:val="1"/>
      <w:marLeft w:val="0"/>
      <w:marRight w:val="0"/>
      <w:marTop w:val="0"/>
      <w:marBottom w:val="0"/>
      <w:divBdr>
        <w:top w:val="none" w:sz="0" w:space="0" w:color="auto"/>
        <w:left w:val="none" w:sz="0" w:space="0" w:color="auto"/>
        <w:bottom w:val="none" w:sz="0" w:space="0" w:color="auto"/>
        <w:right w:val="none" w:sz="0" w:space="0" w:color="auto"/>
      </w:divBdr>
    </w:div>
    <w:div w:id="1421608521">
      <w:bodyDiv w:val="1"/>
      <w:marLeft w:val="0"/>
      <w:marRight w:val="0"/>
      <w:marTop w:val="0"/>
      <w:marBottom w:val="0"/>
      <w:divBdr>
        <w:top w:val="none" w:sz="0" w:space="0" w:color="auto"/>
        <w:left w:val="none" w:sz="0" w:space="0" w:color="auto"/>
        <w:bottom w:val="none" w:sz="0" w:space="0" w:color="auto"/>
        <w:right w:val="none" w:sz="0" w:space="0" w:color="auto"/>
      </w:divBdr>
    </w:div>
    <w:div w:id="1447431443">
      <w:bodyDiv w:val="1"/>
      <w:marLeft w:val="0"/>
      <w:marRight w:val="0"/>
      <w:marTop w:val="0"/>
      <w:marBottom w:val="0"/>
      <w:divBdr>
        <w:top w:val="none" w:sz="0" w:space="0" w:color="auto"/>
        <w:left w:val="none" w:sz="0" w:space="0" w:color="auto"/>
        <w:bottom w:val="none" w:sz="0" w:space="0" w:color="auto"/>
        <w:right w:val="none" w:sz="0" w:space="0" w:color="auto"/>
      </w:divBdr>
    </w:div>
    <w:div w:id="1449742557">
      <w:bodyDiv w:val="1"/>
      <w:marLeft w:val="0"/>
      <w:marRight w:val="0"/>
      <w:marTop w:val="0"/>
      <w:marBottom w:val="0"/>
      <w:divBdr>
        <w:top w:val="none" w:sz="0" w:space="0" w:color="auto"/>
        <w:left w:val="none" w:sz="0" w:space="0" w:color="auto"/>
        <w:bottom w:val="none" w:sz="0" w:space="0" w:color="auto"/>
        <w:right w:val="none" w:sz="0" w:space="0" w:color="auto"/>
      </w:divBdr>
    </w:div>
    <w:div w:id="1528639294">
      <w:bodyDiv w:val="1"/>
      <w:marLeft w:val="0"/>
      <w:marRight w:val="0"/>
      <w:marTop w:val="0"/>
      <w:marBottom w:val="0"/>
      <w:divBdr>
        <w:top w:val="none" w:sz="0" w:space="0" w:color="auto"/>
        <w:left w:val="none" w:sz="0" w:space="0" w:color="auto"/>
        <w:bottom w:val="none" w:sz="0" w:space="0" w:color="auto"/>
        <w:right w:val="none" w:sz="0" w:space="0" w:color="auto"/>
      </w:divBdr>
    </w:div>
    <w:div w:id="1532500240">
      <w:bodyDiv w:val="1"/>
      <w:marLeft w:val="0"/>
      <w:marRight w:val="0"/>
      <w:marTop w:val="0"/>
      <w:marBottom w:val="0"/>
      <w:divBdr>
        <w:top w:val="none" w:sz="0" w:space="0" w:color="auto"/>
        <w:left w:val="none" w:sz="0" w:space="0" w:color="auto"/>
        <w:bottom w:val="none" w:sz="0" w:space="0" w:color="auto"/>
        <w:right w:val="none" w:sz="0" w:space="0" w:color="auto"/>
      </w:divBdr>
    </w:div>
    <w:div w:id="1532567795">
      <w:bodyDiv w:val="1"/>
      <w:marLeft w:val="0"/>
      <w:marRight w:val="0"/>
      <w:marTop w:val="0"/>
      <w:marBottom w:val="0"/>
      <w:divBdr>
        <w:top w:val="none" w:sz="0" w:space="0" w:color="auto"/>
        <w:left w:val="none" w:sz="0" w:space="0" w:color="auto"/>
        <w:bottom w:val="none" w:sz="0" w:space="0" w:color="auto"/>
        <w:right w:val="none" w:sz="0" w:space="0" w:color="auto"/>
      </w:divBdr>
    </w:div>
    <w:div w:id="1539195945">
      <w:bodyDiv w:val="1"/>
      <w:marLeft w:val="0"/>
      <w:marRight w:val="0"/>
      <w:marTop w:val="0"/>
      <w:marBottom w:val="0"/>
      <w:divBdr>
        <w:top w:val="none" w:sz="0" w:space="0" w:color="auto"/>
        <w:left w:val="none" w:sz="0" w:space="0" w:color="auto"/>
        <w:bottom w:val="none" w:sz="0" w:space="0" w:color="auto"/>
        <w:right w:val="none" w:sz="0" w:space="0" w:color="auto"/>
      </w:divBdr>
    </w:div>
    <w:div w:id="1540632197">
      <w:bodyDiv w:val="1"/>
      <w:marLeft w:val="0"/>
      <w:marRight w:val="0"/>
      <w:marTop w:val="0"/>
      <w:marBottom w:val="0"/>
      <w:divBdr>
        <w:top w:val="none" w:sz="0" w:space="0" w:color="auto"/>
        <w:left w:val="none" w:sz="0" w:space="0" w:color="auto"/>
        <w:bottom w:val="none" w:sz="0" w:space="0" w:color="auto"/>
        <w:right w:val="none" w:sz="0" w:space="0" w:color="auto"/>
      </w:divBdr>
    </w:div>
    <w:div w:id="1547175692">
      <w:bodyDiv w:val="1"/>
      <w:marLeft w:val="0"/>
      <w:marRight w:val="0"/>
      <w:marTop w:val="0"/>
      <w:marBottom w:val="0"/>
      <w:divBdr>
        <w:top w:val="none" w:sz="0" w:space="0" w:color="auto"/>
        <w:left w:val="none" w:sz="0" w:space="0" w:color="auto"/>
        <w:bottom w:val="none" w:sz="0" w:space="0" w:color="auto"/>
        <w:right w:val="none" w:sz="0" w:space="0" w:color="auto"/>
      </w:divBdr>
    </w:div>
    <w:div w:id="1548494925">
      <w:bodyDiv w:val="1"/>
      <w:marLeft w:val="0"/>
      <w:marRight w:val="0"/>
      <w:marTop w:val="0"/>
      <w:marBottom w:val="0"/>
      <w:divBdr>
        <w:top w:val="none" w:sz="0" w:space="0" w:color="auto"/>
        <w:left w:val="none" w:sz="0" w:space="0" w:color="auto"/>
        <w:bottom w:val="none" w:sz="0" w:space="0" w:color="auto"/>
        <w:right w:val="none" w:sz="0" w:space="0" w:color="auto"/>
      </w:divBdr>
    </w:div>
    <w:div w:id="1553033793">
      <w:bodyDiv w:val="1"/>
      <w:marLeft w:val="0"/>
      <w:marRight w:val="0"/>
      <w:marTop w:val="0"/>
      <w:marBottom w:val="0"/>
      <w:divBdr>
        <w:top w:val="none" w:sz="0" w:space="0" w:color="auto"/>
        <w:left w:val="none" w:sz="0" w:space="0" w:color="auto"/>
        <w:bottom w:val="none" w:sz="0" w:space="0" w:color="auto"/>
        <w:right w:val="none" w:sz="0" w:space="0" w:color="auto"/>
      </w:divBdr>
    </w:div>
    <w:div w:id="1554465429">
      <w:bodyDiv w:val="1"/>
      <w:marLeft w:val="0"/>
      <w:marRight w:val="0"/>
      <w:marTop w:val="0"/>
      <w:marBottom w:val="0"/>
      <w:divBdr>
        <w:top w:val="none" w:sz="0" w:space="0" w:color="auto"/>
        <w:left w:val="none" w:sz="0" w:space="0" w:color="auto"/>
        <w:bottom w:val="none" w:sz="0" w:space="0" w:color="auto"/>
        <w:right w:val="none" w:sz="0" w:space="0" w:color="auto"/>
      </w:divBdr>
    </w:div>
    <w:div w:id="1579317878">
      <w:bodyDiv w:val="1"/>
      <w:marLeft w:val="0"/>
      <w:marRight w:val="0"/>
      <w:marTop w:val="0"/>
      <w:marBottom w:val="0"/>
      <w:divBdr>
        <w:top w:val="none" w:sz="0" w:space="0" w:color="auto"/>
        <w:left w:val="none" w:sz="0" w:space="0" w:color="auto"/>
        <w:bottom w:val="none" w:sz="0" w:space="0" w:color="auto"/>
        <w:right w:val="none" w:sz="0" w:space="0" w:color="auto"/>
      </w:divBdr>
    </w:div>
    <w:div w:id="1591740199">
      <w:bodyDiv w:val="1"/>
      <w:marLeft w:val="0"/>
      <w:marRight w:val="0"/>
      <w:marTop w:val="0"/>
      <w:marBottom w:val="0"/>
      <w:divBdr>
        <w:top w:val="none" w:sz="0" w:space="0" w:color="auto"/>
        <w:left w:val="none" w:sz="0" w:space="0" w:color="auto"/>
        <w:bottom w:val="none" w:sz="0" w:space="0" w:color="auto"/>
        <w:right w:val="none" w:sz="0" w:space="0" w:color="auto"/>
      </w:divBdr>
    </w:div>
    <w:div w:id="1594968261">
      <w:bodyDiv w:val="1"/>
      <w:marLeft w:val="0"/>
      <w:marRight w:val="0"/>
      <w:marTop w:val="0"/>
      <w:marBottom w:val="0"/>
      <w:divBdr>
        <w:top w:val="none" w:sz="0" w:space="0" w:color="auto"/>
        <w:left w:val="none" w:sz="0" w:space="0" w:color="auto"/>
        <w:bottom w:val="none" w:sz="0" w:space="0" w:color="auto"/>
        <w:right w:val="none" w:sz="0" w:space="0" w:color="auto"/>
      </w:divBdr>
    </w:div>
    <w:div w:id="1607349463">
      <w:bodyDiv w:val="1"/>
      <w:marLeft w:val="0"/>
      <w:marRight w:val="0"/>
      <w:marTop w:val="0"/>
      <w:marBottom w:val="0"/>
      <w:divBdr>
        <w:top w:val="none" w:sz="0" w:space="0" w:color="auto"/>
        <w:left w:val="none" w:sz="0" w:space="0" w:color="auto"/>
        <w:bottom w:val="none" w:sz="0" w:space="0" w:color="auto"/>
        <w:right w:val="none" w:sz="0" w:space="0" w:color="auto"/>
      </w:divBdr>
    </w:div>
    <w:div w:id="1625189071">
      <w:bodyDiv w:val="1"/>
      <w:marLeft w:val="0"/>
      <w:marRight w:val="0"/>
      <w:marTop w:val="0"/>
      <w:marBottom w:val="0"/>
      <w:divBdr>
        <w:top w:val="none" w:sz="0" w:space="0" w:color="auto"/>
        <w:left w:val="none" w:sz="0" w:space="0" w:color="auto"/>
        <w:bottom w:val="none" w:sz="0" w:space="0" w:color="auto"/>
        <w:right w:val="none" w:sz="0" w:space="0" w:color="auto"/>
      </w:divBdr>
    </w:div>
    <w:div w:id="1654331524">
      <w:bodyDiv w:val="1"/>
      <w:marLeft w:val="0"/>
      <w:marRight w:val="0"/>
      <w:marTop w:val="0"/>
      <w:marBottom w:val="0"/>
      <w:divBdr>
        <w:top w:val="none" w:sz="0" w:space="0" w:color="auto"/>
        <w:left w:val="none" w:sz="0" w:space="0" w:color="auto"/>
        <w:bottom w:val="none" w:sz="0" w:space="0" w:color="auto"/>
        <w:right w:val="none" w:sz="0" w:space="0" w:color="auto"/>
      </w:divBdr>
    </w:div>
    <w:div w:id="1656298325">
      <w:bodyDiv w:val="1"/>
      <w:marLeft w:val="0"/>
      <w:marRight w:val="0"/>
      <w:marTop w:val="0"/>
      <w:marBottom w:val="0"/>
      <w:divBdr>
        <w:top w:val="none" w:sz="0" w:space="0" w:color="auto"/>
        <w:left w:val="none" w:sz="0" w:space="0" w:color="auto"/>
        <w:bottom w:val="none" w:sz="0" w:space="0" w:color="auto"/>
        <w:right w:val="none" w:sz="0" w:space="0" w:color="auto"/>
      </w:divBdr>
    </w:div>
    <w:div w:id="1719088287">
      <w:bodyDiv w:val="1"/>
      <w:marLeft w:val="0"/>
      <w:marRight w:val="0"/>
      <w:marTop w:val="0"/>
      <w:marBottom w:val="0"/>
      <w:divBdr>
        <w:top w:val="none" w:sz="0" w:space="0" w:color="auto"/>
        <w:left w:val="none" w:sz="0" w:space="0" w:color="auto"/>
        <w:bottom w:val="none" w:sz="0" w:space="0" w:color="auto"/>
        <w:right w:val="none" w:sz="0" w:space="0" w:color="auto"/>
      </w:divBdr>
    </w:div>
    <w:div w:id="1737389382">
      <w:bodyDiv w:val="1"/>
      <w:marLeft w:val="0"/>
      <w:marRight w:val="0"/>
      <w:marTop w:val="0"/>
      <w:marBottom w:val="0"/>
      <w:divBdr>
        <w:top w:val="none" w:sz="0" w:space="0" w:color="auto"/>
        <w:left w:val="none" w:sz="0" w:space="0" w:color="auto"/>
        <w:bottom w:val="none" w:sz="0" w:space="0" w:color="auto"/>
        <w:right w:val="none" w:sz="0" w:space="0" w:color="auto"/>
      </w:divBdr>
    </w:div>
    <w:div w:id="1743018608">
      <w:bodyDiv w:val="1"/>
      <w:marLeft w:val="0"/>
      <w:marRight w:val="0"/>
      <w:marTop w:val="0"/>
      <w:marBottom w:val="0"/>
      <w:divBdr>
        <w:top w:val="none" w:sz="0" w:space="0" w:color="auto"/>
        <w:left w:val="none" w:sz="0" w:space="0" w:color="auto"/>
        <w:bottom w:val="none" w:sz="0" w:space="0" w:color="auto"/>
        <w:right w:val="none" w:sz="0" w:space="0" w:color="auto"/>
      </w:divBdr>
    </w:div>
    <w:div w:id="1746107140">
      <w:bodyDiv w:val="1"/>
      <w:marLeft w:val="0"/>
      <w:marRight w:val="0"/>
      <w:marTop w:val="0"/>
      <w:marBottom w:val="0"/>
      <w:divBdr>
        <w:top w:val="none" w:sz="0" w:space="0" w:color="auto"/>
        <w:left w:val="none" w:sz="0" w:space="0" w:color="auto"/>
        <w:bottom w:val="none" w:sz="0" w:space="0" w:color="auto"/>
        <w:right w:val="none" w:sz="0" w:space="0" w:color="auto"/>
      </w:divBdr>
    </w:div>
    <w:div w:id="1750232972">
      <w:bodyDiv w:val="1"/>
      <w:marLeft w:val="0"/>
      <w:marRight w:val="0"/>
      <w:marTop w:val="0"/>
      <w:marBottom w:val="0"/>
      <w:divBdr>
        <w:top w:val="none" w:sz="0" w:space="0" w:color="auto"/>
        <w:left w:val="none" w:sz="0" w:space="0" w:color="auto"/>
        <w:bottom w:val="none" w:sz="0" w:space="0" w:color="auto"/>
        <w:right w:val="none" w:sz="0" w:space="0" w:color="auto"/>
      </w:divBdr>
    </w:div>
    <w:div w:id="1768961542">
      <w:bodyDiv w:val="1"/>
      <w:marLeft w:val="0"/>
      <w:marRight w:val="0"/>
      <w:marTop w:val="0"/>
      <w:marBottom w:val="0"/>
      <w:divBdr>
        <w:top w:val="none" w:sz="0" w:space="0" w:color="auto"/>
        <w:left w:val="none" w:sz="0" w:space="0" w:color="auto"/>
        <w:bottom w:val="none" w:sz="0" w:space="0" w:color="auto"/>
        <w:right w:val="none" w:sz="0" w:space="0" w:color="auto"/>
      </w:divBdr>
    </w:div>
    <w:div w:id="1771511436">
      <w:bodyDiv w:val="1"/>
      <w:marLeft w:val="0"/>
      <w:marRight w:val="0"/>
      <w:marTop w:val="0"/>
      <w:marBottom w:val="0"/>
      <w:divBdr>
        <w:top w:val="none" w:sz="0" w:space="0" w:color="auto"/>
        <w:left w:val="none" w:sz="0" w:space="0" w:color="auto"/>
        <w:bottom w:val="none" w:sz="0" w:space="0" w:color="auto"/>
        <w:right w:val="none" w:sz="0" w:space="0" w:color="auto"/>
      </w:divBdr>
    </w:div>
    <w:div w:id="1776558480">
      <w:bodyDiv w:val="1"/>
      <w:marLeft w:val="0"/>
      <w:marRight w:val="0"/>
      <w:marTop w:val="0"/>
      <w:marBottom w:val="0"/>
      <w:divBdr>
        <w:top w:val="none" w:sz="0" w:space="0" w:color="auto"/>
        <w:left w:val="none" w:sz="0" w:space="0" w:color="auto"/>
        <w:bottom w:val="none" w:sz="0" w:space="0" w:color="auto"/>
        <w:right w:val="none" w:sz="0" w:space="0" w:color="auto"/>
      </w:divBdr>
    </w:div>
    <w:div w:id="1806660681">
      <w:bodyDiv w:val="1"/>
      <w:marLeft w:val="0"/>
      <w:marRight w:val="0"/>
      <w:marTop w:val="0"/>
      <w:marBottom w:val="0"/>
      <w:divBdr>
        <w:top w:val="none" w:sz="0" w:space="0" w:color="auto"/>
        <w:left w:val="none" w:sz="0" w:space="0" w:color="auto"/>
        <w:bottom w:val="none" w:sz="0" w:space="0" w:color="auto"/>
        <w:right w:val="none" w:sz="0" w:space="0" w:color="auto"/>
      </w:divBdr>
    </w:div>
    <w:div w:id="1809466925">
      <w:bodyDiv w:val="1"/>
      <w:marLeft w:val="0"/>
      <w:marRight w:val="0"/>
      <w:marTop w:val="0"/>
      <w:marBottom w:val="0"/>
      <w:divBdr>
        <w:top w:val="none" w:sz="0" w:space="0" w:color="auto"/>
        <w:left w:val="none" w:sz="0" w:space="0" w:color="auto"/>
        <w:bottom w:val="none" w:sz="0" w:space="0" w:color="auto"/>
        <w:right w:val="none" w:sz="0" w:space="0" w:color="auto"/>
      </w:divBdr>
    </w:div>
    <w:div w:id="1827474143">
      <w:bodyDiv w:val="1"/>
      <w:marLeft w:val="0"/>
      <w:marRight w:val="0"/>
      <w:marTop w:val="0"/>
      <w:marBottom w:val="0"/>
      <w:divBdr>
        <w:top w:val="none" w:sz="0" w:space="0" w:color="auto"/>
        <w:left w:val="none" w:sz="0" w:space="0" w:color="auto"/>
        <w:bottom w:val="none" w:sz="0" w:space="0" w:color="auto"/>
        <w:right w:val="none" w:sz="0" w:space="0" w:color="auto"/>
      </w:divBdr>
    </w:div>
    <w:div w:id="1846935857">
      <w:bodyDiv w:val="1"/>
      <w:marLeft w:val="0"/>
      <w:marRight w:val="0"/>
      <w:marTop w:val="0"/>
      <w:marBottom w:val="0"/>
      <w:divBdr>
        <w:top w:val="none" w:sz="0" w:space="0" w:color="auto"/>
        <w:left w:val="none" w:sz="0" w:space="0" w:color="auto"/>
        <w:bottom w:val="none" w:sz="0" w:space="0" w:color="auto"/>
        <w:right w:val="none" w:sz="0" w:space="0" w:color="auto"/>
      </w:divBdr>
    </w:div>
    <w:div w:id="1864780916">
      <w:bodyDiv w:val="1"/>
      <w:marLeft w:val="0"/>
      <w:marRight w:val="0"/>
      <w:marTop w:val="0"/>
      <w:marBottom w:val="0"/>
      <w:divBdr>
        <w:top w:val="none" w:sz="0" w:space="0" w:color="auto"/>
        <w:left w:val="none" w:sz="0" w:space="0" w:color="auto"/>
        <w:bottom w:val="none" w:sz="0" w:space="0" w:color="auto"/>
        <w:right w:val="none" w:sz="0" w:space="0" w:color="auto"/>
      </w:divBdr>
    </w:div>
    <w:div w:id="1868789690">
      <w:bodyDiv w:val="1"/>
      <w:marLeft w:val="0"/>
      <w:marRight w:val="0"/>
      <w:marTop w:val="0"/>
      <w:marBottom w:val="0"/>
      <w:divBdr>
        <w:top w:val="none" w:sz="0" w:space="0" w:color="auto"/>
        <w:left w:val="none" w:sz="0" w:space="0" w:color="auto"/>
        <w:bottom w:val="none" w:sz="0" w:space="0" w:color="auto"/>
        <w:right w:val="none" w:sz="0" w:space="0" w:color="auto"/>
      </w:divBdr>
    </w:div>
    <w:div w:id="1887984654">
      <w:bodyDiv w:val="1"/>
      <w:marLeft w:val="0"/>
      <w:marRight w:val="0"/>
      <w:marTop w:val="0"/>
      <w:marBottom w:val="0"/>
      <w:divBdr>
        <w:top w:val="none" w:sz="0" w:space="0" w:color="auto"/>
        <w:left w:val="none" w:sz="0" w:space="0" w:color="auto"/>
        <w:bottom w:val="none" w:sz="0" w:space="0" w:color="auto"/>
        <w:right w:val="none" w:sz="0" w:space="0" w:color="auto"/>
      </w:divBdr>
    </w:div>
    <w:div w:id="1888374181">
      <w:bodyDiv w:val="1"/>
      <w:marLeft w:val="0"/>
      <w:marRight w:val="0"/>
      <w:marTop w:val="0"/>
      <w:marBottom w:val="0"/>
      <w:divBdr>
        <w:top w:val="none" w:sz="0" w:space="0" w:color="auto"/>
        <w:left w:val="none" w:sz="0" w:space="0" w:color="auto"/>
        <w:bottom w:val="none" w:sz="0" w:space="0" w:color="auto"/>
        <w:right w:val="none" w:sz="0" w:space="0" w:color="auto"/>
      </w:divBdr>
    </w:div>
    <w:div w:id="1890342457">
      <w:bodyDiv w:val="1"/>
      <w:marLeft w:val="0"/>
      <w:marRight w:val="0"/>
      <w:marTop w:val="0"/>
      <w:marBottom w:val="0"/>
      <w:divBdr>
        <w:top w:val="none" w:sz="0" w:space="0" w:color="auto"/>
        <w:left w:val="none" w:sz="0" w:space="0" w:color="auto"/>
        <w:bottom w:val="none" w:sz="0" w:space="0" w:color="auto"/>
        <w:right w:val="none" w:sz="0" w:space="0" w:color="auto"/>
      </w:divBdr>
    </w:div>
    <w:div w:id="1895041082">
      <w:bodyDiv w:val="1"/>
      <w:marLeft w:val="0"/>
      <w:marRight w:val="0"/>
      <w:marTop w:val="0"/>
      <w:marBottom w:val="0"/>
      <w:divBdr>
        <w:top w:val="none" w:sz="0" w:space="0" w:color="auto"/>
        <w:left w:val="none" w:sz="0" w:space="0" w:color="auto"/>
        <w:bottom w:val="none" w:sz="0" w:space="0" w:color="auto"/>
        <w:right w:val="none" w:sz="0" w:space="0" w:color="auto"/>
      </w:divBdr>
    </w:div>
    <w:div w:id="1919051841">
      <w:bodyDiv w:val="1"/>
      <w:marLeft w:val="0"/>
      <w:marRight w:val="0"/>
      <w:marTop w:val="0"/>
      <w:marBottom w:val="0"/>
      <w:divBdr>
        <w:top w:val="none" w:sz="0" w:space="0" w:color="auto"/>
        <w:left w:val="none" w:sz="0" w:space="0" w:color="auto"/>
        <w:bottom w:val="none" w:sz="0" w:space="0" w:color="auto"/>
        <w:right w:val="none" w:sz="0" w:space="0" w:color="auto"/>
      </w:divBdr>
    </w:div>
    <w:div w:id="1939410222">
      <w:bodyDiv w:val="1"/>
      <w:marLeft w:val="0"/>
      <w:marRight w:val="0"/>
      <w:marTop w:val="0"/>
      <w:marBottom w:val="0"/>
      <w:divBdr>
        <w:top w:val="none" w:sz="0" w:space="0" w:color="auto"/>
        <w:left w:val="none" w:sz="0" w:space="0" w:color="auto"/>
        <w:bottom w:val="none" w:sz="0" w:space="0" w:color="auto"/>
        <w:right w:val="none" w:sz="0" w:space="0" w:color="auto"/>
      </w:divBdr>
    </w:div>
    <w:div w:id="1968928172">
      <w:bodyDiv w:val="1"/>
      <w:marLeft w:val="0"/>
      <w:marRight w:val="0"/>
      <w:marTop w:val="0"/>
      <w:marBottom w:val="0"/>
      <w:divBdr>
        <w:top w:val="none" w:sz="0" w:space="0" w:color="auto"/>
        <w:left w:val="none" w:sz="0" w:space="0" w:color="auto"/>
        <w:bottom w:val="none" w:sz="0" w:space="0" w:color="auto"/>
        <w:right w:val="none" w:sz="0" w:space="0" w:color="auto"/>
      </w:divBdr>
    </w:div>
    <w:div w:id="1968928242">
      <w:bodyDiv w:val="1"/>
      <w:marLeft w:val="0"/>
      <w:marRight w:val="0"/>
      <w:marTop w:val="0"/>
      <w:marBottom w:val="0"/>
      <w:divBdr>
        <w:top w:val="none" w:sz="0" w:space="0" w:color="auto"/>
        <w:left w:val="none" w:sz="0" w:space="0" w:color="auto"/>
        <w:bottom w:val="none" w:sz="0" w:space="0" w:color="auto"/>
        <w:right w:val="none" w:sz="0" w:space="0" w:color="auto"/>
      </w:divBdr>
    </w:div>
    <w:div w:id="1976834314">
      <w:bodyDiv w:val="1"/>
      <w:marLeft w:val="0"/>
      <w:marRight w:val="0"/>
      <w:marTop w:val="0"/>
      <w:marBottom w:val="0"/>
      <w:divBdr>
        <w:top w:val="none" w:sz="0" w:space="0" w:color="auto"/>
        <w:left w:val="none" w:sz="0" w:space="0" w:color="auto"/>
        <w:bottom w:val="none" w:sz="0" w:space="0" w:color="auto"/>
        <w:right w:val="none" w:sz="0" w:space="0" w:color="auto"/>
      </w:divBdr>
    </w:div>
    <w:div w:id="1978142209">
      <w:bodyDiv w:val="1"/>
      <w:marLeft w:val="0"/>
      <w:marRight w:val="0"/>
      <w:marTop w:val="0"/>
      <w:marBottom w:val="0"/>
      <w:divBdr>
        <w:top w:val="none" w:sz="0" w:space="0" w:color="auto"/>
        <w:left w:val="none" w:sz="0" w:space="0" w:color="auto"/>
        <w:bottom w:val="none" w:sz="0" w:space="0" w:color="auto"/>
        <w:right w:val="none" w:sz="0" w:space="0" w:color="auto"/>
      </w:divBdr>
    </w:div>
    <w:div w:id="1988125342">
      <w:bodyDiv w:val="1"/>
      <w:marLeft w:val="0"/>
      <w:marRight w:val="0"/>
      <w:marTop w:val="0"/>
      <w:marBottom w:val="0"/>
      <w:divBdr>
        <w:top w:val="none" w:sz="0" w:space="0" w:color="auto"/>
        <w:left w:val="none" w:sz="0" w:space="0" w:color="auto"/>
        <w:bottom w:val="none" w:sz="0" w:space="0" w:color="auto"/>
        <w:right w:val="none" w:sz="0" w:space="0" w:color="auto"/>
      </w:divBdr>
    </w:div>
    <w:div w:id="1997295189">
      <w:bodyDiv w:val="1"/>
      <w:marLeft w:val="0"/>
      <w:marRight w:val="0"/>
      <w:marTop w:val="0"/>
      <w:marBottom w:val="0"/>
      <w:divBdr>
        <w:top w:val="none" w:sz="0" w:space="0" w:color="auto"/>
        <w:left w:val="none" w:sz="0" w:space="0" w:color="auto"/>
        <w:bottom w:val="none" w:sz="0" w:space="0" w:color="auto"/>
        <w:right w:val="none" w:sz="0" w:space="0" w:color="auto"/>
      </w:divBdr>
    </w:div>
    <w:div w:id="2015915156">
      <w:bodyDiv w:val="1"/>
      <w:marLeft w:val="0"/>
      <w:marRight w:val="0"/>
      <w:marTop w:val="0"/>
      <w:marBottom w:val="0"/>
      <w:divBdr>
        <w:top w:val="none" w:sz="0" w:space="0" w:color="auto"/>
        <w:left w:val="none" w:sz="0" w:space="0" w:color="auto"/>
        <w:bottom w:val="none" w:sz="0" w:space="0" w:color="auto"/>
        <w:right w:val="none" w:sz="0" w:space="0" w:color="auto"/>
      </w:divBdr>
    </w:div>
    <w:div w:id="2027361880">
      <w:bodyDiv w:val="1"/>
      <w:marLeft w:val="0"/>
      <w:marRight w:val="0"/>
      <w:marTop w:val="0"/>
      <w:marBottom w:val="0"/>
      <w:divBdr>
        <w:top w:val="none" w:sz="0" w:space="0" w:color="auto"/>
        <w:left w:val="none" w:sz="0" w:space="0" w:color="auto"/>
        <w:bottom w:val="none" w:sz="0" w:space="0" w:color="auto"/>
        <w:right w:val="none" w:sz="0" w:space="0" w:color="auto"/>
      </w:divBdr>
    </w:div>
    <w:div w:id="2029019822">
      <w:bodyDiv w:val="1"/>
      <w:marLeft w:val="0"/>
      <w:marRight w:val="0"/>
      <w:marTop w:val="0"/>
      <w:marBottom w:val="0"/>
      <w:divBdr>
        <w:top w:val="none" w:sz="0" w:space="0" w:color="auto"/>
        <w:left w:val="none" w:sz="0" w:space="0" w:color="auto"/>
        <w:bottom w:val="none" w:sz="0" w:space="0" w:color="auto"/>
        <w:right w:val="none" w:sz="0" w:space="0" w:color="auto"/>
      </w:divBdr>
    </w:div>
    <w:div w:id="2033651513">
      <w:bodyDiv w:val="1"/>
      <w:marLeft w:val="0"/>
      <w:marRight w:val="0"/>
      <w:marTop w:val="0"/>
      <w:marBottom w:val="0"/>
      <w:divBdr>
        <w:top w:val="none" w:sz="0" w:space="0" w:color="auto"/>
        <w:left w:val="none" w:sz="0" w:space="0" w:color="auto"/>
        <w:bottom w:val="none" w:sz="0" w:space="0" w:color="auto"/>
        <w:right w:val="none" w:sz="0" w:space="0" w:color="auto"/>
      </w:divBdr>
    </w:div>
    <w:div w:id="2034375678">
      <w:bodyDiv w:val="1"/>
      <w:marLeft w:val="0"/>
      <w:marRight w:val="0"/>
      <w:marTop w:val="0"/>
      <w:marBottom w:val="0"/>
      <w:divBdr>
        <w:top w:val="none" w:sz="0" w:space="0" w:color="auto"/>
        <w:left w:val="none" w:sz="0" w:space="0" w:color="auto"/>
        <w:bottom w:val="none" w:sz="0" w:space="0" w:color="auto"/>
        <w:right w:val="none" w:sz="0" w:space="0" w:color="auto"/>
      </w:divBdr>
    </w:div>
    <w:div w:id="2044134521">
      <w:bodyDiv w:val="1"/>
      <w:marLeft w:val="0"/>
      <w:marRight w:val="0"/>
      <w:marTop w:val="0"/>
      <w:marBottom w:val="0"/>
      <w:divBdr>
        <w:top w:val="none" w:sz="0" w:space="0" w:color="auto"/>
        <w:left w:val="none" w:sz="0" w:space="0" w:color="auto"/>
        <w:bottom w:val="none" w:sz="0" w:space="0" w:color="auto"/>
        <w:right w:val="none" w:sz="0" w:space="0" w:color="auto"/>
      </w:divBdr>
    </w:div>
    <w:div w:id="2052681288">
      <w:bodyDiv w:val="1"/>
      <w:marLeft w:val="0"/>
      <w:marRight w:val="0"/>
      <w:marTop w:val="0"/>
      <w:marBottom w:val="0"/>
      <w:divBdr>
        <w:top w:val="none" w:sz="0" w:space="0" w:color="auto"/>
        <w:left w:val="none" w:sz="0" w:space="0" w:color="auto"/>
        <w:bottom w:val="none" w:sz="0" w:space="0" w:color="auto"/>
        <w:right w:val="none" w:sz="0" w:space="0" w:color="auto"/>
      </w:divBdr>
    </w:div>
    <w:div w:id="2078626036">
      <w:bodyDiv w:val="1"/>
      <w:marLeft w:val="0"/>
      <w:marRight w:val="0"/>
      <w:marTop w:val="0"/>
      <w:marBottom w:val="0"/>
      <w:divBdr>
        <w:top w:val="none" w:sz="0" w:space="0" w:color="auto"/>
        <w:left w:val="none" w:sz="0" w:space="0" w:color="auto"/>
        <w:bottom w:val="none" w:sz="0" w:space="0" w:color="auto"/>
        <w:right w:val="none" w:sz="0" w:space="0" w:color="auto"/>
      </w:divBdr>
    </w:div>
    <w:div w:id="2103331034">
      <w:bodyDiv w:val="1"/>
      <w:marLeft w:val="0"/>
      <w:marRight w:val="0"/>
      <w:marTop w:val="0"/>
      <w:marBottom w:val="0"/>
      <w:divBdr>
        <w:top w:val="none" w:sz="0" w:space="0" w:color="auto"/>
        <w:left w:val="none" w:sz="0" w:space="0" w:color="auto"/>
        <w:bottom w:val="none" w:sz="0" w:space="0" w:color="auto"/>
        <w:right w:val="none" w:sz="0" w:space="0" w:color="auto"/>
      </w:divBdr>
    </w:div>
    <w:div w:id="212464194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cid:image001.png@01D0EA4A.2BD679A0" TargetMode="External"/><Relationship Id="rId8" Type="http://schemas.openxmlformats.org/officeDocument/2006/relationships/chart" Target="charts/chart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https://uowtsd-my.sharepoint.com/personal/nwatkins_138657_student_uwtsd_ac_uk/Documents/Nicole%20Watkins%20OTF/assignment%203/Assignment%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Final</a:t>
            </a:r>
            <a:r>
              <a:rPr lang="en-US" baseline="0"/>
              <a:t> Outcome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'Total Average '!$B$2</c:f>
              <c:strCache>
                <c:ptCount val="1"/>
                <c:pt idx="0">
                  <c:v>Pre-test %</c:v>
                </c:pt>
              </c:strCache>
            </c:strRef>
          </c:tx>
          <c:spPr>
            <a:solidFill>
              <a:schemeClr val="accent1"/>
            </a:solidFill>
            <a:ln>
              <a:noFill/>
            </a:ln>
            <a:effectLst/>
          </c:spPr>
          <c:invertIfNegative val="0"/>
          <c:cat>
            <c:numRef>
              <c:f>'Total Average '!$A$3:$A$20</c:f>
              <c:numCache>
                <c:formatCode>General</c:formatCode>
                <c:ptCount val="18"/>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pt idx="14">
                  <c:v>15.0</c:v>
                </c:pt>
              </c:numCache>
            </c:numRef>
          </c:cat>
          <c:val>
            <c:numRef>
              <c:f>'Total Average '!$B$3:$B$20</c:f>
              <c:numCache>
                <c:formatCode>0.0%</c:formatCode>
                <c:ptCount val="18"/>
                <c:pt idx="0">
                  <c:v>0.823529411764706</c:v>
                </c:pt>
                <c:pt idx="1">
                  <c:v>0.117647058823529</c:v>
                </c:pt>
                <c:pt idx="2">
                  <c:v>0.294117647058824</c:v>
                </c:pt>
                <c:pt idx="3">
                  <c:v>0.705882352941176</c:v>
                </c:pt>
                <c:pt idx="4">
                  <c:v>0.529411764705882</c:v>
                </c:pt>
                <c:pt idx="5">
                  <c:v>0.176470588235294</c:v>
                </c:pt>
                <c:pt idx="6">
                  <c:v>0.588235294117647</c:v>
                </c:pt>
                <c:pt idx="7">
                  <c:v>0.235294117647059</c:v>
                </c:pt>
                <c:pt idx="8">
                  <c:v>0.294117647058824</c:v>
                </c:pt>
                <c:pt idx="9">
                  <c:v>0.294117647058824</c:v>
                </c:pt>
                <c:pt idx="10">
                  <c:v>0.411764705882353</c:v>
                </c:pt>
                <c:pt idx="11">
                  <c:v>0.529411764705882</c:v>
                </c:pt>
                <c:pt idx="12">
                  <c:v>0.529411764705882</c:v>
                </c:pt>
                <c:pt idx="13">
                  <c:v>0.705882352941176</c:v>
                </c:pt>
                <c:pt idx="14">
                  <c:v>0.705882352941176</c:v>
                </c:pt>
              </c:numCache>
            </c:numRef>
          </c:val>
        </c:ser>
        <c:ser>
          <c:idx val="1"/>
          <c:order val="1"/>
          <c:tx>
            <c:strRef>
              <c:f>'Total Average '!$C$2</c:f>
              <c:strCache>
                <c:ptCount val="1"/>
                <c:pt idx="0">
                  <c:v>Post-test %</c:v>
                </c:pt>
              </c:strCache>
            </c:strRef>
          </c:tx>
          <c:spPr>
            <a:solidFill>
              <a:schemeClr val="accent2"/>
            </a:solidFill>
            <a:ln>
              <a:noFill/>
            </a:ln>
            <a:effectLst/>
          </c:spPr>
          <c:invertIfNegative val="0"/>
          <c:cat>
            <c:numRef>
              <c:f>'Total Average '!$A$3:$A$20</c:f>
              <c:numCache>
                <c:formatCode>General</c:formatCode>
                <c:ptCount val="18"/>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pt idx="14">
                  <c:v>15.0</c:v>
                </c:pt>
              </c:numCache>
            </c:numRef>
          </c:cat>
          <c:val>
            <c:numRef>
              <c:f>'Total Average '!$C$3:$C$20</c:f>
              <c:numCache>
                <c:formatCode>0%</c:formatCode>
                <c:ptCount val="18"/>
                <c:pt idx="0">
                  <c:v>1.0</c:v>
                </c:pt>
                <c:pt idx="1">
                  <c:v>0.882352941176471</c:v>
                </c:pt>
                <c:pt idx="2">
                  <c:v>1.0</c:v>
                </c:pt>
                <c:pt idx="3">
                  <c:v>0.941176470588235</c:v>
                </c:pt>
                <c:pt idx="4">
                  <c:v>1.0</c:v>
                </c:pt>
                <c:pt idx="5">
                  <c:v>0.882352941176471</c:v>
                </c:pt>
                <c:pt idx="6">
                  <c:v>1.0</c:v>
                </c:pt>
                <c:pt idx="7">
                  <c:v>0.882352941176471</c:v>
                </c:pt>
                <c:pt idx="8">
                  <c:v>0.941176470588235</c:v>
                </c:pt>
                <c:pt idx="9">
                  <c:v>0.941176470588235</c:v>
                </c:pt>
                <c:pt idx="10">
                  <c:v>1.0</c:v>
                </c:pt>
                <c:pt idx="11">
                  <c:v>0.941176470588235</c:v>
                </c:pt>
                <c:pt idx="12">
                  <c:v>1.411764705882353</c:v>
                </c:pt>
                <c:pt idx="13">
                  <c:v>1.352941176470588</c:v>
                </c:pt>
                <c:pt idx="14">
                  <c:v>1.294117647058824</c:v>
                </c:pt>
              </c:numCache>
            </c:numRef>
          </c:val>
        </c:ser>
        <c:dLbls>
          <c:showLegendKey val="0"/>
          <c:showVal val="0"/>
          <c:showCatName val="0"/>
          <c:showSerName val="0"/>
          <c:showPercent val="0"/>
          <c:showBubbleSize val="0"/>
        </c:dLbls>
        <c:gapWidth val="219"/>
        <c:overlap val="-27"/>
        <c:axId val="-608278912"/>
        <c:axId val="-607694224"/>
      </c:barChart>
      <c:catAx>
        <c:axId val="-608278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694224"/>
        <c:crosses val="autoZero"/>
        <c:auto val="1"/>
        <c:lblAlgn val="ctr"/>
        <c:lblOffset val="100"/>
        <c:noMultiLvlLbl val="0"/>
      </c:catAx>
      <c:valAx>
        <c:axId val="-607694224"/>
        <c:scaling>
          <c:orientation val="minMax"/>
        </c:scaling>
        <c:delete val="0"/>
        <c:axPos val="l"/>
        <c:majorGridlines>
          <c:spPr>
            <a:ln w="9525" cap="flat" cmpd="sng" algn="ctr">
              <a:solidFill>
                <a:schemeClr val="tx1">
                  <a:lumMod val="15000"/>
                  <a:lumOff val="85000"/>
                </a:schemeClr>
              </a:solidFill>
              <a:round/>
            </a:ln>
            <a:effectLst/>
          </c:spPr>
        </c:majorGridlines>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8278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Mar12</b:Tag>
    <b:SourceType>JournalArticle</b:SourceType>
    <b:Guid>{ECC79AE1-0C4C-074F-BAFA-A7273D4CEBA9}</b:Guid>
    <b:Title>Boys Doing Art: The Construction of outlaw Masculinity in a Portland, Oregon, Graffiti Crew</b:Title>
    <b:Year>2012</b:Year>
    <b:Pages>259 - 290</b:Pages>
    <b:Comments>https://journals.sagepub.com/doi/full/10.1177/0891241612465981 </b:Comments>
    <b:JournalName>Journal of Contemporary Ethnography</b:JournalName>
    <b:Month>December</b:Month>
    <b:Day>3</b:Day>
    <b:Volume>42</b:Volume>
    <b:Issue>3</b:Issue>
    <b:Author>
      <b:Author>
        <b:NameList>
          <b:Person>
            <b:Last>Martin A. Monto</b:Last>
            <b:First>Janna</b:First>
            <b:Middle>Machalek, Terri L. Anderson</b:Middle>
          </b:Person>
        </b:NameList>
      </b:Author>
    </b:Author>
    <b:RefOrder>1</b:RefOrder>
  </b:Source>
  <b:Source>
    <b:Tag>Est16</b:Tag>
    <b:SourceType>Report</b:SourceType>
    <b:Guid>{C953355C-DCB2-064A-95A7-62DC10564630}</b:Guid>
    <b:Title>Best Practice in the Creative arts at Key stages 3 and 4</b:Title>
    <b:Year>2016</b:Year>
    <b:Author>
      <b:Author>
        <b:NameList>
          <b:Person>
            <b:Last>Estyn</b:Last>
          </b:Person>
        </b:NameList>
      </b:Author>
    </b:Author>
    <b:Publisher>Estyn </b:Publisher>
    <b:City>Cardiff</b:City>
    <b:RefOrder>2</b:RefOrder>
  </b:Source>
  <b:Source>
    <b:Tag>Abi18</b:Tag>
    <b:SourceType>DocumentFromInternetSite</b:SourceType>
    <b:Guid>{D760A3B6-1D95-754A-A7D2-6374F766FF45}</b:Guid>
    <b:Author>
      <b:Author>
        <b:NameList>
          <b:Person>
            <b:Last>Beall</b:Last>
            <b:First>Abigail</b:First>
          </b:Person>
        </b:NameList>
      </b:Author>
    </b:Author>
    <b:Title>The growth minset, which has become hugely popular theory for how we educate our children, might be a psychological mirage</b:Title>
    <b:InternetSiteTitle>Weird </b:InternetSiteTitle>
    <b:URL>https://www.wired.co.uk/article/growth-mindset-education-psychological-theory-children-mirage</b:URL>
    <b:Year>2018</b:Year>
    <b:Month>march</b:Month>
    <b:Day>13</b:Day>
    <b:YearAccessed>2019</b:YearAccessed>
    <b:MonthAccessed>may </b:MonthAccessed>
    <b:DayAccessed>15</b:DayAccessed>
    <b:RefOrder>3</b:RefOrder>
  </b:Source>
  <b:Source>
    <b:Tag>Rae08</b:Tag>
    <b:SourceType>BookSection</b:SourceType>
    <b:Guid>{8CF47A93-7E8F-D141-8142-3ADA165597D1}</b:Guid>
    <b:Title>Masculinity construction and sports in boys' education: a framework for thinking about the issue</b:Title>
    <b:Publisher>Routledge</b:Publisher>
    <b:Year>2008</b:Year>
    <b:Pages>131-145</b:Pages>
    <b:Author>
      <b:Author>
        <b:NameList>
          <b:Person>
            <b:Last>Connell</b:Last>
            <b:First>Raewayn</b:First>
          </b:Person>
        </b:NameList>
      </b:Author>
      <b:Editor>
        <b:NameList>
          <b:Person>
            <b:Last>group</b:Last>
            <b:First>Taylor</b:First>
            <b:Middle>&amp; Francis</b:Middle>
          </b:Person>
        </b:NameList>
      </b:Editor>
    </b:Author>
    <b:BookTitle>Sport, Education and Society</b:BookTitle>
    <b:RefOrder>4</b:RefOrder>
  </b:Source>
  <b:Source>
    <b:Tag>RWC05</b:Tag>
    <b:SourceType>JournalArticle</b:SourceType>
    <b:Guid>{128E2A48-057D-D741-BE9B-84F4522C6C0B}</b:Guid>
    <b:Title>Hegemonic Masculinity: Rethinking the Cocept</b:Title>
    <b:Year>2005</b:Year>
    <b:Volume>19</b:Volume>
    <b:Pages>829-859</b:Pages>
    <b:Author>
      <b:Author>
        <b:NameList>
          <b:Person>
            <b:Last>Connell</b:Last>
            <b:First>R.</b:First>
            <b:Middle>W.</b:Middle>
          </b:Person>
        </b:NameList>
      </b:Author>
    </b:Author>
    <b:JournalName>Gender &amp; Society</b:JournalName>
    <b:Month>december</b:Month>
    <b:Day>6</b:Day>
    <b:Issue>6</b:Issue>
    <b:RefOrder>5</b:RefOrder>
  </b:Source>
  <b:Source>
    <b:Tag>Wil98</b:Tag>
    <b:SourceType>DocumentFromInternetSite</b:SourceType>
    <b:Guid>{80A3ED32-216B-BA44-9529-301D084BF0BA}</b:Guid>
    <b:Author>
      <b:Author>
        <b:NameList>
          <b:Person>
            <b:Last>Wiliam</b:Last>
            <b:First>Paul</b:First>
            <b:Middle>Black, Dylan</b:Middle>
          </b:Person>
        </b:NameList>
      </b:Author>
    </b:Author>
    <b:Title>Inside the Black Box: Raising standards through Classroom Assessment</b:Title>
    <b:Year>1998</b:Year>
    <b:Month>October</b:Month>
    <b:Day>1</b:Day>
    <b:URL>https://www.rdc.udel.edu/wp-content/uploads/2015/04/InsideBlackBox.pdf </b:URL>
    <b:YearAccessed>2019</b:YearAccessed>
    <b:MonthAccessed>May</b:MonthAccessed>
    <b:DayAccessed>15</b:DayAccessed>
    <b:RefOrder>6</b:RefOrder>
  </b:Source>
  <b:Source>
    <b:Tag>Hug711</b:Tag>
    <b:SourceType>Book</b:SourceType>
    <b:Guid>{D286401F-AB7D-D14D-8BBB-BC287B95DF5C}</b:Guid>
    <b:Author>
      <b:Author>
        <b:NameList>
          <b:Person>
            <b:Last>Lytton</b:Last>
            <b:First>Hugh</b:First>
          </b:Person>
        </b:NameList>
      </b:Author>
    </b:Author>
    <b:Title>Creativity and Education</b:Title>
    <b:City>Great Britain</b:City>
    <b:Publisher>Routledge &amp; Kegan Paul Ltd</b:Publisher>
    <b:Year>1971</b:Year>
    <b:Edition>1st edition</b:Edition>
    <b:RefOrder>7</b:RefOrder>
  </b:Source>
  <b:Source>
    <b:Tag>Wel131</b:Tag>
    <b:SourceType>DocumentFromInternetSite</b:SourceType>
    <b:Guid>{AA5B1BEB-3906-2344-8F81-718C22225E04}</b:Guid>
    <b:Author>
      <b:Author>
        <b:NameList>
          <b:Person>
            <b:Last>Government</b:Last>
            <b:First>Welsh</b:First>
          </b:Person>
        </b:NameList>
      </b:Author>
    </b:Author>
    <b:Title>National Literacy and Numeracy Framework </b:Title>
    <b:URL>https://s3-eu-west-1.amazonaws.com/hwb-live-storage/ce/44/26/0c/4830422ab1e6a190b11feac9/to-support-schools-in-introducing-the-national-literacy-and-numeracy-framework.pdf</b:URL>
    <b:Year>2013</b:Year>
    <b:Month>march</b:Month>
    <b:Day>1</b:Day>
    <b:YearAccessed>2019</b:YearAccessed>
    <b:MonthAccessed>April</b:MonthAccessed>
    <b:DayAccessed>22</b:DayAccessed>
    <b:RefOrder>8</b:RefOrder>
  </b:Source>
  <b:Source>
    <b:Tag>Est08</b:Tag>
    <b:SourceType>Report</b:SourceType>
    <b:Guid>{7B4F6608-86B7-EA44-98F8-D6963B9C2634}</b:Guid>
    <b:Title>Closing the gap between boys' and girls' attainment in school</b:Title>
    <b:Publisher>Education and Training in Wales </b:Publisher>
    <b:City>Cardiff</b:City>
    <b:Year>2008</b:Year>
    <b:Author>
      <b:Author>
        <b:NameList>
          <b:Person>
            <b:Last>Estyn</b:Last>
          </b:Person>
        </b:NameList>
      </b:Author>
    </b:Author>
    <b:RefOrder>9</b:RefOrder>
  </b:Source>
  <b:Source>
    <b:Tag>Arm19</b:Tag>
    <b:SourceType>DocumentFromInternetSite</b:SourceType>
    <b:Guid>{4D61EFEF-D2D2-584A-B662-8BFE2F8443B5}</b:Guid>
    <b:Author>
      <b:Author>
        <b:NameList>
          <b:Person>
            <b:Last>Armstrong</b:Last>
            <b:First>Patricia</b:First>
          </b:Person>
        </b:NameList>
      </b:Author>
    </b:Author>
    <b:Title>Bloom's Taxonomy</b:Title>
    <b:URL>https://cft.vanderbilt.edu/guides-sub-pages/blooms-taxonomy/</b:URL>
    <b:YearAccessed>2019</b:YearAccessed>
    <b:MonthAccessed>april</b:MonthAccessed>
    <b:DayAccessed>25</b:DayAccessed>
    <b:RefOrder>10</b:RefOrder>
  </b:Source>
  <b:Source>
    <b:Tag>Wel17</b:Tag>
    <b:SourceType>DocumentFromInternetSite</b:SourceType>
    <b:Guid>{5B1C18E6-65BE-5C46-9818-EFF224329C23}</b:Guid>
    <b:Author>
      <b:Author>
        <b:NameList>
          <b:Person>
            <b:Last>Government</b:Last>
            <b:First>Welsh</b:First>
            <b:Middle>Assembly</b:Middle>
          </b:Person>
        </b:NameList>
      </b:Author>
    </b:Author>
    <b:Title>Art and design in the National Curriculum for Wales</b:Title>
    <b:URL>https://s3-eu-west-1.amazonaws.com/hwb-live-storage/bc/07/01/39/22d34f35b10cb1bf2a180ab3/art-and-design-in-the-national-curriculum.pdf</b:URL>
    <b:Year>2008</b:Year>
    <b:YearAccessed>2019</b:YearAccessed>
    <b:MonthAccessed>April</b:MonthAccessed>
    <b:DayAccessed>30</b:DayAccessed>
    <b:Month>January </b:Month>
    <b:RefOrder>11</b:RefOrder>
  </b:Source>
  <b:Source>
    <b:Tag>Ill07</b:Tag>
    <b:SourceType>Book</b:SourceType>
    <b:Guid>{287694A7-AE65-4343-BA85-F5D82AFFBE7C}</b:Guid>
    <b:Author>
      <b:Author>
        <b:NameList>
          <b:Person>
            <b:Last>Illeris</b:Last>
            <b:First>Knud</b:First>
          </b:Person>
        </b:NameList>
      </b:Author>
    </b:Author>
    <b:Title>How We Learn - Learning and non-learning in school and beyond</b:Title>
    <b:Year>2007</b:Year>
    <b:City>Oxon</b:City>
    <b:Publisher>Routledge</b:Publisher>
    <b:Edition>2nd edition </b:Edition>
    <b:RefOrder>12</b:RefOrder>
  </b:Source>
  <b:Source>
    <b:Tag>Mar071</b:Tag>
    <b:SourceType>Book</b:SourceType>
    <b:Guid>{FB8EFC47-56DD-0D45-AD3F-4955949D0B3D}</b:Guid>
    <b:Author>
      <b:Author>
        <b:NameList>
          <b:Person>
            <b:Last>McCormick</b:Last>
            <b:First>Mary</b:First>
            <b:Middle>James and Robert</b:Middle>
          </b:Person>
        </b:NameList>
      </b:Author>
    </b:Author>
    <b:Title>improving Learning How to Learn</b:Title>
    <b:City>London</b:City>
    <b:Publisher>Routledge</b:Publisher>
    <b:Year>2007</b:Year>
    <b:Edition>2nd Edition</b:Edition>
    <b:RefOrder>13</b:RefOrder>
  </b:Source>
  <b:Source>
    <b:Tag>Nic15</b:Tag>
    <b:SourceType>Book</b:SourceType>
    <b:Guid>{785EA6DE-0319-E846-82C2-05C11427678E}</b:Guid>
    <b:Author>
      <b:Author>
        <b:NameList>
          <b:Person>
            <b:Last>Burgess</b:Last>
            <b:First>Nicholas</b:First>
            <b:Middle>Addison and Lesley</b:Middle>
          </b:Person>
        </b:NameList>
      </b:Author>
    </b:Author>
    <b:Title>Learning to Teach Art and Design in the Secondary School</b:Title>
    <b:City>London</b:City>
    <b:Publisher>Routledge</b:Publisher>
    <b:Year>2015</b:Year>
    <b:Edition>3rd Edition</b:Edition>
    <b:RefOrder>14</b:RefOrder>
  </b:Source>
  <b:Source>
    <b:Tag>Car12</b:Tag>
    <b:SourceType>Book</b:SourceType>
    <b:Guid>{5CDE88AA-6B66-7844-8CBA-91BAA65A1E21}</b:Guid>
    <b:Author>
      <b:Author>
        <b:NameList>
          <b:Person>
            <b:Last>Dweck</b:Last>
            <b:First>Carol</b:First>
            <b:Middle>S.</b:Middle>
          </b:Person>
        </b:NameList>
      </b:Author>
    </b:Author>
    <b:Title>mindset Changing that way you think to fulfil your potential </b:Title>
    <b:City>London</b:City>
    <b:Publisher>Robinson</b:Publisher>
    <b:Year>2012</b:Year>
    <b:Edition>2nd Edition</b:Edition>
    <b:RefOrder>15</b:RefOrder>
  </b:Source>
  <b:Source>
    <b:Tag>Jan101</b:Tag>
    <b:SourceType>Book</b:SourceType>
    <b:Guid>{8DC78FDE-775C-8A4A-8D3D-8A8264E666BD}</b:Guid>
    <b:Author>
      <b:Author>
        <b:NameList>
          <b:Person>
            <b:Last>Waldfogel</b:Last>
            <b:First>Jane</b:First>
          </b:Person>
        </b:NameList>
      </b:Author>
    </b:Author>
    <b:Title>What Children Need</b:Title>
    <b:City>Harvard</b:City>
    <b:Publisher>Harvard University Press </b:Publisher>
    <b:Year>2010</b:Year>
    <b:Edition>1st edition</b:Edition>
    <b:RefOrder>16</b:RefOrder>
  </b:Source>
  <b:Source>
    <b:Tag>Kat94</b:Tag>
    <b:SourceType>Book</b:SourceType>
    <b:Guid>{CCC194F5-7806-704C-A158-7FA7ED646C9A}</b:Guid>
    <b:Author>
      <b:Author>
        <b:NameList>
          <b:Person>
            <b:Last>Nuttall</b:Last>
            <b:First>Kathryn</b:First>
            <b:Middle>A Riley and Desmond L</b:Middle>
          </b:Person>
        </b:NameList>
      </b:Author>
    </b:Author>
    <b:Title>Measuring Quality, Education indicators - united kingdom and international perspective</b:Title>
    <b:City>London</b:City>
    <b:Publisher>Burgess Science press</b:Publisher>
    <b:Year>1994</b:Year>
    <b:Edition>1st edition </b:Edition>
    <b:RefOrder>17</b:RefOrder>
  </b:Source>
  <b:Source>
    <b:Tag>wel16</b:Tag>
    <b:SourceType>DocumentFromInternetSite</b:SourceType>
    <b:Guid>{F39419A7-97F5-234F-89C8-9CF6B7E6A972}</b:Guid>
    <b:Author>
      <b:Author>
        <b:NameList>
          <b:Person>
            <b:Last>framework</b:Last>
            <b:First>welsh</b:First>
            <b:Middle>Government Digital competency</b:Middle>
          </b:Person>
        </b:NameList>
      </b:Author>
    </b:Author>
    <b:Title>wales digital competency framework</b:Title>
    <b:URL>https://learning.gov.wales/docs/learningwales/publications/160831-dcf-guidance-en-v2.pdf</b:URL>
    <b:Year>2016</b:Year>
    <b:Month>September </b:Month>
    <b:Day>1</b:Day>
    <b:YearAccessed>2019</b:YearAccessed>
    <b:MonthAccessed>april</b:MonthAccessed>
    <b:DayAccessed>17</b:DayAccessed>
    <b:RefOrder>18</b:RefOrder>
  </b:Source>
  <b:Source>
    <b:Tag>Gov03</b:Tag>
    <b:SourceType>Report</b:SourceType>
    <b:Guid>{07E4B51D-48B8-FE4D-A154-7F7AE30D84E1}</b:Guid>
    <b:Author>
      <b:Author>
        <b:NameList>
          <b:Person>
            <b:Last>Government</b:Last>
            <b:First>HM</b:First>
          </b:Person>
        </b:NameList>
      </b:Author>
    </b:Author>
    <b:Title>Every Child Matters</b:Title>
    <b:Year>2003</b:Year>
    <b:Publisher>CM 5860</b:Publisher>
    <b:City>London: HMSO</b:City>
    <b:RefOrder>19</b:RefOrder>
  </b:Source>
  <b:Source>
    <b:Tag>Pro15</b:Tag>
    <b:SourceType>Report</b:SourceType>
    <b:Guid>{B3F1FA90-4E70-254A-94E9-B6CAC0F829D9}</b:Guid>
    <b:Author>
      <b:Author>
        <b:NameList>
          <b:Person>
            <b:Last>Donaldson</b:Last>
            <b:First>Professor</b:First>
            <b:Middle>Graham</b:Middle>
          </b:Person>
        </b:NameList>
      </b:Author>
    </b:Author>
    <b:Title>Successful Futures</b:Title>
    <b:Publisher>Welsh Government </b:Publisher>
    <b:City>wales</b:City>
    <b:Year>2015</b:Year>
    <b:RefOrder>20</b:RefOrder>
  </b:Source>
  <b:Source>
    <b:Tag>Ger18</b:Tag>
    <b:SourceType>Book</b:SourceType>
    <b:Guid>{AD72926B-263B-3744-B22B-DEFD7890736C}</b:Guid>
    <b:Author>
      <b:Author>
        <b:NameList>
          <b:Person>
            <b:Last>Gershon</b:Last>
            <b:First>Mike</b:First>
          </b:Person>
        </b:NameList>
      </b:Author>
    </b:Author>
    <b:Title>How to use Bloom's Taxonomy in the Classroom The Complete Guide</b:Title>
    <b:Publisher>Learning Sciences International</b:Publisher>
    <b:Year>2018</b:Year>
    <b:Edition>1st Edition</b:Edition>
    <b:RefOrder>21</b:RefOrder>
  </b:Source>
  <b:Source>
    <b:Tag>JAR98</b:Tag>
    <b:SourceType>Book</b:SourceType>
    <b:Guid>{A048106D-C89A-BD47-A5C1-FF78A640CF79}</b:Guid>
    <b:Author>
      <b:Author>
        <b:NameList>
          <b:Person>
            <b:Last>Rubin</b:Last>
            <b:First>J.</b:First>
            <b:Middle>A</b:Middle>
          </b:Person>
        </b:NameList>
      </b:Author>
    </b:Author>
    <b:Title>Art Therapy - An introduction</b:Title>
    <b:City>London</b:City>
    <b:Publisher>Brunner/Mazel</b:Publisher>
    <b:Year>1998</b:Year>
    <b:RefOrder>22</b:RefOrder>
  </b:Source>
  <b:Source>
    <b:Tag>Wel18</b:Tag>
    <b:SourceType>DocumentFromInternetSite</b:SourceType>
    <b:Guid>{5B926F3F-DACB-7645-99BC-A442193BC074}</b:Guid>
    <b:Author>
      <b:Author>
        <b:NameList>
          <b:Person>
            <b:Last>Government</b:Last>
            <b:First>Welsh</b:First>
          </b:Person>
        </b:NameList>
      </b:Author>
    </b:Author>
    <b:Title>gov.wales</b:Title>
    <b:URL>https://gov.wales/sites/default/files/consultations/2018-12/consultation-document-draft-additional-learning-needs-code_0.pdf</b:URL>
    <b:Year>2018</b:Year>
    <b:Month>december</b:Month>
    <b:Day>10</b:Day>
    <b:YearAccessed>2019</b:YearAccessed>
    <b:MonthAccessed>May</b:MonthAccessed>
    <b:DayAccessed>13</b:DayAccessed>
    <b:RefOrder>23</b:RefOrder>
  </b:Source>
  <b:Source>
    <b:Tag>Ren37</b:Tag>
    <b:SourceType>Book</b:SourceType>
    <b:Guid>{6A55452D-20D5-054D-A6BB-8137CC1F9F0F}</b:Guid>
    <b:Author>
      <b:Author>
        <b:NameList>
          <b:Person>
            <b:Last>Descartes</b:Last>
            <b:First>Rene</b:First>
          </b:Person>
        </b:NameList>
      </b:Author>
    </b:Author>
    <b:Title>The Philosophical Works of Descartes</b:Title>
    <b:City>Cambridge</b:City>
    <b:Publisher>UK: Cambridge Unuversity Press</b:Publisher>
    <b:Year>1967 [1637]</b:Year>
    <b:Edition>3rd reprint</b:Edition>
    <b:RefOrder>24</b:RefOrder>
  </b:Source>
  <b:Source>
    <b:Tag>Arn62</b:Tag>
    <b:SourceType>Book</b:SourceType>
    <b:Guid>{DF186D8D-D3C2-5E4E-B6AA-6F4DA1D7A9D2}</b:Guid>
    <b:Author>
      <b:Author>
        <b:NameList>
          <b:Person>
            <b:Last>Naess</b:Last>
            <b:First>Arne</b:First>
          </b:Person>
        </b:NameList>
      </b:Author>
    </b:Author>
    <b:Title>Filosofiens Historie II - fra middelalder til nyere tid. [The History of Philosophy]</b:Title>
    <b:City>Copenhagen</b:City>
    <b:Publisher>OECD</b:Publisher>
    <b:Year>1963 [1962]</b:Year>
    <b:RefOrder>25</b:RefOrder>
  </b:Source>
  <b:Source>
    <b:Tag>Jud04</b:Tag>
    <b:SourceType>Book</b:SourceType>
    <b:Guid>{7A825A93-0DD7-B041-9C0B-EEDABB5D2B47}</b:Guid>
    <b:Author>
      <b:Author>
        <b:NameList>
          <b:Person>
            <b:Last>Butler</b:Last>
            <b:First>Judith</b:First>
          </b:Person>
        </b:NameList>
      </b:Author>
    </b:Author>
    <b:Title>Undoing Gender </b:Title>
    <b:City>New York</b:City>
    <b:Publisher>Routledge</b:Publisher>
    <b:Year>2004</b:Year>
    <b:Edition>1st Edition</b:Edition>
    <b:RefOrder>26</b:RefOrder>
  </b:Source>
  <b:Source>
    <b:Tag>Mar19</b:Tag>
    <b:SourceType>JournalArticle</b:SourceType>
    <b:Guid>{425B4F10-CD34-CB48-B35B-5CEA6F02C13B}</b:Guid>
    <b:Author>
      <b:Author>
        <b:NameList>
          <b:Person>
            <b:Last>Marshell</b:Last>
            <b:First>Kim</b:First>
          </b:Person>
        </b:NameList>
      </b:Author>
    </b:Author>
    <b:Title>Dylan Wiliam on the Powerful Potential of Formative Assessment</b:Title>
    <b:Year>2019</b:Year>
    <b:Volume>33</b:Volume>
    <b:Pages>19-24, 2p</b:Pages>
    <b:JournalName>International Educator</b:JournalName>
    <b:Month>febuary </b:Month>
    <b:Issue>3</b:Issue>
    <b:RefOrder>27</b:RefOrder>
  </b:Source>
  <b:Source>
    <b:Tag>Wel06</b:Tag>
    <b:SourceType>DocumentFromInternetSite</b:SourceType>
    <b:Guid>{EEBD638E-8FCF-724B-838E-653E76E10546}</b:Guid>
    <b:Title>The learning Country: Vision into Action</b:Title>
    <b:Year>2006</b:Year>
    <b:Author>
      <b:Author>
        <b:NameList>
          <b:Person>
            <b:Last>Government</b:Last>
            <b:First>Welsh</b:First>
            <b:Middle>Assembly</b:Middle>
          </b:Person>
        </b:NameList>
      </b:Author>
    </b:Author>
    <b:InternetSiteTitle>University College London</b:InternetSiteTitle>
    <b:URL>https://dera.ioe.ac.uk/8834/3/A9R3F9F_Redacted.pdf</b:URL>
    <b:Month>October </b:Month>
    <b:YearAccessed>2019</b:YearAccessed>
    <b:MonthAccessed>April</b:MonthAccessed>
    <b:DayAccessed>16</b:DayAccessed>
    <b:RefOrder>28</b:RefOrder>
  </b:Source>
  <b:Source>
    <b:Tag>tyl17</b:Tag>
    <b:SourceType>JournalArticle</b:SourceType>
    <b:Guid>{AFC91ADC-8DB3-5E49-AAEB-3163A06EF733}</b:Guid>
    <b:Title>Risky prospects and risk aversion tendencies: does competition in the classroom depend on grading practice and knowledge of peer-status?</b:Title>
    <b:Year>2017</b:Year>
    <b:Month>december</b:Month>
    <b:Day>13</b:Day>
    <b:Author>
      <b:Author>
        <b:NameList>
          <b:Person>
            <b:Last>tyler J. Burleigh</b:Last>
            <b:First>Daniel</b:First>
            <b:Middle>V. Meegan</b:Middle>
          </b:Person>
        </b:NameList>
      </b:Author>
    </b:Author>
    <b:JournalName>CrossMark</b:JournalName>
    <b:Publisher>Springer Science+Business media B.V.</b:Publisher>
    <b:RefOrder>29</b:RefOrder>
  </b:Source>
  <b:Source>
    <b:Tag>WJE18</b:Tag>
    <b:SourceType>Report</b:SourceType>
    <b:Guid>{D03237DA-605F-CD41-AC04-DC80836CE4C7}</b:Guid>
    <b:Author>
      <b:Author>
        <b:NameList>
          <b:Person>
            <b:Last>WJEC</b:Last>
          </b:Person>
        </b:NameList>
      </b:Author>
    </b:Author>
    <b:Title>GCSE Examiners' Report Art and Design</b:Title>
    <b:Publisher>WJEC</b:Publisher>
    <b:City>Wales</b:City>
    <b:Year>2018</b:Year>
    <b:RefOrder>30</b:RefOrder>
  </b:Source>
  <b:Source>
    <b:Tag>Kno18</b:Tag>
    <b:SourceType>InternetSite</b:SourceType>
    <b:Guid>{82FA67A6-9B8C-CB43-BC04-320CB813C751}</b:Guid>
    <b:Author>
      <b:Author>
        <b:NameList>
          <b:Person>
            <b:Last>Knott</b:Last>
            <b:First>Jonathan</b:First>
          </b:Person>
        </b:NameList>
      </b:Author>
    </b:Author>
    <b:Title>arts professional</b:Title>
    <b:Year>2018</b:Year>
    <b:Month>09</b:Month>
    <b:Day>21</b:Day>
    <b:URL>https://www.artsprofessional.co.uk/news/ebacc-blamed-growing-gender-imbalance-gcse-choices</b:URL>
    <b:YearAccessed>2019</b:YearAccessed>
    <b:MonthAccessed>july</b:MonthAccessed>
    <b:DayAccessed>15</b:DayAccessed>
    <b:RefOrder>31</b:RefOrder>
  </b:Source>
  <b:Source>
    <b:Tag>Ann11</b:Tag>
    <b:SourceType>InternetSite</b:SourceType>
    <b:Guid>{AC797AE4-D98B-7340-8463-C07486EBA582}</b:Guid>
    <b:Author>
      <b:Author>
        <b:NameList>
          <b:Person>
            <b:Last>Econ</b:Last>
            <b:First>Annu.</b:First>
            <b:Middle>Rev.</b:Middle>
          </b:Person>
        </b:NameList>
      </b:Author>
    </b:Author>
    <b:Title>Gender and competition </b:Title>
    <b:URL>https://web.stanford.edu/~niederle/NV.AnnualReview.Print.pdf</b:URL>
    <b:Year>2011</b:Year>
    <b:Month>may</b:Month>
    <b:Day>25</b:Day>
    <b:YearAccessed>2019</b:YearAccessed>
    <b:MonthAccessed>july</b:MonthAccessed>
    <b:DayAccessed>15</b:DayAccessed>
    <b:RefOrder>32</b:RefOrder>
  </b:Source>
  <b:Source>
    <b:Tag>Dic99</b:Tag>
    <b:SourceType>DocumentFromInternetSite</b:SourceType>
    <b:Guid>{91F5BE36-52CB-944E-B0E8-17CF1F8053B1}</b:Guid>
    <b:Author>
      <b:Author>
        <b:NameList>
          <b:Person>
            <b:Last>Dictionary</b:Last>
            <b:First>Cambridge</b:First>
          </b:Person>
        </b:NameList>
      </b:Author>
    </b:Author>
    <b:Title>Cambridge University Press</b:Title>
    <b:URL>https://dictionary.cambridge.org/about.html</b:URL>
    <b:Year>1999</b:Year>
    <b:Month>January </b:Month>
    <b:YearAccessed>2019</b:YearAccessed>
    <b:MonthAccessed>july</b:MonthAccessed>
    <b:DayAccessed>15</b:DayAccessed>
    <b:RefOrder>33</b:RefOrder>
  </b:Source>
  <b:Source>
    <b:Tag>Add03</b:Tag>
    <b:SourceType>Book</b:SourceType>
    <b:Guid>{AC8AABBA-2A58-5F4A-B804-168E280713E1}</b:Guid>
    <b:Author>
      <b:Author>
        <b:NameList>
          <b:Person>
            <b:Last>Addison</b:Last>
            <b:First>n.</b:First>
            <b:Middle>&amp; Burgess, L.</b:Middle>
          </b:Person>
        </b:NameList>
      </b:Author>
    </b:Author>
    <b:Title>Issues in art and design teaching</b:Title>
    <b:Year>2003</b:Year>
    <b:City>london</b:City>
    <b:Publisher>RoutledgeFalmer</b:Publisher>
    <b:RefOrder>34</b:RefOrder>
  </b:Source>
  <b:Source>
    <b:Tag>Ben14</b:Tag>
    <b:SourceType>Book</b:SourceType>
    <b:Guid>{06CFA662-A044-0C45-BB03-944EE2AE4D9F}</b:Guid>
    <b:Author>
      <b:Author>
        <b:NameList>
          <b:Person>
            <b:Last>Cary</b:Last>
            <b:First>Benedict</b:First>
          </b:Person>
        </b:NameList>
      </b:Author>
    </b:Author>
    <b:Title>How We Learn: The surprising Truth About When, Where, and Why it Happens</b:Title>
    <b:City>New York</b:City>
    <b:Publisher>Random House</b:Publisher>
    <b:Year>2014</b:Year>
    <b:Edition>1st Edition</b:Edition>
    <b:RefOrder>35</b:RefOrder>
  </b:Source>
  <b:Source>
    <b:Tag>Joy05</b:Tag>
    <b:SourceType>Report</b:SourceType>
    <b:Guid>{93826D86-A8FA-5A42-8983-2E82AA6A2AFC}</b:Guid>
    <b:Author>
      <b:Author>
        <b:NameList>
          <b:Person>
            <b:Last>Joyce</b:Last>
            <b:First>Anne</b:First>
            <b:Middle>Burns Helen de Silva</b:Middle>
          </b:Person>
        </b:NameList>
      </b:Author>
    </b:Author>
    <b:Title>Teachers' voices 8: Explicitly supporting reading and writing </b:Title>
    <b:City>Sydney</b:City>
    <b:Publisher>the National Centure for English Language teaching and research </b:Publisher>
    <b:Year>2005</b:Year>
    <b:RefOrder>36</b:RefOrder>
  </b:Source>
  <b:Source>
    <b:Tag>LSV78</b:Tag>
    <b:SourceType>Book</b:SourceType>
    <b:Guid>{CB604ABB-05AE-E443-B8F4-BBD6D832A65D}</b:Guid>
    <b:Title>Thought and Language (Translated by A. Kozulin.)</b:Title>
    <b:Publisher>MA: Harvard University Press</b:Publisher>
    <b:City>Cambridge</b:City>
    <b:Year>1934/1978</b:Year>
    <b:Author>
      <b:Author>
        <b:NameList>
          <b:Person>
            <b:Last>Vygotsky</b:Last>
            <b:First>L.</b:First>
            <b:Middle>S.</b:Middle>
          </b:Person>
        </b:NameList>
      </b:Author>
    </b:Author>
    <b:RefOrder>37</b:RefOrder>
  </b:Source>
</b:Sources>
</file>

<file path=customXml/itemProps1.xml><?xml version="1.0" encoding="utf-8"?>
<ds:datastoreItem xmlns:ds="http://schemas.openxmlformats.org/officeDocument/2006/customXml" ds:itemID="{8AC1107A-4CF4-6145-AEA8-1530A6736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782</TotalTime>
  <Pages>20</Pages>
  <Words>6938</Words>
  <Characters>39549</Characters>
  <Application>Microsoft Macintosh Word</Application>
  <DocSecurity>0</DocSecurity>
  <Lines>329</Lines>
  <Paragraphs>92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Bibliography</vt:lpstr>
    </vt:vector>
  </TitlesOfParts>
  <LinksUpToDate>false</LinksUpToDate>
  <CharactersWithSpaces>46395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Watkins (P138657)</dc:creator>
  <cp:keywords/>
  <dc:description/>
  <cp:lastModifiedBy>Nicole Watkins (P138657)</cp:lastModifiedBy>
  <cp:revision>83</cp:revision>
  <dcterms:created xsi:type="dcterms:W3CDTF">2019-05-20T19:50:00Z</dcterms:created>
  <dcterms:modified xsi:type="dcterms:W3CDTF">2019-07-27T09:10:00Z</dcterms:modified>
</cp:coreProperties>
</file>