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C0FAB9" w14:textId="379CBC76" w:rsidR="008A0F55" w:rsidRDefault="00546FAB" w:rsidP="0037529B">
      <w:pPr>
        <w:spacing w:line="360" w:lineRule="auto"/>
        <w:rPr>
          <w:rFonts w:ascii="Arial" w:hAnsi="Arial" w:cs="Arial"/>
          <w:b/>
          <w:bCs/>
          <w:sz w:val="40"/>
          <w:szCs w:val="40"/>
        </w:rPr>
      </w:pPr>
      <w:r>
        <w:rPr>
          <w:noProof/>
        </w:rPr>
        <w:drawing>
          <wp:anchor distT="0" distB="0" distL="114300" distR="114300" simplePos="0" relativeHeight="251658240" behindDoc="1" locked="0" layoutInCell="1" allowOverlap="1" wp14:anchorId="12F6DBE7" wp14:editId="41171C44">
            <wp:simplePos x="0" y="0"/>
            <wp:positionH relativeFrom="margin">
              <wp:posOffset>-3175</wp:posOffset>
            </wp:positionH>
            <wp:positionV relativeFrom="paragraph">
              <wp:posOffset>-159385</wp:posOffset>
            </wp:positionV>
            <wp:extent cx="4401185" cy="1905000"/>
            <wp:effectExtent l="0" t="0" r="0" b="0"/>
            <wp:wrapTight wrapText="bothSides">
              <wp:wrapPolygon edited="0">
                <wp:start x="935" y="3672"/>
                <wp:lineTo x="935" y="11016"/>
                <wp:lineTo x="1496" y="14472"/>
                <wp:lineTo x="2524" y="17712"/>
                <wp:lineTo x="7292" y="17712"/>
                <wp:lineTo x="12528" y="17280"/>
                <wp:lineTo x="13183" y="17064"/>
                <wp:lineTo x="12996" y="14472"/>
                <wp:lineTo x="15333" y="14472"/>
                <wp:lineTo x="17296" y="12960"/>
                <wp:lineTo x="17203" y="11016"/>
                <wp:lineTo x="18231" y="11016"/>
                <wp:lineTo x="21410" y="8424"/>
                <wp:lineTo x="21503" y="6048"/>
                <wp:lineTo x="20942" y="4968"/>
                <wp:lineTo x="19353" y="3672"/>
                <wp:lineTo x="935" y="3672"/>
              </wp:wrapPolygon>
            </wp:wrapTight>
            <wp:docPr id="771929710" name="Picture 1" descr="SCVO | Sandwell Council of Voluntary Organisations.">
              <a:extLst xmlns:a="http://schemas.openxmlformats.org/drawingml/2006/main">
                <a:ext uri="{FF2B5EF4-FFF2-40B4-BE49-F238E27FC236}">
                  <a16:creationId xmlns:a16="http://schemas.microsoft.com/office/drawing/2014/main" id="{D8B23F78-9715-4DFA-9347-BA206D8A7D0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8">
                      <a:extLst>
                        <a:ext uri="{28A0092B-C50C-407E-A947-70E740481C1C}">
                          <a14:useLocalDpi xmlns:a14="http://schemas.microsoft.com/office/drawing/2010/main" val="0"/>
                        </a:ext>
                      </a:extLst>
                    </a:blip>
                    <a:srcRect r="23643"/>
                    <a:stretch/>
                  </pic:blipFill>
                  <pic:spPr bwMode="auto">
                    <a:xfrm>
                      <a:off x="0" y="0"/>
                      <a:ext cx="4401185" cy="19050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CDA86E6" w14:textId="77777777" w:rsidR="008A0F55" w:rsidRDefault="008A0F55" w:rsidP="00F648CC">
      <w:pPr>
        <w:spacing w:line="360" w:lineRule="auto"/>
        <w:jc w:val="both"/>
        <w:rPr>
          <w:rFonts w:ascii="Arial" w:hAnsi="Arial" w:cs="Arial"/>
          <w:b/>
          <w:bCs/>
          <w:sz w:val="40"/>
          <w:szCs w:val="40"/>
        </w:rPr>
      </w:pPr>
    </w:p>
    <w:p w14:paraId="5A183D50" w14:textId="77777777" w:rsidR="008A0F55" w:rsidRDefault="008A0F55" w:rsidP="00F648CC">
      <w:pPr>
        <w:spacing w:line="360" w:lineRule="auto"/>
        <w:jc w:val="both"/>
        <w:rPr>
          <w:rFonts w:ascii="Arial" w:hAnsi="Arial" w:cs="Arial"/>
          <w:b/>
          <w:bCs/>
          <w:sz w:val="40"/>
          <w:szCs w:val="40"/>
        </w:rPr>
      </w:pPr>
    </w:p>
    <w:p w14:paraId="4ABED36C" w14:textId="77777777" w:rsidR="008A0F55" w:rsidRDefault="008A0F55" w:rsidP="00F648CC">
      <w:pPr>
        <w:spacing w:line="360" w:lineRule="auto"/>
        <w:jc w:val="both"/>
        <w:rPr>
          <w:rFonts w:ascii="Arial" w:hAnsi="Arial" w:cs="Arial"/>
          <w:b/>
          <w:bCs/>
          <w:sz w:val="40"/>
          <w:szCs w:val="40"/>
        </w:rPr>
      </w:pPr>
    </w:p>
    <w:p w14:paraId="4B60DB0F" w14:textId="6EF511F5" w:rsidR="002477B0" w:rsidRPr="006D681B" w:rsidRDefault="000229BA" w:rsidP="0037529B">
      <w:pPr>
        <w:spacing w:line="360" w:lineRule="auto"/>
        <w:rPr>
          <w:rFonts w:ascii="Arial" w:hAnsi="Arial" w:cs="Arial"/>
          <w:sz w:val="40"/>
          <w:szCs w:val="40"/>
        </w:rPr>
      </w:pPr>
      <w:r w:rsidRPr="006D681B">
        <w:rPr>
          <w:rFonts w:ascii="Arial" w:hAnsi="Arial" w:cs="Arial"/>
          <w:b/>
          <w:sz w:val="40"/>
          <w:szCs w:val="40"/>
        </w:rPr>
        <w:t>Name</w:t>
      </w:r>
      <w:r w:rsidR="00FB08C8" w:rsidRPr="006D681B">
        <w:rPr>
          <w:rFonts w:ascii="Arial" w:hAnsi="Arial" w:cs="Arial"/>
          <w:b/>
          <w:sz w:val="40"/>
          <w:szCs w:val="40"/>
        </w:rPr>
        <w:t>:</w:t>
      </w:r>
      <w:r w:rsidR="00FB08C8" w:rsidRPr="006D681B">
        <w:rPr>
          <w:rFonts w:ascii="Arial" w:hAnsi="Arial" w:cs="Arial"/>
          <w:sz w:val="40"/>
          <w:szCs w:val="40"/>
        </w:rPr>
        <w:t xml:space="preserve"> Shamaila </w:t>
      </w:r>
      <w:r w:rsidR="0057111C" w:rsidRPr="006D681B">
        <w:rPr>
          <w:rFonts w:ascii="Arial" w:hAnsi="Arial" w:cs="Arial"/>
          <w:sz w:val="40"/>
          <w:szCs w:val="40"/>
        </w:rPr>
        <w:t xml:space="preserve">Sakhawat </w:t>
      </w:r>
    </w:p>
    <w:p w14:paraId="0AF5C8AE" w14:textId="2B88AF03" w:rsidR="0057111C" w:rsidRPr="006D681B" w:rsidRDefault="0057111C" w:rsidP="0037529B">
      <w:pPr>
        <w:spacing w:line="360" w:lineRule="auto"/>
        <w:rPr>
          <w:rFonts w:ascii="Arial" w:hAnsi="Arial" w:cs="Arial"/>
          <w:sz w:val="40"/>
          <w:szCs w:val="40"/>
        </w:rPr>
      </w:pPr>
      <w:r w:rsidRPr="006D681B">
        <w:rPr>
          <w:rFonts w:ascii="Arial" w:hAnsi="Arial" w:cs="Arial"/>
          <w:b/>
          <w:sz w:val="40"/>
          <w:szCs w:val="40"/>
        </w:rPr>
        <w:t>Student ID:</w:t>
      </w:r>
      <w:r w:rsidRPr="006D681B">
        <w:rPr>
          <w:rFonts w:ascii="Arial" w:hAnsi="Arial" w:cs="Arial"/>
          <w:sz w:val="40"/>
          <w:szCs w:val="40"/>
        </w:rPr>
        <w:t xml:space="preserve"> 2309140</w:t>
      </w:r>
    </w:p>
    <w:p w14:paraId="0C3F93C6" w14:textId="15760F9A" w:rsidR="0057111C" w:rsidRPr="002F0604" w:rsidRDefault="00B97935" w:rsidP="0037529B">
      <w:pPr>
        <w:spacing w:line="360" w:lineRule="auto"/>
        <w:rPr>
          <w:rFonts w:ascii="Arial" w:hAnsi="Arial" w:cs="Arial"/>
          <w:sz w:val="40"/>
          <w:szCs w:val="40"/>
        </w:rPr>
      </w:pPr>
      <w:r w:rsidRPr="006D681B">
        <w:rPr>
          <w:rFonts w:ascii="Arial" w:hAnsi="Arial" w:cs="Arial"/>
          <w:b/>
          <w:sz w:val="40"/>
          <w:szCs w:val="40"/>
        </w:rPr>
        <w:t>Lecturer:</w:t>
      </w:r>
      <w:r w:rsidR="00513935">
        <w:rPr>
          <w:rFonts w:ascii="Arial" w:hAnsi="Arial" w:cs="Arial"/>
          <w:b/>
          <w:sz w:val="40"/>
          <w:szCs w:val="40"/>
        </w:rPr>
        <w:t xml:space="preserve"> </w:t>
      </w:r>
      <w:r w:rsidR="009738C4" w:rsidRPr="002F0604">
        <w:rPr>
          <w:rFonts w:ascii="Arial" w:hAnsi="Arial" w:cs="Arial"/>
          <w:bCs/>
          <w:sz w:val="40"/>
          <w:szCs w:val="40"/>
        </w:rPr>
        <w:t>D</w:t>
      </w:r>
      <w:r w:rsidR="00B83F42" w:rsidRPr="002F0604">
        <w:rPr>
          <w:rFonts w:ascii="Arial" w:hAnsi="Arial" w:cs="Arial"/>
          <w:bCs/>
          <w:sz w:val="40"/>
          <w:szCs w:val="40"/>
        </w:rPr>
        <w:t>r</w:t>
      </w:r>
      <w:r w:rsidR="00E2650C" w:rsidRPr="002F0604">
        <w:rPr>
          <w:rFonts w:ascii="Arial" w:hAnsi="Arial" w:cs="Arial"/>
          <w:bCs/>
          <w:sz w:val="40"/>
          <w:szCs w:val="40"/>
        </w:rPr>
        <w:t xml:space="preserve"> A</w:t>
      </w:r>
      <w:r w:rsidR="00BB2727" w:rsidRPr="002F0604">
        <w:rPr>
          <w:rFonts w:ascii="Arial" w:hAnsi="Arial" w:cs="Arial"/>
          <w:bCs/>
          <w:sz w:val="40"/>
          <w:szCs w:val="40"/>
        </w:rPr>
        <w:t>is</w:t>
      </w:r>
      <w:r w:rsidR="00D95E65" w:rsidRPr="002F0604">
        <w:rPr>
          <w:rFonts w:ascii="Arial" w:hAnsi="Arial" w:cs="Arial"/>
          <w:bCs/>
          <w:sz w:val="40"/>
          <w:szCs w:val="40"/>
        </w:rPr>
        <w:t>ha</w:t>
      </w:r>
      <w:r w:rsidR="0064013C" w:rsidRPr="002F0604">
        <w:rPr>
          <w:rFonts w:ascii="Arial" w:hAnsi="Arial" w:cs="Arial"/>
          <w:bCs/>
          <w:sz w:val="40"/>
          <w:szCs w:val="40"/>
        </w:rPr>
        <w:t>t</w:t>
      </w:r>
      <w:r w:rsidR="00210615" w:rsidRPr="002F0604">
        <w:rPr>
          <w:rFonts w:ascii="Arial" w:hAnsi="Arial" w:cs="Arial"/>
          <w:bCs/>
          <w:sz w:val="40"/>
          <w:szCs w:val="40"/>
        </w:rPr>
        <w:t xml:space="preserve"> </w:t>
      </w:r>
      <w:r w:rsidR="008E37A5" w:rsidRPr="002F0604">
        <w:rPr>
          <w:rFonts w:ascii="Arial" w:hAnsi="Arial" w:cs="Arial"/>
          <w:bCs/>
          <w:sz w:val="40"/>
          <w:szCs w:val="40"/>
        </w:rPr>
        <w:t>B</w:t>
      </w:r>
      <w:r w:rsidR="007A1022" w:rsidRPr="002F0604">
        <w:rPr>
          <w:rFonts w:ascii="Arial" w:hAnsi="Arial" w:cs="Arial"/>
          <w:bCs/>
          <w:sz w:val="40"/>
          <w:szCs w:val="40"/>
        </w:rPr>
        <w:t>a</w:t>
      </w:r>
      <w:r w:rsidR="00F222D5" w:rsidRPr="002F0604">
        <w:rPr>
          <w:rFonts w:ascii="Arial" w:hAnsi="Arial" w:cs="Arial"/>
          <w:bCs/>
          <w:sz w:val="40"/>
          <w:szCs w:val="40"/>
        </w:rPr>
        <w:t>k</w:t>
      </w:r>
      <w:r w:rsidR="00C70386" w:rsidRPr="002F0604">
        <w:rPr>
          <w:rFonts w:ascii="Arial" w:hAnsi="Arial" w:cs="Arial"/>
          <w:bCs/>
          <w:sz w:val="40"/>
          <w:szCs w:val="40"/>
        </w:rPr>
        <w:t>re</w:t>
      </w:r>
    </w:p>
    <w:p w14:paraId="490975E5" w14:textId="627F4064" w:rsidR="00B97935" w:rsidRPr="00F402D1" w:rsidRDefault="00B97935" w:rsidP="0037529B">
      <w:pPr>
        <w:spacing w:line="360" w:lineRule="auto"/>
        <w:rPr>
          <w:rFonts w:ascii="Arial" w:hAnsi="Arial" w:cs="Arial"/>
          <w:sz w:val="40"/>
          <w:szCs w:val="40"/>
        </w:rPr>
      </w:pPr>
      <w:r w:rsidRPr="006D681B">
        <w:rPr>
          <w:rFonts w:ascii="Arial" w:hAnsi="Arial" w:cs="Arial"/>
          <w:b/>
          <w:sz w:val="40"/>
          <w:szCs w:val="40"/>
        </w:rPr>
        <w:t>Module:</w:t>
      </w:r>
      <w:r w:rsidR="001804B4">
        <w:rPr>
          <w:rFonts w:ascii="Arial" w:hAnsi="Arial" w:cs="Arial"/>
          <w:b/>
          <w:sz w:val="40"/>
          <w:szCs w:val="40"/>
        </w:rPr>
        <w:t xml:space="preserve"> </w:t>
      </w:r>
      <w:r w:rsidR="0098417B" w:rsidRPr="00F402D1">
        <w:rPr>
          <w:rFonts w:ascii="Arial" w:hAnsi="Arial" w:cs="Arial"/>
          <w:bCs/>
          <w:sz w:val="40"/>
          <w:szCs w:val="40"/>
        </w:rPr>
        <w:t>C</w:t>
      </w:r>
      <w:r w:rsidR="0092332C" w:rsidRPr="00F402D1">
        <w:rPr>
          <w:rFonts w:ascii="Arial" w:hAnsi="Arial" w:cs="Arial"/>
          <w:bCs/>
          <w:sz w:val="40"/>
          <w:szCs w:val="40"/>
        </w:rPr>
        <w:t>o</w:t>
      </w:r>
      <w:r w:rsidR="00F8059B" w:rsidRPr="00F402D1">
        <w:rPr>
          <w:rFonts w:ascii="Arial" w:hAnsi="Arial" w:cs="Arial"/>
          <w:bCs/>
          <w:sz w:val="40"/>
          <w:szCs w:val="40"/>
        </w:rPr>
        <w:t>m</w:t>
      </w:r>
      <w:r w:rsidR="00650A87" w:rsidRPr="00F402D1">
        <w:rPr>
          <w:rFonts w:ascii="Arial" w:hAnsi="Arial" w:cs="Arial"/>
          <w:bCs/>
          <w:sz w:val="40"/>
          <w:szCs w:val="40"/>
        </w:rPr>
        <w:t>m</w:t>
      </w:r>
      <w:r w:rsidR="00C51590" w:rsidRPr="00F402D1">
        <w:rPr>
          <w:rFonts w:ascii="Arial" w:hAnsi="Arial" w:cs="Arial"/>
          <w:bCs/>
          <w:sz w:val="40"/>
          <w:szCs w:val="40"/>
        </w:rPr>
        <w:t>un</w:t>
      </w:r>
      <w:r w:rsidR="008A6132" w:rsidRPr="00F402D1">
        <w:rPr>
          <w:rFonts w:ascii="Arial" w:hAnsi="Arial" w:cs="Arial"/>
          <w:bCs/>
          <w:sz w:val="40"/>
          <w:szCs w:val="40"/>
        </w:rPr>
        <w:t>ity</w:t>
      </w:r>
      <w:r w:rsidR="008A5AAD" w:rsidRPr="00F402D1">
        <w:rPr>
          <w:rFonts w:ascii="Arial" w:hAnsi="Arial" w:cs="Arial"/>
          <w:bCs/>
          <w:sz w:val="40"/>
          <w:szCs w:val="40"/>
        </w:rPr>
        <w:t xml:space="preserve"> C</w:t>
      </w:r>
      <w:r w:rsidR="00BF0546" w:rsidRPr="00F402D1">
        <w:rPr>
          <w:rFonts w:ascii="Arial" w:hAnsi="Arial" w:cs="Arial"/>
          <w:bCs/>
          <w:sz w:val="40"/>
          <w:szCs w:val="40"/>
        </w:rPr>
        <w:t>are</w:t>
      </w:r>
      <w:r w:rsidR="00F01947" w:rsidRPr="00F402D1">
        <w:rPr>
          <w:rFonts w:ascii="Arial" w:hAnsi="Arial" w:cs="Arial"/>
          <w:bCs/>
          <w:sz w:val="40"/>
          <w:szCs w:val="40"/>
        </w:rPr>
        <w:t xml:space="preserve"> </w:t>
      </w:r>
      <w:r w:rsidR="00AF4C62" w:rsidRPr="00F402D1">
        <w:rPr>
          <w:rFonts w:ascii="Arial" w:hAnsi="Arial" w:cs="Arial"/>
          <w:bCs/>
          <w:sz w:val="40"/>
          <w:szCs w:val="40"/>
        </w:rPr>
        <w:t>and</w:t>
      </w:r>
      <w:r w:rsidR="00AC26BC" w:rsidRPr="00F402D1">
        <w:rPr>
          <w:rFonts w:ascii="Arial" w:hAnsi="Arial" w:cs="Arial"/>
          <w:bCs/>
          <w:sz w:val="40"/>
          <w:szCs w:val="40"/>
        </w:rPr>
        <w:t xml:space="preserve"> </w:t>
      </w:r>
      <w:r w:rsidR="009565A6" w:rsidRPr="00F402D1">
        <w:rPr>
          <w:rFonts w:ascii="Arial" w:hAnsi="Arial" w:cs="Arial"/>
          <w:bCs/>
          <w:sz w:val="40"/>
          <w:szCs w:val="40"/>
        </w:rPr>
        <w:t>Man</w:t>
      </w:r>
      <w:r w:rsidR="00F45B97" w:rsidRPr="00F402D1">
        <w:rPr>
          <w:rFonts w:ascii="Arial" w:hAnsi="Arial" w:cs="Arial"/>
          <w:bCs/>
          <w:sz w:val="40"/>
          <w:szCs w:val="40"/>
        </w:rPr>
        <w:t>a</w:t>
      </w:r>
      <w:r w:rsidR="00CB054A" w:rsidRPr="00F402D1">
        <w:rPr>
          <w:rFonts w:ascii="Arial" w:hAnsi="Arial" w:cs="Arial"/>
          <w:bCs/>
          <w:sz w:val="40"/>
          <w:szCs w:val="40"/>
        </w:rPr>
        <w:t>ge</w:t>
      </w:r>
      <w:r w:rsidR="00CE342C" w:rsidRPr="00F402D1">
        <w:rPr>
          <w:rFonts w:ascii="Arial" w:hAnsi="Arial" w:cs="Arial"/>
          <w:bCs/>
          <w:sz w:val="40"/>
          <w:szCs w:val="40"/>
        </w:rPr>
        <w:t>m</w:t>
      </w:r>
      <w:r w:rsidR="00F214EC" w:rsidRPr="00F402D1">
        <w:rPr>
          <w:rFonts w:ascii="Arial" w:hAnsi="Arial" w:cs="Arial"/>
          <w:bCs/>
          <w:sz w:val="40"/>
          <w:szCs w:val="40"/>
        </w:rPr>
        <w:t>ent</w:t>
      </w:r>
      <w:r w:rsidR="00CA0877" w:rsidRPr="00F402D1">
        <w:rPr>
          <w:rFonts w:ascii="Arial" w:hAnsi="Arial" w:cs="Arial"/>
          <w:bCs/>
          <w:sz w:val="40"/>
          <w:szCs w:val="40"/>
        </w:rPr>
        <w:t xml:space="preserve"> </w:t>
      </w:r>
      <w:r w:rsidR="00874BBF" w:rsidRPr="00F402D1">
        <w:rPr>
          <w:rFonts w:ascii="Arial" w:hAnsi="Arial" w:cs="Arial"/>
          <w:bCs/>
          <w:sz w:val="40"/>
          <w:szCs w:val="40"/>
        </w:rPr>
        <w:t>of</w:t>
      </w:r>
      <w:r w:rsidR="0047249E" w:rsidRPr="00F402D1">
        <w:rPr>
          <w:rFonts w:ascii="Arial" w:hAnsi="Arial" w:cs="Arial"/>
          <w:bCs/>
          <w:sz w:val="40"/>
          <w:szCs w:val="40"/>
        </w:rPr>
        <w:t xml:space="preserve"> </w:t>
      </w:r>
      <w:r w:rsidR="00663A20" w:rsidRPr="00F402D1">
        <w:rPr>
          <w:rFonts w:ascii="Arial" w:hAnsi="Arial" w:cs="Arial"/>
          <w:bCs/>
          <w:sz w:val="40"/>
          <w:szCs w:val="40"/>
        </w:rPr>
        <w:t>Lon</w:t>
      </w:r>
      <w:r w:rsidR="003C15F8" w:rsidRPr="00F402D1">
        <w:rPr>
          <w:rFonts w:ascii="Arial" w:hAnsi="Arial" w:cs="Arial"/>
          <w:bCs/>
          <w:sz w:val="40"/>
          <w:szCs w:val="40"/>
        </w:rPr>
        <w:t>g</w:t>
      </w:r>
      <w:r w:rsidR="002B2884" w:rsidRPr="00F402D1">
        <w:rPr>
          <w:rFonts w:ascii="Arial" w:hAnsi="Arial" w:cs="Arial"/>
          <w:bCs/>
          <w:sz w:val="40"/>
          <w:szCs w:val="40"/>
        </w:rPr>
        <w:t>er</w:t>
      </w:r>
      <w:r w:rsidR="003D5257" w:rsidRPr="00F402D1">
        <w:rPr>
          <w:rFonts w:ascii="Arial" w:hAnsi="Arial" w:cs="Arial"/>
          <w:bCs/>
          <w:sz w:val="40"/>
          <w:szCs w:val="40"/>
        </w:rPr>
        <w:t>-</w:t>
      </w:r>
      <w:r w:rsidR="00F43624" w:rsidRPr="00F402D1">
        <w:rPr>
          <w:rFonts w:ascii="Arial" w:hAnsi="Arial" w:cs="Arial"/>
          <w:bCs/>
          <w:sz w:val="40"/>
          <w:szCs w:val="40"/>
        </w:rPr>
        <w:t>t</w:t>
      </w:r>
      <w:r w:rsidR="001518B0" w:rsidRPr="00F402D1">
        <w:rPr>
          <w:rFonts w:ascii="Arial" w:hAnsi="Arial" w:cs="Arial"/>
          <w:bCs/>
          <w:sz w:val="40"/>
          <w:szCs w:val="40"/>
        </w:rPr>
        <w:t>erm</w:t>
      </w:r>
      <w:r w:rsidR="00A26F99" w:rsidRPr="00F402D1">
        <w:rPr>
          <w:rFonts w:ascii="Arial" w:hAnsi="Arial" w:cs="Arial"/>
          <w:bCs/>
          <w:sz w:val="40"/>
          <w:szCs w:val="40"/>
        </w:rPr>
        <w:t xml:space="preserve"> </w:t>
      </w:r>
      <w:r w:rsidR="008252CC" w:rsidRPr="00F402D1">
        <w:rPr>
          <w:rFonts w:ascii="Arial" w:hAnsi="Arial" w:cs="Arial"/>
          <w:bCs/>
          <w:sz w:val="40"/>
          <w:szCs w:val="40"/>
        </w:rPr>
        <w:t>Conditions</w:t>
      </w:r>
    </w:p>
    <w:p w14:paraId="1A55CC0D" w14:textId="0BE13509" w:rsidR="00B97935" w:rsidRPr="006D681B" w:rsidRDefault="00B97935" w:rsidP="0037529B">
      <w:pPr>
        <w:spacing w:line="360" w:lineRule="auto"/>
        <w:rPr>
          <w:rFonts w:ascii="Arial" w:hAnsi="Arial" w:cs="Arial"/>
          <w:b/>
          <w:sz w:val="40"/>
          <w:szCs w:val="40"/>
        </w:rPr>
      </w:pPr>
      <w:r w:rsidRPr="006D681B">
        <w:rPr>
          <w:rFonts w:ascii="Arial" w:hAnsi="Arial" w:cs="Arial"/>
          <w:b/>
          <w:sz w:val="40"/>
          <w:szCs w:val="40"/>
        </w:rPr>
        <w:t>Module Code:</w:t>
      </w:r>
      <w:r w:rsidR="00DA746A">
        <w:rPr>
          <w:rFonts w:ascii="Arial" w:hAnsi="Arial" w:cs="Arial"/>
          <w:b/>
          <w:sz w:val="40"/>
          <w:szCs w:val="40"/>
        </w:rPr>
        <w:t xml:space="preserve"> </w:t>
      </w:r>
      <w:r w:rsidR="008F3B4E" w:rsidRPr="00BB26B7">
        <w:rPr>
          <w:rFonts w:ascii="Arial" w:hAnsi="Arial" w:cs="Arial"/>
          <w:bCs/>
          <w:sz w:val="40"/>
          <w:szCs w:val="40"/>
        </w:rPr>
        <w:t>L</w:t>
      </w:r>
      <w:r w:rsidR="00191E62" w:rsidRPr="00BB26B7">
        <w:rPr>
          <w:rFonts w:ascii="Arial" w:hAnsi="Arial" w:cs="Arial"/>
          <w:bCs/>
          <w:sz w:val="40"/>
          <w:szCs w:val="40"/>
        </w:rPr>
        <w:t>CH</w:t>
      </w:r>
      <w:r w:rsidR="00830920" w:rsidRPr="00BB26B7">
        <w:rPr>
          <w:rFonts w:ascii="Arial" w:hAnsi="Arial" w:cs="Arial"/>
          <w:bCs/>
          <w:sz w:val="40"/>
          <w:szCs w:val="40"/>
        </w:rPr>
        <w:t>S</w:t>
      </w:r>
      <w:r w:rsidR="00014CA6" w:rsidRPr="00BB26B7">
        <w:rPr>
          <w:rFonts w:ascii="Arial" w:hAnsi="Arial" w:cs="Arial"/>
          <w:bCs/>
          <w:sz w:val="40"/>
          <w:szCs w:val="40"/>
        </w:rPr>
        <w:t>7</w:t>
      </w:r>
      <w:r w:rsidR="00C36CAF" w:rsidRPr="00BB26B7">
        <w:rPr>
          <w:rFonts w:ascii="Arial" w:hAnsi="Arial" w:cs="Arial"/>
          <w:bCs/>
          <w:sz w:val="40"/>
          <w:szCs w:val="40"/>
        </w:rPr>
        <w:t>003</w:t>
      </w:r>
    </w:p>
    <w:p w14:paraId="734146BD" w14:textId="38DC4CB8" w:rsidR="000B3AC8" w:rsidRPr="006D681B" w:rsidRDefault="00B754F0" w:rsidP="0037529B">
      <w:pPr>
        <w:spacing w:line="360" w:lineRule="auto"/>
        <w:rPr>
          <w:rFonts w:ascii="Arial" w:hAnsi="Arial" w:cs="Arial"/>
          <w:b/>
          <w:sz w:val="40"/>
          <w:szCs w:val="40"/>
        </w:rPr>
      </w:pPr>
      <w:r w:rsidRPr="006D681B">
        <w:rPr>
          <w:rFonts w:ascii="Arial" w:hAnsi="Arial" w:cs="Arial"/>
          <w:b/>
          <w:sz w:val="40"/>
          <w:szCs w:val="40"/>
        </w:rPr>
        <w:t>Assignment Ti</w:t>
      </w:r>
      <w:r w:rsidR="00D54FEB" w:rsidRPr="006D681B">
        <w:rPr>
          <w:rFonts w:ascii="Arial" w:hAnsi="Arial" w:cs="Arial"/>
          <w:b/>
          <w:sz w:val="40"/>
          <w:szCs w:val="40"/>
        </w:rPr>
        <w:t>tle:</w:t>
      </w:r>
      <w:r w:rsidR="00175315">
        <w:rPr>
          <w:rFonts w:ascii="Arial" w:hAnsi="Arial" w:cs="Arial"/>
          <w:b/>
          <w:sz w:val="40"/>
          <w:szCs w:val="40"/>
        </w:rPr>
        <w:t xml:space="preserve"> </w:t>
      </w:r>
      <w:bookmarkStart w:id="0" w:name="_Int_rYCPxJs5"/>
      <w:r w:rsidR="007D1B5A" w:rsidRPr="007773B5">
        <w:rPr>
          <w:rFonts w:ascii="Arial" w:hAnsi="Arial" w:cs="Arial"/>
          <w:bCs/>
          <w:sz w:val="40"/>
          <w:szCs w:val="40"/>
        </w:rPr>
        <w:t>C</w:t>
      </w:r>
      <w:r w:rsidR="005F10DD" w:rsidRPr="007773B5">
        <w:rPr>
          <w:rFonts w:ascii="Arial" w:hAnsi="Arial" w:cs="Arial"/>
          <w:bCs/>
          <w:sz w:val="40"/>
          <w:szCs w:val="40"/>
        </w:rPr>
        <w:t>om</w:t>
      </w:r>
      <w:r w:rsidR="001D470B" w:rsidRPr="007773B5">
        <w:rPr>
          <w:rFonts w:ascii="Arial" w:hAnsi="Arial" w:cs="Arial"/>
          <w:bCs/>
          <w:sz w:val="40"/>
          <w:szCs w:val="40"/>
        </w:rPr>
        <w:t>po</w:t>
      </w:r>
      <w:r w:rsidR="0049643D" w:rsidRPr="007773B5">
        <w:rPr>
          <w:rFonts w:ascii="Arial" w:hAnsi="Arial" w:cs="Arial"/>
          <w:bCs/>
          <w:sz w:val="40"/>
          <w:szCs w:val="40"/>
        </w:rPr>
        <w:t>n</w:t>
      </w:r>
      <w:r w:rsidR="00511732" w:rsidRPr="007773B5">
        <w:rPr>
          <w:rFonts w:ascii="Arial" w:hAnsi="Arial" w:cs="Arial"/>
          <w:bCs/>
          <w:sz w:val="40"/>
          <w:szCs w:val="40"/>
        </w:rPr>
        <w:t>e</w:t>
      </w:r>
      <w:r w:rsidR="00860E2F" w:rsidRPr="007773B5">
        <w:rPr>
          <w:rFonts w:ascii="Arial" w:hAnsi="Arial" w:cs="Arial"/>
          <w:bCs/>
          <w:sz w:val="40"/>
          <w:szCs w:val="40"/>
        </w:rPr>
        <w:t>nt</w:t>
      </w:r>
      <w:bookmarkEnd w:id="0"/>
      <w:r w:rsidR="004D0313" w:rsidRPr="007773B5">
        <w:rPr>
          <w:rFonts w:ascii="Arial" w:hAnsi="Arial" w:cs="Arial"/>
          <w:bCs/>
          <w:sz w:val="40"/>
          <w:szCs w:val="40"/>
        </w:rPr>
        <w:t xml:space="preserve"> 1</w:t>
      </w:r>
      <w:r w:rsidR="005325A6" w:rsidRPr="007773B5">
        <w:rPr>
          <w:rFonts w:ascii="Arial" w:hAnsi="Arial" w:cs="Arial"/>
          <w:bCs/>
          <w:sz w:val="40"/>
          <w:szCs w:val="40"/>
        </w:rPr>
        <w:t xml:space="preserve"> </w:t>
      </w:r>
      <w:r w:rsidR="0069508F" w:rsidRPr="007773B5">
        <w:rPr>
          <w:rFonts w:ascii="Arial" w:hAnsi="Arial" w:cs="Arial"/>
          <w:bCs/>
          <w:sz w:val="40"/>
          <w:szCs w:val="40"/>
        </w:rPr>
        <w:t>In</w:t>
      </w:r>
      <w:r w:rsidR="00A5171C" w:rsidRPr="007773B5">
        <w:rPr>
          <w:rFonts w:ascii="Arial" w:hAnsi="Arial" w:cs="Arial"/>
          <w:bCs/>
          <w:sz w:val="40"/>
          <w:szCs w:val="40"/>
        </w:rPr>
        <w:t>for</w:t>
      </w:r>
      <w:r w:rsidR="00373B32" w:rsidRPr="007773B5">
        <w:rPr>
          <w:rFonts w:ascii="Arial" w:hAnsi="Arial" w:cs="Arial"/>
          <w:bCs/>
          <w:sz w:val="40"/>
          <w:szCs w:val="40"/>
        </w:rPr>
        <w:t>ma</w:t>
      </w:r>
      <w:r w:rsidR="005A646A" w:rsidRPr="007773B5">
        <w:rPr>
          <w:rFonts w:ascii="Arial" w:hAnsi="Arial" w:cs="Arial"/>
          <w:bCs/>
          <w:sz w:val="40"/>
          <w:szCs w:val="40"/>
        </w:rPr>
        <w:t>tion</w:t>
      </w:r>
      <w:r w:rsidR="002E460A" w:rsidRPr="007773B5">
        <w:rPr>
          <w:rFonts w:ascii="Arial" w:hAnsi="Arial" w:cs="Arial"/>
          <w:bCs/>
          <w:sz w:val="40"/>
          <w:szCs w:val="40"/>
        </w:rPr>
        <w:t xml:space="preserve"> B</w:t>
      </w:r>
      <w:r w:rsidR="009F66AB" w:rsidRPr="007773B5">
        <w:rPr>
          <w:rFonts w:ascii="Arial" w:hAnsi="Arial" w:cs="Arial"/>
          <w:bCs/>
          <w:sz w:val="40"/>
          <w:szCs w:val="40"/>
        </w:rPr>
        <w:t>oo</w:t>
      </w:r>
      <w:r w:rsidR="00E70B99" w:rsidRPr="007773B5">
        <w:rPr>
          <w:rFonts w:ascii="Arial" w:hAnsi="Arial" w:cs="Arial"/>
          <w:bCs/>
          <w:sz w:val="40"/>
          <w:szCs w:val="40"/>
        </w:rPr>
        <w:t>kl</w:t>
      </w:r>
      <w:r w:rsidR="00F56BFC" w:rsidRPr="007773B5">
        <w:rPr>
          <w:rFonts w:ascii="Arial" w:hAnsi="Arial" w:cs="Arial"/>
          <w:bCs/>
          <w:sz w:val="40"/>
          <w:szCs w:val="40"/>
        </w:rPr>
        <w:t>et</w:t>
      </w:r>
      <w:r w:rsidR="008C370C" w:rsidRPr="007773B5">
        <w:rPr>
          <w:rFonts w:ascii="Arial" w:hAnsi="Arial" w:cs="Arial"/>
          <w:bCs/>
          <w:sz w:val="40"/>
          <w:szCs w:val="40"/>
        </w:rPr>
        <w:t xml:space="preserve"> </w:t>
      </w:r>
      <w:r w:rsidR="002B54C0" w:rsidRPr="007773B5">
        <w:rPr>
          <w:rFonts w:ascii="Arial" w:hAnsi="Arial" w:cs="Arial"/>
          <w:bCs/>
          <w:sz w:val="40"/>
          <w:szCs w:val="40"/>
        </w:rPr>
        <w:t xml:space="preserve">of </w:t>
      </w:r>
      <w:r w:rsidR="008C47B9" w:rsidRPr="007773B5">
        <w:rPr>
          <w:rFonts w:ascii="Arial" w:hAnsi="Arial" w:cs="Arial"/>
          <w:bCs/>
          <w:sz w:val="40"/>
          <w:szCs w:val="40"/>
        </w:rPr>
        <w:t>Lon</w:t>
      </w:r>
      <w:r w:rsidR="00182CCD" w:rsidRPr="007773B5">
        <w:rPr>
          <w:rFonts w:ascii="Arial" w:hAnsi="Arial" w:cs="Arial"/>
          <w:bCs/>
          <w:sz w:val="40"/>
          <w:szCs w:val="40"/>
        </w:rPr>
        <w:t>ger</w:t>
      </w:r>
      <w:r w:rsidR="00503CB5" w:rsidRPr="007773B5">
        <w:rPr>
          <w:rFonts w:ascii="Arial" w:hAnsi="Arial" w:cs="Arial"/>
          <w:bCs/>
          <w:sz w:val="40"/>
          <w:szCs w:val="40"/>
        </w:rPr>
        <w:t>-</w:t>
      </w:r>
      <w:r w:rsidR="00FD4840" w:rsidRPr="007773B5">
        <w:rPr>
          <w:rFonts w:ascii="Arial" w:hAnsi="Arial" w:cs="Arial"/>
          <w:bCs/>
          <w:sz w:val="40"/>
          <w:szCs w:val="40"/>
        </w:rPr>
        <w:t>ter</w:t>
      </w:r>
      <w:r w:rsidR="00A61D75" w:rsidRPr="007773B5">
        <w:rPr>
          <w:rFonts w:ascii="Arial" w:hAnsi="Arial" w:cs="Arial"/>
          <w:bCs/>
          <w:sz w:val="40"/>
          <w:szCs w:val="40"/>
        </w:rPr>
        <w:t>m</w:t>
      </w:r>
      <w:r w:rsidR="00833F60" w:rsidRPr="007773B5">
        <w:rPr>
          <w:rFonts w:ascii="Arial" w:hAnsi="Arial" w:cs="Arial"/>
          <w:bCs/>
          <w:sz w:val="40"/>
          <w:szCs w:val="40"/>
        </w:rPr>
        <w:t xml:space="preserve"> </w:t>
      </w:r>
      <w:r w:rsidR="00A45658" w:rsidRPr="007773B5">
        <w:rPr>
          <w:rFonts w:ascii="Arial" w:hAnsi="Arial" w:cs="Arial"/>
          <w:bCs/>
          <w:sz w:val="40"/>
          <w:szCs w:val="40"/>
        </w:rPr>
        <w:t>Condition</w:t>
      </w:r>
      <w:r w:rsidR="00595339" w:rsidRPr="007773B5">
        <w:rPr>
          <w:rFonts w:ascii="Arial" w:hAnsi="Arial" w:cs="Arial"/>
          <w:bCs/>
          <w:sz w:val="40"/>
          <w:szCs w:val="40"/>
        </w:rPr>
        <w:t xml:space="preserve"> M</w:t>
      </w:r>
      <w:r w:rsidR="000359F4" w:rsidRPr="007773B5">
        <w:rPr>
          <w:rFonts w:ascii="Arial" w:hAnsi="Arial" w:cs="Arial"/>
          <w:bCs/>
          <w:sz w:val="40"/>
          <w:szCs w:val="40"/>
        </w:rPr>
        <w:t>a</w:t>
      </w:r>
      <w:r w:rsidR="0078077A" w:rsidRPr="007773B5">
        <w:rPr>
          <w:rFonts w:ascii="Arial" w:hAnsi="Arial" w:cs="Arial"/>
          <w:bCs/>
          <w:sz w:val="40"/>
          <w:szCs w:val="40"/>
        </w:rPr>
        <w:t>n</w:t>
      </w:r>
      <w:r w:rsidR="007E08D8" w:rsidRPr="007773B5">
        <w:rPr>
          <w:rFonts w:ascii="Arial" w:hAnsi="Arial" w:cs="Arial"/>
          <w:bCs/>
          <w:sz w:val="40"/>
          <w:szCs w:val="40"/>
        </w:rPr>
        <w:t>a</w:t>
      </w:r>
      <w:r w:rsidR="00066ABB" w:rsidRPr="007773B5">
        <w:rPr>
          <w:rFonts w:ascii="Arial" w:hAnsi="Arial" w:cs="Arial"/>
          <w:bCs/>
          <w:sz w:val="40"/>
          <w:szCs w:val="40"/>
        </w:rPr>
        <w:t>g</w:t>
      </w:r>
      <w:r w:rsidR="00303770" w:rsidRPr="007773B5">
        <w:rPr>
          <w:rFonts w:ascii="Arial" w:hAnsi="Arial" w:cs="Arial"/>
          <w:bCs/>
          <w:sz w:val="40"/>
          <w:szCs w:val="40"/>
        </w:rPr>
        <w:t>e</w:t>
      </w:r>
      <w:r w:rsidR="007811FF" w:rsidRPr="007773B5">
        <w:rPr>
          <w:rFonts w:ascii="Arial" w:hAnsi="Arial" w:cs="Arial"/>
          <w:bCs/>
          <w:sz w:val="40"/>
          <w:szCs w:val="40"/>
        </w:rPr>
        <w:t>ment</w:t>
      </w:r>
    </w:p>
    <w:p w14:paraId="670FD948" w14:textId="77777777" w:rsidR="0057111C" w:rsidRPr="006D681B" w:rsidRDefault="0057111C" w:rsidP="00F648CC">
      <w:pPr>
        <w:spacing w:line="360" w:lineRule="auto"/>
        <w:jc w:val="both"/>
        <w:rPr>
          <w:rFonts w:ascii="Arial" w:hAnsi="Arial" w:cs="Arial"/>
          <w:b/>
          <w:sz w:val="40"/>
          <w:szCs w:val="40"/>
        </w:rPr>
      </w:pPr>
    </w:p>
    <w:p w14:paraId="11BFE61F" w14:textId="77777777" w:rsidR="002477B0" w:rsidRPr="006D681B" w:rsidRDefault="002477B0" w:rsidP="00F648CC">
      <w:pPr>
        <w:pStyle w:val="Title"/>
        <w:pBdr>
          <w:bottom w:val="single" w:sz="8" w:space="5" w:color="4F81BD" w:themeColor="accent1"/>
        </w:pBdr>
        <w:spacing w:line="360" w:lineRule="auto"/>
        <w:jc w:val="both"/>
        <w:rPr>
          <w:rFonts w:ascii="Arial" w:hAnsi="Arial" w:cs="Arial"/>
          <w:sz w:val="40"/>
          <w:szCs w:val="40"/>
        </w:rPr>
      </w:pPr>
    </w:p>
    <w:p w14:paraId="39F712B8" w14:textId="77777777" w:rsidR="002477B0" w:rsidRDefault="002477B0" w:rsidP="00F648CC">
      <w:pPr>
        <w:pStyle w:val="Title"/>
        <w:pBdr>
          <w:bottom w:val="single" w:sz="8" w:space="5" w:color="4F81BD" w:themeColor="accent1"/>
        </w:pBdr>
        <w:jc w:val="both"/>
      </w:pPr>
    </w:p>
    <w:p w14:paraId="53EE74AF" w14:textId="77777777" w:rsidR="002477B0" w:rsidRDefault="002477B0" w:rsidP="00F648CC">
      <w:pPr>
        <w:pStyle w:val="Title"/>
        <w:pBdr>
          <w:bottom w:val="single" w:sz="8" w:space="5" w:color="4F81BD" w:themeColor="accent1"/>
        </w:pBdr>
        <w:jc w:val="both"/>
      </w:pPr>
    </w:p>
    <w:p w14:paraId="5931C664" w14:textId="77777777" w:rsidR="00B91123" w:rsidRDefault="00B91123" w:rsidP="00F648CC">
      <w:pPr>
        <w:jc w:val="both"/>
      </w:pPr>
    </w:p>
    <w:p w14:paraId="191681B3" w14:textId="77777777" w:rsidR="00B91123" w:rsidRDefault="00B91123" w:rsidP="00F648CC">
      <w:pPr>
        <w:jc w:val="both"/>
      </w:pPr>
    </w:p>
    <w:sdt>
      <w:sdtPr>
        <w:rPr>
          <w:rFonts w:ascii="Arial" w:eastAsiaTheme="minorEastAsia" w:hAnsi="Arial" w:cs="Arial"/>
          <w:b w:val="0"/>
          <w:bCs w:val="0"/>
          <w:color w:val="auto"/>
          <w:sz w:val="22"/>
          <w:szCs w:val="22"/>
          <w:lang w:val="en-GB"/>
        </w:rPr>
        <w:id w:val="391548561"/>
        <w:docPartObj>
          <w:docPartGallery w:val="Table of Contents"/>
          <w:docPartUnique/>
        </w:docPartObj>
      </w:sdtPr>
      <w:sdtEndPr>
        <w:rPr>
          <w:lang w:val="en-US"/>
        </w:rPr>
      </w:sdtEndPr>
      <w:sdtContent>
        <w:p w14:paraId="513CEDDF" w14:textId="30CEE170" w:rsidR="00150C88" w:rsidRPr="00D24F21" w:rsidRDefault="00150C88" w:rsidP="00F648CC">
          <w:pPr>
            <w:pStyle w:val="TOCHeading"/>
            <w:spacing w:line="360" w:lineRule="auto"/>
            <w:jc w:val="both"/>
            <w:rPr>
              <w:rFonts w:ascii="Arial" w:hAnsi="Arial" w:cs="Arial"/>
              <w:sz w:val="22"/>
              <w:szCs w:val="22"/>
            </w:rPr>
          </w:pPr>
          <w:r w:rsidRPr="00D24F21">
            <w:rPr>
              <w:rFonts w:ascii="Arial" w:hAnsi="Arial" w:cs="Arial"/>
              <w:sz w:val="22"/>
              <w:szCs w:val="22"/>
              <w:lang w:val="en-GB"/>
            </w:rPr>
            <w:t>Contents</w:t>
          </w:r>
        </w:p>
        <w:p w14:paraId="03796139" w14:textId="703FC343" w:rsidR="002B1B83" w:rsidRDefault="00150C88">
          <w:pPr>
            <w:pStyle w:val="TOC1"/>
            <w:rPr>
              <w:rFonts w:asciiTheme="minorHAnsi" w:hAnsiTheme="minorHAnsi"/>
              <w:noProof/>
              <w:kern w:val="2"/>
              <w:sz w:val="24"/>
              <w:szCs w:val="24"/>
              <w:lang w:val="en-GB" w:eastAsia="en-GB"/>
              <w14:ligatures w14:val="standardContextual"/>
            </w:rPr>
          </w:pPr>
          <w:r w:rsidRPr="00D24F21">
            <w:rPr>
              <w:rFonts w:ascii="Arial" w:hAnsi="Arial" w:cs="Arial"/>
              <w:sz w:val="22"/>
            </w:rPr>
            <w:fldChar w:fldCharType="begin"/>
          </w:r>
          <w:r w:rsidRPr="00D24F21">
            <w:rPr>
              <w:rFonts w:ascii="Arial" w:hAnsi="Arial" w:cs="Arial"/>
              <w:sz w:val="22"/>
            </w:rPr>
            <w:instrText xml:space="preserve"> TOC \o "1-3" \h \z \u </w:instrText>
          </w:r>
          <w:r w:rsidRPr="00D24F21">
            <w:rPr>
              <w:rFonts w:ascii="Arial" w:hAnsi="Arial" w:cs="Arial"/>
              <w:sz w:val="22"/>
            </w:rPr>
            <w:fldChar w:fldCharType="separate"/>
          </w:r>
          <w:hyperlink w:anchor="_Toc243595739" w:history="1">
            <w:r w:rsidR="002B1B83" w:rsidRPr="008C6816">
              <w:rPr>
                <w:rStyle w:val="Hyperlink"/>
                <w:rFonts w:ascii="Arial" w:hAnsi="Arial" w:cs="Arial"/>
                <w:noProof/>
              </w:rPr>
              <w:t>LIVING WITH CHRONIC KIDNEY DISEASE</w:t>
            </w:r>
            <w:r w:rsidR="002B1B83">
              <w:rPr>
                <w:noProof/>
                <w:webHidden/>
              </w:rPr>
              <w:tab/>
            </w:r>
            <w:r w:rsidR="002B1B83">
              <w:rPr>
                <w:noProof/>
                <w:webHidden/>
              </w:rPr>
              <w:fldChar w:fldCharType="begin"/>
            </w:r>
            <w:r w:rsidR="002B1B83">
              <w:rPr>
                <w:noProof/>
                <w:webHidden/>
              </w:rPr>
              <w:instrText xml:space="preserve"> PAGEREF _Toc243595739 \h </w:instrText>
            </w:r>
            <w:r w:rsidR="002B1B83">
              <w:rPr>
                <w:noProof/>
                <w:webHidden/>
              </w:rPr>
            </w:r>
            <w:r w:rsidR="002B1B83">
              <w:rPr>
                <w:noProof/>
                <w:webHidden/>
              </w:rPr>
              <w:fldChar w:fldCharType="separate"/>
            </w:r>
            <w:r w:rsidR="002B1B83">
              <w:rPr>
                <w:noProof/>
                <w:webHidden/>
              </w:rPr>
              <w:t>3</w:t>
            </w:r>
            <w:r w:rsidR="002B1B83">
              <w:rPr>
                <w:noProof/>
                <w:webHidden/>
              </w:rPr>
              <w:fldChar w:fldCharType="end"/>
            </w:r>
          </w:hyperlink>
        </w:p>
        <w:p w14:paraId="62936EE5" w14:textId="0E097A02" w:rsidR="002B1B83" w:rsidRDefault="002B1B83">
          <w:pPr>
            <w:pStyle w:val="TOC1"/>
            <w:rPr>
              <w:rFonts w:asciiTheme="minorHAnsi" w:hAnsiTheme="minorHAnsi"/>
              <w:noProof/>
              <w:kern w:val="2"/>
              <w:sz w:val="24"/>
              <w:szCs w:val="24"/>
              <w:lang w:val="en-GB" w:eastAsia="en-GB"/>
              <w14:ligatures w14:val="standardContextual"/>
            </w:rPr>
          </w:pPr>
          <w:hyperlink w:anchor="_Toc243595740" w:history="1">
            <w:r w:rsidRPr="008C6816">
              <w:rPr>
                <w:rStyle w:val="Hyperlink"/>
                <w:rFonts w:ascii="Arial" w:hAnsi="Arial" w:cs="Arial"/>
                <w:noProof/>
              </w:rPr>
              <w:t>Definition and classification</w:t>
            </w:r>
            <w:r>
              <w:rPr>
                <w:noProof/>
                <w:webHidden/>
              </w:rPr>
              <w:tab/>
            </w:r>
            <w:r>
              <w:rPr>
                <w:noProof/>
                <w:webHidden/>
              </w:rPr>
              <w:fldChar w:fldCharType="begin"/>
            </w:r>
            <w:r>
              <w:rPr>
                <w:noProof/>
                <w:webHidden/>
              </w:rPr>
              <w:instrText xml:space="preserve"> PAGEREF _Toc243595740 \h </w:instrText>
            </w:r>
            <w:r>
              <w:rPr>
                <w:noProof/>
                <w:webHidden/>
              </w:rPr>
            </w:r>
            <w:r>
              <w:rPr>
                <w:noProof/>
                <w:webHidden/>
              </w:rPr>
              <w:fldChar w:fldCharType="separate"/>
            </w:r>
            <w:r>
              <w:rPr>
                <w:noProof/>
                <w:webHidden/>
              </w:rPr>
              <w:t>4</w:t>
            </w:r>
            <w:r>
              <w:rPr>
                <w:noProof/>
                <w:webHidden/>
              </w:rPr>
              <w:fldChar w:fldCharType="end"/>
            </w:r>
          </w:hyperlink>
        </w:p>
        <w:p w14:paraId="4D1237F3" w14:textId="67C08184" w:rsidR="002B1B83" w:rsidRDefault="002B1B83">
          <w:pPr>
            <w:pStyle w:val="TOC1"/>
            <w:rPr>
              <w:rFonts w:asciiTheme="minorHAnsi" w:hAnsiTheme="minorHAnsi"/>
              <w:noProof/>
              <w:kern w:val="2"/>
              <w:sz w:val="24"/>
              <w:szCs w:val="24"/>
              <w:lang w:val="en-GB" w:eastAsia="en-GB"/>
              <w14:ligatures w14:val="standardContextual"/>
            </w:rPr>
          </w:pPr>
          <w:hyperlink w:anchor="_Toc243595741" w:history="1">
            <w:r w:rsidRPr="008C6816">
              <w:rPr>
                <w:rStyle w:val="Hyperlink"/>
                <w:rFonts w:ascii="Arial" w:hAnsi="Arial" w:cs="Arial"/>
                <w:noProof/>
              </w:rPr>
              <w:t>Aim of the Booklet</w:t>
            </w:r>
            <w:r>
              <w:rPr>
                <w:noProof/>
                <w:webHidden/>
              </w:rPr>
              <w:tab/>
            </w:r>
            <w:r>
              <w:rPr>
                <w:noProof/>
                <w:webHidden/>
              </w:rPr>
              <w:fldChar w:fldCharType="begin"/>
            </w:r>
            <w:r>
              <w:rPr>
                <w:noProof/>
                <w:webHidden/>
              </w:rPr>
              <w:instrText xml:space="preserve"> PAGEREF _Toc243595741 \h </w:instrText>
            </w:r>
            <w:r>
              <w:rPr>
                <w:noProof/>
                <w:webHidden/>
              </w:rPr>
            </w:r>
            <w:r>
              <w:rPr>
                <w:noProof/>
                <w:webHidden/>
              </w:rPr>
              <w:fldChar w:fldCharType="separate"/>
            </w:r>
            <w:r>
              <w:rPr>
                <w:noProof/>
                <w:webHidden/>
              </w:rPr>
              <w:t>4</w:t>
            </w:r>
            <w:r>
              <w:rPr>
                <w:noProof/>
                <w:webHidden/>
              </w:rPr>
              <w:fldChar w:fldCharType="end"/>
            </w:r>
          </w:hyperlink>
        </w:p>
        <w:p w14:paraId="4EF93DFE" w14:textId="26E5AE87" w:rsidR="002B1B83" w:rsidRDefault="002B1B83">
          <w:pPr>
            <w:pStyle w:val="TOC1"/>
            <w:rPr>
              <w:rFonts w:asciiTheme="minorHAnsi" w:hAnsiTheme="minorHAnsi"/>
              <w:noProof/>
              <w:kern w:val="2"/>
              <w:sz w:val="24"/>
              <w:szCs w:val="24"/>
              <w:lang w:val="en-GB" w:eastAsia="en-GB"/>
              <w14:ligatures w14:val="standardContextual"/>
            </w:rPr>
          </w:pPr>
          <w:hyperlink w:anchor="_Toc243595742" w:history="1">
            <w:r w:rsidRPr="008C6816">
              <w:rPr>
                <w:rStyle w:val="Hyperlink"/>
                <w:rFonts w:ascii="Arial" w:hAnsi="Arial" w:cs="Arial"/>
                <w:noProof/>
              </w:rPr>
              <w:t>Worldwide prevalence/burden</w:t>
            </w:r>
            <w:r>
              <w:rPr>
                <w:noProof/>
                <w:webHidden/>
              </w:rPr>
              <w:tab/>
            </w:r>
            <w:r>
              <w:rPr>
                <w:noProof/>
                <w:webHidden/>
              </w:rPr>
              <w:fldChar w:fldCharType="begin"/>
            </w:r>
            <w:r>
              <w:rPr>
                <w:noProof/>
                <w:webHidden/>
              </w:rPr>
              <w:instrText xml:space="preserve"> PAGEREF _Toc243595742 \h </w:instrText>
            </w:r>
            <w:r>
              <w:rPr>
                <w:noProof/>
                <w:webHidden/>
              </w:rPr>
            </w:r>
            <w:r>
              <w:rPr>
                <w:noProof/>
                <w:webHidden/>
              </w:rPr>
              <w:fldChar w:fldCharType="separate"/>
            </w:r>
            <w:r>
              <w:rPr>
                <w:noProof/>
                <w:webHidden/>
              </w:rPr>
              <w:t>5</w:t>
            </w:r>
            <w:r>
              <w:rPr>
                <w:noProof/>
                <w:webHidden/>
              </w:rPr>
              <w:fldChar w:fldCharType="end"/>
            </w:r>
          </w:hyperlink>
        </w:p>
        <w:p w14:paraId="4ACC1583" w14:textId="4784707F" w:rsidR="002B1B83" w:rsidRDefault="002B1B83">
          <w:pPr>
            <w:pStyle w:val="TOC1"/>
            <w:rPr>
              <w:rFonts w:asciiTheme="minorHAnsi" w:hAnsiTheme="minorHAnsi"/>
              <w:noProof/>
              <w:kern w:val="2"/>
              <w:sz w:val="24"/>
              <w:szCs w:val="24"/>
              <w:lang w:val="en-GB" w:eastAsia="en-GB"/>
              <w14:ligatures w14:val="standardContextual"/>
            </w:rPr>
          </w:pPr>
          <w:hyperlink w:anchor="_Toc243595743" w:history="1">
            <w:r w:rsidRPr="008C6816">
              <w:rPr>
                <w:rStyle w:val="Hyperlink"/>
                <w:rFonts w:ascii="Arial" w:hAnsi="Arial" w:cs="Arial"/>
                <w:noProof/>
              </w:rPr>
              <w:t>UK prevalence/burden</w:t>
            </w:r>
            <w:r>
              <w:rPr>
                <w:noProof/>
                <w:webHidden/>
              </w:rPr>
              <w:tab/>
            </w:r>
            <w:r>
              <w:rPr>
                <w:noProof/>
                <w:webHidden/>
              </w:rPr>
              <w:fldChar w:fldCharType="begin"/>
            </w:r>
            <w:r>
              <w:rPr>
                <w:noProof/>
                <w:webHidden/>
              </w:rPr>
              <w:instrText xml:space="preserve"> PAGEREF _Toc243595743 \h </w:instrText>
            </w:r>
            <w:r>
              <w:rPr>
                <w:noProof/>
                <w:webHidden/>
              </w:rPr>
            </w:r>
            <w:r>
              <w:rPr>
                <w:noProof/>
                <w:webHidden/>
              </w:rPr>
              <w:fldChar w:fldCharType="separate"/>
            </w:r>
            <w:r>
              <w:rPr>
                <w:noProof/>
                <w:webHidden/>
              </w:rPr>
              <w:t>5</w:t>
            </w:r>
            <w:r>
              <w:rPr>
                <w:noProof/>
                <w:webHidden/>
              </w:rPr>
              <w:fldChar w:fldCharType="end"/>
            </w:r>
          </w:hyperlink>
        </w:p>
        <w:p w14:paraId="12620D12" w14:textId="2F5A4FAD" w:rsidR="002B1B83" w:rsidRDefault="002B1B83">
          <w:pPr>
            <w:pStyle w:val="TOC1"/>
            <w:rPr>
              <w:rFonts w:asciiTheme="minorHAnsi" w:hAnsiTheme="minorHAnsi"/>
              <w:noProof/>
              <w:kern w:val="2"/>
              <w:sz w:val="24"/>
              <w:szCs w:val="24"/>
              <w:lang w:val="en-GB" w:eastAsia="en-GB"/>
              <w14:ligatures w14:val="standardContextual"/>
            </w:rPr>
          </w:pPr>
          <w:hyperlink w:anchor="_Toc243595744" w:history="1">
            <w:r w:rsidRPr="008C6816">
              <w:rPr>
                <w:rStyle w:val="Hyperlink"/>
                <w:rFonts w:ascii="Arial" w:hAnsi="Arial" w:cs="Arial"/>
                <w:noProof/>
              </w:rPr>
              <w:t>Risk factors/aetiology!</w:t>
            </w:r>
            <w:r>
              <w:rPr>
                <w:noProof/>
                <w:webHidden/>
              </w:rPr>
              <w:tab/>
            </w:r>
            <w:r>
              <w:rPr>
                <w:noProof/>
                <w:webHidden/>
              </w:rPr>
              <w:fldChar w:fldCharType="begin"/>
            </w:r>
            <w:r>
              <w:rPr>
                <w:noProof/>
                <w:webHidden/>
              </w:rPr>
              <w:instrText xml:space="preserve"> PAGEREF _Toc243595744 \h </w:instrText>
            </w:r>
            <w:r>
              <w:rPr>
                <w:noProof/>
                <w:webHidden/>
              </w:rPr>
            </w:r>
            <w:r>
              <w:rPr>
                <w:noProof/>
                <w:webHidden/>
              </w:rPr>
              <w:fldChar w:fldCharType="separate"/>
            </w:r>
            <w:r>
              <w:rPr>
                <w:noProof/>
                <w:webHidden/>
              </w:rPr>
              <w:t>5</w:t>
            </w:r>
            <w:r>
              <w:rPr>
                <w:noProof/>
                <w:webHidden/>
              </w:rPr>
              <w:fldChar w:fldCharType="end"/>
            </w:r>
          </w:hyperlink>
        </w:p>
        <w:p w14:paraId="569C3425" w14:textId="7FFF7E9B" w:rsidR="002B1B83" w:rsidRDefault="002B1B83">
          <w:pPr>
            <w:pStyle w:val="TOC1"/>
            <w:rPr>
              <w:rFonts w:asciiTheme="minorHAnsi" w:hAnsiTheme="minorHAnsi"/>
              <w:noProof/>
              <w:kern w:val="2"/>
              <w:sz w:val="24"/>
              <w:szCs w:val="24"/>
              <w:lang w:val="en-GB" w:eastAsia="en-GB"/>
              <w14:ligatures w14:val="standardContextual"/>
            </w:rPr>
          </w:pPr>
          <w:hyperlink w:anchor="_Toc243595745" w:history="1">
            <w:r w:rsidRPr="008C6816">
              <w:rPr>
                <w:rStyle w:val="Hyperlink"/>
                <w:rFonts w:ascii="Arial" w:hAnsi="Arial" w:cs="Arial"/>
                <w:noProof/>
              </w:rPr>
              <w:t>Physical, psychological, and social impacts</w:t>
            </w:r>
            <w:r>
              <w:rPr>
                <w:noProof/>
                <w:webHidden/>
              </w:rPr>
              <w:tab/>
            </w:r>
            <w:r>
              <w:rPr>
                <w:noProof/>
                <w:webHidden/>
              </w:rPr>
              <w:fldChar w:fldCharType="begin"/>
            </w:r>
            <w:r>
              <w:rPr>
                <w:noProof/>
                <w:webHidden/>
              </w:rPr>
              <w:instrText xml:space="preserve"> PAGEREF _Toc243595745 \h </w:instrText>
            </w:r>
            <w:r>
              <w:rPr>
                <w:noProof/>
                <w:webHidden/>
              </w:rPr>
            </w:r>
            <w:r>
              <w:rPr>
                <w:noProof/>
                <w:webHidden/>
              </w:rPr>
              <w:fldChar w:fldCharType="separate"/>
            </w:r>
            <w:r>
              <w:rPr>
                <w:noProof/>
                <w:webHidden/>
              </w:rPr>
              <w:t>7</w:t>
            </w:r>
            <w:r>
              <w:rPr>
                <w:noProof/>
                <w:webHidden/>
              </w:rPr>
              <w:fldChar w:fldCharType="end"/>
            </w:r>
          </w:hyperlink>
        </w:p>
        <w:p w14:paraId="418949A8" w14:textId="76A8743D" w:rsidR="002B1B83" w:rsidRDefault="002B1B83">
          <w:pPr>
            <w:pStyle w:val="TOC1"/>
            <w:rPr>
              <w:rFonts w:asciiTheme="minorHAnsi" w:hAnsiTheme="minorHAnsi"/>
              <w:noProof/>
              <w:kern w:val="2"/>
              <w:sz w:val="24"/>
              <w:szCs w:val="24"/>
              <w:lang w:val="en-GB" w:eastAsia="en-GB"/>
              <w14:ligatures w14:val="standardContextual"/>
            </w:rPr>
          </w:pPr>
          <w:hyperlink w:anchor="_Toc243595746" w:history="1">
            <w:r w:rsidRPr="008C6816">
              <w:rPr>
                <w:rStyle w:val="Hyperlink"/>
                <w:rFonts w:ascii="Arial" w:hAnsi="Arial" w:cs="Arial"/>
                <w:noProof/>
              </w:rPr>
              <w:t>NHS treatments and clinical decisions</w:t>
            </w:r>
            <w:r>
              <w:rPr>
                <w:noProof/>
                <w:webHidden/>
              </w:rPr>
              <w:tab/>
            </w:r>
            <w:r>
              <w:rPr>
                <w:noProof/>
                <w:webHidden/>
              </w:rPr>
              <w:fldChar w:fldCharType="begin"/>
            </w:r>
            <w:r>
              <w:rPr>
                <w:noProof/>
                <w:webHidden/>
              </w:rPr>
              <w:instrText xml:space="preserve"> PAGEREF _Toc243595746 \h </w:instrText>
            </w:r>
            <w:r>
              <w:rPr>
                <w:noProof/>
                <w:webHidden/>
              </w:rPr>
            </w:r>
            <w:r>
              <w:rPr>
                <w:noProof/>
                <w:webHidden/>
              </w:rPr>
              <w:fldChar w:fldCharType="separate"/>
            </w:r>
            <w:r>
              <w:rPr>
                <w:noProof/>
                <w:webHidden/>
              </w:rPr>
              <w:t>8</w:t>
            </w:r>
            <w:r>
              <w:rPr>
                <w:noProof/>
                <w:webHidden/>
              </w:rPr>
              <w:fldChar w:fldCharType="end"/>
            </w:r>
          </w:hyperlink>
        </w:p>
        <w:p w14:paraId="4ADB802E" w14:textId="4BD5B29A" w:rsidR="002B1B83" w:rsidRDefault="002B1B83">
          <w:pPr>
            <w:pStyle w:val="TOC1"/>
            <w:rPr>
              <w:rFonts w:asciiTheme="minorHAnsi" w:hAnsiTheme="minorHAnsi"/>
              <w:noProof/>
              <w:kern w:val="2"/>
              <w:sz w:val="24"/>
              <w:szCs w:val="24"/>
              <w:lang w:val="en-GB" w:eastAsia="en-GB"/>
              <w14:ligatures w14:val="standardContextual"/>
            </w:rPr>
          </w:pPr>
          <w:hyperlink w:anchor="_Toc243595747" w:history="1">
            <w:r w:rsidRPr="008C6816">
              <w:rPr>
                <w:rStyle w:val="Hyperlink"/>
                <w:rFonts w:ascii="Arial" w:hAnsi="Arial" w:cs="Arial"/>
                <w:noProof/>
              </w:rPr>
              <w:t>Models for improved long-term outcomes</w:t>
            </w:r>
            <w:r>
              <w:rPr>
                <w:noProof/>
                <w:webHidden/>
              </w:rPr>
              <w:tab/>
            </w:r>
            <w:r>
              <w:rPr>
                <w:noProof/>
                <w:webHidden/>
              </w:rPr>
              <w:fldChar w:fldCharType="begin"/>
            </w:r>
            <w:r>
              <w:rPr>
                <w:noProof/>
                <w:webHidden/>
              </w:rPr>
              <w:instrText xml:space="preserve"> PAGEREF _Toc243595747 \h </w:instrText>
            </w:r>
            <w:r>
              <w:rPr>
                <w:noProof/>
                <w:webHidden/>
              </w:rPr>
            </w:r>
            <w:r>
              <w:rPr>
                <w:noProof/>
                <w:webHidden/>
              </w:rPr>
              <w:fldChar w:fldCharType="separate"/>
            </w:r>
            <w:r>
              <w:rPr>
                <w:noProof/>
                <w:webHidden/>
              </w:rPr>
              <w:t>9</w:t>
            </w:r>
            <w:r>
              <w:rPr>
                <w:noProof/>
                <w:webHidden/>
              </w:rPr>
              <w:fldChar w:fldCharType="end"/>
            </w:r>
          </w:hyperlink>
        </w:p>
        <w:p w14:paraId="61D14FDB" w14:textId="6BEBD0EB" w:rsidR="002B1B83" w:rsidRDefault="002B1B83">
          <w:pPr>
            <w:pStyle w:val="TOC1"/>
            <w:rPr>
              <w:rFonts w:asciiTheme="minorHAnsi" w:hAnsiTheme="minorHAnsi"/>
              <w:noProof/>
              <w:kern w:val="2"/>
              <w:sz w:val="24"/>
              <w:szCs w:val="24"/>
              <w:lang w:val="en-GB" w:eastAsia="en-GB"/>
              <w14:ligatures w14:val="standardContextual"/>
            </w:rPr>
          </w:pPr>
          <w:hyperlink w:anchor="_Toc243595748" w:history="1">
            <w:r w:rsidRPr="008C6816">
              <w:rPr>
                <w:rStyle w:val="Hyperlink"/>
                <w:rFonts w:ascii="Arial" w:hAnsi="Arial" w:cs="Arial"/>
                <w:noProof/>
              </w:rPr>
              <w:t>UK model: House of Care</w:t>
            </w:r>
            <w:r>
              <w:rPr>
                <w:noProof/>
                <w:webHidden/>
              </w:rPr>
              <w:tab/>
            </w:r>
            <w:r>
              <w:rPr>
                <w:noProof/>
                <w:webHidden/>
              </w:rPr>
              <w:fldChar w:fldCharType="begin"/>
            </w:r>
            <w:r>
              <w:rPr>
                <w:noProof/>
                <w:webHidden/>
              </w:rPr>
              <w:instrText xml:space="preserve"> PAGEREF _Toc243595748 \h </w:instrText>
            </w:r>
            <w:r>
              <w:rPr>
                <w:noProof/>
                <w:webHidden/>
              </w:rPr>
            </w:r>
            <w:r>
              <w:rPr>
                <w:noProof/>
                <w:webHidden/>
              </w:rPr>
              <w:fldChar w:fldCharType="separate"/>
            </w:r>
            <w:r>
              <w:rPr>
                <w:noProof/>
                <w:webHidden/>
              </w:rPr>
              <w:t>10</w:t>
            </w:r>
            <w:r>
              <w:rPr>
                <w:noProof/>
                <w:webHidden/>
              </w:rPr>
              <w:fldChar w:fldCharType="end"/>
            </w:r>
          </w:hyperlink>
        </w:p>
        <w:p w14:paraId="35F17B05" w14:textId="271A1480" w:rsidR="002B1B83" w:rsidRDefault="002B1B83">
          <w:pPr>
            <w:pStyle w:val="TOC1"/>
            <w:rPr>
              <w:rFonts w:asciiTheme="minorHAnsi" w:hAnsiTheme="minorHAnsi"/>
              <w:noProof/>
              <w:kern w:val="2"/>
              <w:sz w:val="24"/>
              <w:szCs w:val="24"/>
              <w:lang w:val="en-GB" w:eastAsia="en-GB"/>
              <w14:ligatures w14:val="standardContextual"/>
            </w:rPr>
          </w:pPr>
          <w:hyperlink w:anchor="_Toc243595749" w:history="1">
            <w:r w:rsidRPr="008C6816">
              <w:rPr>
                <w:rStyle w:val="Hyperlink"/>
                <w:rFonts w:ascii="Arial" w:hAnsi="Arial" w:cs="Arial"/>
                <w:noProof/>
              </w:rPr>
              <w:t>International model: Chronic Care Model</w:t>
            </w:r>
            <w:r>
              <w:rPr>
                <w:noProof/>
                <w:webHidden/>
              </w:rPr>
              <w:tab/>
            </w:r>
            <w:r>
              <w:rPr>
                <w:noProof/>
                <w:webHidden/>
              </w:rPr>
              <w:fldChar w:fldCharType="begin"/>
            </w:r>
            <w:r>
              <w:rPr>
                <w:noProof/>
                <w:webHidden/>
              </w:rPr>
              <w:instrText xml:space="preserve"> PAGEREF _Toc243595749 \h </w:instrText>
            </w:r>
            <w:r>
              <w:rPr>
                <w:noProof/>
                <w:webHidden/>
              </w:rPr>
            </w:r>
            <w:r>
              <w:rPr>
                <w:noProof/>
                <w:webHidden/>
              </w:rPr>
              <w:fldChar w:fldCharType="separate"/>
            </w:r>
            <w:r>
              <w:rPr>
                <w:noProof/>
                <w:webHidden/>
              </w:rPr>
              <w:t>11</w:t>
            </w:r>
            <w:r>
              <w:rPr>
                <w:noProof/>
                <w:webHidden/>
              </w:rPr>
              <w:fldChar w:fldCharType="end"/>
            </w:r>
          </w:hyperlink>
        </w:p>
        <w:p w14:paraId="0C094F54" w14:textId="150B2FB9" w:rsidR="002B1B83" w:rsidRDefault="002B1B83">
          <w:pPr>
            <w:pStyle w:val="TOC1"/>
            <w:rPr>
              <w:rFonts w:asciiTheme="minorHAnsi" w:hAnsiTheme="minorHAnsi"/>
              <w:noProof/>
              <w:kern w:val="2"/>
              <w:sz w:val="24"/>
              <w:szCs w:val="24"/>
              <w:lang w:val="en-GB" w:eastAsia="en-GB"/>
              <w14:ligatures w14:val="standardContextual"/>
            </w:rPr>
          </w:pPr>
          <w:hyperlink w:anchor="_Toc243595750" w:history="1">
            <w:r>
              <w:rPr>
                <w:noProof/>
                <w:webHidden/>
              </w:rPr>
              <w:tab/>
            </w:r>
            <w:r>
              <w:rPr>
                <w:noProof/>
                <w:webHidden/>
              </w:rPr>
              <w:fldChar w:fldCharType="begin"/>
            </w:r>
            <w:r>
              <w:rPr>
                <w:noProof/>
                <w:webHidden/>
              </w:rPr>
              <w:instrText xml:space="preserve"> PAGEREF _Toc243595750 \h </w:instrText>
            </w:r>
            <w:r>
              <w:rPr>
                <w:noProof/>
                <w:webHidden/>
              </w:rPr>
            </w:r>
            <w:r>
              <w:rPr>
                <w:noProof/>
                <w:webHidden/>
              </w:rPr>
              <w:fldChar w:fldCharType="separate"/>
            </w:r>
            <w:r>
              <w:rPr>
                <w:noProof/>
                <w:webHidden/>
              </w:rPr>
              <w:t>11</w:t>
            </w:r>
            <w:r>
              <w:rPr>
                <w:noProof/>
                <w:webHidden/>
              </w:rPr>
              <w:fldChar w:fldCharType="end"/>
            </w:r>
          </w:hyperlink>
        </w:p>
        <w:p w14:paraId="5C34FB31" w14:textId="53057AFA" w:rsidR="002B1B83" w:rsidRDefault="002B1B83">
          <w:pPr>
            <w:pStyle w:val="TOC1"/>
            <w:rPr>
              <w:rFonts w:asciiTheme="minorHAnsi" w:hAnsiTheme="minorHAnsi"/>
              <w:noProof/>
              <w:kern w:val="2"/>
              <w:sz w:val="24"/>
              <w:szCs w:val="24"/>
              <w:lang w:val="en-GB" w:eastAsia="en-GB"/>
              <w14:ligatures w14:val="standardContextual"/>
            </w:rPr>
          </w:pPr>
          <w:hyperlink w:anchor="_Toc243595751" w:history="1">
            <w:r w:rsidRPr="008C6816">
              <w:rPr>
                <w:rStyle w:val="Hyperlink"/>
                <w:rFonts w:ascii="Arial" w:hAnsi="Arial" w:cs="Arial"/>
                <w:noProof/>
              </w:rPr>
              <w:t>Policy, guidelines, and local implementation</w:t>
            </w:r>
            <w:r>
              <w:rPr>
                <w:noProof/>
                <w:webHidden/>
              </w:rPr>
              <w:tab/>
            </w:r>
            <w:r>
              <w:rPr>
                <w:noProof/>
                <w:webHidden/>
              </w:rPr>
              <w:fldChar w:fldCharType="begin"/>
            </w:r>
            <w:r>
              <w:rPr>
                <w:noProof/>
                <w:webHidden/>
              </w:rPr>
              <w:instrText xml:space="preserve"> PAGEREF _Toc243595751 \h </w:instrText>
            </w:r>
            <w:r>
              <w:rPr>
                <w:noProof/>
                <w:webHidden/>
              </w:rPr>
            </w:r>
            <w:r>
              <w:rPr>
                <w:noProof/>
                <w:webHidden/>
              </w:rPr>
              <w:fldChar w:fldCharType="separate"/>
            </w:r>
            <w:r>
              <w:rPr>
                <w:noProof/>
                <w:webHidden/>
              </w:rPr>
              <w:t>12</w:t>
            </w:r>
            <w:r>
              <w:rPr>
                <w:noProof/>
                <w:webHidden/>
              </w:rPr>
              <w:fldChar w:fldCharType="end"/>
            </w:r>
          </w:hyperlink>
        </w:p>
        <w:p w14:paraId="7795710C" w14:textId="3492203B" w:rsidR="002B1B83" w:rsidRDefault="002B1B83">
          <w:pPr>
            <w:pStyle w:val="TOC1"/>
            <w:rPr>
              <w:rFonts w:asciiTheme="minorHAnsi" w:hAnsiTheme="minorHAnsi"/>
              <w:noProof/>
              <w:kern w:val="2"/>
              <w:sz w:val="24"/>
              <w:szCs w:val="24"/>
              <w:lang w:val="en-GB" w:eastAsia="en-GB"/>
              <w14:ligatures w14:val="standardContextual"/>
            </w:rPr>
          </w:pPr>
          <w:hyperlink w:anchor="_Toc243595752" w:history="1">
            <w:r w:rsidRPr="008C6816">
              <w:rPr>
                <w:rStyle w:val="Hyperlink"/>
                <w:rFonts w:ascii="Arial" w:hAnsi="Arial" w:cs="Arial"/>
                <w:noProof/>
              </w:rPr>
              <w:t>Recommendations: whole-person care and self-management</w:t>
            </w:r>
            <w:r>
              <w:rPr>
                <w:noProof/>
                <w:webHidden/>
              </w:rPr>
              <w:tab/>
            </w:r>
            <w:r>
              <w:rPr>
                <w:noProof/>
                <w:webHidden/>
              </w:rPr>
              <w:fldChar w:fldCharType="begin"/>
            </w:r>
            <w:r>
              <w:rPr>
                <w:noProof/>
                <w:webHidden/>
              </w:rPr>
              <w:instrText xml:space="preserve"> PAGEREF _Toc243595752 \h </w:instrText>
            </w:r>
            <w:r>
              <w:rPr>
                <w:noProof/>
                <w:webHidden/>
              </w:rPr>
            </w:r>
            <w:r>
              <w:rPr>
                <w:noProof/>
                <w:webHidden/>
              </w:rPr>
              <w:fldChar w:fldCharType="separate"/>
            </w:r>
            <w:r>
              <w:rPr>
                <w:noProof/>
                <w:webHidden/>
              </w:rPr>
              <w:t>13</w:t>
            </w:r>
            <w:r>
              <w:rPr>
                <w:noProof/>
                <w:webHidden/>
              </w:rPr>
              <w:fldChar w:fldCharType="end"/>
            </w:r>
          </w:hyperlink>
        </w:p>
        <w:p w14:paraId="3B1EC8EE" w14:textId="32579F14" w:rsidR="002B1B83" w:rsidRDefault="002B1B83">
          <w:pPr>
            <w:pStyle w:val="TOC1"/>
            <w:rPr>
              <w:rFonts w:asciiTheme="minorHAnsi" w:hAnsiTheme="minorHAnsi"/>
              <w:noProof/>
              <w:kern w:val="2"/>
              <w:sz w:val="24"/>
              <w:szCs w:val="24"/>
              <w:lang w:val="en-GB" w:eastAsia="en-GB"/>
              <w14:ligatures w14:val="standardContextual"/>
            </w:rPr>
          </w:pPr>
          <w:hyperlink w:anchor="_Toc243595753" w:history="1">
            <w:r w:rsidRPr="008C6816">
              <w:rPr>
                <w:rStyle w:val="Hyperlink"/>
                <w:rFonts w:ascii="Arial" w:hAnsi="Arial" w:cs="Arial"/>
                <w:noProof/>
                <w:lang w:val="en-GB" w:eastAsia="en-GB"/>
              </w:rPr>
              <w:t>End-of-Life and Conservative Kidney Care</w:t>
            </w:r>
            <w:r>
              <w:rPr>
                <w:noProof/>
                <w:webHidden/>
              </w:rPr>
              <w:tab/>
            </w:r>
            <w:r>
              <w:rPr>
                <w:noProof/>
                <w:webHidden/>
              </w:rPr>
              <w:fldChar w:fldCharType="begin"/>
            </w:r>
            <w:r>
              <w:rPr>
                <w:noProof/>
                <w:webHidden/>
              </w:rPr>
              <w:instrText xml:space="preserve"> PAGEREF _Toc243595753 \h </w:instrText>
            </w:r>
            <w:r>
              <w:rPr>
                <w:noProof/>
                <w:webHidden/>
              </w:rPr>
            </w:r>
            <w:r>
              <w:rPr>
                <w:noProof/>
                <w:webHidden/>
              </w:rPr>
              <w:fldChar w:fldCharType="separate"/>
            </w:r>
            <w:r>
              <w:rPr>
                <w:noProof/>
                <w:webHidden/>
              </w:rPr>
              <w:t>13</w:t>
            </w:r>
            <w:r>
              <w:rPr>
                <w:noProof/>
                <w:webHidden/>
              </w:rPr>
              <w:fldChar w:fldCharType="end"/>
            </w:r>
          </w:hyperlink>
        </w:p>
        <w:p w14:paraId="270F17C5" w14:textId="1F1B4D4E" w:rsidR="002B1B83" w:rsidRDefault="002B1B83">
          <w:pPr>
            <w:pStyle w:val="TOC1"/>
            <w:rPr>
              <w:rFonts w:asciiTheme="minorHAnsi" w:hAnsiTheme="minorHAnsi"/>
              <w:noProof/>
              <w:kern w:val="2"/>
              <w:sz w:val="24"/>
              <w:szCs w:val="24"/>
              <w:lang w:val="en-GB" w:eastAsia="en-GB"/>
              <w14:ligatures w14:val="standardContextual"/>
            </w:rPr>
          </w:pPr>
          <w:hyperlink w:anchor="_Toc243595754" w:history="1">
            <w:r w:rsidRPr="008C6816">
              <w:rPr>
                <w:rStyle w:val="Hyperlink"/>
                <w:rFonts w:ascii="Arial" w:hAnsi="Arial" w:cs="Arial"/>
                <w:noProof/>
              </w:rPr>
              <w:t>Conclusion</w:t>
            </w:r>
            <w:r>
              <w:rPr>
                <w:noProof/>
                <w:webHidden/>
              </w:rPr>
              <w:tab/>
            </w:r>
            <w:r>
              <w:rPr>
                <w:noProof/>
                <w:webHidden/>
              </w:rPr>
              <w:fldChar w:fldCharType="begin"/>
            </w:r>
            <w:r>
              <w:rPr>
                <w:noProof/>
                <w:webHidden/>
              </w:rPr>
              <w:instrText xml:space="preserve"> PAGEREF _Toc243595754 \h </w:instrText>
            </w:r>
            <w:r>
              <w:rPr>
                <w:noProof/>
                <w:webHidden/>
              </w:rPr>
            </w:r>
            <w:r>
              <w:rPr>
                <w:noProof/>
                <w:webHidden/>
              </w:rPr>
              <w:fldChar w:fldCharType="separate"/>
            </w:r>
            <w:r>
              <w:rPr>
                <w:noProof/>
                <w:webHidden/>
              </w:rPr>
              <w:t>14</w:t>
            </w:r>
            <w:r>
              <w:rPr>
                <w:noProof/>
                <w:webHidden/>
              </w:rPr>
              <w:fldChar w:fldCharType="end"/>
            </w:r>
          </w:hyperlink>
        </w:p>
        <w:p w14:paraId="090FBB15" w14:textId="1D4997F7" w:rsidR="002B1B83" w:rsidRDefault="002B1B83">
          <w:pPr>
            <w:pStyle w:val="TOC1"/>
            <w:rPr>
              <w:rFonts w:asciiTheme="minorHAnsi" w:hAnsiTheme="minorHAnsi"/>
              <w:noProof/>
              <w:kern w:val="2"/>
              <w:sz w:val="24"/>
              <w:szCs w:val="24"/>
              <w:lang w:val="en-GB" w:eastAsia="en-GB"/>
              <w14:ligatures w14:val="standardContextual"/>
            </w:rPr>
          </w:pPr>
          <w:hyperlink w:anchor="_Toc243595755" w:history="1">
            <w:r w:rsidRPr="008C6816">
              <w:rPr>
                <w:rStyle w:val="Hyperlink"/>
                <w:rFonts w:ascii="Arial" w:hAnsi="Arial" w:cs="Arial"/>
                <w:noProof/>
              </w:rPr>
              <w:t>References</w:t>
            </w:r>
            <w:r>
              <w:rPr>
                <w:noProof/>
                <w:webHidden/>
              </w:rPr>
              <w:tab/>
            </w:r>
            <w:r>
              <w:rPr>
                <w:noProof/>
                <w:webHidden/>
              </w:rPr>
              <w:fldChar w:fldCharType="begin"/>
            </w:r>
            <w:r>
              <w:rPr>
                <w:noProof/>
                <w:webHidden/>
              </w:rPr>
              <w:instrText xml:space="preserve"> PAGEREF _Toc243595755 \h </w:instrText>
            </w:r>
            <w:r>
              <w:rPr>
                <w:noProof/>
                <w:webHidden/>
              </w:rPr>
            </w:r>
            <w:r>
              <w:rPr>
                <w:noProof/>
                <w:webHidden/>
              </w:rPr>
              <w:fldChar w:fldCharType="separate"/>
            </w:r>
            <w:r>
              <w:rPr>
                <w:noProof/>
                <w:webHidden/>
              </w:rPr>
              <w:t>15</w:t>
            </w:r>
            <w:r>
              <w:rPr>
                <w:noProof/>
                <w:webHidden/>
              </w:rPr>
              <w:fldChar w:fldCharType="end"/>
            </w:r>
          </w:hyperlink>
        </w:p>
        <w:p w14:paraId="297E58C2" w14:textId="3B88D84A" w:rsidR="00150C88" w:rsidRPr="00D24F21" w:rsidRDefault="00150C88" w:rsidP="0037529B">
          <w:pPr>
            <w:spacing w:line="360" w:lineRule="auto"/>
            <w:rPr>
              <w:rFonts w:ascii="Arial" w:hAnsi="Arial" w:cs="Arial"/>
              <w:sz w:val="22"/>
            </w:rPr>
          </w:pPr>
          <w:r w:rsidRPr="00D24F21">
            <w:rPr>
              <w:rFonts w:ascii="Arial" w:hAnsi="Arial" w:cs="Arial"/>
              <w:b/>
              <w:bCs/>
              <w:sz w:val="22"/>
            </w:rPr>
            <w:fldChar w:fldCharType="end"/>
          </w:r>
        </w:p>
      </w:sdtContent>
    </w:sdt>
    <w:p w14:paraId="658FFA4D" w14:textId="77777777" w:rsidR="00B91123" w:rsidRDefault="00B91123" w:rsidP="00F648CC">
      <w:pPr>
        <w:jc w:val="both"/>
      </w:pPr>
    </w:p>
    <w:p w14:paraId="05D45A91" w14:textId="77777777" w:rsidR="00B91123" w:rsidRDefault="00B91123" w:rsidP="00F648CC">
      <w:pPr>
        <w:jc w:val="both"/>
      </w:pPr>
    </w:p>
    <w:p w14:paraId="130CAA3B" w14:textId="77777777" w:rsidR="00B91123" w:rsidRDefault="00B91123" w:rsidP="00F648CC">
      <w:pPr>
        <w:jc w:val="both"/>
      </w:pPr>
    </w:p>
    <w:p w14:paraId="230C2608" w14:textId="77777777" w:rsidR="006D4764" w:rsidRDefault="006D4764" w:rsidP="00F648CC">
      <w:pPr>
        <w:jc w:val="both"/>
      </w:pPr>
    </w:p>
    <w:p w14:paraId="06A754EE" w14:textId="77777777" w:rsidR="007249A5" w:rsidRDefault="007249A5" w:rsidP="00F648CC">
      <w:pPr>
        <w:pStyle w:val="Heading1"/>
        <w:jc w:val="both"/>
        <w:rPr>
          <w:rFonts w:ascii="Arial" w:hAnsi="Arial" w:cs="Arial"/>
          <w:sz w:val="36"/>
          <w:szCs w:val="36"/>
        </w:rPr>
      </w:pPr>
    </w:p>
    <w:p w14:paraId="3BEF51C2" w14:textId="77777777" w:rsidR="003646DF" w:rsidRDefault="003646DF" w:rsidP="00F648CC">
      <w:pPr>
        <w:jc w:val="both"/>
      </w:pPr>
    </w:p>
    <w:p w14:paraId="5CB0C562" w14:textId="77777777" w:rsidR="003646DF" w:rsidRDefault="003646DF" w:rsidP="00F648CC">
      <w:pPr>
        <w:jc w:val="both"/>
      </w:pPr>
    </w:p>
    <w:p w14:paraId="51732766" w14:textId="77777777" w:rsidR="003646DF" w:rsidRDefault="003646DF" w:rsidP="00F648CC">
      <w:pPr>
        <w:jc w:val="both"/>
      </w:pPr>
    </w:p>
    <w:p w14:paraId="31AAFBBC" w14:textId="77777777" w:rsidR="003646DF" w:rsidRDefault="003646DF" w:rsidP="00F648CC">
      <w:pPr>
        <w:jc w:val="both"/>
      </w:pPr>
    </w:p>
    <w:p w14:paraId="0EBBF947" w14:textId="77777777" w:rsidR="003646DF" w:rsidRDefault="003646DF" w:rsidP="00F648CC">
      <w:pPr>
        <w:jc w:val="both"/>
      </w:pPr>
    </w:p>
    <w:p w14:paraId="67675E36" w14:textId="77777777" w:rsidR="003646DF" w:rsidRPr="009E17D0" w:rsidRDefault="003646DF" w:rsidP="00F648CC">
      <w:pPr>
        <w:jc w:val="both"/>
      </w:pPr>
    </w:p>
    <w:p w14:paraId="20B94B0F" w14:textId="7BF5255D" w:rsidR="00662399" w:rsidRPr="004A2EEA" w:rsidRDefault="000B1EC2" w:rsidP="00F648CC">
      <w:pPr>
        <w:pStyle w:val="Heading1"/>
        <w:jc w:val="both"/>
        <w:rPr>
          <w:rFonts w:ascii="Arial" w:hAnsi="Arial" w:cs="Arial"/>
          <w:sz w:val="36"/>
          <w:szCs w:val="36"/>
        </w:rPr>
      </w:pPr>
      <w:bookmarkStart w:id="1" w:name="_Toc243595739"/>
      <w:r w:rsidRPr="004A2EEA">
        <w:rPr>
          <w:rFonts w:ascii="Arial" w:hAnsi="Arial" w:cs="Arial"/>
          <w:sz w:val="36"/>
          <w:szCs w:val="36"/>
        </w:rPr>
        <w:t>LIVING WITH CHRONIC KIDNEY DISEASE</w:t>
      </w:r>
      <w:bookmarkEnd w:id="1"/>
    </w:p>
    <w:p w14:paraId="7F8151D7" w14:textId="01651AED" w:rsidR="00662399" w:rsidRPr="00FA5EC4" w:rsidRDefault="000B1EC2" w:rsidP="00F648CC">
      <w:pPr>
        <w:spacing w:line="360" w:lineRule="auto"/>
        <w:jc w:val="both"/>
        <w:rPr>
          <w:rFonts w:ascii="Arial" w:hAnsi="Arial" w:cs="Arial"/>
          <w:sz w:val="22"/>
        </w:rPr>
      </w:pPr>
      <w:r w:rsidRPr="00FA5EC4">
        <w:rPr>
          <w:rFonts w:ascii="Arial" w:hAnsi="Arial" w:cs="Arial"/>
          <w:sz w:val="22"/>
        </w:rPr>
        <w:t xml:space="preserve">Physical, </w:t>
      </w:r>
      <w:r w:rsidR="00BE1F87" w:rsidRPr="00FA5EC4">
        <w:rPr>
          <w:rFonts w:ascii="Arial" w:hAnsi="Arial" w:cs="Arial"/>
          <w:sz w:val="22"/>
        </w:rPr>
        <w:t>psychological,</w:t>
      </w:r>
      <w:r w:rsidRPr="00FA5EC4">
        <w:rPr>
          <w:rFonts w:ascii="Arial" w:hAnsi="Arial" w:cs="Arial"/>
          <w:sz w:val="22"/>
        </w:rPr>
        <w:t xml:space="preserve"> and social impacts | Evidence-based management | </w:t>
      </w:r>
      <w:r w:rsidR="00D134E7" w:rsidRPr="00FA5EC4">
        <w:rPr>
          <w:rFonts w:ascii="Arial" w:hAnsi="Arial" w:cs="Arial"/>
          <w:sz w:val="22"/>
        </w:rPr>
        <w:t>Person-</w:t>
      </w:r>
      <w:r w:rsidR="0070059B" w:rsidRPr="00FA5EC4">
        <w:rPr>
          <w:rFonts w:ascii="Arial" w:hAnsi="Arial" w:cs="Arial"/>
          <w:sz w:val="22"/>
        </w:rPr>
        <w:t>center</w:t>
      </w:r>
      <w:r w:rsidRPr="00FA5EC4">
        <w:rPr>
          <w:rFonts w:ascii="Arial" w:hAnsi="Arial" w:cs="Arial"/>
          <w:sz w:val="22"/>
        </w:rPr>
        <w:t xml:space="preserve"> care</w:t>
      </w:r>
    </w:p>
    <w:p w14:paraId="361FEE61" w14:textId="2D174675" w:rsidR="00662399" w:rsidRPr="00FA5EC4" w:rsidRDefault="000B1EC2" w:rsidP="00F648CC">
      <w:pPr>
        <w:spacing w:line="360" w:lineRule="auto"/>
        <w:jc w:val="both"/>
        <w:rPr>
          <w:rFonts w:ascii="Arial" w:hAnsi="Arial" w:cs="Arial"/>
          <w:sz w:val="22"/>
        </w:rPr>
      </w:pPr>
      <w:r w:rsidRPr="00FA5EC4">
        <w:rPr>
          <w:rFonts w:ascii="Arial" w:hAnsi="Arial" w:cs="Arial"/>
          <w:sz w:val="22"/>
        </w:rPr>
        <w:t>A critical information booklet for UK health and social care</w:t>
      </w:r>
      <w:r w:rsidR="00A55CBE">
        <w:rPr>
          <w:rFonts w:ascii="Arial" w:hAnsi="Arial" w:cs="Arial"/>
          <w:sz w:val="22"/>
        </w:rPr>
        <w:t>.</w:t>
      </w:r>
      <w:r w:rsidRPr="00FA5EC4">
        <w:rPr>
          <w:rFonts w:ascii="Arial" w:hAnsi="Arial" w:cs="Arial"/>
          <w:sz w:val="22"/>
        </w:rPr>
        <w:t xml:space="preserve"> </w:t>
      </w:r>
    </w:p>
    <w:p w14:paraId="0208D39D" w14:textId="77777777" w:rsidR="00662399" w:rsidRDefault="000B1EC2" w:rsidP="00F648CC">
      <w:pPr>
        <w:jc w:val="both"/>
      </w:pPr>
      <w:r>
        <w:rPr>
          <w:noProof/>
        </w:rPr>
        <w:drawing>
          <wp:inline distT="0" distB="0" distL="0" distR="0" wp14:anchorId="4B3C92CE" wp14:editId="2F66266A">
            <wp:extent cx="6570786" cy="6887943"/>
            <wp:effectExtent l="0" t="0" r="1905" b="8255"/>
            <wp:docPr id="1" name="Picture 1">
              <a:extLst xmlns:a="http://schemas.openxmlformats.org/drawingml/2006/main">
                <a:ext uri="{FF2B5EF4-FFF2-40B4-BE49-F238E27FC236}">
                  <a16:creationId xmlns:a16="http://schemas.microsoft.com/office/drawing/2014/main" id="{F24AE0CF-0713-4A17-BF6A-21684A35BE0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DBD932D-B9B3-4A5C-B6E8-3FFEDCCEEF24.jpeg"/>
                    <pic:cNvPicPr/>
                  </pic:nvPicPr>
                  <pic:blipFill>
                    <a:blip r:embed="rId9"/>
                    <a:stretch>
                      <a:fillRect/>
                    </a:stretch>
                  </pic:blipFill>
                  <pic:spPr>
                    <a:xfrm>
                      <a:off x="0" y="0"/>
                      <a:ext cx="6594658" cy="6912967"/>
                    </a:xfrm>
                    <a:prstGeom prst="rect">
                      <a:avLst/>
                    </a:prstGeom>
                  </pic:spPr>
                </pic:pic>
              </a:graphicData>
            </a:graphic>
          </wp:inline>
        </w:drawing>
      </w:r>
    </w:p>
    <w:p w14:paraId="27AACF61" w14:textId="452C0F42" w:rsidR="00662399" w:rsidRPr="00F24C95" w:rsidRDefault="000B1EC2" w:rsidP="00F648CC">
      <w:pPr>
        <w:pStyle w:val="Caption"/>
        <w:spacing w:line="360" w:lineRule="auto"/>
        <w:jc w:val="both"/>
        <w:rPr>
          <w:rFonts w:ascii="Arial" w:hAnsi="Arial" w:cs="Arial"/>
          <w:b w:val="0"/>
          <w:bCs w:val="0"/>
          <w:color w:val="000000" w:themeColor="text1"/>
          <w:sz w:val="22"/>
          <w:szCs w:val="22"/>
        </w:rPr>
      </w:pPr>
      <w:r w:rsidRPr="00F24C95">
        <w:rPr>
          <w:rFonts w:ascii="Arial" w:hAnsi="Arial" w:cs="Arial"/>
          <w:color w:val="000000" w:themeColor="text1"/>
          <w:sz w:val="22"/>
          <w:szCs w:val="22"/>
        </w:rPr>
        <w:t>Figure 1</w:t>
      </w:r>
      <w:r w:rsidR="00F24C95" w:rsidRPr="00F24C95">
        <w:rPr>
          <w:rFonts w:ascii="Arial" w:hAnsi="Arial" w:cs="Arial"/>
          <w:color w:val="000000" w:themeColor="text1"/>
          <w:sz w:val="22"/>
          <w:szCs w:val="22"/>
        </w:rPr>
        <w:t>:</w:t>
      </w:r>
      <w:r w:rsidRPr="00F24C95">
        <w:rPr>
          <w:rFonts w:ascii="Arial" w:hAnsi="Arial" w:cs="Arial"/>
          <w:b w:val="0"/>
          <w:bCs w:val="0"/>
          <w:color w:val="000000" w:themeColor="text1"/>
          <w:sz w:val="22"/>
          <w:szCs w:val="22"/>
        </w:rPr>
        <w:t xml:space="preserve"> CKD overview infographic (user-supplied artwork).</w:t>
      </w:r>
    </w:p>
    <w:p w14:paraId="2D662E39" w14:textId="0C64AD2E" w:rsidR="00E41C4B" w:rsidRPr="00EC0A92" w:rsidRDefault="000B1EC2" w:rsidP="00F648CC">
      <w:pPr>
        <w:pStyle w:val="Heading1"/>
        <w:spacing w:line="360" w:lineRule="auto"/>
        <w:jc w:val="both"/>
        <w:rPr>
          <w:rFonts w:ascii="Arial" w:hAnsi="Arial" w:cs="Arial"/>
          <w:sz w:val="22"/>
        </w:rPr>
      </w:pPr>
      <w:r>
        <w:br w:type="page"/>
      </w:r>
    </w:p>
    <w:p w14:paraId="440800EC" w14:textId="40EF4619" w:rsidR="00E41C4B" w:rsidRPr="003B3E42" w:rsidRDefault="00E41C4B" w:rsidP="00F648CC">
      <w:pPr>
        <w:pStyle w:val="Heading1"/>
        <w:spacing w:line="360" w:lineRule="auto"/>
        <w:jc w:val="both"/>
        <w:rPr>
          <w:rFonts w:ascii="Arial" w:hAnsi="Arial" w:cs="Arial"/>
        </w:rPr>
      </w:pPr>
      <w:bookmarkStart w:id="2" w:name="_Toc243595740"/>
      <w:r w:rsidRPr="003B3E42">
        <w:rPr>
          <w:rFonts w:ascii="Arial" w:hAnsi="Arial" w:cs="Arial"/>
        </w:rPr>
        <w:t>Definition and classification</w:t>
      </w:r>
      <w:bookmarkEnd w:id="2"/>
    </w:p>
    <w:p w14:paraId="02182AC4" w14:textId="0FE3B46E" w:rsidR="00E41C4B" w:rsidRPr="00E41C4B" w:rsidRDefault="00E41C4B" w:rsidP="00F648CC">
      <w:pPr>
        <w:spacing w:line="360" w:lineRule="auto"/>
        <w:jc w:val="both"/>
        <w:rPr>
          <w:rFonts w:ascii="Arial" w:hAnsi="Arial" w:cs="Arial"/>
          <w:sz w:val="22"/>
        </w:rPr>
      </w:pPr>
      <w:r w:rsidRPr="00E41C4B">
        <w:rPr>
          <w:rFonts w:ascii="Arial" w:hAnsi="Arial" w:cs="Arial"/>
          <w:sz w:val="22"/>
        </w:rPr>
        <w:t>Chronic kidney disease (CKD) is an abnormality of kidney structure or function that persists for at least three months and has implications for health (KDIGO, 2024). It is a heterogeneous condition rather than a single disease. Prognosis varies according to the underlying cause, estimated glomerular filtration rate (eGFR), albuminuria, cardiovascular risk</w:t>
      </w:r>
      <w:r w:rsidR="00D31997" w:rsidRPr="00E41C4B">
        <w:rPr>
          <w:rFonts w:ascii="Arial" w:hAnsi="Arial" w:cs="Arial"/>
          <w:sz w:val="22"/>
        </w:rPr>
        <w:t>,</w:t>
      </w:r>
      <w:r w:rsidRPr="00E41C4B">
        <w:rPr>
          <w:rFonts w:ascii="Arial" w:hAnsi="Arial" w:cs="Arial"/>
          <w:sz w:val="22"/>
        </w:rPr>
        <w:t xml:space="preserve"> and the patient’s wider circumstances (KDIGO, 2024; Webster et al., 2017).</w:t>
      </w:r>
    </w:p>
    <w:p w14:paraId="742D4A30" w14:textId="77777777" w:rsidR="00E41C4B" w:rsidRDefault="00E41C4B" w:rsidP="00F648CC">
      <w:pPr>
        <w:spacing w:line="360" w:lineRule="auto"/>
        <w:jc w:val="both"/>
        <w:rPr>
          <w:rFonts w:ascii="Arial" w:hAnsi="Arial" w:cs="Arial"/>
          <w:sz w:val="22"/>
        </w:rPr>
      </w:pPr>
      <w:r w:rsidRPr="00E41C4B">
        <w:rPr>
          <w:rFonts w:ascii="Arial" w:hAnsi="Arial" w:cs="Arial"/>
          <w:sz w:val="22"/>
        </w:rPr>
        <w:t xml:space="preserve">CKD classification uses cause, GFR category and albuminuria category (CGA). G1 (eGFR at least 90) and G2 (60–89 mL/min/1.73 m²) require other evidence of kidney damage for a CKD diagnosis; G3a is 45–59, G3b 30–44, G4 15–29 and G5 below 15. Albuminuria categories A1, A2 and A3 add independent prognostic information. A single low eGFR does not </w:t>
      </w:r>
      <w:bookmarkStart w:id="3" w:name="_Int_fSpxzY0q"/>
      <w:r w:rsidRPr="00E41C4B">
        <w:rPr>
          <w:rFonts w:ascii="Arial" w:hAnsi="Arial" w:cs="Arial"/>
          <w:sz w:val="22"/>
        </w:rPr>
        <w:t>establish</w:t>
      </w:r>
      <w:bookmarkEnd w:id="3"/>
      <w:r w:rsidRPr="00E41C4B">
        <w:rPr>
          <w:rFonts w:ascii="Arial" w:hAnsi="Arial" w:cs="Arial"/>
          <w:sz w:val="22"/>
        </w:rPr>
        <w:t xml:space="preserve"> chronicity: repeat testing and assessment for acute kidney injury are essential (KDIGO, 2024; NICE, 2021).</w:t>
      </w:r>
    </w:p>
    <w:p w14:paraId="6A5CC21C" w14:textId="77777777" w:rsidR="00A64890" w:rsidRPr="00E10484" w:rsidRDefault="00A64890" w:rsidP="00F648CC">
      <w:pPr>
        <w:spacing w:before="200" w:after="0" w:line="360" w:lineRule="auto"/>
        <w:jc w:val="both"/>
        <w:rPr>
          <w:rFonts w:ascii="Arial" w:hAnsi="Arial" w:cs="Arial"/>
          <w:color w:val="000000"/>
          <w:sz w:val="22"/>
          <w:lang w:val="en-GB" w:eastAsia="en-GB"/>
        </w:rPr>
      </w:pPr>
      <w:r w:rsidRPr="00E10484">
        <w:rPr>
          <w:rFonts w:ascii="Arial" w:hAnsi="Arial" w:cs="Arial"/>
          <w:color w:val="000000"/>
          <w:sz w:val="22"/>
          <w:lang w:val="en-GB" w:eastAsia="en-GB"/>
        </w:rPr>
        <w:t>Beyond laboratory values, CKD poses a major global health burden associated with substantial cardiovascular mortality, hospitalisation risks, and health disparities (Bikbov et al., 2020; Chronic Kidney Disease Prognosis Consortium, 2010; Crews et al., 2019; Go et al., 2004). Progression significantly impacts physical and mental health, often leading to a high prevalence of depression and functional decline (Palmer et al., 2013). Consequently, comprehensive clinical care must extend beyond biochemical staging to encompass holistic, person-centred management, shared decision-making, and proactive care planning tailored to individual patient values and wider socioeconomic circumstances (Coulter et al., 2015; Elwyn et al., 2012; Morton et al., 2010).</w:t>
      </w:r>
    </w:p>
    <w:p w14:paraId="0F1B0341" w14:textId="77777777" w:rsidR="00A64890" w:rsidRPr="00E41C4B" w:rsidRDefault="00A64890" w:rsidP="00F648CC">
      <w:pPr>
        <w:spacing w:line="360" w:lineRule="auto"/>
        <w:jc w:val="both"/>
        <w:rPr>
          <w:rFonts w:ascii="Arial" w:hAnsi="Arial" w:cs="Arial"/>
          <w:sz w:val="22"/>
        </w:rPr>
      </w:pPr>
    </w:p>
    <w:p w14:paraId="761161B8" w14:textId="77777777" w:rsidR="008E225C" w:rsidRPr="003650F8" w:rsidRDefault="008E225C" w:rsidP="00F648CC">
      <w:pPr>
        <w:pStyle w:val="Heading1"/>
        <w:spacing w:line="360" w:lineRule="auto"/>
        <w:jc w:val="both"/>
        <w:rPr>
          <w:rFonts w:ascii="Arial" w:hAnsi="Arial" w:cs="Arial"/>
          <w:sz w:val="40"/>
          <w:szCs w:val="40"/>
        </w:rPr>
      </w:pPr>
      <w:bookmarkStart w:id="4" w:name="_Toc243595741"/>
      <w:r w:rsidRPr="003650F8">
        <w:rPr>
          <w:rFonts w:ascii="Arial" w:hAnsi="Arial" w:cs="Arial"/>
          <w:sz w:val="40"/>
          <w:szCs w:val="40"/>
        </w:rPr>
        <w:t>Aim of the Booklet</w:t>
      </w:r>
      <w:bookmarkEnd w:id="4"/>
    </w:p>
    <w:p w14:paraId="13DEC569" w14:textId="1915FF51" w:rsidR="008E225C" w:rsidRPr="003650F8" w:rsidRDefault="008E225C" w:rsidP="00F648CC">
      <w:pPr>
        <w:spacing w:before="107" w:after="0" w:line="360" w:lineRule="auto"/>
        <w:jc w:val="both"/>
        <w:rPr>
          <w:rFonts w:ascii="Arial" w:hAnsi="Arial" w:cs="Arial"/>
          <w:color w:val="000000"/>
          <w:sz w:val="22"/>
          <w:lang w:val="en-GB" w:eastAsia="en-GB"/>
        </w:rPr>
      </w:pPr>
      <w:r w:rsidRPr="003650F8">
        <w:rPr>
          <w:rFonts w:ascii="Arial" w:hAnsi="Arial" w:cs="Arial"/>
          <w:color w:val="000000"/>
          <w:sz w:val="22"/>
          <w:lang w:val="en-GB" w:eastAsia="en-GB"/>
        </w:rPr>
        <w:t xml:space="preserve">This booklet aims to equip UK health and social care professionals with a critical, evidence-based guide for delivering holistic, integrated care to individuals living with chronic kidney disease. By synthesising clinical staging with the multi-dimensional physical, psychological, and social impacts of renal disease, it guides practitioners through evidence-based disease management and cardiorenal therapies (Heerspink et al., 2020; Verberne et al., 2016). </w:t>
      </w:r>
      <w:bookmarkStart w:id="5" w:name="_Int_1VsdiCkQ"/>
      <w:r w:rsidRPr="003650F8">
        <w:rPr>
          <w:rFonts w:ascii="Arial" w:hAnsi="Arial" w:cs="Arial"/>
          <w:color w:val="000000"/>
          <w:sz w:val="22"/>
          <w:lang w:val="en-GB" w:eastAsia="en-GB"/>
        </w:rPr>
        <w:t>Ultimately, it</w:t>
      </w:r>
      <w:bookmarkEnd w:id="5"/>
      <w:r w:rsidRPr="003650F8">
        <w:rPr>
          <w:rFonts w:ascii="Arial" w:hAnsi="Arial" w:cs="Arial"/>
          <w:color w:val="000000"/>
          <w:sz w:val="22"/>
          <w:lang w:val="en-GB" w:eastAsia="en-GB"/>
        </w:rPr>
        <w:t xml:space="preserve"> seeks to bridge health disparities, operationalise person-centred care through the House of Care framework, and support statutory assessments under the Care Act 2014 via meaningful shared decision-making (Barnes et al., 2017; Elwyn et al., 2012; NHS England, 2016). Furthermore, it promotes tailored end-of-life planning to </w:t>
      </w:r>
      <w:r w:rsidR="00B33FA2" w:rsidRPr="003650F8">
        <w:rPr>
          <w:rFonts w:ascii="Arial" w:hAnsi="Arial" w:cs="Arial"/>
          <w:color w:val="000000"/>
          <w:sz w:val="22"/>
          <w:lang w:val="en-GB" w:eastAsia="en-GB"/>
        </w:rPr>
        <w:t>optimise</w:t>
      </w:r>
      <w:r w:rsidRPr="003650F8">
        <w:rPr>
          <w:rFonts w:ascii="Arial" w:hAnsi="Arial" w:cs="Arial"/>
          <w:color w:val="000000"/>
          <w:sz w:val="22"/>
          <w:lang w:val="en-GB" w:eastAsia="en-GB"/>
        </w:rPr>
        <w:t xml:space="preserve"> long-term outcomes and quality of life across diverse populations (NHS England and Improvement, 2022; Wagner et al., 2001).</w:t>
      </w:r>
    </w:p>
    <w:p w14:paraId="4D799353" w14:textId="035BAC4F" w:rsidR="001F46D4" w:rsidRPr="001F46D4" w:rsidRDefault="001F46D4" w:rsidP="00F648CC">
      <w:pPr>
        <w:spacing w:line="360" w:lineRule="auto"/>
        <w:jc w:val="both"/>
        <w:rPr>
          <w:rFonts w:ascii="Arial" w:hAnsi="Arial" w:cs="Arial"/>
          <w:color w:val="EE0000"/>
          <w:sz w:val="22"/>
        </w:rPr>
      </w:pPr>
    </w:p>
    <w:p w14:paraId="302A7B66" w14:textId="16D866DC" w:rsidR="00A849E3" w:rsidRDefault="00E41C4B" w:rsidP="00F648CC">
      <w:pPr>
        <w:pStyle w:val="Heading1"/>
        <w:spacing w:line="360" w:lineRule="auto"/>
        <w:jc w:val="both"/>
        <w:rPr>
          <w:rFonts w:ascii="Arial" w:hAnsi="Arial" w:cs="Arial"/>
        </w:rPr>
      </w:pPr>
      <w:bookmarkStart w:id="6" w:name="_Toc243595742"/>
      <w:r w:rsidRPr="007A2ABF">
        <w:rPr>
          <w:rFonts w:ascii="Arial" w:hAnsi="Arial" w:cs="Arial"/>
        </w:rPr>
        <w:t>Worldwide prevalence/burden</w:t>
      </w:r>
      <w:bookmarkEnd w:id="6"/>
    </w:p>
    <w:p w14:paraId="041F9D6F" w14:textId="2E300300" w:rsidR="00A849E3" w:rsidRPr="00F52436" w:rsidRDefault="00236228" w:rsidP="00F648CC">
      <w:pPr>
        <w:spacing w:before="200" w:after="0" w:line="360" w:lineRule="auto"/>
        <w:jc w:val="both"/>
        <w:rPr>
          <w:rFonts w:ascii="Arial" w:hAnsi="Arial" w:cs="Arial"/>
          <w:color w:val="000000"/>
          <w:sz w:val="22"/>
          <w:lang w:val="en-GB" w:eastAsia="en-GB"/>
        </w:rPr>
      </w:pPr>
      <w:r w:rsidRPr="00CB69D7">
        <w:rPr>
          <w:rFonts w:ascii="Arial" w:hAnsi="Arial" w:cs="Arial"/>
          <w:color w:val="000000"/>
          <w:sz w:val="22"/>
          <w:lang w:val="en-GB" w:eastAsia="en-GB"/>
        </w:rPr>
        <w:t xml:space="preserve">Globally, the Global Burden of Disease CKD Collaboration (2020) estimated 697.5 million people with CKD in 2017, or 9.1% of the population. This historical estimate is not a current 2026 count; population ageing and differing measurement methods complicate comparisons. These estimates </w:t>
      </w:r>
      <w:bookmarkStart w:id="7" w:name="_Int_6YTqTUiK"/>
      <w:r w:rsidRPr="00CB69D7">
        <w:rPr>
          <w:rFonts w:ascii="Arial" w:hAnsi="Arial" w:cs="Arial"/>
          <w:color w:val="000000"/>
          <w:sz w:val="22"/>
          <w:lang w:val="en-GB" w:eastAsia="en-GB"/>
        </w:rPr>
        <w:t>establish</w:t>
      </w:r>
      <w:bookmarkEnd w:id="7"/>
      <w:r w:rsidRPr="00CB69D7">
        <w:rPr>
          <w:rFonts w:ascii="Arial" w:hAnsi="Arial" w:cs="Arial"/>
          <w:color w:val="000000"/>
          <w:sz w:val="22"/>
          <w:lang w:val="en-GB" w:eastAsia="en-GB"/>
        </w:rPr>
        <w:t xml:space="preserve"> population burden; however, prevalence cannot </w:t>
      </w:r>
      <w:bookmarkStart w:id="8" w:name="_Int_B8XJ7uGY"/>
      <w:r w:rsidRPr="00CB69D7">
        <w:rPr>
          <w:rFonts w:ascii="Arial" w:hAnsi="Arial" w:cs="Arial"/>
          <w:color w:val="000000"/>
          <w:sz w:val="22"/>
          <w:lang w:val="en-GB" w:eastAsia="en-GB"/>
        </w:rPr>
        <w:t>demonstrate</w:t>
      </w:r>
      <w:bookmarkEnd w:id="8"/>
      <w:r w:rsidRPr="00CB69D7">
        <w:rPr>
          <w:rFonts w:ascii="Arial" w:hAnsi="Arial" w:cs="Arial"/>
          <w:color w:val="000000"/>
          <w:sz w:val="22"/>
          <w:lang w:val="en-GB" w:eastAsia="en-GB"/>
        </w:rPr>
        <w:t xml:space="preserve"> diagnostic coverage, treatment access, or the effectiveness of healthcare provision (Global Burden of Disease Chronic Kidney Disease Collaboration, 2020).</w:t>
      </w:r>
    </w:p>
    <w:p w14:paraId="2E558F0A" w14:textId="72943E14" w:rsidR="00E41C4B" w:rsidRPr="007A2ABF" w:rsidRDefault="00E41C4B" w:rsidP="00F648CC">
      <w:pPr>
        <w:pStyle w:val="Heading1"/>
        <w:spacing w:line="360" w:lineRule="auto"/>
        <w:jc w:val="both"/>
        <w:rPr>
          <w:rFonts w:ascii="Arial" w:hAnsi="Arial" w:cs="Arial"/>
        </w:rPr>
      </w:pPr>
      <w:bookmarkStart w:id="9" w:name="_Toc243595743"/>
      <w:r w:rsidRPr="007A2ABF">
        <w:rPr>
          <w:rFonts w:ascii="Arial" w:hAnsi="Arial" w:cs="Arial"/>
        </w:rPr>
        <w:t>UK</w:t>
      </w:r>
      <w:r w:rsidR="00E92331">
        <w:rPr>
          <w:rFonts w:ascii="Arial" w:hAnsi="Arial" w:cs="Arial"/>
        </w:rPr>
        <w:t xml:space="preserve"> </w:t>
      </w:r>
      <w:r w:rsidRPr="007A2ABF">
        <w:rPr>
          <w:rFonts w:ascii="Arial" w:hAnsi="Arial" w:cs="Arial"/>
        </w:rPr>
        <w:t>prevalence/burden</w:t>
      </w:r>
      <w:bookmarkEnd w:id="9"/>
    </w:p>
    <w:p w14:paraId="235D3DA3" w14:textId="781DA4D1" w:rsidR="00E41C4B" w:rsidRPr="002A62D0" w:rsidRDefault="00E41C4B" w:rsidP="0037529B">
      <w:pPr>
        <w:spacing w:line="360" w:lineRule="auto"/>
        <w:rPr>
          <w:rFonts w:ascii="Arial" w:hAnsi="Arial" w:cs="Arial"/>
          <w:sz w:val="22"/>
        </w:rPr>
      </w:pPr>
      <w:r w:rsidRPr="00E41C4B">
        <w:rPr>
          <w:rFonts w:ascii="Arial" w:hAnsi="Arial" w:cs="Arial"/>
          <w:sz w:val="22"/>
        </w:rPr>
        <w:t xml:space="preserve">In the UK, estimates depend on age, sampling and whether both eGFR and urine ACR </w:t>
      </w:r>
      <w:bookmarkStart w:id="10" w:name="_Int_6iD2sWp4"/>
      <w:r w:rsidRPr="00E41C4B">
        <w:rPr>
          <w:rFonts w:ascii="Arial" w:hAnsi="Arial" w:cs="Arial"/>
          <w:sz w:val="22"/>
        </w:rPr>
        <w:t>are used</w:t>
      </w:r>
      <w:bookmarkEnd w:id="10"/>
      <w:r w:rsidRPr="00E41C4B">
        <w:rPr>
          <w:rFonts w:ascii="Arial" w:hAnsi="Arial" w:cs="Arial"/>
          <w:sz w:val="22"/>
        </w:rPr>
        <w:t xml:space="preserve">. UK Kidney Association resources commonly describe CKD as affecting </w:t>
      </w:r>
      <w:r w:rsidR="00184253" w:rsidRPr="00E41C4B">
        <w:rPr>
          <w:rFonts w:ascii="Arial" w:hAnsi="Arial" w:cs="Arial"/>
          <w:sz w:val="22"/>
        </w:rPr>
        <w:t>one</w:t>
      </w:r>
      <w:r w:rsidRPr="00E41C4B">
        <w:rPr>
          <w:rFonts w:ascii="Arial" w:hAnsi="Arial" w:cs="Arial"/>
          <w:sz w:val="22"/>
        </w:rPr>
        <w:t xml:space="preserve"> in ten adults; this is an approximate public-health description, not a verified 2026 national count. England’s Health Survey provides historical population data, while GP registers reflect recognised cases and can underestimate undiagnosed disease (NHS Digital, 2017; NICE, 2021)</w:t>
      </w:r>
      <w:r w:rsidR="004E253D">
        <w:rPr>
          <w:rFonts w:ascii="Arial" w:hAnsi="Arial" w:cs="Arial"/>
          <w:color w:val="000000"/>
          <w:sz w:val="22"/>
          <w:lang w:val="en-GB" w:eastAsia="en-GB"/>
        </w:rPr>
        <w:t>.T</w:t>
      </w:r>
      <w:r w:rsidR="00EB5F12" w:rsidRPr="00CB69D7">
        <w:rPr>
          <w:rFonts w:ascii="Arial" w:hAnsi="Arial" w:cs="Arial"/>
          <w:color w:val="000000"/>
          <w:sz w:val="22"/>
          <w:lang w:val="en-GB" w:eastAsia="en-GB"/>
        </w:rPr>
        <w:t>he</w:t>
      </w:r>
      <w:r w:rsidR="00135E96">
        <w:rPr>
          <w:rFonts w:ascii="Arial" w:hAnsi="Arial" w:cs="Arial"/>
          <w:color w:val="000000"/>
          <w:sz w:val="22"/>
          <w:lang w:val="en-GB" w:eastAsia="en-GB"/>
        </w:rPr>
        <w:t xml:space="preserve"> </w:t>
      </w:r>
      <w:r w:rsidR="004E253D">
        <w:rPr>
          <w:rFonts w:ascii="Arial" w:hAnsi="Arial" w:cs="Arial"/>
          <w:color w:val="000000"/>
          <w:sz w:val="22"/>
          <w:lang w:val="en-GB" w:eastAsia="en-GB"/>
        </w:rPr>
        <w:t xml:space="preserve">World </w:t>
      </w:r>
      <w:r w:rsidR="00135E96">
        <w:rPr>
          <w:rFonts w:ascii="Arial" w:hAnsi="Arial" w:cs="Arial"/>
          <w:color w:val="000000"/>
          <w:sz w:val="22"/>
          <w:lang w:val="en-GB" w:eastAsia="en-GB"/>
        </w:rPr>
        <w:t xml:space="preserve">Organisation </w:t>
      </w:r>
      <w:r w:rsidR="00EB5F12" w:rsidRPr="00CB69D7">
        <w:rPr>
          <w:rFonts w:ascii="Arial" w:hAnsi="Arial" w:cs="Arial"/>
          <w:color w:val="000000"/>
          <w:sz w:val="22"/>
          <w:lang w:val="en-GB" w:eastAsia="en-GB"/>
        </w:rPr>
        <w:t>WHO</w:t>
      </w:r>
      <w:r w:rsidR="00B802C9">
        <w:rPr>
          <w:rFonts w:ascii="Arial" w:hAnsi="Arial" w:cs="Arial"/>
          <w:color w:val="000000"/>
          <w:sz w:val="22"/>
          <w:lang w:val="en-GB" w:eastAsia="en-GB"/>
        </w:rPr>
        <w:t>, 2025)</w:t>
      </w:r>
      <w:r w:rsidR="00EB5F12" w:rsidRPr="00CB69D7">
        <w:rPr>
          <w:rFonts w:ascii="Arial" w:hAnsi="Arial" w:cs="Arial"/>
          <w:color w:val="000000"/>
          <w:sz w:val="22"/>
          <w:lang w:val="en-GB" w:eastAsia="en-GB"/>
        </w:rPr>
        <w:t xml:space="preserve"> adopted a landmark resolution making chronic </w:t>
      </w:r>
      <w:r w:rsidR="00EB5F12" w:rsidRPr="00EB5F12">
        <w:rPr>
          <w:rFonts w:ascii="Arial" w:hAnsi="Arial" w:cs="Arial"/>
          <w:sz w:val="22"/>
          <w:lang w:val="en-GB" w:eastAsia="en-GB"/>
        </w:rPr>
        <w:t>kidney disease (CKD) affecting 850 million people globally and 7.2 million in the UK</w:t>
      </w:r>
      <w:r w:rsidR="00832F65">
        <w:rPr>
          <w:rFonts w:ascii="Arial" w:hAnsi="Arial" w:cs="Arial"/>
          <w:sz w:val="22"/>
          <w:lang w:val="en-GB" w:eastAsia="en-GB"/>
        </w:rPr>
        <w:t xml:space="preserve"> </w:t>
      </w:r>
      <w:r w:rsidR="00EB5F12" w:rsidRPr="00EB5F12">
        <w:rPr>
          <w:rFonts w:ascii="Arial" w:hAnsi="Arial" w:cs="Arial"/>
          <w:sz w:val="22"/>
          <w:lang w:val="en-GB" w:eastAsia="en-GB"/>
        </w:rPr>
        <w:t>a global health priority.</w:t>
      </w:r>
    </w:p>
    <w:p w14:paraId="4B12693C" w14:textId="38EE7616" w:rsidR="00E41C4B" w:rsidRPr="007A2ABF" w:rsidRDefault="00E41C4B" w:rsidP="00F648CC">
      <w:pPr>
        <w:pStyle w:val="Heading1"/>
        <w:spacing w:line="360" w:lineRule="auto"/>
        <w:jc w:val="both"/>
        <w:rPr>
          <w:rFonts w:ascii="Arial" w:hAnsi="Arial" w:cs="Arial"/>
        </w:rPr>
      </w:pPr>
      <w:bookmarkStart w:id="11" w:name="_Toc243595744"/>
      <w:r w:rsidRPr="007A2ABF">
        <w:rPr>
          <w:rFonts w:ascii="Arial" w:hAnsi="Arial" w:cs="Arial"/>
        </w:rPr>
        <w:t>Risk factors/</w:t>
      </w:r>
      <w:r w:rsidR="001F3F0F" w:rsidRPr="007A2ABF">
        <w:rPr>
          <w:rFonts w:ascii="Arial" w:hAnsi="Arial" w:cs="Arial"/>
        </w:rPr>
        <w:t>aetiology!</w:t>
      </w:r>
      <w:bookmarkEnd w:id="11"/>
    </w:p>
    <w:p w14:paraId="117339D2" w14:textId="019F836F" w:rsidR="00E41C4B" w:rsidRPr="00E41C4B" w:rsidRDefault="00E41C4B" w:rsidP="0037529B">
      <w:pPr>
        <w:spacing w:line="360" w:lineRule="auto"/>
        <w:rPr>
          <w:rFonts w:ascii="Arial" w:hAnsi="Arial" w:cs="Arial"/>
          <w:sz w:val="22"/>
        </w:rPr>
      </w:pPr>
      <w:r w:rsidRPr="00E41C4B">
        <w:rPr>
          <w:rFonts w:ascii="Arial" w:hAnsi="Arial" w:cs="Arial"/>
          <w:sz w:val="22"/>
        </w:rPr>
        <w:t xml:space="preserve">Diabetes, hypertension, glomerular disorders, inherited conditions, and </w:t>
      </w:r>
      <w:r w:rsidR="005E1E16" w:rsidRPr="00E41C4B">
        <w:rPr>
          <w:rFonts w:ascii="Arial" w:hAnsi="Arial" w:cs="Arial"/>
          <w:sz w:val="22"/>
        </w:rPr>
        <w:t>earlier</w:t>
      </w:r>
      <w:r w:rsidRPr="00E41C4B">
        <w:rPr>
          <w:rFonts w:ascii="Arial" w:hAnsi="Arial" w:cs="Arial"/>
          <w:sz w:val="22"/>
        </w:rPr>
        <w:t xml:space="preserve"> kidney injury are major causes. Poverty, unequal access to tests, health literacy and environmental exposures can also shape disease risk and </w:t>
      </w:r>
      <w:r w:rsidR="005E1E16" w:rsidRPr="00E41C4B">
        <w:rPr>
          <w:rFonts w:ascii="Arial" w:hAnsi="Arial" w:cs="Arial"/>
          <w:sz w:val="22"/>
        </w:rPr>
        <w:t>prompt</w:t>
      </w:r>
      <w:r w:rsidRPr="00E41C4B">
        <w:rPr>
          <w:rFonts w:ascii="Arial" w:hAnsi="Arial" w:cs="Arial"/>
          <w:sz w:val="22"/>
        </w:rPr>
        <w:t xml:space="preserve"> care (Crews et al., 2019).</w:t>
      </w:r>
      <w:r w:rsidR="004E494B">
        <w:rPr>
          <w:rFonts w:ascii="Arial" w:hAnsi="Arial" w:cs="Arial"/>
          <w:sz w:val="22"/>
        </w:rPr>
        <w:t xml:space="preserve"> </w:t>
      </w:r>
      <w:r w:rsidRPr="000567F6">
        <w:rPr>
          <w:rFonts w:ascii="Arial" w:hAnsi="Arial" w:cs="Arial"/>
          <w:color w:val="000000" w:themeColor="text1"/>
          <w:sz w:val="22"/>
        </w:rPr>
        <w:t xml:space="preserve">Modifiable risk factors include </w:t>
      </w:r>
      <w:r w:rsidRPr="00E41C4B">
        <w:rPr>
          <w:rFonts w:ascii="Arial" w:hAnsi="Arial" w:cs="Arial"/>
          <w:sz w:val="22"/>
        </w:rPr>
        <w:t>poorly controlled diabetes and hypertension, smoking, excess weight, high sodium intake</w:t>
      </w:r>
      <w:r w:rsidR="005E1E16" w:rsidRPr="00E41C4B">
        <w:rPr>
          <w:rFonts w:ascii="Arial" w:hAnsi="Arial" w:cs="Arial"/>
          <w:sz w:val="22"/>
        </w:rPr>
        <w:t>,</w:t>
      </w:r>
      <w:r w:rsidRPr="00E41C4B">
        <w:rPr>
          <w:rFonts w:ascii="Arial" w:hAnsi="Arial" w:cs="Arial"/>
          <w:sz w:val="22"/>
        </w:rPr>
        <w:t xml:space="preserve"> and avoidable exposure to nephrotoxic drugs</w:t>
      </w:r>
      <w:r w:rsidR="00F9141F">
        <w:rPr>
          <w:rFonts w:ascii="Arial" w:hAnsi="Arial" w:cs="Arial"/>
          <w:sz w:val="22"/>
        </w:rPr>
        <w:t xml:space="preserve"> </w:t>
      </w:r>
      <w:r w:rsidR="00D239DD">
        <w:rPr>
          <w:rFonts w:ascii="Arial" w:hAnsi="Arial" w:cs="Arial"/>
          <w:sz w:val="22"/>
        </w:rPr>
        <w:t>(</w:t>
      </w:r>
      <w:r w:rsidR="003965E4">
        <w:rPr>
          <w:rFonts w:ascii="Arial" w:hAnsi="Arial" w:cs="Arial"/>
          <w:sz w:val="22"/>
        </w:rPr>
        <w:t>R</w:t>
      </w:r>
      <w:r w:rsidR="00812D6D">
        <w:rPr>
          <w:rFonts w:ascii="Arial" w:hAnsi="Arial" w:cs="Arial"/>
          <w:sz w:val="22"/>
        </w:rPr>
        <w:t>omag</w:t>
      </w:r>
      <w:r w:rsidR="00092E0B">
        <w:rPr>
          <w:rFonts w:ascii="Arial" w:hAnsi="Arial" w:cs="Arial"/>
          <w:sz w:val="22"/>
        </w:rPr>
        <w:t>nani</w:t>
      </w:r>
      <w:r w:rsidR="00F9141F">
        <w:rPr>
          <w:rFonts w:ascii="Arial" w:hAnsi="Arial" w:cs="Arial"/>
          <w:sz w:val="22"/>
        </w:rPr>
        <w:t xml:space="preserve"> </w:t>
      </w:r>
      <w:r w:rsidR="00092E0B">
        <w:rPr>
          <w:rFonts w:ascii="Arial" w:hAnsi="Arial" w:cs="Arial"/>
          <w:sz w:val="22"/>
        </w:rPr>
        <w:t>et al.,</w:t>
      </w:r>
      <w:r w:rsidR="005A4230">
        <w:rPr>
          <w:rFonts w:ascii="Arial" w:hAnsi="Arial" w:cs="Arial"/>
          <w:sz w:val="22"/>
        </w:rPr>
        <w:t xml:space="preserve"> 2017)</w:t>
      </w:r>
      <w:r w:rsidRPr="00E41C4B">
        <w:rPr>
          <w:rFonts w:ascii="Arial" w:hAnsi="Arial" w:cs="Arial"/>
          <w:sz w:val="22"/>
        </w:rPr>
        <w:t xml:space="preserve">. These factors can </w:t>
      </w:r>
      <w:bookmarkStart w:id="12" w:name="_Int_Cgrgqy2P"/>
      <w:r w:rsidRPr="00E41C4B">
        <w:rPr>
          <w:rFonts w:ascii="Arial" w:hAnsi="Arial" w:cs="Arial"/>
          <w:sz w:val="22"/>
        </w:rPr>
        <w:t>be addressed</w:t>
      </w:r>
      <w:bookmarkEnd w:id="12"/>
      <w:r w:rsidRPr="00E41C4B">
        <w:rPr>
          <w:rFonts w:ascii="Arial" w:hAnsi="Arial" w:cs="Arial"/>
          <w:sz w:val="22"/>
        </w:rPr>
        <w:t xml:space="preserve"> through individualised medicines, prevention</w:t>
      </w:r>
      <w:r w:rsidR="005E1E16" w:rsidRPr="00E41C4B">
        <w:rPr>
          <w:rFonts w:ascii="Arial" w:hAnsi="Arial" w:cs="Arial"/>
          <w:sz w:val="22"/>
        </w:rPr>
        <w:t>,</w:t>
      </w:r>
      <w:r w:rsidRPr="00E41C4B">
        <w:rPr>
          <w:rFonts w:ascii="Arial" w:hAnsi="Arial" w:cs="Arial"/>
          <w:sz w:val="22"/>
        </w:rPr>
        <w:t xml:space="preserve"> and supported </w:t>
      </w:r>
      <w:r w:rsidR="00C3148A" w:rsidRPr="00E41C4B">
        <w:rPr>
          <w:rFonts w:ascii="Arial" w:hAnsi="Arial" w:cs="Arial"/>
          <w:sz w:val="22"/>
        </w:rPr>
        <w:t>behavior</w:t>
      </w:r>
      <w:r w:rsidRPr="00E41C4B">
        <w:rPr>
          <w:rFonts w:ascii="Arial" w:hAnsi="Arial" w:cs="Arial"/>
          <w:sz w:val="22"/>
        </w:rPr>
        <w:t xml:space="preserve"> change; however, opportunities to </w:t>
      </w:r>
      <w:r w:rsidR="00C25A83" w:rsidRPr="00E41C4B">
        <w:rPr>
          <w:rFonts w:ascii="Arial" w:hAnsi="Arial" w:cs="Arial"/>
          <w:sz w:val="22"/>
        </w:rPr>
        <w:t>change</w:t>
      </w:r>
      <w:r w:rsidRPr="00E41C4B">
        <w:rPr>
          <w:rFonts w:ascii="Arial" w:hAnsi="Arial" w:cs="Arial"/>
          <w:sz w:val="22"/>
        </w:rPr>
        <w:t xml:space="preserve"> depend on income, food access</w:t>
      </w:r>
      <w:r w:rsidR="005E1E16" w:rsidRPr="00E41C4B">
        <w:rPr>
          <w:rFonts w:ascii="Arial" w:hAnsi="Arial" w:cs="Arial"/>
          <w:sz w:val="22"/>
        </w:rPr>
        <w:t>,</w:t>
      </w:r>
      <w:r w:rsidRPr="00E41C4B">
        <w:rPr>
          <w:rFonts w:ascii="Arial" w:hAnsi="Arial" w:cs="Arial"/>
          <w:sz w:val="22"/>
        </w:rPr>
        <w:t xml:space="preserve"> and continuity of care (NICE, 2021; Crews et al., 2019).</w:t>
      </w:r>
    </w:p>
    <w:p w14:paraId="530ADD8C" w14:textId="46E60081" w:rsidR="00E41C4B" w:rsidRDefault="00E41C4B" w:rsidP="0037529B">
      <w:pPr>
        <w:spacing w:line="360" w:lineRule="auto"/>
        <w:rPr>
          <w:rFonts w:ascii="Arial" w:hAnsi="Arial" w:cs="Arial"/>
          <w:sz w:val="22"/>
        </w:rPr>
      </w:pPr>
      <w:r w:rsidRPr="000567F6">
        <w:rPr>
          <w:rFonts w:ascii="Arial" w:hAnsi="Arial" w:cs="Arial"/>
          <w:color w:val="000000" w:themeColor="text1"/>
          <w:sz w:val="22"/>
        </w:rPr>
        <w:t xml:space="preserve">Non-modifiable risk factors include older age, </w:t>
      </w:r>
      <w:r w:rsidRPr="00E41C4B">
        <w:rPr>
          <w:rFonts w:ascii="Arial" w:hAnsi="Arial" w:cs="Arial"/>
          <w:sz w:val="22"/>
        </w:rPr>
        <w:t>family history, inherited kidney conditions</w:t>
      </w:r>
      <w:r w:rsidR="005E1E16" w:rsidRPr="00E41C4B">
        <w:rPr>
          <w:rFonts w:ascii="Arial" w:hAnsi="Arial" w:cs="Arial"/>
          <w:sz w:val="22"/>
        </w:rPr>
        <w:t>,</w:t>
      </w:r>
      <w:r w:rsidRPr="00E41C4B">
        <w:rPr>
          <w:rFonts w:ascii="Arial" w:hAnsi="Arial" w:cs="Arial"/>
          <w:sz w:val="22"/>
        </w:rPr>
        <w:t xml:space="preserve"> and congenital structural abnormalities. Such factors inform targeted assessment rather than implying inevitable progression. Ethnicity may correlate with unequal disease burden but should not </w:t>
      </w:r>
      <w:bookmarkStart w:id="13" w:name="_Int_9Y5S4AU5"/>
      <w:r w:rsidRPr="00E41C4B">
        <w:rPr>
          <w:rFonts w:ascii="Arial" w:hAnsi="Arial" w:cs="Arial"/>
          <w:sz w:val="22"/>
        </w:rPr>
        <w:t>be treated</w:t>
      </w:r>
      <w:bookmarkEnd w:id="13"/>
      <w:r w:rsidRPr="00E41C4B">
        <w:rPr>
          <w:rFonts w:ascii="Arial" w:hAnsi="Arial" w:cs="Arial"/>
          <w:sz w:val="22"/>
        </w:rPr>
        <w:t xml:space="preserve"> as a biological explanation without examining social determinants and access to care (KDIGO, 2024; Crews et al., 2019).</w:t>
      </w:r>
      <w:r w:rsidR="00CF086F">
        <w:rPr>
          <w:rFonts w:ascii="Arial" w:hAnsi="Arial" w:cs="Arial"/>
          <w:sz w:val="22"/>
        </w:rPr>
        <w:t xml:space="preserve"> </w:t>
      </w:r>
      <w:r w:rsidRPr="00E41C4B">
        <w:rPr>
          <w:rFonts w:ascii="Arial" w:hAnsi="Arial" w:cs="Arial"/>
          <w:sz w:val="22"/>
        </w:rPr>
        <w:t>Clinical assessment should investigate medication exposure, family history</w:t>
      </w:r>
      <w:r w:rsidR="005E1E16" w:rsidRPr="00E41C4B">
        <w:rPr>
          <w:rFonts w:ascii="Arial" w:hAnsi="Arial" w:cs="Arial"/>
          <w:sz w:val="22"/>
        </w:rPr>
        <w:t>,</w:t>
      </w:r>
      <w:r w:rsidRPr="00E41C4B">
        <w:rPr>
          <w:rFonts w:ascii="Arial" w:hAnsi="Arial" w:cs="Arial"/>
          <w:sz w:val="22"/>
        </w:rPr>
        <w:t xml:space="preserve"> and </w:t>
      </w:r>
      <w:bookmarkStart w:id="14" w:name="_Int_z5MkNd7k"/>
      <w:r w:rsidRPr="00E41C4B">
        <w:rPr>
          <w:rFonts w:ascii="Arial" w:hAnsi="Arial" w:cs="Arial"/>
          <w:sz w:val="22"/>
        </w:rPr>
        <w:t>previous</w:t>
      </w:r>
      <w:bookmarkEnd w:id="14"/>
      <w:r w:rsidRPr="00E41C4B">
        <w:rPr>
          <w:rFonts w:ascii="Arial" w:hAnsi="Arial" w:cs="Arial"/>
          <w:sz w:val="22"/>
        </w:rPr>
        <w:t xml:space="preserve"> acute kidney injury (KDIGO, 2024).</w:t>
      </w:r>
    </w:p>
    <w:p w14:paraId="1BD8245E" w14:textId="77777777" w:rsidR="003572D0" w:rsidRPr="00E41C4B" w:rsidRDefault="003572D0" w:rsidP="00F648CC">
      <w:pPr>
        <w:spacing w:line="360" w:lineRule="auto"/>
        <w:jc w:val="both"/>
        <w:rPr>
          <w:rFonts w:ascii="Arial" w:hAnsi="Arial" w:cs="Arial"/>
          <w:sz w:val="22"/>
        </w:rPr>
      </w:pPr>
    </w:p>
    <w:p w14:paraId="35EEF94E" w14:textId="77777777" w:rsidR="00CF086F" w:rsidRDefault="00CF086F" w:rsidP="00F648CC">
      <w:pPr>
        <w:spacing w:line="360" w:lineRule="auto"/>
        <w:jc w:val="both"/>
        <w:rPr>
          <w:rFonts w:ascii="Arial" w:hAnsi="Arial" w:cs="Arial"/>
          <w:sz w:val="22"/>
        </w:rPr>
      </w:pPr>
    </w:p>
    <w:p w14:paraId="1A163B6A" w14:textId="5F598BE8" w:rsidR="00DA1D75" w:rsidRPr="005678E9" w:rsidRDefault="00DA1D75" w:rsidP="00F648CC">
      <w:pPr>
        <w:spacing w:before="200" w:after="0" w:line="360" w:lineRule="auto"/>
        <w:jc w:val="both"/>
        <w:rPr>
          <w:rFonts w:ascii="Arial" w:hAnsi="Arial" w:cs="Arial"/>
          <w:color w:val="000000"/>
          <w:sz w:val="22"/>
          <w:lang w:val="en-GB" w:eastAsia="en-GB"/>
        </w:rPr>
      </w:pPr>
      <w:r w:rsidRPr="005678E9">
        <w:rPr>
          <w:rFonts w:ascii="Arial" w:hAnsi="Arial" w:cs="Arial"/>
          <w:color w:val="000000"/>
          <w:sz w:val="22"/>
          <w:lang w:val="en-GB" w:eastAsia="en-GB"/>
        </w:rPr>
        <w:t xml:space="preserve">Addressing this growing epidemiological trajectory </w:t>
      </w:r>
      <w:bookmarkStart w:id="15" w:name="_Int_mwyN1B2t"/>
      <w:r w:rsidRPr="005678E9">
        <w:rPr>
          <w:rFonts w:ascii="Arial" w:hAnsi="Arial" w:cs="Arial"/>
          <w:color w:val="000000"/>
          <w:sz w:val="22"/>
          <w:lang w:val="en-GB" w:eastAsia="en-GB"/>
        </w:rPr>
        <w:t>necessitates</w:t>
      </w:r>
      <w:bookmarkEnd w:id="15"/>
      <w:r w:rsidRPr="005678E9">
        <w:rPr>
          <w:rFonts w:ascii="Arial" w:hAnsi="Arial" w:cs="Arial"/>
          <w:color w:val="000000"/>
          <w:sz w:val="22"/>
          <w:lang w:val="en-GB" w:eastAsia="en-GB"/>
        </w:rPr>
        <w:t xml:space="preserve"> moving beyond passive epidemiological tracking toward proactive, system-wide health interventions (Tonelli et al., 2025). Translating clinical guidelines into population-level risk reduction requires structured chronic care models that integrate clinical management with community-level preventive initiatives (Wagner et al., 2001). Furthermore, addressing structural health inequalities demands inclusion-focused frameworks to ensure vulnerable and marginali</w:t>
      </w:r>
      <w:r w:rsidR="00E5077D">
        <w:rPr>
          <w:rFonts w:ascii="Arial" w:hAnsi="Arial" w:cs="Arial"/>
          <w:color w:val="000000"/>
          <w:sz w:val="22"/>
          <w:lang w:val="en-GB" w:eastAsia="en-GB"/>
        </w:rPr>
        <w:t>s</w:t>
      </w:r>
      <w:r w:rsidRPr="005678E9">
        <w:rPr>
          <w:rFonts w:ascii="Arial" w:hAnsi="Arial" w:cs="Arial"/>
          <w:color w:val="000000"/>
          <w:sz w:val="22"/>
          <w:lang w:val="en-GB" w:eastAsia="en-GB"/>
        </w:rPr>
        <w:t xml:space="preserve">ed demographics receive </w:t>
      </w:r>
      <w:r w:rsidR="006A71C6" w:rsidRPr="005678E9">
        <w:rPr>
          <w:rFonts w:ascii="Arial" w:hAnsi="Arial" w:cs="Arial"/>
          <w:color w:val="000000"/>
          <w:sz w:val="22"/>
          <w:lang w:val="en-GB" w:eastAsia="en-GB"/>
        </w:rPr>
        <w:t>prompt</w:t>
      </w:r>
      <w:r w:rsidRPr="005678E9">
        <w:rPr>
          <w:rFonts w:ascii="Arial" w:hAnsi="Arial" w:cs="Arial"/>
          <w:color w:val="000000"/>
          <w:sz w:val="22"/>
          <w:lang w:val="en-GB" w:eastAsia="en-GB"/>
        </w:rPr>
        <w:t xml:space="preserve"> diagnostic screening, evidence-based cardiorenal therapies, and </w:t>
      </w:r>
      <w:bookmarkStart w:id="16" w:name="_Int_6Lw8RtNt"/>
      <w:r w:rsidRPr="005678E9">
        <w:rPr>
          <w:rFonts w:ascii="Arial" w:hAnsi="Arial" w:cs="Arial"/>
          <w:color w:val="000000"/>
          <w:sz w:val="22"/>
          <w:lang w:val="en-GB" w:eastAsia="en-GB"/>
        </w:rPr>
        <w:t>equitable</w:t>
      </w:r>
      <w:bookmarkEnd w:id="16"/>
      <w:r w:rsidRPr="005678E9">
        <w:rPr>
          <w:rFonts w:ascii="Arial" w:hAnsi="Arial" w:cs="Arial"/>
          <w:color w:val="000000"/>
          <w:sz w:val="22"/>
          <w:lang w:val="en-GB" w:eastAsia="en-GB"/>
        </w:rPr>
        <w:t xml:space="preserve"> social care evaluations (England, 2023; NHS England, 2019). Consequently, mitigating global and national CKD expansion requires aligning clinical risk factor modification with social care infrastructure to dismantle pervasive health disparities (Barnes et al., 2017; Bennett et al., 2018).</w:t>
      </w:r>
    </w:p>
    <w:p w14:paraId="2D80B45E" w14:textId="77777777" w:rsidR="004C4E3F" w:rsidRDefault="004C4E3F" w:rsidP="00F648CC">
      <w:pPr>
        <w:spacing w:line="360" w:lineRule="auto"/>
        <w:jc w:val="both"/>
        <w:rPr>
          <w:rFonts w:ascii="Arial" w:hAnsi="Arial" w:cs="Arial"/>
          <w:sz w:val="22"/>
        </w:rPr>
      </w:pPr>
    </w:p>
    <w:p w14:paraId="224F9CBF" w14:textId="77777777" w:rsidR="00CF086F" w:rsidRPr="00E41C4B" w:rsidRDefault="00CF086F" w:rsidP="00F648CC">
      <w:pPr>
        <w:spacing w:line="360" w:lineRule="auto"/>
        <w:jc w:val="both"/>
        <w:rPr>
          <w:rFonts w:ascii="Arial" w:hAnsi="Arial" w:cs="Arial"/>
          <w:sz w:val="22"/>
        </w:rPr>
      </w:pPr>
    </w:p>
    <w:p w14:paraId="0F7F7B45" w14:textId="6C0A1425" w:rsidR="00880A8E" w:rsidRDefault="00B50934" w:rsidP="00F648CC">
      <w:pPr>
        <w:spacing w:line="360" w:lineRule="auto"/>
        <w:jc w:val="both"/>
        <w:rPr>
          <w:rFonts w:ascii="Arial" w:hAnsi="Arial" w:cs="Arial"/>
          <w:sz w:val="22"/>
        </w:rPr>
      </w:pPr>
      <w:r w:rsidRPr="003E41BD">
        <w:rPr>
          <w:rFonts w:ascii="Arial" w:hAnsi="Arial" w:cs="Arial"/>
          <w:noProof/>
          <w:sz w:val="22"/>
        </w:rPr>
        <w:drawing>
          <wp:inline distT="0" distB="0" distL="0" distR="0" wp14:anchorId="59B3BD0F" wp14:editId="5F68DEC2">
            <wp:extent cx="5372100" cy="4273550"/>
            <wp:effectExtent l="0" t="0" r="0" b="0"/>
            <wp:docPr id="1353061283" name="Picture 135306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970D561-E94A-4016-A738-79DB50913F12.jpeg"/>
                    <pic:cNvPicPr/>
                  </pic:nvPicPr>
                  <pic:blipFill>
                    <a:blip r:embed="rId10"/>
                    <a:stretch>
                      <a:fillRect/>
                    </a:stretch>
                  </pic:blipFill>
                  <pic:spPr>
                    <a:xfrm>
                      <a:off x="0" y="0"/>
                      <a:ext cx="5372100" cy="4273550"/>
                    </a:xfrm>
                    <a:prstGeom prst="rect">
                      <a:avLst/>
                    </a:prstGeom>
                  </pic:spPr>
                </pic:pic>
              </a:graphicData>
            </a:graphic>
          </wp:inline>
        </w:drawing>
      </w:r>
    </w:p>
    <w:p w14:paraId="6BC8FC54" w14:textId="71626568" w:rsidR="00880A8E" w:rsidRDefault="00880A8E" w:rsidP="00F648CC">
      <w:pPr>
        <w:spacing w:line="360" w:lineRule="auto"/>
        <w:jc w:val="both"/>
        <w:rPr>
          <w:rFonts w:ascii="Arial" w:hAnsi="Arial" w:cs="Arial"/>
          <w:sz w:val="22"/>
        </w:rPr>
      </w:pPr>
    </w:p>
    <w:p w14:paraId="1A910B8F" w14:textId="20545CCF" w:rsidR="00E41C4B" w:rsidRPr="003E41BD" w:rsidRDefault="00E41C4B" w:rsidP="0037529B">
      <w:pPr>
        <w:spacing w:line="360" w:lineRule="auto"/>
        <w:rPr>
          <w:rFonts w:ascii="Arial" w:hAnsi="Arial" w:cs="Arial"/>
          <w:sz w:val="22"/>
        </w:rPr>
      </w:pPr>
      <w:r w:rsidRPr="005F1A9B">
        <w:rPr>
          <w:rFonts w:ascii="Arial" w:hAnsi="Arial" w:cs="Arial"/>
          <w:b/>
          <w:bCs/>
          <w:sz w:val="22"/>
        </w:rPr>
        <w:t>Figure 2</w:t>
      </w:r>
      <w:r w:rsidR="00FA1C62">
        <w:rPr>
          <w:rFonts w:ascii="Arial" w:hAnsi="Arial" w:cs="Arial"/>
          <w:b/>
          <w:bCs/>
          <w:sz w:val="22"/>
        </w:rPr>
        <w:t xml:space="preserve">: </w:t>
      </w:r>
      <w:r w:rsidRPr="003E41BD">
        <w:rPr>
          <w:rFonts w:ascii="Arial" w:hAnsi="Arial" w:cs="Arial"/>
          <w:sz w:val="22"/>
        </w:rPr>
        <w:t xml:space="preserve"> Stages of CKD and eGFR levels. Image supplied by user; branding and source shown in image.</w:t>
      </w:r>
    </w:p>
    <w:p w14:paraId="4975388D" w14:textId="77777777" w:rsidR="00E41C4B" w:rsidRPr="003E41BD" w:rsidRDefault="00E41C4B" w:rsidP="00F648CC">
      <w:pPr>
        <w:spacing w:line="360" w:lineRule="auto"/>
        <w:jc w:val="both"/>
        <w:rPr>
          <w:rFonts w:ascii="Arial" w:hAnsi="Arial" w:cs="Arial"/>
          <w:sz w:val="22"/>
        </w:rPr>
      </w:pPr>
      <w:r w:rsidRPr="003E41BD">
        <w:rPr>
          <w:rFonts w:ascii="Arial" w:hAnsi="Arial" w:cs="Arial"/>
          <w:sz w:val="22"/>
        </w:rPr>
        <w:t>Critical note: the image groups G3a and G3b together as “Stage 3”; KDIGO (2024) separates G3a (45–59) and G3b (30–44). G1 and G2 require other evidence of kidney damage.</w:t>
      </w:r>
    </w:p>
    <w:p w14:paraId="31075DA1" w14:textId="1D7C2702" w:rsidR="00E41C4B" w:rsidRPr="00FA3F09" w:rsidRDefault="00E41C4B" w:rsidP="00F648CC">
      <w:pPr>
        <w:pStyle w:val="Heading1"/>
        <w:spacing w:line="360" w:lineRule="auto"/>
        <w:jc w:val="both"/>
        <w:rPr>
          <w:rFonts w:ascii="Arial" w:hAnsi="Arial" w:cs="Arial"/>
        </w:rPr>
      </w:pPr>
      <w:bookmarkStart w:id="17" w:name="_Toc243595745"/>
      <w:r w:rsidRPr="00FA3F09">
        <w:rPr>
          <w:rFonts w:ascii="Arial" w:hAnsi="Arial" w:cs="Arial"/>
        </w:rPr>
        <w:t>Physical, psychological, and social impacts</w:t>
      </w:r>
      <w:bookmarkEnd w:id="17"/>
    </w:p>
    <w:p w14:paraId="029FAC41" w14:textId="77777777" w:rsidR="00E41C4B" w:rsidRPr="00E41C4B" w:rsidRDefault="00E41C4B" w:rsidP="00F648CC">
      <w:pPr>
        <w:spacing w:line="360" w:lineRule="auto"/>
        <w:jc w:val="both"/>
        <w:rPr>
          <w:rFonts w:ascii="Arial" w:hAnsi="Arial" w:cs="Arial"/>
          <w:sz w:val="22"/>
        </w:rPr>
      </w:pPr>
      <w:r w:rsidRPr="00E41C4B">
        <w:rPr>
          <w:rFonts w:ascii="Arial" w:hAnsi="Arial" w:cs="Arial"/>
          <w:sz w:val="22"/>
        </w:rPr>
        <w:t>CKD can cause fatigue, anaemia, fluid overload, pruritus, sleep disturbance, mineral-bone disorders, and cardiovascular complications (KDIGO, 2024). Albuminuria and reduced eGFR independently predict cardiovascular events and mortality (Go et al., 2004; Matsushita et al., 2010). Symptoms correlate imperfectly with laboratory indices, so patient-reported outcomes matter alongside clinical measurements.</w:t>
      </w:r>
    </w:p>
    <w:p w14:paraId="429FE705" w14:textId="18D74DCD" w:rsidR="00E41C4B" w:rsidRPr="00E41C4B" w:rsidRDefault="00E41C4B" w:rsidP="00F648CC">
      <w:pPr>
        <w:spacing w:line="360" w:lineRule="auto"/>
        <w:jc w:val="both"/>
        <w:rPr>
          <w:rFonts w:ascii="Arial" w:hAnsi="Arial" w:cs="Arial"/>
          <w:sz w:val="22"/>
        </w:rPr>
      </w:pPr>
      <w:r w:rsidRPr="00E41C4B">
        <w:rPr>
          <w:rFonts w:ascii="Arial" w:hAnsi="Arial" w:cs="Arial"/>
          <w:sz w:val="22"/>
        </w:rPr>
        <w:t xml:space="preserve">Fatigue and </w:t>
      </w:r>
      <w:r w:rsidR="00E0190F" w:rsidRPr="00E41C4B">
        <w:rPr>
          <w:rFonts w:ascii="Arial" w:hAnsi="Arial" w:cs="Arial"/>
          <w:sz w:val="22"/>
        </w:rPr>
        <w:t>anemia</w:t>
      </w:r>
      <w:r w:rsidRPr="00E41C4B">
        <w:rPr>
          <w:rFonts w:ascii="Arial" w:hAnsi="Arial" w:cs="Arial"/>
          <w:sz w:val="22"/>
        </w:rPr>
        <w:t xml:space="preserve"> can restrict walking, work</w:t>
      </w:r>
      <w:r w:rsidR="00FE4E36" w:rsidRPr="00E41C4B">
        <w:rPr>
          <w:rFonts w:ascii="Arial" w:hAnsi="Arial" w:cs="Arial"/>
          <w:sz w:val="22"/>
        </w:rPr>
        <w:t>,</w:t>
      </w:r>
      <w:r w:rsidRPr="00E41C4B">
        <w:rPr>
          <w:rFonts w:ascii="Arial" w:hAnsi="Arial" w:cs="Arial"/>
          <w:sz w:val="22"/>
        </w:rPr>
        <w:t xml:space="preserve"> and participation in ordinary family activities. Fluid restriction, multiple medicines</w:t>
      </w:r>
      <w:r w:rsidR="00FE4E36" w:rsidRPr="00E41C4B">
        <w:rPr>
          <w:rFonts w:ascii="Arial" w:hAnsi="Arial" w:cs="Arial"/>
          <w:sz w:val="22"/>
        </w:rPr>
        <w:t>,</w:t>
      </w:r>
      <w:r w:rsidRPr="00E41C4B">
        <w:rPr>
          <w:rFonts w:ascii="Arial" w:hAnsi="Arial" w:cs="Arial"/>
          <w:sz w:val="22"/>
        </w:rPr>
        <w:t xml:space="preserve"> and dialysis schedules can reduce independence. However, severity cannot </w:t>
      </w:r>
      <w:bookmarkStart w:id="18" w:name="_Int_qydKeNwX"/>
      <w:r w:rsidRPr="00E41C4B">
        <w:rPr>
          <w:rFonts w:ascii="Arial" w:hAnsi="Arial" w:cs="Arial"/>
          <w:sz w:val="22"/>
        </w:rPr>
        <w:t>be inferred</w:t>
      </w:r>
      <w:bookmarkEnd w:id="18"/>
      <w:r w:rsidRPr="00E41C4B">
        <w:rPr>
          <w:rFonts w:ascii="Arial" w:hAnsi="Arial" w:cs="Arial"/>
          <w:sz w:val="22"/>
        </w:rPr>
        <w:t xml:space="preserve"> from the CKD stage alone: clinicians should ask patients what symptoms prevent them from doing, and weigh treatment benefits against disruption and adverse effects (Morton et al., 2010).</w:t>
      </w:r>
    </w:p>
    <w:p w14:paraId="0B6E8782" w14:textId="579E5275" w:rsidR="00E41C4B" w:rsidRPr="00E41C4B" w:rsidRDefault="00E41C4B" w:rsidP="0037529B">
      <w:pPr>
        <w:spacing w:line="360" w:lineRule="auto"/>
        <w:rPr>
          <w:rFonts w:ascii="Arial" w:hAnsi="Arial" w:cs="Arial"/>
          <w:sz w:val="22"/>
        </w:rPr>
      </w:pPr>
      <w:r w:rsidRPr="00FE4281">
        <w:rPr>
          <w:rFonts w:ascii="Arial" w:hAnsi="Arial" w:cs="Arial"/>
          <w:color w:val="000000" w:themeColor="text1"/>
          <w:sz w:val="22"/>
        </w:rPr>
        <w:t xml:space="preserve">Psychological consequences </w:t>
      </w:r>
      <w:r w:rsidRPr="00E41C4B">
        <w:rPr>
          <w:rFonts w:ascii="Arial" w:hAnsi="Arial" w:cs="Arial"/>
          <w:sz w:val="22"/>
        </w:rPr>
        <w:t>include uncertainty, fear of progression and depression (Palmer et al., 2013). Anxiety may intensify around declining blood results, dialysis preparation</w:t>
      </w:r>
      <w:r w:rsidR="00FE4E36" w:rsidRPr="00E41C4B">
        <w:rPr>
          <w:rFonts w:ascii="Arial" w:hAnsi="Arial" w:cs="Arial"/>
          <w:sz w:val="22"/>
        </w:rPr>
        <w:t>,</w:t>
      </w:r>
      <w:r w:rsidRPr="00E41C4B">
        <w:rPr>
          <w:rFonts w:ascii="Arial" w:hAnsi="Arial" w:cs="Arial"/>
          <w:sz w:val="22"/>
        </w:rPr>
        <w:t xml:space="preserve"> and transplant eligibility. Depression screening can </w:t>
      </w:r>
      <w:bookmarkStart w:id="19" w:name="_Int_pV898M3l"/>
      <w:r w:rsidRPr="00E41C4B">
        <w:rPr>
          <w:rFonts w:ascii="Arial" w:hAnsi="Arial" w:cs="Arial"/>
          <w:sz w:val="22"/>
        </w:rPr>
        <w:t>identify</w:t>
      </w:r>
      <w:bookmarkEnd w:id="19"/>
      <w:r w:rsidRPr="00E41C4B">
        <w:rPr>
          <w:rFonts w:ascii="Arial" w:hAnsi="Arial" w:cs="Arial"/>
          <w:sz w:val="22"/>
        </w:rPr>
        <w:t xml:space="preserve"> unmet needs, but fatigue and sleep problems may also arise directly from kidney disease. A score should therefore prompt a clinical conversation rather than automatically </w:t>
      </w:r>
      <w:bookmarkStart w:id="20" w:name="_Int_ECFs7eMC"/>
      <w:r w:rsidRPr="00E41C4B">
        <w:rPr>
          <w:rFonts w:ascii="Arial" w:hAnsi="Arial" w:cs="Arial"/>
          <w:sz w:val="22"/>
        </w:rPr>
        <w:t>establish</w:t>
      </w:r>
      <w:bookmarkEnd w:id="20"/>
      <w:r w:rsidRPr="00E41C4B">
        <w:rPr>
          <w:rFonts w:ascii="Arial" w:hAnsi="Arial" w:cs="Arial"/>
          <w:sz w:val="22"/>
        </w:rPr>
        <w:t xml:space="preserve"> a psychiatric diagnosis. Stigma and communication that presents kidney failure as inevitable can further undermine confidence.</w:t>
      </w:r>
    </w:p>
    <w:p w14:paraId="2A5144CB" w14:textId="77777777" w:rsidR="00E41C4B" w:rsidRPr="00E41C4B" w:rsidRDefault="00E41C4B" w:rsidP="0037529B">
      <w:pPr>
        <w:spacing w:line="360" w:lineRule="auto"/>
        <w:rPr>
          <w:rFonts w:ascii="Arial" w:hAnsi="Arial" w:cs="Arial"/>
          <w:sz w:val="22"/>
        </w:rPr>
      </w:pPr>
      <w:r w:rsidRPr="007B3809">
        <w:rPr>
          <w:rFonts w:ascii="Arial" w:hAnsi="Arial" w:cs="Arial"/>
          <w:color w:val="000000" w:themeColor="text1"/>
          <w:sz w:val="22"/>
        </w:rPr>
        <w:t xml:space="preserve">Social consequences </w:t>
      </w:r>
      <w:r w:rsidRPr="00E41C4B">
        <w:rPr>
          <w:rFonts w:ascii="Arial" w:hAnsi="Arial" w:cs="Arial"/>
          <w:sz w:val="22"/>
        </w:rPr>
        <w:t xml:space="preserve">include lost income, travel costs, altered family roles and treatment-related disruption. Home dialysis may offer flexibility but transfers clinical work to households and may be impractical for people without sufficient space, training, or support (Morton et al., 2010). Family carers require assessment rather than </w:t>
      </w:r>
      <w:bookmarkStart w:id="21" w:name="_Int_SOtBIVGA"/>
      <w:r w:rsidRPr="00E41C4B">
        <w:rPr>
          <w:rFonts w:ascii="Arial" w:hAnsi="Arial" w:cs="Arial"/>
          <w:sz w:val="22"/>
        </w:rPr>
        <w:t>being treated</w:t>
      </w:r>
      <w:bookmarkEnd w:id="21"/>
      <w:r w:rsidRPr="00E41C4B">
        <w:rPr>
          <w:rFonts w:ascii="Arial" w:hAnsi="Arial" w:cs="Arial"/>
          <w:sz w:val="22"/>
        </w:rPr>
        <w:t xml:space="preserve"> as an unlimited substitute for funded care. Critical implication: a reduction in albuminuria is incomplete as a measure of success if a patient cannot afford appointments or experiences untreated depression. Whole-person care combines kidney-risk indicators with symptoms, functioning, emotional wellbeing, and carer needs.</w:t>
      </w:r>
    </w:p>
    <w:p w14:paraId="0AC8ECED" w14:textId="057F3963" w:rsidR="00E41C4B" w:rsidRPr="00E41C4B" w:rsidRDefault="00E41C4B" w:rsidP="0037529B">
      <w:pPr>
        <w:spacing w:line="360" w:lineRule="auto"/>
        <w:rPr>
          <w:rFonts w:ascii="Arial" w:hAnsi="Arial" w:cs="Arial"/>
          <w:sz w:val="22"/>
        </w:rPr>
      </w:pPr>
      <w:r w:rsidRPr="007B3809">
        <w:rPr>
          <w:rFonts w:ascii="Arial" w:hAnsi="Arial" w:cs="Arial"/>
          <w:color w:val="000000" w:themeColor="text1"/>
          <w:sz w:val="22"/>
        </w:rPr>
        <w:t xml:space="preserve">Family members may experience </w:t>
      </w:r>
      <w:r w:rsidRPr="00E41C4B">
        <w:rPr>
          <w:rFonts w:ascii="Arial" w:hAnsi="Arial" w:cs="Arial"/>
          <w:sz w:val="22"/>
        </w:rPr>
        <w:t>disrupted employment, emotional strain</w:t>
      </w:r>
      <w:r w:rsidR="00FE4E36" w:rsidRPr="00E41C4B">
        <w:rPr>
          <w:rFonts w:ascii="Arial" w:hAnsi="Arial" w:cs="Arial"/>
          <w:sz w:val="22"/>
        </w:rPr>
        <w:t>,</w:t>
      </w:r>
      <w:r w:rsidRPr="00E41C4B">
        <w:rPr>
          <w:rFonts w:ascii="Arial" w:hAnsi="Arial" w:cs="Arial"/>
          <w:sz w:val="22"/>
        </w:rPr>
        <w:t xml:space="preserve"> and pressure to coordinate complex treatment. Conversely, reliable family support may improve continuity. A critical equity issue is that identical treatment choices are not equally </w:t>
      </w:r>
      <w:r w:rsidR="009A6F54" w:rsidRPr="00E41C4B">
        <w:rPr>
          <w:rFonts w:ascii="Arial" w:hAnsi="Arial" w:cs="Arial"/>
          <w:sz w:val="22"/>
        </w:rPr>
        <w:t>possible</w:t>
      </w:r>
      <w:r w:rsidRPr="00E41C4B">
        <w:rPr>
          <w:rFonts w:ascii="Arial" w:hAnsi="Arial" w:cs="Arial"/>
          <w:sz w:val="22"/>
        </w:rPr>
        <w:t xml:space="preserve"> for people in overcrowded housing or with insecure employment. Care planning should include accessible appointments, welfare advice</w:t>
      </w:r>
      <w:r w:rsidR="00540C72" w:rsidRPr="00E41C4B">
        <w:rPr>
          <w:rFonts w:ascii="Arial" w:hAnsi="Arial" w:cs="Arial"/>
          <w:sz w:val="22"/>
        </w:rPr>
        <w:t>,</w:t>
      </w:r>
      <w:r w:rsidRPr="00E41C4B">
        <w:rPr>
          <w:rFonts w:ascii="Arial" w:hAnsi="Arial" w:cs="Arial"/>
          <w:sz w:val="22"/>
        </w:rPr>
        <w:t xml:space="preserve"> and carer support with patient consent (Crews et al., 2019; Morton et al., 2010).</w:t>
      </w:r>
    </w:p>
    <w:p w14:paraId="5935F705" w14:textId="75337740" w:rsidR="00E41C4B" w:rsidRPr="00230165" w:rsidRDefault="00E41C4B" w:rsidP="00F648CC">
      <w:pPr>
        <w:pStyle w:val="Heading1"/>
        <w:spacing w:line="360" w:lineRule="auto"/>
        <w:jc w:val="both"/>
        <w:rPr>
          <w:rFonts w:ascii="Arial" w:hAnsi="Arial" w:cs="Arial"/>
        </w:rPr>
      </w:pPr>
      <w:bookmarkStart w:id="22" w:name="_Toc243595746"/>
      <w:r w:rsidRPr="00230165">
        <w:rPr>
          <w:rFonts w:ascii="Arial" w:hAnsi="Arial" w:cs="Arial"/>
        </w:rPr>
        <w:t>NHS treatments and clinical decisions</w:t>
      </w:r>
      <w:bookmarkEnd w:id="22"/>
    </w:p>
    <w:p w14:paraId="784EA2C7" w14:textId="30B7A755" w:rsidR="00737004" w:rsidRPr="007B3809" w:rsidRDefault="00737004" w:rsidP="00F648CC">
      <w:pPr>
        <w:spacing w:before="107" w:after="0" w:line="360" w:lineRule="auto"/>
        <w:jc w:val="both"/>
        <w:rPr>
          <w:rFonts w:ascii="Arial" w:hAnsi="Arial" w:cs="Arial"/>
          <w:color w:val="000000"/>
          <w:sz w:val="22"/>
          <w:lang w:val="en-GB" w:eastAsia="en-GB"/>
        </w:rPr>
      </w:pPr>
      <w:r w:rsidRPr="007B3809">
        <w:rPr>
          <w:rFonts w:ascii="Arial" w:hAnsi="Arial" w:cs="Arial"/>
          <w:color w:val="000000"/>
          <w:sz w:val="22"/>
          <w:lang w:val="en-GB" w:eastAsia="en-GB"/>
        </w:rPr>
        <w:t xml:space="preserve">According to NICE guideline NG203 (NICE, 2021; Martinez et al., 2021), evidence-based management of chronic kidney disease requires a structured clinical strategy </w:t>
      </w:r>
      <w:r w:rsidR="007D03F9" w:rsidRPr="007B3809">
        <w:rPr>
          <w:rFonts w:ascii="Arial" w:hAnsi="Arial" w:cs="Arial"/>
          <w:color w:val="000000"/>
          <w:sz w:val="22"/>
          <w:lang w:val="en-GB" w:eastAsia="en-GB"/>
        </w:rPr>
        <w:t>centred</w:t>
      </w:r>
      <w:r w:rsidRPr="007B3809">
        <w:rPr>
          <w:rFonts w:ascii="Arial" w:hAnsi="Arial" w:cs="Arial"/>
          <w:color w:val="000000"/>
          <w:sz w:val="22"/>
          <w:lang w:val="en-GB" w:eastAsia="en-GB"/>
        </w:rPr>
        <w:t xml:space="preserve"> on strict blood pressure optimi</w:t>
      </w:r>
      <w:r w:rsidR="00AF1409">
        <w:rPr>
          <w:rFonts w:ascii="Arial" w:hAnsi="Arial" w:cs="Arial"/>
          <w:color w:val="000000"/>
          <w:sz w:val="22"/>
          <w:lang w:val="en-GB" w:eastAsia="en-GB"/>
        </w:rPr>
        <w:t>s</w:t>
      </w:r>
      <w:r w:rsidRPr="007B3809">
        <w:rPr>
          <w:rFonts w:ascii="Arial" w:hAnsi="Arial" w:cs="Arial"/>
          <w:color w:val="000000"/>
          <w:sz w:val="22"/>
          <w:lang w:val="en-GB" w:eastAsia="en-GB"/>
        </w:rPr>
        <w:t>ation, annual urine albumin-to-creatinine ratio (ACR) quantification, comprehensive medication reviews, and risk-based specialist nephrology referral guided by the Kidney Failure Risk Equation (KFRE). In accordance with national and international recommendations, renin-angiotensin-aldosterone system (RAAS) blockade</w:t>
      </w:r>
      <w:r w:rsidR="00572C5F">
        <w:rPr>
          <w:rFonts w:ascii="Arial" w:hAnsi="Arial" w:cs="Arial"/>
          <w:color w:val="000000"/>
          <w:sz w:val="22"/>
          <w:lang w:val="en-GB" w:eastAsia="en-GB"/>
        </w:rPr>
        <w:t xml:space="preserve"> </w:t>
      </w:r>
      <w:r w:rsidRPr="007B3809">
        <w:rPr>
          <w:rFonts w:ascii="Arial" w:hAnsi="Arial" w:cs="Arial"/>
          <w:color w:val="000000"/>
          <w:sz w:val="22"/>
          <w:lang w:val="en-GB" w:eastAsia="en-GB"/>
        </w:rPr>
        <w:t>using angiotensin-converting enzyme (ACE) inhibitors or angiotensin receptor blockers (ARBs)</w:t>
      </w:r>
      <w:r w:rsidR="00572C5F">
        <w:rPr>
          <w:rFonts w:ascii="Arial" w:hAnsi="Arial" w:cs="Arial"/>
          <w:color w:val="000000"/>
          <w:sz w:val="22"/>
          <w:lang w:val="en-GB" w:eastAsia="en-GB"/>
        </w:rPr>
        <w:t xml:space="preserve"> </w:t>
      </w:r>
      <w:r w:rsidRPr="007B3809">
        <w:rPr>
          <w:rFonts w:ascii="Arial" w:hAnsi="Arial" w:cs="Arial"/>
          <w:color w:val="000000"/>
          <w:sz w:val="22"/>
          <w:lang w:val="en-GB" w:eastAsia="en-GB"/>
        </w:rPr>
        <w:t xml:space="preserve">serves as a foundational disease-modifying therapy for patients with significant albuminuria, provided baseline eGFR and serum potassium levels are rigorously monitored to mitigate risks of acute kidney injury and </w:t>
      </w:r>
      <w:r w:rsidR="00572C5F" w:rsidRPr="007B3809">
        <w:rPr>
          <w:rFonts w:ascii="Arial" w:hAnsi="Arial" w:cs="Arial"/>
          <w:color w:val="000000"/>
          <w:sz w:val="22"/>
          <w:lang w:val="en-GB" w:eastAsia="en-GB"/>
        </w:rPr>
        <w:t>hyperkalaemia</w:t>
      </w:r>
      <w:r w:rsidRPr="007B3809">
        <w:rPr>
          <w:rFonts w:ascii="Arial" w:hAnsi="Arial" w:cs="Arial"/>
          <w:color w:val="000000"/>
          <w:sz w:val="22"/>
          <w:lang w:val="en-GB" w:eastAsia="en-GB"/>
        </w:rPr>
        <w:t xml:space="preserve"> (KDIGO, 2024; NICE, 2021). Furthermore, while landmark randomized controlled trials confirm that sodium-glucose cotransporter-2 (SGLT2) inhibitors significantly attenuate disease progression and cardiovascular mortality across eligible CKD cohorts (Fayed et al., 2025; Heerspink et al., 2020), translating these trial findings into individual clinical practice requires clinicians to critically weigh relative risk reductions against absolute individual benefits, potential adverse effects, patient preferences, and baseline risk profiles.</w:t>
      </w:r>
    </w:p>
    <w:p w14:paraId="7BC7A36D" w14:textId="026DBEF0" w:rsidR="00737004" w:rsidRPr="007B3809" w:rsidRDefault="00737004" w:rsidP="00F648CC">
      <w:pPr>
        <w:spacing w:before="200" w:after="0" w:line="360" w:lineRule="auto"/>
        <w:jc w:val="both"/>
        <w:rPr>
          <w:rFonts w:ascii="Arial" w:hAnsi="Arial" w:cs="Arial"/>
          <w:color w:val="000000"/>
          <w:sz w:val="22"/>
          <w:lang w:val="en-GB" w:eastAsia="en-GB"/>
        </w:rPr>
      </w:pPr>
      <w:r w:rsidRPr="007B3809">
        <w:rPr>
          <w:rFonts w:ascii="Arial" w:hAnsi="Arial" w:cs="Arial"/>
          <w:color w:val="000000"/>
          <w:sz w:val="22"/>
          <w:lang w:val="en-GB" w:eastAsia="en-GB"/>
        </w:rPr>
        <w:t xml:space="preserve">Comprehensive disease management begins with </w:t>
      </w:r>
      <w:bookmarkStart w:id="23" w:name="_Int_OrfrTVYF"/>
      <w:r w:rsidRPr="007B3809">
        <w:rPr>
          <w:rFonts w:ascii="Arial" w:hAnsi="Arial" w:cs="Arial"/>
          <w:color w:val="000000"/>
          <w:sz w:val="22"/>
          <w:lang w:val="en-GB" w:eastAsia="en-GB"/>
        </w:rPr>
        <w:t>identifying</w:t>
      </w:r>
      <w:bookmarkEnd w:id="23"/>
      <w:r w:rsidRPr="007B3809">
        <w:rPr>
          <w:rFonts w:ascii="Arial" w:hAnsi="Arial" w:cs="Arial"/>
          <w:color w:val="000000"/>
          <w:sz w:val="22"/>
          <w:lang w:val="en-GB" w:eastAsia="en-GB"/>
        </w:rPr>
        <w:t xml:space="preserve"> underlying aetiologies, systematically tracking eGFR and ACR trajectories, mitigating overall cardiovascular risk, and critically reviewing nephrotoxic or renally excreted pharmacotherapies. Within the NHS framework, holistic clinical care encompasses glycemic control, statin therapy for cardiovascular primary or secondary prevention, renal dietetic support, and proactive management of secondary complications such as renal </w:t>
      </w:r>
      <w:r w:rsidR="00933B5F" w:rsidRPr="007B3809">
        <w:rPr>
          <w:rFonts w:ascii="Arial" w:hAnsi="Arial" w:cs="Arial"/>
          <w:color w:val="000000"/>
          <w:sz w:val="22"/>
          <w:lang w:val="en-GB" w:eastAsia="en-GB"/>
        </w:rPr>
        <w:t>anomia</w:t>
      </w:r>
      <w:r w:rsidRPr="007B3809">
        <w:rPr>
          <w:rFonts w:ascii="Arial" w:hAnsi="Arial" w:cs="Arial"/>
          <w:color w:val="000000"/>
          <w:sz w:val="22"/>
          <w:lang w:val="en-GB" w:eastAsia="en-GB"/>
        </w:rPr>
        <w:t xml:space="preserve"> and mineral-bone disorder (KDIGO, 2024; NICE, 2021). However, dietary restrictions must be critically </w:t>
      </w:r>
      <w:r w:rsidR="009733E8" w:rsidRPr="007B3809">
        <w:rPr>
          <w:rFonts w:ascii="Arial" w:hAnsi="Arial" w:cs="Arial"/>
          <w:color w:val="000000"/>
          <w:sz w:val="22"/>
          <w:lang w:val="en-GB" w:eastAsia="en-GB"/>
        </w:rPr>
        <w:t>individualised</w:t>
      </w:r>
      <w:r w:rsidRPr="007B3809">
        <w:rPr>
          <w:rFonts w:ascii="Arial" w:hAnsi="Arial" w:cs="Arial"/>
          <w:color w:val="000000"/>
          <w:sz w:val="22"/>
          <w:lang w:val="en-GB" w:eastAsia="en-GB"/>
        </w:rPr>
        <w:t>; non-evidence-based or overly rigid restrictions on potassium, fluid, or protein intake run the risk of compromising nutritional status, precipitating protein-energy wasting, and severely degrading overall quality of life (KDIGO, 2024; NICE, 2021).</w:t>
      </w:r>
    </w:p>
    <w:p w14:paraId="34D58575" w14:textId="685DF71B" w:rsidR="00737004" w:rsidRPr="007B3809" w:rsidRDefault="00737004" w:rsidP="00F648CC">
      <w:pPr>
        <w:spacing w:before="200" w:after="0" w:line="360" w:lineRule="auto"/>
        <w:jc w:val="both"/>
        <w:rPr>
          <w:rFonts w:ascii="Arial" w:hAnsi="Arial" w:cs="Arial"/>
          <w:color w:val="000000"/>
          <w:sz w:val="22"/>
          <w:lang w:val="en-GB" w:eastAsia="en-GB"/>
        </w:rPr>
      </w:pPr>
      <w:r w:rsidRPr="007B3809">
        <w:rPr>
          <w:rFonts w:ascii="Arial" w:hAnsi="Arial" w:cs="Arial"/>
          <w:color w:val="000000"/>
          <w:sz w:val="22"/>
          <w:lang w:val="en-GB" w:eastAsia="en-GB"/>
        </w:rPr>
        <w:t xml:space="preserve">When disease progresses to kidney failure, management transitions toward evaluating modality options: </w:t>
      </w:r>
      <w:r w:rsidR="003C35C3" w:rsidRPr="007B3809">
        <w:rPr>
          <w:rFonts w:ascii="Arial" w:hAnsi="Arial" w:cs="Arial"/>
          <w:color w:val="000000"/>
          <w:sz w:val="22"/>
          <w:lang w:val="en-GB" w:eastAsia="en-GB"/>
        </w:rPr>
        <w:t>haemodialysis</w:t>
      </w:r>
      <w:r w:rsidRPr="007B3809">
        <w:rPr>
          <w:rFonts w:ascii="Arial" w:hAnsi="Arial" w:cs="Arial"/>
          <w:color w:val="000000"/>
          <w:sz w:val="22"/>
          <w:lang w:val="en-GB" w:eastAsia="en-GB"/>
        </w:rPr>
        <w:t xml:space="preserve">, peritoneal dialysis, kidney transplantation, and comprehensive conservative kidney management. Renal transplantation consistently </w:t>
      </w:r>
      <w:bookmarkStart w:id="24" w:name="_Int_jBwu8VqY"/>
      <w:r w:rsidRPr="007B3809">
        <w:rPr>
          <w:rFonts w:ascii="Arial" w:hAnsi="Arial" w:cs="Arial"/>
          <w:color w:val="000000"/>
          <w:sz w:val="22"/>
          <w:lang w:val="en-GB" w:eastAsia="en-GB"/>
        </w:rPr>
        <w:t>demonstrates</w:t>
      </w:r>
      <w:bookmarkEnd w:id="24"/>
      <w:r w:rsidRPr="007B3809">
        <w:rPr>
          <w:rFonts w:ascii="Arial" w:hAnsi="Arial" w:cs="Arial"/>
          <w:color w:val="000000"/>
          <w:sz w:val="22"/>
          <w:lang w:val="en-GB" w:eastAsia="en-GB"/>
        </w:rPr>
        <w:t xml:space="preserve"> superior long-term survival and quality-of-life outcomes compared to chronic dialysis in eligible candidates; however, historical observational comparisons must </w:t>
      </w:r>
      <w:bookmarkStart w:id="25" w:name="_Int_WTDgcflG"/>
      <w:r w:rsidRPr="007B3809">
        <w:rPr>
          <w:rFonts w:ascii="Arial" w:hAnsi="Arial" w:cs="Arial"/>
          <w:color w:val="000000"/>
          <w:sz w:val="22"/>
          <w:lang w:val="en-GB" w:eastAsia="en-GB"/>
        </w:rPr>
        <w:t>be interpreted</w:t>
      </w:r>
      <w:bookmarkEnd w:id="25"/>
      <w:r w:rsidRPr="007B3809">
        <w:rPr>
          <w:rFonts w:ascii="Arial" w:hAnsi="Arial" w:cs="Arial"/>
          <w:color w:val="000000"/>
          <w:sz w:val="22"/>
          <w:lang w:val="en-GB" w:eastAsia="en-GB"/>
        </w:rPr>
        <w:t xml:space="preserve"> with caution, as they </w:t>
      </w:r>
      <w:bookmarkStart w:id="26" w:name="_Int_hWA9CMdU"/>
      <w:r w:rsidRPr="007B3809">
        <w:rPr>
          <w:rFonts w:ascii="Arial" w:hAnsi="Arial" w:cs="Arial"/>
          <w:color w:val="000000"/>
          <w:sz w:val="22"/>
          <w:lang w:val="en-GB" w:eastAsia="en-GB"/>
        </w:rPr>
        <w:t>frequently</w:t>
      </w:r>
      <w:bookmarkEnd w:id="26"/>
      <w:r w:rsidRPr="007B3809">
        <w:rPr>
          <w:rFonts w:ascii="Arial" w:hAnsi="Arial" w:cs="Arial"/>
          <w:color w:val="000000"/>
          <w:sz w:val="22"/>
          <w:lang w:val="en-GB" w:eastAsia="en-GB"/>
        </w:rPr>
        <w:t xml:space="preserve"> reflect inherent selection bias and healthier baseline candidate profiles (Wolfe et al., 1999). Conversely, while maintenance dialysis extends survival, it imposes a profound treatment burden, high cardiovascular risk, and substantial lifestyle disruption; in contrast, comprehensive conservative management represents an active, highly structured symptom-focused care pathway rather than passive withdrawal or clinical abandonment (Davison et al., 2015; Verberne et al., 2016).</w:t>
      </w:r>
    </w:p>
    <w:p w14:paraId="480FD961" w14:textId="77777777" w:rsidR="00AF1409" w:rsidRDefault="00AF1409" w:rsidP="00F648CC">
      <w:pPr>
        <w:spacing w:before="200" w:after="0" w:line="360" w:lineRule="auto"/>
        <w:jc w:val="both"/>
        <w:rPr>
          <w:rFonts w:ascii="Arial" w:hAnsi="Arial" w:cs="Arial"/>
          <w:color w:val="000000"/>
          <w:sz w:val="22"/>
          <w:lang w:val="en-GB" w:eastAsia="en-GB"/>
        </w:rPr>
      </w:pPr>
    </w:p>
    <w:p w14:paraId="341ED6AF" w14:textId="5B3A7CFB" w:rsidR="00AB7CAB" w:rsidRDefault="00737004" w:rsidP="00F648CC">
      <w:pPr>
        <w:spacing w:before="200" w:after="0" w:line="360" w:lineRule="auto"/>
        <w:jc w:val="both"/>
        <w:rPr>
          <w:rFonts w:ascii="Arial" w:hAnsi="Arial" w:cs="Arial"/>
          <w:color w:val="000000"/>
          <w:sz w:val="22"/>
          <w:lang w:val="en-GB" w:eastAsia="en-GB"/>
        </w:rPr>
      </w:pPr>
      <w:r w:rsidRPr="007B3809">
        <w:rPr>
          <w:rFonts w:ascii="Arial" w:hAnsi="Arial" w:cs="Arial"/>
          <w:color w:val="000000"/>
          <w:sz w:val="22"/>
          <w:lang w:val="en-GB" w:eastAsia="en-GB"/>
        </w:rPr>
        <w:t xml:space="preserve">In operational terms, </w:t>
      </w:r>
      <w:r w:rsidR="000335C5" w:rsidRPr="007B3809">
        <w:rPr>
          <w:rFonts w:ascii="Arial" w:hAnsi="Arial" w:cs="Arial"/>
          <w:color w:val="000000"/>
          <w:sz w:val="22"/>
          <w:lang w:val="en-GB" w:eastAsia="en-GB"/>
        </w:rPr>
        <w:t>haemodialysis</w:t>
      </w:r>
      <w:r w:rsidRPr="007B3809">
        <w:rPr>
          <w:rFonts w:ascii="Arial" w:hAnsi="Arial" w:cs="Arial"/>
          <w:color w:val="000000"/>
          <w:sz w:val="22"/>
          <w:lang w:val="en-GB" w:eastAsia="en-GB"/>
        </w:rPr>
        <w:t xml:space="preserve"> typically requires regular, high-frequency clinic visits for machine-based blood filtration, </w:t>
      </w:r>
      <w:r w:rsidR="00AA2A38" w:rsidRPr="007B3809">
        <w:rPr>
          <w:rFonts w:ascii="Arial" w:hAnsi="Arial" w:cs="Arial"/>
          <w:color w:val="000000"/>
          <w:sz w:val="22"/>
          <w:lang w:val="en-GB" w:eastAsia="en-GB"/>
        </w:rPr>
        <w:t>while</w:t>
      </w:r>
      <w:r w:rsidRPr="007B3809">
        <w:rPr>
          <w:rFonts w:ascii="Arial" w:hAnsi="Arial" w:cs="Arial"/>
          <w:color w:val="000000"/>
          <w:sz w:val="22"/>
          <w:lang w:val="en-GB" w:eastAsia="en-GB"/>
        </w:rPr>
        <w:t xml:space="preserve"> peritoneal dialysis </w:t>
      </w:r>
      <w:r w:rsidR="001D2907" w:rsidRPr="007B3809">
        <w:rPr>
          <w:rFonts w:ascii="Arial" w:hAnsi="Arial" w:cs="Arial"/>
          <w:color w:val="000000"/>
          <w:sz w:val="22"/>
          <w:lang w:val="en-GB" w:eastAsia="en-GB"/>
        </w:rPr>
        <w:t>utilises</w:t>
      </w:r>
      <w:r w:rsidRPr="007B3809">
        <w:rPr>
          <w:rFonts w:ascii="Arial" w:hAnsi="Arial" w:cs="Arial"/>
          <w:color w:val="000000"/>
          <w:sz w:val="22"/>
          <w:lang w:val="en-GB" w:eastAsia="en-GB"/>
        </w:rPr>
        <w:t xml:space="preserve"> the patient's peritoneal membrane as a biological filter, enabling home-based self-care following structured training (Bennett et al., 2018). Renal transplantation offers functional restoration but demands exhaustive candidate suitability assessments and lifelong adherence to complex immunosuppressive regimens. Conservative care </w:t>
      </w:r>
      <w:r w:rsidR="00AA2A38" w:rsidRPr="007B3809">
        <w:rPr>
          <w:rFonts w:ascii="Arial" w:hAnsi="Arial" w:cs="Arial"/>
          <w:color w:val="000000"/>
          <w:sz w:val="22"/>
          <w:lang w:val="en-GB" w:eastAsia="en-GB"/>
        </w:rPr>
        <w:t>priorities</w:t>
      </w:r>
      <w:r w:rsidRPr="007B3809">
        <w:rPr>
          <w:rFonts w:ascii="Arial" w:hAnsi="Arial" w:cs="Arial"/>
          <w:color w:val="000000"/>
          <w:sz w:val="22"/>
          <w:lang w:val="en-GB" w:eastAsia="en-GB"/>
        </w:rPr>
        <w:t xml:space="preserve"> physical symptom alleviation, psychological well-being, and alignment with personal values without invasive renal replacement interventions (Davison et al., 2015; Verberne et al., 2016). Because each pathway presents distinct trade-offs </w:t>
      </w:r>
      <w:bookmarkStart w:id="27" w:name="_Int_awfupziF"/>
      <w:r w:rsidRPr="007B3809">
        <w:rPr>
          <w:rFonts w:ascii="Arial" w:hAnsi="Arial" w:cs="Arial"/>
          <w:color w:val="000000"/>
          <w:sz w:val="22"/>
          <w:lang w:val="en-GB" w:eastAsia="en-GB"/>
        </w:rPr>
        <w:t>regarding</w:t>
      </w:r>
      <w:bookmarkEnd w:id="27"/>
      <w:r w:rsidRPr="007B3809">
        <w:rPr>
          <w:rFonts w:ascii="Arial" w:hAnsi="Arial" w:cs="Arial"/>
          <w:color w:val="000000"/>
          <w:sz w:val="22"/>
          <w:lang w:val="en-GB" w:eastAsia="en-GB"/>
        </w:rPr>
        <w:t xml:space="preserve"> survival expectancy, infection risks, travel burden, and carer strain, clinical decision-making must avoid fixed universal hierarchies and instead embody dynamic, revisited shared decision-making (Coulter et al., 2015; Elwyn et al., 2012; Morton et al., 2010).</w:t>
      </w:r>
    </w:p>
    <w:p w14:paraId="1FACBB40" w14:textId="77777777" w:rsidR="00D4236E" w:rsidRDefault="00D4236E" w:rsidP="00F648CC">
      <w:pPr>
        <w:spacing w:before="200" w:after="0" w:line="360" w:lineRule="auto"/>
        <w:jc w:val="both"/>
        <w:rPr>
          <w:rFonts w:ascii="Arial" w:hAnsi="Arial" w:cs="Arial"/>
          <w:color w:val="000000"/>
          <w:sz w:val="22"/>
          <w:lang w:val="en-GB" w:eastAsia="en-GB"/>
        </w:rPr>
      </w:pPr>
    </w:p>
    <w:p w14:paraId="1C2B062A" w14:textId="77777777" w:rsidR="00AF1409" w:rsidRPr="00AA2A38" w:rsidRDefault="00AF1409" w:rsidP="00F648CC">
      <w:pPr>
        <w:spacing w:before="200" w:after="0" w:line="360" w:lineRule="auto"/>
        <w:jc w:val="both"/>
        <w:rPr>
          <w:rFonts w:ascii="Arial" w:hAnsi="Arial" w:cs="Arial"/>
          <w:color w:val="000000"/>
          <w:sz w:val="22"/>
          <w:lang w:val="en-GB" w:eastAsia="en-GB"/>
        </w:rPr>
      </w:pPr>
    </w:p>
    <w:p w14:paraId="76786DDD" w14:textId="51C2E64F" w:rsidR="00E41C4B" w:rsidRPr="00A675C4" w:rsidRDefault="00E41C4B" w:rsidP="00F648CC">
      <w:pPr>
        <w:pStyle w:val="Heading1"/>
        <w:spacing w:line="360" w:lineRule="auto"/>
        <w:jc w:val="both"/>
        <w:rPr>
          <w:rFonts w:ascii="Arial" w:hAnsi="Arial" w:cs="Arial"/>
        </w:rPr>
      </w:pPr>
      <w:bookmarkStart w:id="28" w:name="_Toc243595747"/>
      <w:r w:rsidRPr="00A675C4">
        <w:rPr>
          <w:rFonts w:ascii="Arial" w:hAnsi="Arial" w:cs="Arial"/>
        </w:rPr>
        <w:t>Models for improved long-term outcomes</w:t>
      </w:r>
      <w:bookmarkEnd w:id="28"/>
    </w:p>
    <w:p w14:paraId="29592CD9" w14:textId="77777777" w:rsidR="009C653E" w:rsidRPr="00141D25" w:rsidRDefault="009C653E" w:rsidP="00F648CC">
      <w:pPr>
        <w:spacing w:before="200" w:after="0" w:line="360" w:lineRule="auto"/>
        <w:jc w:val="both"/>
        <w:rPr>
          <w:rFonts w:ascii="Arial" w:hAnsi="Arial" w:cs="Arial"/>
          <w:color w:val="000000"/>
          <w:sz w:val="22"/>
          <w:lang w:val="en-GB" w:eastAsia="en-GB"/>
        </w:rPr>
      </w:pPr>
      <w:r w:rsidRPr="00141D25">
        <w:rPr>
          <w:rFonts w:ascii="Arial" w:hAnsi="Arial" w:cs="Arial"/>
          <w:color w:val="000000"/>
          <w:sz w:val="22"/>
          <w:lang w:val="en-GB" w:eastAsia="en-GB"/>
        </w:rPr>
        <w:t xml:space="preserve">The UK House of Care supports personalised planning and patient priorities but requires workforce continuity and genuine partnership address the complex physical, psychological, and socioeconomic burdens of long-term renal disease (Coulter et al., 2013, 2015; Morton et al., 2010; NHS England, 2016). Without structural alignment with chronic care principles and targeted health inclusion strategies, personalised care risks becoming a superficial administrative exercise rather than a driver of </w:t>
      </w:r>
      <w:bookmarkStart w:id="29" w:name="_Int_vwwJGAms"/>
      <w:r w:rsidRPr="00141D25">
        <w:rPr>
          <w:rFonts w:ascii="Arial" w:hAnsi="Arial" w:cs="Arial"/>
          <w:color w:val="000000"/>
          <w:sz w:val="22"/>
          <w:lang w:val="en-GB" w:eastAsia="en-GB"/>
        </w:rPr>
        <w:t>equitable</w:t>
      </w:r>
      <w:bookmarkEnd w:id="29"/>
      <w:r w:rsidRPr="00141D25">
        <w:rPr>
          <w:rFonts w:ascii="Arial" w:hAnsi="Arial" w:cs="Arial"/>
          <w:color w:val="000000"/>
          <w:sz w:val="22"/>
          <w:lang w:val="en-GB" w:eastAsia="en-GB"/>
        </w:rPr>
        <w:t>, high-quality care (Crews et al., 2019; Wagner et al., 2001).</w:t>
      </w:r>
    </w:p>
    <w:p w14:paraId="4351B46F" w14:textId="77777777" w:rsidR="00A14ECF" w:rsidRDefault="00A14ECF" w:rsidP="00F648CC">
      <w:pPr>
        <w:pStyle w:val="Heading1"/>
        <w:spacing w:line="360" w:lineRule="auto"/>
        <w:jc w:val="both"/>
        <w:rPr>
          <w:rFonts w:ascii="Arial" w:hAnsi="Arial" w:cs="Arial"/>
        </w:rPr>
      </w:pPr>
    </w:p>
    <w:p w14:paraId="4D6F661C" w14:textId="77777777" w:rsidR="00A14ECF" w:rsidRDefault="00A14ECF" w:rsidP="00F648CC">
      <w:pPr>
        <w:pStyle w:val="Heading1"/>
        <w:spacing w:line="360" w:lineRule="auto"/>
        <w:jc w:val="both"/>
        <w:rPr>
          <w:rFonts w:ascii="Arial" w:hAnsi="Arial" w:cs="Arial"/>
        </w:rPr>
      </w:pPr>
    </w:p>
    <w:p w14:paraId="584053A2" w14:textId="77777777" w:rsidR="00A14ECF" w:rsidRDefault="00A14ECF" w:rsidP="00F648CC">
      <w:pPr>
        <w:pStyle w:val="Heading1"/>
        <w:spacing w:line="360" w:lineRule="auto"/>
        <w:jc w:val="both"/>
        <w:rPr>
          <w:rFonts w:ascii="Arial" w:hAnsi="Arial" w:cs="Arial"/>
        </w:rPr>
      </w:pPr>
    </w:p>
    <w:p w14:paraId="4F5AE7B9" w14:textId="77777777" w:rsidR="009F0E10" w:rsidRDefault="009F0E10" w:rsidP="00F648CC">
      <w:pPr>
        <w:jc w:val="both"/>
      </w:pPr>
    </w:p>
    <w:p w14:paraId="45AA5FF3" w14:textId="77777777" w:rsidR="009F0E10" w:rsidRPr="009F0E10" w:rsidRDefault="009F0E10" w:rsidP="00F648CC">
      <w:pPr>
        <w:jc w:val="both"/>
      </w:pPr>
    </w:p>
    <w:p w14:paraId="70951AA5" w14:textId="77777777" w:rsidR="00A14ECF" w:rsidRDefault="00A14ECF" w:rsidP="00F648CC">
      <w:pPr>
        <w:jc w:val="both"/>
      </w:pPr>
    </w:p>
    <w:p w14:paraId="6E67730D" w14:textId="77777777" w:rsidR="00A14ECF" w:rsidRDefault="00A14ECF" w:rsidP="00F648CC">
      <w:pPr>
        <w:jc w:val="both"/>
      </w:pPr>
    </w:p>
    <w:p w14:paraId="01ADC1AA" w14:textId="77777777" w:rsidR="00A14ECF" w:rsidRPr="00A14ECF" w:rsidRDefault="00A14ECF" w:rsidP="00F648CC">
      <w:pPr>
        <w:jc w:val="both"/>
      </w:pPr>
    </w:p>
    <w:p w14:paraId="111F01D2" w14:textId="31A912C4" w:rsidR="00E41C4B" w:rsidRPr="00E05A90" w:rsidRDefault="00E41C4B" w:rsidP="00F648CC">
      <w:pPr>
        <w:pStyle w:val="Heading1"/>
        <w:spacing w:line="360" w:lineRule="auto"/>
        <w:jc w:val="both"/>
        <w:rPr>
          <w:rFonts w:ascii="Arial" w:hAnsi="Arial" w:cs="Arial"/>
        </w:rPr>
      </w:pPr>
      <w:bookmarkStart w:id="30" w:name="_Toc243595748"/>
      <w:r w:rsidRPr="00E05A90">
        <w:rPr>
          <w:rFonts w:ascii="Arial" w:hAnsi="Arial" w:cs="Arial"/>
        </w:rPr>
        <w:t>UK model: House of Care</w:t>
      </w:r>
      <w:bookmarkEnd w:id="30"/>
    </w:p>
    <w:p w14:paraId="261D350F" w14:textId="7AF4C120" w:rsidR="0021321F" w:rsidRPr="0021321F" w:rsidRDefault="0021321F" w:rsidP="00F648CC">
      <w:pPr>
        <w:jc w:val="both"/>
      </w:pPr>
    </w:p>
    <w:p w14:paraId="73F3E404" w14:textId="2F518F9E" w:rsidR="00887561" w:rsidRDefault="00417A59" w:rsidP="00F648CC">
      <w:pPr>
        <w:jc w:val="both"/>
      </w:pPr>
      <w:r>
        <w:rPr>
          <w:noProof/>
        </w:rPr>
        <w:drawing>
          <wp:anchor distT="0" distB="0" distL="114300" distR="114300" simplePos="0" relativeHeight="251658242" behindDoc="0" locked="0" layoutInCell="1" allowOverlap="1" wp14:anchorId="79807569" wp14:editId="34FB7F96">
            <wp:simplePos x="0" y="0"/>
            <wp:positionH relativeFrom="column">
              <wp:posOffset>214630</wp:posOffset>
            </wp:positionH>
            <wp:positionV relativeFrom="paragraph">
              <wp:posOffset>-1905</wp:posOffset>
            </wp:positionV>
            <wp:extent cx="5035550" cy="2660650"/>
            <wp:effectExtent l="0" t="0" r="0" b="6350"/>
            <wp:wrapTopAndBottom/>
            <wp:docPr id="12818484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848411" name=""/>
                    <pic:cNvPicPr/>
                  </pic:nvPicPr>
                  <pic:blipFill>
                    <a:blip r:embed="rId11"/>
                    <a:stretch>
                      <a:fillRect/>
                    </a:stretch>
                  </pic:blipFill>
                  <pic:spPr>
                    <a:xfrm>
                      <a:off x="0" y="0"/>
                      <a:ext cx="5035550" cy="2660650"/>
                    </a:xfrm>
                    <a:prstGeom prst="rect">
                      <a:avLst/>
                    </a:prstGeom>
                  </pic:spPr>
                </pic:pic>
              </a:graphicData>
            </a:graphic>
            <wp14:sizeRelH relativeFrom="margin">
              <wp14:pctWidth>0</wp14:pctWidth>
            </wp14:sizeRelH>
            <wp14:sizeRelV relativeFrom="margin">
              <wp14:pctHeight>0</wp14:pctHeight>
            </wp14:sizeRelV>
          </wp:anchor>
        </w:drawing>
      </w:r>
    </w:p>
    <w:p w14:paraId="23092675" w14:textId="789D982F" w:rsidR="00EB66D9" w:rsidRPr="00112013" w:rsidRDefault="00E527D7" w:rsidP="0037529B">
      <w:pPr>
        <w:spacing w:line="360" w:lineRule="auto"/>
        <w:rPr>
          <w:rFonts w:ascii="Arial" w:hAnsi="Arial" w:cs="Arial"/>
          <w:sz w:val="22"/>
        </w:rPr>
      </w:pPr>
      <w:r w:rsidRPr="004D215F">
        <w:rPr>
          <w:rFonts w:ascii="Arial" w:hAnsi="Arial" w:cs="Arial"/>
          <w:b/>
          <w:bCs/>
          <w:sz w:val="22"/>
        </w:rPr>
        <w:t xml:space="preserve">Figure </w:t>
      </w:r>
      <w:r w:rsidR="00DC2C7B" w:rsidRPr="004D215F">
        <w:rPr>
          <w:rFonts w:ascii="Arial" w:hAnsi="Arial" w:cs="Arial"/>
          <w:b/>
          <w:bCs/>
          <w:sz w:val="22"/>
        </w:rPr>
        <w:t>3:</w:t>
      </w:r>
      <w:r w:rsidR="00DC2C7B" w:rsidRPr="004D215F">
        <w:rPr>
          <w:rFonts w:ascii="Arial" w:hAnsi="Arial" w:cs="Arial"/>
          <w:sz w:val="22"/>
        </w:rPr>
        <w:t xml:space="preserve"> </w:t>
      </w:r>
      <w:r w:rsidR="00FA2EE1" w:rsidRPr="004D215F">
        <w:rPr>
          <w:rFonts w:ascii="Arial" w:hAnsi="Arial" w:cs="Arial"/>
          <w:sz w:val="22"/>
        </w:rPr>
        <w:t xml:space="preserve">The House of Care </w:t>
      </w:r>
      <w:r w:rsidR="00C41FE8" w:rsidRPr="004D215F">
        <w:rPr>
          <w:rFonts w:ascii="Arial" w:hAnsi="Arial" w:cs="Arial"/>
          <w:sz w:val="22"/>
        </w:rPr>
        <w:t>model (Coulter</w:t>
      </w:r>
      <w:r w:rsidR="00987101" w:rsidRPr="004D215F">
        <w:rPr>
          <w:rFonts w:ascii="Arial" w:hAnsi="Arial" w:cs="Arial"/>
          <w:sz w:val="22"/>
        </w:rPr>
        <w:t xml:space="preserve"> </w:t>
      </w:r>
      <w:r w:rsidR="00987101" w:rsidRPr="004D215F">
        <w:rPr>
          <w:rFonts w:ascii="Arial" w:hAnsi="Arial" w:cs="Arial"/>
          <w:i/>
          <w:iCs/>
          <w:sz w:val="22"/>
        </w:rPr>
        <w:t>et al.,</w:t>
      </w:r>
      <w:r w:rsidR="002567F3" w:rsidRPr="004D215F">
        <w:rPr>
          <w:rFonts w:ascii="Arial" w:hAnsi="Arial" w:cs="Arial"/>
          <w:sz w:val="22"/>
        </w:rPr>
        <w:t xml:space="preserve"> </w:t>
      </w:r>
      <w:r w:rsidR="00C41FE8" w:rsidRPr="004D215F">
        <w:rPr>
          <w:rFonts w:ascii="Arial" w:hAnsi="Arial" w:cs="Arial"/>
          <w:sz w:val="22"/>
        </w:rPr>
        <w:t>2013, p.</w:t>
      </w:r>
      <w:r w:rsidR="00DE1D7E" w:rsidRPr="004D215F">
        <w:rPr>
          <w:rFonts w:ascii="Arial" w:hAnsi="Arial" w:cs="Arial"/>
          <w:sz w:val="22"/>
        </w:rPr>
        <w:t>11).</w:t>
      </w:r>
    </w:p>
    <w:p w14:paraId="458C8061" w14:textId="0419192E" w:rsidR="004565F2" w:rsidRPr="006A1386" w:rsidRDefault="004565F2" w:rsidP="00F648CC">
      <w:pPr>
        <w:spacing w:before="200" w:after="0" w:line="360" w:lineRule="auto"/>
        <w:jc w:val="both"/>
        <w:rPr>
          <w:rFonts w:ascii="Arial" w:hAnsi="Arial" w:cs="Arial"/>
          <w:color w:val="000000"/>
          <w:sz w:val="22"/>
          <w:lang w:val="en-GB" w:eastAsia="en-GB"/>
        </w:rPr>
      </w:pPr>
      <w:r w:rsidRPr="006A1386">
        <w:rPr>
          <w:rFonts w:ascii="Arial" w:hAnsi="Arial" w:cs="Arial"/>
          <w:color w:val="000000"/>
          <w:sz w:val="22"/>
          <w:lang w:val="en-GB" w:eastAsia="en-GB"/>
        </w:rPr>
        <w:t>The House of Care is a UK framework for collaborative, personalised care, and support planning designed to optimise long-term condition management through structural integration (Coulter et al., 2013; NHS England, 2016; Wagner et al., 2001). It brings together informed and engaged patients, healthcare professionals committed to partnership, organi</w:t>
      </w:r>
      <w:r w:rsidR="006629E4">
        <w:rPr>
          <w:rFonts w:ascii="Arial" w:hAnsi="Arial" w:cs="Arial"/>
          <w:color w:val="000000"/>
          <w:sz w:val="22"/>
          <w:lang w:val="en-GB" w:eastAsia="en-GB"/>
        </w:rPr>
        <w:t>s</w:t>
      </w:r>
      <w:r w:rsidRPr="006A1386">
        <w:rPr>
          <w:rFonts w:ascii="Arial" w:hAnsi="Arial" w:cs="Arial"/>
          <w:color w:val="000000"/>
          <w:sz w:val="22"/>
          <w:lang w:val="en-GB" w:eastAsia="en-GB"/>
        </w:rPr>
        <w:t>ational processes, and supportive commissioning/community resources (Coulter et al., 2013, 2015; NHS England, 2016). In CKD, a shared plan could prioritise managing fatigue, preserving social roles, and supporting employment alongside strictly clinical targets such as urine ACR and blood-pressure control (Coulter et al., 2015; KDIGO, 2024; Morton et al., 2010; NICE, 2021). Its strength is that goals are negotiated through shared decision-making rather than imposed paternalistically (Coulter et al., 2013; Elwyn et al., 2012). However, its primary weakness lies in operational implementation: short consultation times, fragmented health and social care records, unequal access to interpreting support, and systemic health disparities can reduce meaningful partnership to a superficial administrative checklist (Barnes et al., 2017; Bennett et al., 2018; Crews et al., 2019; NHS England, 2023). Furthermore, because evidence for personalised care planning demonstrates variable clinical and psychological outcomes across diverse patient demographics, implementation success must be evaluated using validated patient-defined outcomes and quality-of-life indicators rather than merely tracking the number of care plans filed (Coulter et al., 2015; NHS England, 2016; Palmer et al., 2013).</w:t>
      </w:r>
    </w:p>
    <w:p w14:paraId="3A25EFBC" w14:textId="18788BAA" w:rsidR="004565F2" w:rsidRPr="006A1386" w:rsidRDefault="004565F2" w:rsidP="00F648CC">
      <w:pPr>
        <w:spacing w:before="200" w:after="0" w:line="360" w:lineRule="auto"/>
        <w:jc w:val="both"/>
        <w:rPr>
          <w:rFonts w:ascii="Arial" w:hAnsi="Arial" w:cs="Arial"/>
          <w:color w:val="000000"/>
          <w:sz w:val="22"/>
          <w:lang w:val="en-GB" w:eastAsia="en-GB"/>
        </w:rPr>
      </w:pPr>
      <w:r w:rsidRPr="006A1386">
        <w:rPr>
          <w:rFonts w:ascii="Arial" w:hAnsi="Arial" w:cs="Arial"/>
          <w:color w:val="000000"/>
          <w:sz w:val="22"/>
          <w:lang w:val="en-GB" w:eastAsia="en-GB"/>
        </w:rPr>
        <w:t>To achieve sustainable long-term care modifications for chronic kidney disease, practice must evolve beyond episodic clinical reviews to embed continuous, multi-professional disease management (Wagner et al., 2001). Long-term strategies require individualised pharmacological regimens</w:t>
      </w:r>
      <w:r w:rsidR="00100BCC">
        <w:rPr>
          <w:rFonts w:ascii="Arial" w:hAnsi="Arial" w:cs="Arial"/>
          <w:color w:val="000000"/>
          <w:sz w:val="22"/>
          <w:lang w:val="en-GB" w:eastAsia="en-GB"/>
        </w:rPr>
        <w:t xml:space="preserve"> </w:t>
      </w:r>
      <w:r w:rsidRPr="006A1386">
        <w:rPr>
          <w:rFonts w:ascii="Arial" w:hAnsi="Arial" w:cs="Arial"/>
          <w:color w:val="000000"/>
          <w:sz w:val="22"/>
          <w:lang w:val="en-GB" w:eastAsia="en-GB"/>
        </w:rPr>
        <w:t>such as disease-modifying SGLT2 inhibitors and RAAS blockade</w:t>
      </w:r>
      <w:r w:rsidR="00100BCC">
        <w:rPr>
          <w:rFonts w:ascii="Arial" w:hAnsi="Arial" w:cs="Arial"/>
          <w:color w:val="000000"/>
          <w:sz w:val="22"/>
          <w:lang w:val="en-GB" w:eastAsia="en-GB"/>
        </w:rPr>
        <w:t xml:space="preserve"> </w:t>
      </w:r>
      <w:r w:rsidRPr="006A1386">
        <w:rPr>
          <w:rFonts w:ascii="Arial" w:hAnsi="Arial" w:cs="Arial"/>
          <w:color w:val="000000"/>
          <w:sz w:val="22"/>
          <w:lang w:val="en-GB" w:eastAsia="en-GB"/>
        </w:rPr>
        <w:t xml:space="preserve">alongside proactive monitoring for systemic complications, including depression and cardiovascular risk (Go et al., 2004; Heerspink et al., 2020; Palmer et al., 2013). </w:t>
      </w:r>
      <w:r w:rsidR="003E3BDF" w:rsidRPr="006A1386">
        <w:rPr>
          <w:rFonts w:ascii="Arial" w:hAnsi="Arial" w:cs="Arial"/>
          <w:color w:val="000000"/>
          <w:sz w:val="22"/>
          <w:lang w:val="en-GB" w:eastAsia="en-GB"/>
        </w:rPr>
        <w:t>Also</w:t>
      </w:r>
      <w:r w:rsidRPr="006A1386">
        <w:rPr>
          <w:rFonts w:ascii="Arial" w:hAnsi="Arial" w:cs="Arial"/>
          <w:color w:val="000000"/>
          <w:sz w:val="22"/>
          <w:lang w:val="en-GB" w:eastAsia="en-GB"/>
        </w:rPr>
        <w:t>, long-term modifications must integrate statutory social care assessments under the Care Act 2014, community care packages, and home-based support options to alleviate treatment burden, preserve patient autonomy, and support informal carers throughout disease progression (Barnes et al., 2017; Bennett et al., 2018; Davison et al., 2015).</w:t>
      </w:r>
    </w:p>
    <w:p w14:paraId="0F7D3BBD" w14:textId="77777777" w:rsidR="00EB66D9" w:rsidRDefault="00EB66D9" w:rsidP="00F648CC">
      <w:pPr>
        <w:spacing w:after="0" w:line="360" w:lineRule="auto"/>
        <w:jc w:val="both"/>
        <w:rPr>
          <w:rFonts w:ascii="Arial" w:hAnsi="Arial" w:cs="Arial"/>
          <w:color w:val="000000"/>
          <w:sz w:val="22"/>
          <w:lang w:val="en-GB" w:eastAsia="en-GB"/>
        </w:rPr>
      </w:pPr>
    </w:p>
    <w:p w14:paraId="7BFC88B1" w14:textId="77777777" w:rsidR="00EB66D9" w:rsidRPr="00A660FC" w:rsidRDefault="00EB66D9" w:rsidP="00F648CC">
      <w:pPr>
        <w:spacing w:after="0" w:line="360" w:lineRule="auto"/>
        <w:jc w:val="both"/>
      </w:pPr>
    </w:p>
    <w:p w14:paraId="1B902C90" w14:textId="77777777" w:rsidR="00263A8A" w:rsidRDefault="00E41C4B" w:rsidP="00F648CC">
      <w:pPr>
        <w:pStyle w:val="Heading1"/>
        <w:spacing w:line="360" w:lineRule="auto"/>
        <w:jc w:val="both"/>
        <w:rPr>
          <w:rFonts w:ascii="Arial" w:hAnsi="Arial" w:cs="Arial"/>
        </w:rPr>
      </w:pPr>
      <w:bookmarkStart w:id="31" w:name="_Toc243595749"/>
      <w:r w:rsidRPr="00E05A90">
        <w:rPr>
          <w:rFonts w:ascii="Arial" w:hAnsi="Arial" w:cs="Arial"/>
        </w:rPr>
        <w:t>International model: Chronic Care Model</w:t>
      </w:r>
      <w:bookmarkEnd w:id="31"/>
    </w:p>
    <w:p w14:paraId="5E1D492B" w14:textId="5D803C25" w:rsidR="00A660FC" w:rsidRPr="00181F6E" w:rsidRDefault="00C93ADC" w:rsidP="00F648CC">
      <w:pPr>
        <w:pStyle w:val="Heading1"/>
        <w:spacing w:line="360" w:lineRule="auto"/>
        <w:jc w:val="both"/>
        <w:rPr>
          <w:rFonts w:ascii="Arial" w:hAnsi="Arial" w:cs="Arial"/>
        </w:rPr>
      </w:pPr>
      <w:bookmarkStart w:id="32" w:name="_Toc243595750"/>
      <w:r w:rsidRPr="008E7F30">
        <w:rPr>
          <w:rFonts w:ascii="Arial" w:hAnsi="Arial" w:cs="Arial"/>
          <w:noProof/>
          <w:sz w:val="22"/>
          <w:szCs w:val="22"/>
        </w:rPr>
        <w:drawing>
          <wp:anchor distT="0" distB="0" distL="114300" distR="114300" simplePos="0" relativeHeight="251658241" behindDoc="0" locked="0" layoutInCell="1" allowOverlap="1" wp14:anchorId="55982463" wp14:editId="73743007">
            <wp:simplePos x="0" y="0"/>
            <wp:positionH relativeFrom="column">
              <wp:posOffset>271780</wp:posOffset>
            </wp:positionH>
            <wp:positionV relativeFrom="paragraph">
              <wp:posOffset>322580</wp:posOffset>
            </wp:positionV>
            <wp:extent cx="4171950" cy="3600450"/>
            <wp:effectExtent l="0" t="0" r="0" b="0"/>
            <wp:wrapTopAndBottom/>
            <wp:docPr id="7337400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3740067" name=""/>
                    <pic:cNvPicPr/>
                  </pic:nvPicPr>
                  <pic:blipFill>
                    <a:blip r:embed="rId12"/>
                    <a:stretch>
                      <a:fillRect/>
                    </a:stretch>
                  </pic:blipFill>
                  <pic:spPr>
                    <a:xfrm>
                      <a:off x="0" y="0"/>
                      <a:ext cx="4171950" cy="3600450"/>
                    </a:xfrm>
                    <a:prstGeom prst="rect">
                      <a:avLst/>
                    </a:prstGeom>
                  </pic:spPr>
                </pic:pic>
              </a:graphicData>
            </a:graphic>
            <wp14:sizeRelH relativeFrom="margin">
              <wp14:pctWidth>0</wp14:pctWidth>
            </wp14:sizeRelH>
            <wp14:sizeRelV relativeFrom="margin">
              <wp14:pctHeight>0</wp14:pctHeight>
            </wp14:sizeRelV>
          </wp:anchor>
        </w:drawing>
      </w:r>
      <w:bookmarkEnd w:id="32"/>
    </w:p>
    <w:p w14:paraId="4A4D0F0C" w14:textId="763DBCA4" w:rsidR="00A660FC" w:rsidRDefault="00423598" w:rsidP="0037529B">
      <w:pPr>
        <w:spacing w:line="360" w:lineRule="auto"/>
        <w:rPr>
          <w:rFonts w:ascii="Arial" w:hAnsi="Arial" w:cs="Arial"/>
          <w:sz w:val="22"/>
        </w:rPr>
      </w:pPr>
      <w:r w:rsidRPr="008E7F30">
        <w:rPr>
          <w:rFonts w:ascii="Arial" w:hAnsi="Arial" w:cs="Arial"/>
          <w:b/>
          <w:bCs/>
          <w:sz w:val="22"/>
        </w:rPr>
        <w:t>Figure 4:</w:t>
      </w:r>
      <w:r w:rsidRPr="008E7F30">
        <w:rPr>
          <w:rFonts w:ascii="Arial" w:hAnsi="Arial" w:cs="Arial"/>
          <w:sz w:val="22"/>
        </w:rPr>
        <w:t xml:space="preserve"> </w:t>
      </w:r>
      <w:r w:rsidR="00FE3EFE" w:rsidRPr="008E7F30">
        <w:rPr>
          <w:rFonts w:ascii="Arial" w:hAnsi="Arial" w:cs="Arial"/>
          <w:sz w:val="22"/>
        </w:rPr>
        <w:t>The Ch</w:t>
      </w:r>
      <w:r w:rsidR="009D3499" w:rsidRPr="008E7F30">
        <w:rPr>
          <w:rFonts w:ascii="Arial" w:hAnsi="Arial" w:cs="Arial"/>
          <w:sz w:val="22"/>
        </w:rPr>
        <w:t xml:space="preserve">ronic Care Model </w:t>
      </w:r>
      <w:r w:rsidR="00AD0D84" w:rsidRPr="008E7F30">
        <w:rPr>
          <w:rFonts w:ascii="Arial" w:hAnsi="Arial" w:cs="Arial"/>
          <w:sz w:val="22"/>
        </w:rPr>
        <w:t>(</w:t>
      </w:r>
      <w:r w:rsidR="004F0A5E" w:rsidRPr="008E7F30">
        <w:rPr>
          <w:rFonts w:ascii="Arial" w:hAnsi="Arial" w:cs="Arial"/>
          <w:sz w:val="22"/>
        </w:rPr>
        <w:t>adap</w:t>
      </w:r>
      <w:r w:rsidR="00CB3E3D" w:rsidRPr="008E7F30">
        <w:rPr>
          <w:rFonts w:ascii="Arial" w:hAnsi="Arial" w:cs="Arial"/>
          <w:sz w:val="22"/>
        </w:rPr>
        <w:t xml:space="preserve">ted from </w:t>
      </w:r>
      <w:r w:rsidR="00AD0D84" w:rsidRPr="008E7F30">
        <w:rPr>
          <w:rFonts w:ascii="Arial" w:hAnsi="Arial" w:cs="Arial"/>
          <w:sz w:val="22"/>
        </w:rPr>
        <w:t>W</w:t>
      </w:r>
      <w:r w:rsidR="00A43614" w:rsidRPr="008E7F30">
        <w:rPr>
          <w:rFonts w:ascii="Arial" w:hAnsi="Arial" w:cs="Arial"/>
          <w:sz w:val="22"/>
        </w:rPr>
        <w:t>ag</w:t>
      </w:r>
      <w:r w:rsidR="003D201E" w:rsidRPr="008E7F30">
        <w:rPr>
          <w:rFonts w:ascii="Arial" w:hAnsi="Arial" w:cs="Arial"/>
          <w:sz w:val="22"/>
        </w:rPr>
        <w:t>ner, 1998).</w:t>
      </w:r>
    </w:p>
    <w:p w14:paraId="118C5C7E" w14:textId="77777777" w:rsidR="00972592" w:rsidRPr="00972592" w:rsidRDefault="00972592" w:rsidP="00F648CC">
      <w:pPr>
        <w:spacing w:line="360" w:lineRule="auto"/>
        <w:jc w:val="both"/>
        <w:rPr>
          <w:rFonts w:ascii="Arial" w:hAnsi="Arial" w:cs="Arial"/>
          <w:sz w:val="22"/>
        </w:rPr>
      </w:pPr>
    </w:p>
    <w:p w14:paraId="31E0FC65" w14:textId="48E35EE0" w:rsidR="00E41C4B" w:rsidRPr="00E41C4B" w:rsidRDefault="00E41C4B" w:rsidP="00F648CC">
      <w:pPr>
        <w:spacing w:line="360" w:lineRule="auto"/>
        <w:jc w:val="both"/>
        <w:rPr>
          <w:rFonts w:ascii="Arial" w:hAnsi="Arial" w:cs="Arial"/>
          <w:sz w:val="22"/>
        </w:rPr>
      </w:pPr>
      <w:r w:rsidRPr="00E41C4B">
        <w:rPr>
          <w:rFonts w:ascii="Arial" w:hAnsi="Arial" w:cs="Arial"/>
          <w:sz w:val="22"/>
        </w:rPr>
        <w:t xml:space="preserve">The Chronic Care Model coordinates </w:t>
      </w:r>
      <w:r w:rsidR="004A5010" w:rsidRPr="00E41C4B">
        <w:rPr>
          <w:rFonts w:ascii="Arial" w:hAnsi="Arial" w:cs="Arial"/>
          <w:sz w:val="22"/>
        </w:rPr>
        <w:t>initiative-taking</w:t>
      </w:r>
      <w:r w:rsidRPr="00E41C4B">
        <w:rPr>
          <w:rFonts w:ascii="Arial" w:hAnsi="Arial" w:cs="Arial"/>
          <w:sz w:val="22"/>
        </w:rPr>
        <w:t xml:space="preserve"> teams, self-management support, decision support, information systems, and community resources (Wagner et al., 2001). For CKD, this might mean eGFR/ACR recall systems, pharmacist-led review, and specialist advice. However, implementation requires capacity and attention to equity. Together, the two models address personalised care relationships and service organisation and are complementary rather than interchangeable.</w:t>
      </w:r>
    </w:p>
    <w:p w14:paraId="1A2DD783" w14:textId="212C9BA3" w:rsidR="00E930B8" w:rsidRPr="0070047D" w:rsidRDefault="00E41C4B" w:rsidP="00F648CC">
      <w:pPr>
        <w:spacing w:line="360" w:lineRule="auto"/>
        <w:jc w:val="both"/>
        <w:rPr>
          <w:rFonts w:ascii="Arial" w:hAnsi="Arial" w:cs="Arial"/>
          <w:sz w:val="22"/>
        </w:rPr>
      </w:pPr>
      <w:r w:rsidRPr="00E41C4B">
        <w:rPr>
          <w:rFonts w:ascii="Arial" w:hAnsi="Arial" w:cs="Arial"/>
          <w:sz w:val="22"/>
        </w:rPr>
        <w:t xml:space="preserve">Wagner’s international model aims to create productive interactions between informed, activated patients and prepared practice teams. Delivery-system design </w:t>
      </w:r>
      <w:r w:rsidR="00F734A5">
        <w:rPr>
          <w:rFonts w:ascii="Arial" w:hAnsi="Arial" w:cs="Arial"/>
          <w:sz w:val="22"/>
        </w:rPr>
        <w:t>distributed</w:t>
      </w:r>
      <w:r w:rsidRPr="00E41C4B">
        <w:rPr>
          <w:rFonts w:ascii="Arial" w:hAnsi="Arial" w:cs="Arial"/>
          <w:sz w:val="22"/>
        </w:rPr>
        <w:t xml:space="preserve"> roles across GPs, renal nurses</w:t>
      </w:r>
      <w:r w:rsidR="00755533" w:rsidRPr="00E41C4B">
        <w:rPr>
          <w:rFonts w:ascii="Arial" w:hAnsi="Arial" w:cs="Arial"/>
          <w:sz w:val="22"/>
        </w:rPr>
        <w:t>,</w:t>
      </w:r>
      <w:r w:rsidRPr="00E41C4B">
        <w:rPr>
          <w:rFonts w:ascii="Arial" w:hAnsi="Arial" w:cs="Arial"/>
          <w:sz w:val="22"/>
        </w:rPr>
        <w:t xml:space="preserve"> and specialists; clinical decision support translates guidance into practice; information systems </w:t>
      </w:r>
      <w:bookmarkStart w:id="33" w:name="_Int_0sNkDe62"/>
      <w:r w:rsidRPr="00E41C4B">
        <w:rPr>
          <w:rFonts w:ascii="Arial" w:hAnsi="Arial" w:cs="Arial"/>
          <w:sz w:val="22"/>
        </w:rPr>
        <w:t>identify</w:t>
      </w:r>
      <w:bookmarkEnd w:id="33"/>
      <w:r w:rsidRPr="00E41C4B">
        <w:rPr>
          <w:rFonts w:ascii="Arial" w:hAnsi="Arial" w:cs="Arial"/>
          <w:sz w:val="22"/>
        </w:rPr>
        <w:t xml:space="preserve"> patients needing follow-up; and community links help with practical barriers. The model is stronger than individual education alone because it addresses coordination. Nevertheless, electronic reminders do not guarantee </w:t>
      </w:r>
      <w:r w:rsidR="00755533" w:rsidRPr="00E41C4B">
        <w:rPr>
          <w:rFonts w:ascii="Arial" w:hAnsi="Arial" w:cs="Arial"/>
          <w:sz w:val="22"/>
        </w:rPr>
        <w:t>prompt</w:t>
      </w:r>
      <w:r w:rsidRPr="00E41C4B">
        <w:rPr>
          <w:rFonts w:ascii="Arial" w:hAnsi="Arial" w:cs="Arial"/>
          <w:sz w:val="22"/>
        </w:rPr>
        <w:t xml:space="preserve"> appointments, and digital-first services may exclude people with language or technology barriers. Comparative evaluation should include uptake, continuity, wellbeing</w:t>
      </w:r>
      <w:r w:rsidR="00755533" w:rsidRPr="00E41C4B">
        <w:rPr>
          <w:rFonts w:ascii="Arial" w:hAnsi="Arial" w:cs="Arial"/>
          <w:sz w:val="22"/>
        </w:rPr>
        <w:t>,</w:t>
      </w:r>
      <w:r w:rsidRPr="00E41C4B">
        <w:rPr>
          <w:rFonts w:ascii="Arial" w:hAnsi="Arial" w:cs="Arial"/>
          <w:sz w:val="22"/>
        </w:rPr>
        <w:t xml:space="preserve"> and inequality alongside biochemical targets (Wagner et al., 2001).</w:t>
      </w:r>
    </w:p>
    <w:p w14:paraId="4DCA9336" w14:textId="2F043083" w:rsidR="00E930B8" w:rsidRPr="00C676EB" w:rsidRDefault="00522C08" w:rsidP="00F648CC">
      <w:pPr>
        <w:spacing w:before="200" w:after="0" w:line="360" w:lineRule="auto"/>
        <w:jc w:val="both"/>
        <w:rPr>
          <w:rFonts w:ascii="Arial" w:hAnsi="Arial" w:cs="Arial"/>
          <w:color w:val="000000"/>
          <w:sz w:val="22"/>
          <w:lang w:val="en-GB" w:eastAsia="en-GB"/>
        </w:rPr>
      </w:pPr>
      <w:r w:rsidRPr="007F4329">
        <w:rPr>
          <w:rFonts w:ascii="Arial" w:hAnsi="Arial" w:cs="Arial"/>
          <w:color w:val="000000"/>
          <w:sz w:val="22"/>
          <w:lang w:val="en-GB" w:eastAsia="en-GB"/>
        </w:rPr>
        <w:t xml:space="preserve">Operationalising the Chronic Care Model within primary care systems requires alignment with national frameworks like the House of Care to bridge clinical management and community support (NHS England, 2016; Wagner et al., 2001). Crucially, structural health inequalities, social deprivation, and digital exclusion must </w:t>
      </w:r>
      <w:bookmarkStart w:id="34" w:name="_Int_6PeLNyFd"/>
      <w:r w:rsidRPr="007F4329">
        <w:rPr>
          <w:rFonts w:ascii="Arial" w:hAnsi="Arial" w:cs="Arial"/>
          <w:color w:val="000000"/>
          <w:sz w:val="22"/>
          <w:lang w:val="en-GB" w:eastAsia="en-GB"/>
        </w:rPr>
        <w:t>be explicitly addressed</w:t>
      </w:r>
      <w:bookmarkEnd w:id="34"/>
      <w:r w:rsidRPr="007F4329">
        <w:rPr>
          <w:rFonts w:ascii="Arial" w:hAnsi="Arial" w:cs="Arial"/>
          <w:color w:val="000000"/>
          <w:sz w:val="22"/>
          <w:lang w:val="en-GB" w:eastAsia="en-GB"/>
        </w:rPr>
        <w:t xml:space="preserve"> to prevent exacerbating existing healthcare disparities (Crews et al., 2019; NHS England, 2023). Furthermore, integrated multidisciplinary pathways must incorporate formal social care assessments under the Care Act 2014 and community care provisions to support informal carers and holistic patient needs (Barnes et al., 2017; Bennett et al., 2018). </w:t>
      </w:r>
      <w:r w:rsidR="00E57E24" w:rsidRPr="007F4329">
        <w:rPr>
          <w:rFonts w:ascii="Arial" w:hAnsi="Arial" w:cs="Arial"/>
          <w:color w:val="000000"/>
          <w:sz w:val="22"/>
          <w:lang w:val="en-GB" w:eastAsia="en-GB"/>
        </w:rPr>
        <w:t>Sustainable</w:t>
      </w:r>
      <w:r w:rsidRPr="007F4329">
        <w:rPr>
          <w:rFonts w:ascii="Arial" w:hAnsi="Arial" w:cs="Arial"/>
          <w:color w:val="000000"/>
          <w:sz w:val="22"/>
          <w:lang w:val="en-GB" w:eastAsia="en-GB"/>
        </w:rPr>
        <w:t xml:space="preserve"> chronic kidney disease care depends on embedding shared decision-making across all system levels (Elwyn et al., 2012).</w:t>
      </w:r>
    </w:p>
    <w:p w14:paraId="0B29D7A4" w14:textId="5F334AD4" w:rsidR="00E41C4B" w:rsidRPr="007E4283" w:rsidRDefault="00E41C4B" w:rsidP="00F648CC">
      <w:pPr>
        <w:pStyle w:val="Heading1"/>
        <w:spacing w:line="360" w:lineRule="auto"/>
        <w:jc w:val="both"/>
        <w:rPr>
          <w:rFonts w:ascii="Arial" w:hAnsi="Arial" w:cs="Arial"/>
        </w:rPr>
      </w:pPr>
      <w:bookmarkStart w:id="35" w:name="_Toc243595751"/>
      <w:r w:rsidRPr="007E4283">
        <w:rPr>
          <w:rFonts w:ascii="Arial" w:hAnsi="Arial" w:cs="Arial"/>
        </w:rPr>
        <w:t>Policy, guidelines, and local implementation</w:t>
      </w:r>
      <w:bookmarkEnd w:id="35"/>
    </w:p>
    <w:p w14:paraId="5F427502" w14:textId="77777777" w:rsidR="00E41C4B" w:rsidRPr="00E41C4B" w:rsidRDefault="00E41C4B" w:rsidP="00F648CC">
      <w:pPr>
        <w:spacing w:line="360" w:lineRule="auto"/>
        <w:jc w:val="both"/>
        <w:rPr>
          <w:rFonts w:ascii="Arial" w:hAnsi="Arial" w:cs="Arial"/>
          <w:sz w:val="22"/>
        </w:rPr>
      </w:pPr>
      <w:r w:rsidRPr="00E41C4B">
        <w:rPr>
          <w:rFonts w:ascii="Arial" w:hAnsi="Arial" w:cs="Arial"/>
          <w:sz w:val="22"/>
        </w:rPr>
        <w:t>NICE NG203 guides CKD assessment and management; NG107 addresses kidney replacement therapy and conservative management. KDIGO (2024) provides an international comparator but must be adapted to UK services. NHS England’s personalised care and integrated care agenda encourages coordination across primary care, hospitals, and community support (NHS England, 2019; NHS England, 2023).</w:t>
      </w:r>
    </w:p>
    <w:p w14:paraId="138FC40B" w14:textId="77777777" w:rsidR="00E41C4B" w:rsidRPr="00E41C4B" w:rsidRDefault="00E41C4B" w:rsidP="00F648CC">
      <w:pPr>
        <w:spacing w:line="360" w:lineRule="auto"/>
        <w:jc w:val="both"/>
        <w:rPr>
          <w:rFonts w:ascii="Arial" w:hAnsi="Arial" w:cs="Arial"/>
          <w:sz w:val="22"/>
        </w:rPr>
      </w:pPr>
      <w:r w:rsidRPr="00E41C4B">
        <w:rPr>
          <w:rFonts w:ascii="Arial" w:hAnsi="Arial" w:cs="Arial"/>
          <w:sz w:val="22"/>
        </w:rPr>
        <w:t xml:space="preserve">A proposed West Midlands improvement project could audit prompt ACR testing, referrals, home-dialysis access, and interpreter provision. These </w:t>
      </w:r>
      <w:bookmarkStart w:id="36" w:name="_Int_SKJsWNlc"/>
      <w:r w:rsidRPr="00E41C4B">
        <w:rPr>
          <w:rFonts w:ascii="Arial" w:hAnsi="Arial" w:cs="Arial"/>
          <w:sz w:val="22"/>
        </w:rPr>
        <w:t>are suggested</w:t>
      </w:r>
      <w:bookmarkEnd w:id="36"/>
      <w:r w:rsidRPr="00E41C4B">
        <w:rPr>
          <w:rFonts w:ascii="Arial" w:hAnsi="Arial" w:cs="Arial"/>
          <w:sz w:val="22"/>
        </w:rPr>
        <w:t xml:space="preserve"> priorities, not verified claims about current local performance. Measures should </w:t>
      </w:r>
      <w:bookmarkStart w:id="37" w:name="_Int_uhLP7CeH"/>
      <w:r w:rsidRPr="00E41C4B">
        <w:rPr>
          <w:rFonts w:ascii="Arial" w:hAnsi="Arial" w:cs="Arial"/>
          <w:sz w:val="22"/>
        </w:rPr>
        <w:t>be stratified</w:t>
      </w:r>
      <w:bookmarkEnd w:id="37"/>
      <w:r w:rsidRPr="00E41C4B">
        <w:rPr>
          <w:rFonts w:ascii="Arial" w:hAnsi="Arial" w:cs="Arial"/>
          <w:sz w:val="22"/>
        </w:rPr>
        <w:t xml:space="preserve"> by deprivation and relevant protected characteristics, with follow-up on patient experience rather than process compliance alone.</w:t>
      </w:r>
    </w:p>
    <w:p w14:paraId="0D608635" w14:textId="4821D46C" w:rsidR="00E41C4B" w:rsidRPr="00E41C4B" w:rsidRDefault="00E41C4B" w:rsidP="00F648CC">
      <w:pPr>
        <w:spacing w:line="360" w:lineRule="auto"/>
        <w:jc w:val="both"/>
        <w:rPr>
          <w:rFonts w:ascii="Arial" w:hAnsi="Arial" w:cs="Arial"/>
          <w:sz w:val="22"/>
        </w:rPr>
      </w:pPr>
      <w:r w:rsidRPr="00E41C4B">
        <w:rPr>
          <w:rFonts w:ascii="Arial" w:hAnsi="Arial" w:cs="Arial"/>
          <w:sz w:val="22"/>
        </w:rPr>
        <w:t xml:space="preserve">Implementation should distinguish policy aspirations from measurable delivery. An integrated care system could </w:t>
      </w:r>
      <w:bookmarkStart w:id="38" w:name="_Int_0dSbBpII"/>
      <w:r w:rsidRPr="00E41C4B">
        <w:rPr>
          <w:rFonts w:ascii="Arial" w:hAnsi="Arial" w:cs="Arial"/>
          <w:sz w:val="22"/>
        </w:rPr>
        <w:t>establish</w:t>
      </w:r>
      <w:bookmarkEnd w:id="38"/>
      <w:r w:rsidRPr="00E41C4B">
        <w:rPr>
          <w:rFonts w:ascii="Arial" w:hAnsi="Arial" w:cs="Arial"/>
          <w:sz w:val="22"/>
        </w:rPr>
        <w:t xml:space="preserve"> baseline testing rates, pilot multilingual invitations</w:t>
      </w:r>
      <w:r w:rsidR="0049585D" w:rsidRPr="00E41C4B">
        <w:rPr>
          <w:rFonts w:ascii="Arial" w:hAnsi="Arial" w:cs="Arial"/>
          <w:sz w:val="22"/>
        </w:rPr>
        <w:t>,</w:t>
      </w:r>
      <w:r w:rsidRPr="00E41C4B">
        <w:rPr>
          <w:rFonts w:ascii="Arial" w:hAnsi="Arial" w:cs="Arial"/>
          <w:sz w:val="22"/>
        </w:rPr>
        <w:t xml:space="preserve"> and evaluate whether improved testing leads to appropriate medication review or specialist referral. The Equality Act 2010 and Care Act 2014 provide relevant duties concerning access and carers. A rise in tests alone is an inadequate endpoint if patients </w:t>
      </w:r>
      <w:bookmarkStart w:id="39" w:name="_Int_0tiCHhuI"/>
      <w:r w:rsidRPr="00E41C4B">
        <w:rPr>
          <w:rFonts w:ascii="Arial" w:hAnsi="Arial" w:cs="Arial"/>
          <w:sz w:val="22"/>
        </w:rPr>
        <w:t>remain</w:t>
      </w:r>
      <w:bookmarkEnd w:id="39"/>
      <w:r w:rsidRPr="00E41C4B">
        <w:rPr>
          <w:rFonts w:ascii="Arial" w:hAnsi="Arial" w:cs="Arial"/>
          <w:sz w:val="22"/>
        </w:rPr>
        <w:t xml:space="preserve"> unable to obtain treatment or understand results.</w:t>
      </w:r>
    </w:p>
    <w:p w14:paraId="4B09592C" w14:textId="334C279C" w:rsidR="00E41C4B" w:rsidRPr="00E41C4B" w:rsidRDefault="00E41C4B" w:rsidP="00F648CC">
      <w:pPr>
        <w:spacing w:line="360" w:lineRule="auto"/>
        <w:jc w:val="both"/>
        <w:rPr>
          <w:rFonts w:ascii="Arial" w:hAnsi="Arial" w:cs="Arial"/>
          <w:sz w:val="22"/>
        </w:rPr>
      </w:pPr>
      <w:r w:rsidRPr="00E41C4B">
        <w:rPr>
          <w:rFonts w:ascii="Arial" w:hAnsi="Arial" w:cs="Arial"/>
          <w:sz w:val="22"/>
        </w:rPr>
        <w:t xml:space="preserve">National policy creates an evidence-based standard, but delivery </w:t>
      </w:r>
      <w:bookmarkStart w:id="40" w:name="_Int_eRZNi9TX"/>
      <w:r w:rsidRPr="00E41C4B">
        <w:rPr>
          <w:rFonts w:ascii="Arial" w:hAnsi="Arial" w:cs="Arial"/>
          <w:sz w:val="22"/>
        </w:rPr>
        <w:t>is shaped</w:t>
      </w:r>
      <w:bookmarkEnd w:id="40"/>
      <w:r w:rsidRPr="00E41C4B">
        <w:rPr>
          <w:rFonts w:ascii="Arial" w:hAnsi="Arial" w:cs="Arial"/>
          <w:sz w:val="22"/>
        </w:rPr>
        <w:t xml:space="preserve"> by local commissioning, workforce capacity</w:t>
      </w:r>
      <w:r w:rsidR="0049585D" w:rsidRPr="00E41C4B">
        <w:rPr>
          <w:rFonts w:ascii="Arial" w:hAnsi="Arial" w:cs="Arial"/>
          <w:sz w:val="22"/>
        </w:rPr>
        <w:t>,</w:t>
      </w:r>
      <w:r w:rsidRPr="00E41C4B">
        <w:rPr>
          <w:rFonts w:ascii="Arial" w:hAnsi="Arial" w:cs="Arial"/>
          <w:sz w:val="22"/>
        </w:rPr>
        <w:t xml:space="preserve"> and social-care availability. The NHS Long Term Plan promotes integrated prevention, while inclusion-health priorities require action on access </w:t>
      </w:r>
      <w:r w:rsidR="00D25856" w:rsidRPr="00E41C4B">
        <w:rPr>
          <w:rFonts w:ascii="Arial" w:hAnsi="Arial" w:cs="Arial"/>
          <w:sz w:val="22"/>
        </w:rPr>
        <w:t>barriers</w:t>
      </w:r>
      <w:r w:rsidR="00D25856">
        <w:rPr>
          <w:rFonts w:ascii="Arial" w:hAnsi="Arial" w:cs="Arial"/>
          <w:sz w:val="22"/>
        </w:rPr>
        <w:t xml:space="preserve"> (</w:t>
      </w:r>
      <w:r w:rsidR="00A65DCC">
        <w:rPr>
          <w:rFonts w:ascii="Arial" w:hAnsi="Arial" w:cs="Arial"/>
          <w:sz w:val="22"/>
        </w:rPr>
        <w:t>B</w:t>
      </w:r>
      <w:r w:rsidR="00E141AE">
        <w:rPr>
          <w:rFonts w:ascii="Arial" w:hAnsi="Arial" w:cs="Arial"/>
          <w:sz w:val="22"/>
        </w:rPr>
        <w:t>arnes et al., 2017)</w:t>
      </w:r>
      <w:r w:rsidRPr="00E41C4B">
        <w:rPr>
          <w:rFonts w:ascii="Arial" w:hAnsi="Arial" w:cs="Arial"/>
          <w:sz w:val="22"/>
        </w:rPr>
        <w:t xml:space="preserve">. The Care Act 2014 provides a framework for assessing eligible carers’ needs; audits should </w:t>
      </w:r>
      <w:r w:rsidR="00E968D7" w:rsidRPr="00E41C4B">
        <w:rPr>
          <w:rFonts w:ascii="Arial" w:hAnsi="Arial" w:cs="Arial"/>
          <w:sz w:val="22"/>
        </w:rPr>
        <w:t>evaluate</w:t>
      </w:r>
      <w:r w:rsidRPr="00E41C4B">
        <w:rPr>
          <w:rFonts w:ascii="Arial" w:hAnsi="Arial" w:cs="Arial"/>
          <w:sz w:val="22"/>
        </w:rPr>
        <w:t xml:space="preserve"> whether this entitlement translates into practical support rather than assuming policy publication equals implementation (NHS England, 2019; NHS England, 2023)</w:t>
      </w:r>
    </w:p>
    <w:p w14:paraId="40AED67C" w14:textId="40D3EA18" w:rsidR="00E41C4B" w:rsidRPr="003332BD" w:rsidRDefault="00E41C4B" w:rsidP="00F648CC">
      <w:pPr>
        <w:pStyle w:val="Heading1"/>
        <w:spacing w:line="360" w:lineRule="auto"/>
        <w:jc w:val="both"/>
        <w:rPr>
          <w:rFonts w:ascii="Arial" w:hAnsi="Arial" w:cs="Arial"/>
        </w:rPr>
      </w:pPr>
      <w:bookmarkStart w:id="41" w:name="_Toc243595752"/>
      <w:r w:rsidRPr="003332BD">
        <w:rPr>
          <w:rFonts w:ascii="Arial" w:hAnsi="Arial" w:cs="Arial"/>
        </w:rPr>
        <w:t>Recommendations: whole-person care and self-management</w:t>
      </w:r>
      <w:bookmarkEnd w:id="41"/>
    </w:p>
    <w:p w14:paraId="0E67234C" w14:textId="2DAF9BD6" w:rsidR="00E41C4B" w:rsidRPr="00E41C4B" w:rsidRDefault="00E41C4B" w:rsidP="00F648CC">
      <w:pPr>
        <w:spacing w:line="360" w:lineRule="auto"/>
        <w:jc w:val="both"/>
        <w:rPr>
          <w:rFonts w:ascii="Arial" w:hAnsi="Arial" w:cs="Arial"/>
          <w:sz w:val="22"/>
        </w:rPr>
      </w:pPr>
      <w:r w:rsidRPr="00E41C4B">
        <w:rPr>
          <w:rFonts w:ascii="Arial" w:hAnsi="Arial" w:cs="Arial"/>
          <w:sz w:val="22"/>
        </w:rPr>
        <w:t xml:space="preserve">Offer </w:t>
      </w:r>
      <w:r w:rsidR="00E968D7" w:rsidRPr="00E41C4B">
        <w:rPr>
          <w:rFonts w:ascii="Arial" w:hAnsi="Arial" w:cs="Arial"/>
          <w:sz w:val="22"/>
        </w:rPr>
        <w:t>initiative-taking</w:t>
      </w:r>
      <w:r w:rsidRPr="00E41C4B">
        <w:rPr>
          <w:rFonts w:ascii="Arial" w:hAnsi="Arial" w:cs="Arial"/>
          <w:sz w:val="22"/>
        </w:rPr>
        <w:t xml:space="preserve">, risk-stratified review, confirm abnormal results, and explain absolute risk without alarm. Embed shared decision-making at treatment transitions and support home blood-pressure monitoring, medicines reconciliation, tailored dietary advice and clear safety-netting where </w:t>
      </w:r>
      <w:bookmarkStart w:id="42" w:name="_Int_XLhKRTln"/>
      <w:r w:rsidRPr="00E41C4B">
        <w:rPr>
          <w:rFonts w:ascii="Arial" w:hAnsi="Arial" w:cs="Arial"/>
          <w:sz w:val="22"/>
        </w:rPr>
        <w:t>appropriate (</w:t>
      </w:r>
      <w:bookmarkEnd w:id="42"/>
      <w:r w:rsidRPr="00E41C4B">
        <w:rPr>
          <w:rFonts w:ascii="Arial" w:hAnsi="Arial" w:cs="Arial"/>
          <w:sz w:val="22"/>
        </w:rPr>
        <w:t>NICE, 2021; Elwyn et al., 2012). Screen for distress and consider language, disability, digital access, finances, and transport barriers.</w:t>
      </w:r>
    </w:p>
    <w:p w14:paraId="25C1E2B1" w14:textId="77777777" w:rsidR="00E41C4B" w:rsidRPr="00E41C4B" w:rsidRDefault="00E41C4B" w:rsidP="00F648CC">
      <w:pPr>
        <w:spacing w:line="360" w:lineRule="auto"/>
        <w:jc w:val="both"/>
        <w:rPr>
          <w:rFonts w:ascii="Arial" w:hAnsi="Arial" w:cs="Arial"/>
          <w:sz w:val="22"/>
        </w:rPr>
      </w:pPr>
      <w:r w:rsidRPr="00E41C4B">
        <w:rPr>
          <w:rFonts w:ascii="Arial" w:hAnsi="Arial" w:cs="Arial"/>
          <w:sz w:val="22"/>
        </w:rPr>
        <w:t xml:space="preserve">Assess carers’ needs with consent, coordinate multidisciplinary review, and </w:t>
      </w:r>
      <w:bookmarkStart w:id="43" w:name="_Int_hhAD67KT"/>
      <w:r w:rsidRPr="00E41C4B">
        <w:rPr>
          <w:rFonts w:ascii="Arial" w:hAnsi="Arial" w:cs="Arial"/>
          <w:sz w:val="22"/>
        </w:rPr>
        <w:t>identify</w:t>
      </w:r>
      <w:bookmarkEnd w:id="43"/>
      <w:r w:rsidRPr="00E41C4B">
        <w:rPr>
          <w:rFonts w:ascii="Arial" w:hAnsi="Arial" w:cs="Arial"/>
          <w:sz w:val="22"/>
        </w:rPr>
        <w:t xml:space="preserve"> a named contact for complex cases. Evaluate shared goals, symptoms, patient-reported experience, ACR testing, avoidable admissions, and unequal access. Introduce supportive and palliative care when </w:t>
      </w:r>
      <w:bookmarkStart w:id="44" w:name="_Int_E4MvUB8h"/>
      <w:r w:rsidRPr="00E41C4B">
        <w:rPr>
          <w:rFonts w:ascii="Arial" w:hAnsi="Arial" w:cs="Arial"/>
          <w:sz w:val="22"/>
        </w:rPr>
        <w:t>appropriate in</w:t>
      </w:r>
      <w:bookmarkEnd w:id="44"/>
      <w:r w:rsidRPr="00E41C4B">
        <w:rPr>
          <w:rFonts w:ascii="Arial" w:hAnsi="Arial" w:cs="Arial"/>
          <w:sz w:val="22"/>
        </w:rPr>
        <w:t xml:space="preserve"> advanced disease; end-of-life planning should reflect individual wishes and not </w:t>
      </w:r>
      <w:bookmarkStart w:id="45" w:name="_Int_ykH4GW0i"/>
      <w:r w:rsidRPr="00E41C4B">
        <w:rPr>
          <w:rFonts w:ascii="Arial" w:hAnsi="Arial" w:cs="Arial"/>
          <w:sz w:val="22"/>
        </w:rPr>
        <w:t>be presumed</w:t>
      </w:r>
      <w:bookmarkEnd w:id="45"/>
      <w:r w:rsidRPr="00E41C4B">
        <w:rPr>
          <w:rFonts w:ascii="Arial" w:hAnsi="Arial" w:cs="Arial"/>
          <w:sz w:val="22"/>
        </w:rPr>
        <w:t xml:space="preserve"> necessary for everyone with CKD (Davison et al., 2015).</w:t>
      </w:r>
    </w:p>
    <w:p w14:paraId="36335A15" w14:textId="0EB547FA" w:rsidR="00E41C4B" w:rsidRDefault="00E41C4B" w:rsidP="00F648CC">
      <w:pPr>
        <w:spacing w:line="360" w:lineRule="auto"/>
        <w:jc w:val="both"/>
        <w:rPr>
          <w:rFonts w:ascii="Arial" w:hAnsi="Arial" w:cs="Arial"/>
          <w:sz w:val="22"/>
        </w:rPr>
      </w:pPr>
      <w:bookmarkStart w:id="46" w:name="_Int_12pYHbTW"/>
      <w:r w:rsidRPr="00E41C4B">
        <w:rPr>
          <w:rFonts w:ascii="Arial" w:hAnsi="Arial" w:cs="Arial"/>
          <w:sz w:val="22"/>
        </w:rPr>
        <w:t>A feasible</w:t>
      </w:r>
      <w:bookmarkEnd w:id="46"/>
      <w:r w:rsidRPr="00E41C4B">
        <w:rPr>
          <w:rFonts w:ascii="Arial" w:hAnsi="Arial" w:cs="Arial"/>
          <w:sz w:val="22"/>
        </w:rPr>
        <w:t xml:space="preserve"> improvement plan would first co-design accessible information with patients, then pilot structured shared-decision appointments for people approaching kidney failure. Review clinical and patient-reported outcomes at six and twelve months and examine whether benefits reach disadvantaged groups. </w:t>
      </w:r>
    </w:p>
    <w:p w14:paraId="6E545902" w14:textId="77777777" w:rsidR="005659D6" w:rsidRPr="00953701" w:rsidRDefault="005659D6" w:rsidP="00F648CC">
      <w:pPr>
        <w:pStyle w:val="Heading1"/>
        <w:spacing w:line="360" w:lineRule="auto"/>
        <w:jc w:val="both"/>
        <w:rPr>
          <w:rFonts w:ascii="Arial" w:hAnsi="Arial" w:cs="Arial"/>
          <w:sz w:val="40"/>
          <w:szCs w:val="40"/>
          <w:lang w:val="en-GB" w:eastAsia="en-GB"/>
        </w:rPr>
      </w:pPr>
      <w:bookmarkStart w:id="47" w:name="_Toc243595753"/>
      <w:r w:rsidRPr="00953701">
        <w:rPr>
          <w:rFonts w:ascii="Arial" w:hAnsi="Arial" w:cs="Arial"/>
          <w:sz w:val="40"/>
          <w:szCs w:val="40"/>
          <w:lang w:val="en-GB" w:eastAsia="en-GB"/>
        </w:rPr>
        <w:t>End-of-Life and Conservative Kidney Care</w:t>
      </w:r>
      <w:bookmarkEnd w:id="47"/>
    </w:p>
    <w:p w14:paraId="34E792DF" w14:textId="77777777" w:rsidR="005659D6" w:rsidRPr="00953701" w:rsidRDefault="005659D6" w:rsidP="00F648CC">
      <w:pPr>
        <w:spacing w:before="107" w:after="0" w:line="360" w:lineRule="auto"/>
        <w:jc w:val="both"/>
        <w:rPr>
          <w:rFonts w:ascii="Arial" w:hAnsi="Arial" w:cs="Arial"/>
          <w:color w:val="000000"/>
          <w:sz w:val="22"/>
          <w:lang w:val="en-GB" w:eastAsia="en-GB"/>
        </w:rPr>
      </w:pPr>
      <w:r w:rsidRPr="00953701">
        <w:rPr>
          <w:rFonts w:ascii="Arial" w:hAnsi="Arial" w:cs="Arial"/>
          <w:color w:val="000000"/>
          <w:sz w:val="22"/>
          <w:lang w:val="en-GB" w:eastAsia="en-GB"/>
        </w:rPr>
        <w:t>Care at the end of life must be fundamentally personalised, proactive, and aligned with individual values. NHS England promotes personalised palliative and end-of-life care to improve patient choice, control, and outcomes through earlier identification of disease trajectories, preference discussions, and integrated multidisciplinary services (NHS England and Improvement, 2022).</w:t>
      </w:r>
    </w:p>
    <w:p w14:paraId="32FA3321" w14:textId="38F24B31" w:rsidR="005659D6" w:rsidRPr="00953701" w:rsidRDefault="005659D6" w:rsidP="00F648CC">
      <w:pPr>
        <w:spacing w:before="200" w:after="0" w:line="360" w:lineRule="auto"/>
        <w:jc w:val="both"/>
        <w:rPr>
          <w:rFonts w:ascii="Arial" w:hAnsi="Arial" w:cs="Arial"/>
          <w:color w:val="000000"/>
          <w:sz w:val="22"/>
          <w:lang w:val="en-GB" w:eastAsia="en-GB"/>
        </w:rPr>
      </w:pPr>
      <w:r w:rsidRPr="00953701">
        <w:rPr>
          <w:rFonts w:ascii="Arial" w:hAnsi="Arial" w:cs="Arial"/>
          <w:color w:val="000000"/>
          <w:sz w:val="22"/>
          <w:lang w:val="en-GB" w:eastAsia="en-GB"/>
        </w:rPr>
        <w:t xml:space="preserve">Central to this model is </w:t>
      </w:r>
      <w:r w:rsidRPr="00953701">
        <w:rPr>
          <w:rFonts w:ascii="Arial" w:hAnsi="Arial" w:cs="Arial"/>
          <w:b/>
          <w:bCs/>
          <w:color w:val="000000"/>
          <w:sz w:val="22"/>
          <w:lang w:val="en-GB" w:eastAsia="en-GB"/>
        </w:rPr>
        <w:t>Advance Care Planning (ACP)</w:t>
      </w:r>
      <w:r w:rsidRPr="00953701">
        <w:rPr>
          <w:rFonts w:ascii="Arial" w:hAnsi="Arial" w:cs="Arial"/>
          <w:color w:val="000000"/>
          <w:sz w:val="22"/>
          <w:lang w:val="en-GB" w:eastAsia="en-GB"/>
        </w:rPr>
        <w:t>. ACP should be introduced as a voluntary, dynamic process initiated early in the disease trajectory</w:t>
      </w:r>
      <w:r w:rsidR="00286DAA">
        <w:rPr>
          <w:rFonts w:ascii="Arial" w:hAnsi="Arial" w:cs="Arial"/>
          <w:color w:val="000000"/>
          <w:sz w:val="22"/>
          <w:lang w:val="en-GB" w:eastAsia="en-GB"/>
        </w:rPr>
        <w:t xml:space="preserve"> </w:t>
      </w:r>
      <w:r w:rsidRPr="00953701">
        <w:rPr>
          <w:rFonts w:ascii="Arial" w:hAnsi="Arial" w:cs="Arial"/>
          <w:color w:val="000000"/>
          <w:sz w:val="22"/>
          <w:lang w:val="en-GB" w:eastAsia="en-GB"/>
        </w:rPr>
        <w:t>revisited continuously as clinical needs or preferences change</w:t>
      </w:r>
      <w:r w:rsidR="00286DAA">
        <w:rPr>
          <w:rFonts w:ascii="Arial" w:hAnsi="Arial" w:cs="Arial"/>
          <w:color w:val="000000"/>
          <w:sz w:val="22"/>
          <w:lang w:val="en-GB" w:eastAsia="en-GB"/>
        </w:rPr>
        <w:t xml:space="preserve"> </w:t>
      </w:r>
      <w:r w:rsidRPr="00953701">
        <w:rPr>
          <w:rFonts w:ascii="Arial" w:hAnsi="Arial" w:cs="Arial"/>
          <w:color w:val="000000"/>
          <w:sz w:val="22"/>
          <w:lang w:val="en-GB" w:eastAsia="en-GB"/>
        </w:rPr>
        <w:t>rather than treated as a fixed administrative decision or one synonymous with the withdrawal of active care (Davison et al., 2015; Elwyn et al., 2012).</w:t>
      </w:r>
    </w:p>
    <w:p w14:paraId="438842B8" w14:textId="43669C8B" w:rsidR="005659D6" w:rsidRPr="00953701" w:rsidRDefault="005659D6" w:rsidP="00F648CC">
      <w:pPr>
        <w:spacing w:before="200" w:after="0" w:line="360" w:lineRule="auto"/>
        <w:jc w:val="both"/>
        <w:rPr>
          <w:rFonts w:ascii="Arial" w:hAnsi="Arial" w:cs="Arial"/>
          <w:color w:val="000000"/>
          <w:sz w:val="22"/>
          <w:lang w:val="en-GB" w:eastAsia="en-GB"/>
        </w:rPr>
      </w:pPr>
      <w:r w:rsidRPr="00953701">
        <w:rPr>
          <w:rFonts w:ascii="Arial" w:hAnsi="Arial" w:cs="Arial"/>
          <w:color w:val="000000"/>
          <w:sz w:val="22"/>
          <w:lang w:val="en-GB" w:eastAsia="en-GB"/>
        </w:rPr>
        <w:t xml:space="preserve">In end-of-life kidney care, </w:t>
      </w:r>
      <w:r w:rsidR="00A943E6" w:rsidRPr="00953701">
        <w:rPr>
          <w:rFonts w:ascii="Arial" w:hAnsi="Arial" w:cs="Arial"/>
          <w:color w:val="000000"/>
          <w:sz w:val="22"/>
          <w:lang w:val="en-GB" w:eastAsia="en-GB"/>
        </w:rPr>
        <w:t>prompt</w:t>
      </w:r>
      <w:r w:rsidRPr="00953701">
        <w:rPr>
          <w:rFonts w:ascii="Arial" w:hAnsi="Arial" w:cs="Arial"/>
          <w:color w:val="000000"/>
          <w:sz w:val="22"/>
          <w:lang w:val="en-GB" w:eastAsia="en-GB"/>
        </w:rPr>
        <w:t xml:space="preserve"> ACP is essential because decisions </w:t>
      </w:r>
      <w:bookmarkStart w:id="48" w:name="_Int_TBSk5i28"/>
      <w:r w:rsidRPr="00953701">
        <w:rPr>
          <w:rFonts w:ascii="Arial" w:hAnsi="Arial" w:cs="Arial"/>
          <w:color w:val="000000"/>
          <w:sz w:val="22"/>
          <w:lang w:val="en-GB" w:eastAsia="en-GB"/>
        </w:rPr>
        <w:t>regarding</w:t>
      </w:r>
      <w:bookmarkEnd w:id="48"/>
      <w:r w:rsidRPr="00953701">
        <w:rPr>
          <w:rFonts w:ascii="Arial" w:hAnsi="Arial" w:cs="Arial"/>
          <w:color w:val="000000"/>
          <w:sz w:val="22"/>
          <w:lang w:val="en-GB" w:eastAsia="en-GB"/>
        </w:rPr>
        <w:t xml:space="preserve"> dialysis withdrawal, symptom control, and preferred place of death are deeply individual (Davison et al., 2015; Verberne et al., 2016). However, the operationalisation of ACP depends on sensitive communication and is </w:t>
      </w:r>
      <w:bookmarkStart w:id="49" w:name="_Int_1ftzX7Kj"/>
      <w:r w:rsidRPr="00953701">
        <w:rPr>
          <w:rFonts w:ascii="Arial" w:hAnsi="Arial" w:cs="Arial"/>
          <w:color w:val="000000"/>
          <w:sz w:val="22"/>
          <w:lang w:val="en-GB" w:eastAsia="en-GB"/>
        </w:rPr>
        <w:t>frequently</w:t>
      </w:r>
      <w:bookmarkEnd w:id="49"/>
      <w:r w:rsidRPr="00953701">
        <w:rPr>
          <w:rFonts w:ascii="Arial" w:hAnsi="Arial" w:cs="Arial"/>
          <w:color w:val="000000"/>
          <w:sz w:val="22"/>
          <w:lang w:val="en-GB" w:eastAsia="en-GB"/>
        </w:rPr>
        <w:t xml:space="preserve"> complicated by prognostic uncertainty, cognitive impairment, or family conflict (Davison et al., 2015; Morton et al., 2010). Operationalising this personalisation requires embedding structured shared decision-making models to address patient values alongside complex multi-morbidity (Elwyn et al., 2012; Morton et al., 2010). Furthermore, alignment with statutory social care assessments under the Care Act 2014 and community support packages ensures holistic, </w:t>
      </w:r>
      <w:bookmarkStart w:id="50" w:name="_Int_NbXQDcDu"/>
      <w:r w:rsidRPr="00953701">
        <w:rPr>
          <w:rFonts w:ascii="Arial" w:hAnsi="Arial" w:cs="Arial"/>
          <w:color w:val="000000"/>
          <w:sz w:val="22"/>
          <w:lang w:val="en-GB" w:eastAsia="en-GB"/>
        </w:rPr>
        <w:t>equitable</w:t>
      </w:r>
      <w:bookmarkEnd w:id="50"/>
      <w:r w:rsidRPr="00953701">
        <w:rPr>
          <w:rFonts w:ascii="Arial" w:hAnsi="Arial" w:cs="Arial"/>
          <w:color w:val="000000"/>
          <w:sz w:val="22"/>
          <w:lang w:val="en-GB" w:eastAsia="en-GB"/>
        </w:rPr>
        <w:t xml:space="preserve"> care delivery across diverse patient populations (Barnes et al., 2017; Bennett et al., 2018).</w:t>
      </w:r>
    </w:p>
    <w:p w14:paraId="05B386ED" w14:textId="77777777" w:rsidR="00FD00ED" w:rsidRPr="00DB5555" w:rsidRDefault="00FD00ED" w:rsidP="00F648CC">
      <w:pPr>
        <w:spacing w:line="360" w:lineRule="auto"/>
        <w:jc w:val="both"/>
        <w:rPr>
          <w:rFonts w:ascii="Arial" w:hAnsi="Arial" w:cs="Arial"/>
          <w:sz w:val="22"/>
        </w:rPr>
      </w:pPr>
    </w:p>
    <w:p w14:paraId="6B1399CA" w14:textId="2BE6047F" w:rsidR="00E41C4B" w:rsidRPr="007D694A" w:rsidRDefault="00E41C4B" w:rsidP="00F648CC">
      <w:pPr>
        <w:pStyle w:val="Heading1"/>
        <w:spacing w:line="360" w:lineRule="auto"/>
        <w:jc w:val="both"/>
        <w:rPr>
          <w:rFonts w:ascii="Arial" w:hAnsi="Arial" w:cs="Arial"/>
        </w:rPr>
      </w:pPr>
      <w:bookmarkStart w:id="51" w:name="_Toc243595754"/>
      <w:r w:rsidRPr="007D694A">
        <w:rPr>
          <w:rFonts w:ascii="Arial" w:hAnsi="Arial" w:cs="Arial"/>
        </w:rPr>
        <w:t>Conclusion</w:t>
      </w:r>
      <w:bookmarkEnd w:id="51"/>
    </w:p>
    <w:p w14:paraId="3A2626AD" w14:textId="0C3627F8" w:rsidR="00CA2E33" w:rsidRPr="001D11BF" w:rsidRDefault="00CA2E33" w:rsidP="00F648CC">
      <w:pPr>
        <w:spacing w:before="107" w:after="0" w:line="360" w:lineRule="auto"/>
        <w:jc w:val="both"/>
        <w:rPr>
          <w:rFonts w:ascii="Arial" w:hAnsi="Arial" w:cs="Arial"/>
          <w:color w:val="000000"/>
          <w:sz w:val="22"/>
          <w:lang w:val="en-GB" w:eastAsia="en-GB"/>
        </w:rPr>
      </w:pPr>
      <w:r w:rsidRPr="001D11BF">
        <w:rPr>
          <w:rFonts w:ascii="Arial" w:hAnsi="Arial" w:cs="Arial"/>
          <w:color w:val="000000"/>
          <w:sz w:val="22"/>
          <w:lang w:val="en-GB" w:eastAsia="en-GB"/>
        </w:rPr>
        <w:t xml:space="preserve">Chronic kidney disease management cannot </w:t>
      </w:r>
      <w:bookmarkStart w:id="52" w:name="_Int_uP4K5Eka"/>
      <w:r w:rsidRPr="001D11BF">
        <w:rPr>
          <w:rFonts w:ascii="Arial" w:hAnsi="Arial" w:cs="Arial"/>
          <w:color w:val="000000"/>
          <w:sz w:val="22"/>
          <w:lang w:val="en-GB" w:eastAsia="en-GB"/>
        </w:rPr>
        <w:t>be judged</w:t>
      </w:r>
      <w:bookmarkEnd w:id="52"/>
      <w:r w:rsidRPr="001D11BF">
        <w:rPr>
          <w:rFonts w:ascii="Arial" w:hAnsi="Arial" w:cs="Arial"/>
          <w:color w:val="000000"/>
          <w:sz w:val="22"/>
          <w:lang w:val="en-GB" w:eastAsia="en-GB"/>
        </w:rPr>
        <w:t xml:space="preserve"> solely by biochemical markers such as eGFR, albuminuria, or baseline dialysis survival metrics (Go et al., 2004; Palmer et al., 2013). Physical symptom burdens, psychological distress, financial hardship, and informal caring responsibilities interact directly with therapeutic efficacy and overall treatment adherence (Barnes et al., 2017; Bennett et al., 2018). Combining the UK House of Care and the international Chronic Care Model offers a robust foundation for delivering person-</w:t>
      </w:r>
      <w:r w:rsidR="005A091C" w:rsidRPr="001D11BF">
        <w:rPr>
          <w:rFonts w:ascii="Arial" w:hAnsi="Arial" w:cs="Arial"/>
          <w:color w:val="000000"/>
          <w:sz w:val="22"/>
          <w:lang w:val="en-GB" w:eastAsia="en-GB"/>
        </w:rPr>
        <w:t>entered</w:t>
      </w:r>
      <w:r w:rsidRPr="001D11BF">
        <w:rPr>
          <w:rFonts w:ascii="Arial" w:hAnsi="Arial" w:cs="Arial"/>
          <w:color w:val="000000"/>
          <w:sz w:val="22"/>
          <w:lang w:val="en-GB" w:eastAsia="en-GB"/>
        </w:rPr>
        <w:t>, coordinated, and multi-professional care across primary and secondary interfaces (Coulter et al., 2015; Wagner et al., 2001). However, clinical advancements</w:t>
      </w:r>
      <w:r w:rsidR="00A837A5">
        <w:rPr>
          <w:rFonts w:ascii="Arial" w:hAnsi="Arial" w:cs="Arial"/>
          <w:color w:val="000000"/>
          <w:sz w:val="22"/>
          <w:lang w:val="en-GB" w:eastAsia="en-GB"/>
        </w:rPr>
        <w:t xml:space="preserve"> </w:t>
      </w:r>
      <w:r w:rsidRPr="001D11BF">
        <w:rPr>
          <w:rFonts w:ascii="Arial" w:hAnsi="Arial" w:cs="Arial"/>
          <w:color w:val="000000"/>
          <w:sz w:val="22"/>
          <w:lang w:val="en-GB" w:eastAsia="en-GB"/>
        </w:rPr>
        <w:t>such as early SGLT2 inhibitor deployment and RAAS blockade</w:t>
      </w:r>
      <w:r w:rsidR="00A837A5">
        <w:rPr>
          <w:rFonts w:ascii="Arial" w:hAnsi="Arial" w:cs="Arial"/>
          <w:color w:val="000000"/>
          <w:sz w:val="22"/>
          <w:lang w:val="en-GB" w:eastAsia="en-GB"/>
        </w:rPr>
        <w:t xml:space="preserve"> </w:t>
      </w:r>
      <w:r w:rsidRPr="001D11BF">
        <w:rPr>
          <w:rFonts w:ascii="Arial" w:hAnsi="Arial" w:cs="Arial"/>
          <w:color w:val="000000"/>
          <w:sz w:val="22"/>
          <w:lang w:val="en-GB" w:eastAsia="en-GB"/>
        </w:rPr>
        <w:t xml:space="preserve">must </w:t>
      </w:r>
      <w:bookmarkStart w:id="53" w:name="_Int_W5MWH5eS"/>
      <w:r w:rsidRPr="001D11BF">
        <w:rPr>
          <w:rFonts w:ascii="Arial" w:hAnsi="Arial" w:cs="Arial"/>
          <w:color w:val="000000"/>
          <w:sz w:val="22"/>
          <w:lang w:val="en-GB" w:eastAsia="en-GB"/>
        </w:rPr>
        <w:t>be integrated</w:t>
      </w:r>
      <w:bookmarkEnd w:id="53"/>
      <w:r w:rsidRPr="001D11BF">
        <w:rPr>
          <w:rFonts w:ascii="Arial" w:hAnsi="Arial" w:cs="Arial"/>
          <w:color w:val="000000"/>
          <w:sz w:val="22"/>
          <w:lang w:val="en-GB" w:eastAsia="en-GB"/>
        </w:rPr>
        <w:t xml:space="preserve"> alongside statutory social care assessments under the Care Act 2014 to address systemic health disparities and socioeconomic barriers (Crews et al., 2019; KDIGO, 2024; NICE, 2021). Future service evaluation must critically examine whether clinical improvements translate into enhanced daily functioning, </w:t>
      </w:r>
      <w:bookmarkStart w:id="54" w:name="_Int_D5losiSD"/>
      <w:r w:rsidRPr="001D11BF">
        <w:rPr>
          <w:rFonts w:ascii="Arial" w:hAnsi="Arial" w:cs="Arial"/>
          <w:color w:val="000000"/>
          <w:sz w:val="22"/>
          <w:lang w:val="en-GB" w:eastAsia="en-GB"/>
        </w:rPr>
        <w:t>equitable</w:t>
      </w:r>
      <w:bookmarkEnd w:id="54"/>
      <w:r w:rsidRPr="001D11BF">
        <w:rPr>
          <w:rFonts w:ascii="Arial" w:hAnsi="Arial" w:cs="Arial"/>
          <w:color w:val="000000"/>
          <w:sz w:val="22"/>
          <w:lang w:val="en-GB" w:eastAsia="en-GB"/>
        </w:rPr>
        <w:t xml:space="preserve"> access, and preserved patient autonomy across historically underserved and disadvantaged populations (Elwyn et al., 2012; Morton et al., 2010; NHS England, 2023).</w:t>
      </w:r>
    </w:p>
    <w:p w14:paraId="5FF52B56" w14:textId="77777777" w:rsidR="00D107E4" w:rsidRDefault="00D107E4" w:rsidP="00F648CC">
      <w:pPr>
        <w:jc w:val="both"/>
      </w:pPr>
    </w:p>
    <w:p w14:paraId="4D4C0E3A" w14:textId="77777777" w:rsidR="00FD3AC6" w:rsidRDefault="00FD3AC6" w:rsidP="00F648CC">
      <w:pPr>
        <w:jc w:val="both"/>
      </w:pPr>
    </w:p>
    <w:p w14:paraId="6ECB04F6" w14:textId="77777777" w:rsidR="00FD3AC6" w:rsidRPr="00D107E4" w:rsidRDefault="00FD3AC6" w:rsidP="00F648CC">
      <w:pPr>
        <w:jc w:val="both"/>
      </w:pPr>
    </w:p>
    <w:p w14:paraId="57DE28F5" w14:textId="6A48D0BA" w:rsidR="001C2CB2" w:rsidRDefault="00E41C4B" w:rsidP="000E04D8">
      <w:pPr>
        <w:pStyle w:val="Heading1"/>
        <w:spacing w:line="360" w:lineRule="auto"/>
        <w:jc w:val="both"/>
        <w:rPr>
          <w:rFonts w:ascii="Arial" w:hAnsi="Arial" w:cs="Arial"/>
        </w:rPr>
      </w:pPr>
      <w:bookmarkStart w:id="55" w:name="_Toc243595755"/>
      <w:r w:rsidRPr="00F31B80">
        <w:rPr>
          <w:rFonts w:ascii="Arial" w:hAnsi="Arial" w:cs="Arial"/>
        </w:rPr>
        <w:t>References</w:t>
      </w:r>
      <w:bookmarkEnd w:id="55"/>
    </w:p>
    <w:p w14:paraId="759A3190" w14:textId="77777777" w:rsidR="006A49C0" w:rsidRDefault="007E1D86" w:rsidP="006B12AF">
      <w:pPr>
        <w:spacing w:before="107" w:after="0" w:line="360" w:lineRule="auto"/>
        <w:ind w:left="600" w:hanging="600"/>
        <w:jc w:val="both"/>
        <w:rPr>
          <w:rFonts w:ascii="Arial" w:hAnsi="Arial" w:cs="Arial"/>
          <w:color w:val="000000"/>
          <w:sz w:val="22"/>
          <w:lang w:val="en-GB" w:eastAsia="en-GB"/>
        </w:rPr>
      </w:pPr>
      <w:r w:rsidRPr="00492645">
        <w:rPr>
          <w:rFonts w:ascii="Arial" w:hAnsi="Arial" w:cs="Arial"/>
          <w:color w:val="000000"/>
          <w:sz w:val="22"/>
          <w:lang w:val="en-GB" w:eastAsia="en-GB"/>
        </w:rPr>
        <w:t xml:space="preserve">Barnes, D., Boland, B., Linhart, K. and Wilson, K. (2017) ‘Personalisation and social care </w:t>
      </w:r>
    </w:p>
    <w:p w14:paraId="485522CE" w14:textId="20263A60" w:rsidR="007E1D86" w:rsidRPr="00492645" w:rsidRDefault="007E1D86" w:rsidP="006B12AF">
      <w:pPr>
        <w:spacing w:before="107" w:after="0" w:line="360" w:lineRule="auto"/>
        <w:ind w:left="600" w:hanging="600"/>
        <w:jc w:val="both"/>
        <w:rPr>
          <w:rFonts w:ascii="Arial" w:hAnsi="Arial" w:cs="Arial"/>
          <w:color w:val="000000"/>
          <w:sz w:val="22"/>
          <w:lang w:val="en-GB" w:eastAsia="en-GB"/>
        </w:rPr>
      </w:pPr>
      <w:r w:rsidRPr="00492645">
        <w:rPr>
          <w:rFonts w:ascii="Arial" w:hAnsi="Arial" w:cs="Arial"/>
          <w:color w:val="000000"/>
          <w:sz w:val="22"/>
          <w:lang w:val="en-GB" w:eastAsia="en-GB"/>
        </w:rPr>
        <w:t xml:space="preserve">assessment–the Care Act 2014’, </w:t>
      </w:r>
      <w:r w:rsidRPr="00492645">
        <w:rPr>
          <w:rFonts w:ascii="Arial" w:hAnsi="Arial" w:cs="Arial"/>
          <w:i/>
          <w:iCs/>
          <w:color w:val="000000"/>
          <w:sz w:val="22"/>
          <w:lang w:val="en-GB" w:eastAsia="en-GB"/>
        </w:rPr>
        <w:t>BJPsych Bulletin</w:t>
      </w:r>
      <w:r w:rsidRPr="00492645">
        <w:rPr>
          <w:rFonts w:ascii="Arial" w:hAnsi="Arial" w:cs="Arial"/>
          <w:color w:val="000000"/>
          <w:sz w:val="22"/>
          <w:lang w:val="en-GB" w:eastAsia="en-GB"/>
        </w:rPr>
        <w:t>, 41(3), pp. 176–180.</w:t>
      </w:r>
    </w:p>
    <w:p w14:paraId="052516E0" w14:textId="758EE1C6" w:rsidR="007E1D86" w:rsidRPr="00492645" w:rsidRDefault="007E1D86" w:rsidP="006B12AF">
      <w:pPr>
        <w:spacing w:before="140" w:after="0" w:line="360" w:lineRule="auto"/>
        <w:ind w:left="600" w:hanging="600"/>
        <w:jc w:val="both"/>
        <w:rPr>
          <w:rFonts w:ascii="Arial" w:hAnsi="Arial" w:cs="Arial"/>
          <w:color w:val="000000"/>
          <w:sz w:val="22"/>
          <w:lang w:val="en-GB" w:eastAsia="en-GB"/>
        </w:rPr>
      </w:pPr>
      <w:r w:rsidRPr="00492645">
        <w:rPr>
          <w:rFonts w:ascii="Arial" w:hAnsi="Arial" w:cs="Arial"/>
          <w:color w:val="000000"/>
          <w:sz w:val="22"/>
          <w:lang w:val="en-GB" w:eastAsia="en-GB"/>
        </w:rPr>
        <w:t xml:space="preserve">Bennett, L., Honeyman, M. and Bottery, S. (2018) </w:t>
      </w:r>
      <w:r w:rsidRPr="00492645">
        <w:rPr>
          <w:rFonts w:ascii="Arial" w:hAnsi="Arial" w:cs="Arial"/>
          <w:i/>
          <w:iCs/>
          <w:color w:val="000000"/>
          <w:sz w:val="22"/>
          <w:lang w:val="en-GB" w:eastAsia="en-GB"/>
        </w:rPr>
        <w:t>New models of home care</w:t>
      </w:r>
      <w:r w:rsidRPr="00492645">
        <w:rPr>
          <w:rFonts w:ascii="Arial" w:hAnsi="Arial" w:cs="Arial"/>
          <w:color w:val="000000"/>
          <w:sz w:val="22"/>
          <w:lang w:val="en-GB" w:eastAsia="en-GB"/>
        </w:rPr>
        <w:t>. London: King's Fund.</w:t>
      </w:r>
    </w:p>
    <w:p w14:paraId="4D211BB5" w14:textId="77777777" w:rsidR="00CE4150" w:rsidRDefault="007E1D86" w:rsidP="006B12AF">
      <w:pPr>
        <w:spacing w:before="140" w:after="0" w:line="360" w:lineRule="auto"/>
        <w:ind w:left="600" w:hanging="600"/>
        <w:jc w:val="both"/>
        <w:rPr>
          <w:rFonts w:ascii="Arial" w:hAnsi="Arial" w:cs="Arial"/>
          <w:color w:val="000000"/>
          <w:sz w:val="22"/>
          <w:lang w:val="en-GB" w:eastAsia="en-GB"/>
        </w:rPr>
      </w:pPr>
      <w:r w:rsidRPr="00492645">
        <w:rPr>
          <w:rFonts w:ascii="Arial" w:hAnsi="Arial" w:cs="Arial"/>
          <w:color w:val="000000"/>
          <w:sz w:val="22"/>
          <w:lang w:val="en-GB" w:eastAsia="en-GB"/>
        </w:rPr>
        <w:t xml:space="preserve">Bikbov, B., Purcell, C.A., Levey, A.S., Smith, M., Abdoli, A., Abebe, M., Adebayo, O.M., Afarideh, M., </w:t>
      </w:r>
    </w:p>
    <w:p w14:paraId="0A6A1977" w14:textId="77777777" w:rsidR="00CE4150" w:rsidRDefault="007E1D86" w:rsidP="006B12AF">
      <w:pPr>
        <w:spacing w:before="140" w:after="0" w:line="360" w:lineRule="auto"/>
        <w:ind w:left="600" w:hanging="600"/>
        <w:jc w:val="both"/>
        <w:rPr>
          <w:rFonts w:ascii="Arial" w:hAnsi="Arial" w:cs="Arial"/>
          <w:color w:val="000000"/>
          <w:sz w:val="22"/>
          <w:lang w:val="en-GB" w:eastAsia="en-GB"/>
        </w:rPr>
      </w:pPr>
      <w:r w:rsidRPr="00492645">
        <w:rPr>
          <w:rFonts w:ascii="Arial" w:hAnsi="Arial" w:cs="Arial"/>
          <w:color w:val="000000"/>
          <w:sz w:val="22"/>
          <w:lang w:val="en-GB" w:eastAsia="en-GB"/>
        </w:rPr>
        <w:t xml:space="preserve">Agarwal, S.K., Agudelo-Botero, M. and Ahmadian, E. (2020) ‘Global, regional, and national burden of </w:t>
      </w:r>
    </w:p>
    <w:p w14:paraId="3ED7B1D8" w14:textId="77777777" w:rsidR="006A49C0" w:rsidRDefault="007E1D86" w:rsidP="006B12AF">
      <w:pPr>
        <w:spacing w:before="140" w:after="0" w:line="360" w:lineRule="auto"/>
        <w:ind w:left="600" w:hanging="600"/>
        <w:jc w:val="both"/>
        <w:rPr>
          <w:rFonts w:ascii="Arial" w:hAnsi="Arial" w:cs="Arial"/>
          <w:color w:val="000000"/>
          <w:sz w:val="22"/>
          <w:lang w:val="en-GB" w:eastAsia="en-GB"/>
        </w:rPr>
      </w:pPr>
      <w:r w:rsidRPr="00492645">
        <w:rPr>
          <w:rFonts w:ascii="Arial" w:hAnsi="Arial" w:cs="Arial"/>
          <w:color w:val="000000"/>
          <w:sz w:val="22"/>
          <w:lang w:val="en-GB" w:eastAsia="en-GB"/>
        </w:rPr>
        <w:t xml:space="preserve">chronic kidney disease, 1990–2017: a systematic analysis for the Global Burden of Disease Study </w:t>
      </w:r>
    </w:p>
    <w:p w14:paraId="7AEB4146" w14:textId="7F88D170" w:rsidR="007E1D86" w:rsidRPr="00492645" w:rsidRDefault="007E1D86" w:rsidP="006B12AF">
      <w:pPr>
        <w:spacing w:before="140" w:after="0" w:line="360" w:lineRule="auto"/>
        <w:ind w:left="600" w:hanging="600"/>
        <w:jc w:val="both"/>
        <w:rPr>
          <w:rFonts w:ascii="Arial" w:hAnsi="Arial" w:cs="Arial"/>
          <w:color w:val="000000"/>
          <w:sz w:val="22"/>
          <w:lang w:val="en-GB" w:eastAsia="en-GB"/>
        </w:rPr>
      </w:pPr>
      <w:r w:rsidRPr="00492645">
        <w:rPr>
          <w:rFonts w:ascii="Arial" w:hAnsi="Arial" w:cs="Arial"/>
          <w:color w:val="000000"/>
          <w:sz w:val="22"/>
          <w:lang w:val="en-GB" w:eastAsia="en-GB"/>
        </w:rPr>
        <w:t xml:space="preserve">2017’, </w:t>
      </w:r>
      <w:r w:rsidRPr="00492645">
        <w:rPr>
          <w:rFonts w:ascii="Arial" w:hAnsi="Arial" w:cs="Arial"/>
          <w:i/>
          <w:iCs/>
          <w:color w:val="000000"/>
          <w:sz w:val="22"/>
          <w:lang w:val="en-GB" w:eastAsia="en-GB"/>
        </w:rPr>
        <w:t>The Lancet</w:t>
      </w:r>
      <w:r w:rsidRPr="00492645">
        <w:rPr>
          <w:rFonts w:ascii="Arial" w:hAnsi="Arial" w:cs="Arial"/>
          <w:color w:val="000000"/>
          <w:sz w:val="22"/>
          <w:lang w:val="en-GB" w:eastAsia="en-GB"/>
        </w:rPr>
        <w:t>, 395(10225), pp. 709–733.</w:t>
      </w:r>
    </w:p>
    <w:p w14:paraId="7EF3A774" w14:textId="77777777" w:rsidR="00963DCA" w:rsidRDefault="007E1D86" w:rsidP="006B12AF">
      <w:pPr>
        <w:spacing w:before="140" w:after="0" w:line="360" w:lineRule="auto"/>
        <w:ind w:left="600" w:hanging="600"/>
        <w:jc w:val="both"/>
        <w:rPr>
          <w:rFonts w:ascii="Arial" w:hAnsi="Arial" w:cs="Arial"/>
          <w:color w:val="000000"/>
          <w:sz w:val="22"/>
          <w:lang w:val="en-GB" w:eastAsia="en-GB"/>
        </w:rPr>
      </w:pPr>
      <w:r w:rsidRPr="00492645">
        <w:rPr>
          <w:rFonts w:ascii="Arial" w:hAnsi="Arial" w:cs="Arial"/>
          <w:color w:val="000000"/>
          <w:sz w:val="22"/>
          <w:lang w:val="en-GB" w:eastAsia="en-GB"/>
        </w:rPr>
        <w:t xml:space="preserve">Chronic Kidney Disease Prognosis Consortium (2010) ‘Association of estimated glomerular filtration </w:t>
      </w:r>
    </w:p>
    <w:p w14:paraId="2242A3F5" w14:textId="77777777" w:rsidR="00963DCA" w:rsidRDefault="007E1D86" w:rsidP="006B12AF">
      <w:pPr>
        <w:spacing w:before="140" w:after="0" w:line="360" w:lineRule="auto"/>
        <w:ind w:left="600" w:hanging="600"/>
        <w:jc w:val="both"/>
        <w:rPr>
          <w:rFonts w:ascii="Arial" w:hAnsi="Arial" w:cs="Arial"/>
          <w:color w:val="000000"/>
          <w:sz w:val="22"/>
          <w:lang w:val="en-GB" w:eastAsia="en-GB"/>
        </w:rPr>
      </w:pPr>
      <w:r w:rsidRPr="00492645">
        <w:rPr>
          <w:rFonts w:ascii="Arial" w:hAnsi="Arial" w:cs="Arial"/>
          <w:color w:val="000000"/>
          <w:sz w:val="22"/>
          <w:lang w:val="en-GB" w:eastAsia="en-GB"/>
        </w:rPr>
        <w:t xml:space="preserve">rate and albuminuria with all-cause and cardiovascular mortality in general population cohorts: a </w:t>
      </w:r>
    </w:p>
    <w:p w14:paraId="2E341996" w14:textId="646C1A87" w:rsidR="007E1D86" w:rsidRPr="00492645" w:rsidRDefault="007E1D86" w:rsidP="006B12AF">
      <w:pPr>
        <w:spacing w:before="140" w:after="0" w:line="360" w:lineRule="auto"/>
        <w:ind w:left="600" w:hanging="600"/>
        <w:jc w:val="both"/>
        <w:rPr>
          <w:rFonts w:ascii="Arial" w:hAnsi="Arial" w:cs="Arial"/>
          <w:color w:val="000000"/>
          <w:sz w:val="22"/>
          <w:lang w:val="en-GB" w:eastAsia="en-GB"/>
        </w:rPr>
      </w:pPr>
      <w:r w:rsidRPr="00492645">
        <w:rPr>
          <w:rFonts w:ascii="Arial" w:hAnsi="Arial" w:cs="Arial"/>
          <w:color w:val="000000"/>
          <w:sz w:val="22"/>
          <w:lang w:val="en-GB" w:eastAsia="en-GB"/>
        </w:rPr>
        <w:t xml:space="preserve">collaborative meta-analysis’, </w:t>
      </w:r>
      <w:r w:rsidRPr="00492645">
        <w:rPr>
          <w:rFonts w:ascii="Arial" w:hAnsi="Arial" w:cs="Arial"/>
          <w:i/>
          <w:iCs/>
          <w:color w:val="000000"/>
          <w:sz w:val="22"/>
          <w:lang w:val="en-GB" w:eastAsia="en-GB"/>
        </w:rPr>
        <w:t>The Lancet</w:t>
      </w:r>
      <w:r w:rsidRPr="00492645">
        <w:rPr>
          <w:rFonts w:ascii="Arial" w:hAnsi="Arial" w:cs="Arial"/>
          <w:color w:val="000000"/>
          <w:sz w:val="22"/>
          <w:lang w:val="en-GB" w:eastAsia="en-GB"/>
        </w:rPr>
        <w:t>, 375(9731), pp. 2073–2081.</w:t>
      </w:r>
    </w:p>
    <w:p w14:paraId="551235E1" w14:textId="77777777" w:rsidR="00963DCA" w:rsidRDefault="007E1D86" w:rsidP="006B12AF">
      <w:pPr>
        <w:spacing w:before="140" w:after="0" w:line="360" w:lineRule="auto"/>
        <w:ind w:left="600" w:hanging="600"/>
        <w:jc w:val="both"/>
        <w:rPr>
          <w:rFonts w:ascii="Arial" w:hAnsi="Arial" w:cs="Arial"/>
          <w:color w:val="000000"/>
          <w:sz w:val="22"/>
          <w:lang w:val="en-GB" w:eastAsia="en-GB"/>
        </w:rPr>
      </w:pPr>
      <w:r w:rsidRPr="00492645">
        <w:rPr>
          <w:rFonts w:ascii="Arial" w:hAnsi="Arial" w:cs="Arial"/>
          <w:color w:val="000000"/>
          <w:sz w:val="22"/>
          <w:lang w:val="en-GB" w:eastAsia="en-GB"/>
        </w:rPr>
        <w:t xml:space="preserve">Coulter, A., Entwistle, V.A., Eccles, A., Ryan, S., Shepperd, S. and Perera, R. (2015) ‘Personalised </w:t>
      </w:r>
    </w:p>
    <w:p w14:paraId="2B0ED44D" w14:textId="77777777" w:rsidR="00963DCA" w:rsidRDefault="007E1D86" w:rsidP="006B12AF">
      <w:pPr>
        <w:spacing w:before="140" w:after="0" w:line="360" w:lineRule="auto"/>
        <w:ind w:left="600" w:hanging="600"/>
        <w:jc w:val="both"/>
        <w:rPr>
          <w:rFonts w:ascii="Arial" w:hAnsi="Arial" w:cs="Arial"/>
          <w:i/>
          <w:iCs/>
          <w:color w:val="000000"/>
          <w:sz w:val="22"/>
          <w:lang w:val="en-GB" w:eastAsia="en-GB"/>
        </w:rPr>
      </w:pPr>
      <w:r w:rsidRPr="00492645">
        <w:rPr>
          <w:rFonts w:ascii="Arial" w:hAnsi="Arial" w:cs="Arial"/>
          <w:color w:val="000000"/>
          <w:sz w:val="22"/>
          <w:lang w:val="en-GB" w:eastAsia="en-GB"/>
        </w:rPr>
        <w:t>care planning for adults with chronic or long</w:t>
      </w:r>
      <w:r w:rsidRPr="00492645">
        <w:rPr>
          <w:rFonts w:ascii="Cambria Math" w:hAnsi="Cambria Math" w:cs="Cambria Math"/>
          <w:color w:val="000000"/>
          <w:sz w:val="22"/>
          <w:lang w:val="en-GB" w:eastAsia="en-GB"/>
        </w:rPr>
        <w:t>‐</w:t>
      </w:r>
      <w:r w:rsidRPr="00492645">
        <w:rPr>
          <w:rFonts w:ascii="Arial" w:hAnsi="Arial" w:cs="Arial"/>
          <w:color w:val="000000"/>
          <w:sz w:val="22"/>
          <w:lang w:val="en-GB" w:eastAsia="en-GB"/>
        </w:rPr>
        <w:t xml:space="preserve">term health conditions’, </w:t>
      </w:r>
      <w:r w:rsidRPr="00492645">
        <w:rPr>
          <w:rFonts w:ascii="Arial" w:hAnsi="Arial" w:cs="Arial"/>
          <w:i/>
          <w:iCs/>
          <w:color w:val="000000"/>
          <w:sz w:val="22"/>
          <w:lang w:val="en-GB" w:eastAsia="en-GB"/>
        </w:rPr>
        <w:t xml:space="preserve">Cochrane Database of </w:t>
      </w:r>
    </w:p>
    <w:p w14:paraId="1FC64C69" w14:textId="36A9CC49" w:rsidR="007E1D86" w:rsidRPr="00492645" w:rsidRDefault="007E1D86" w:rsidP="006B12AF">
      <w:pPr>
        <w:spacing w:before="140" w:after="0" w:line="360" w:lineRule="auto"/>
        <w:ind w:left="600" w:hanging="600"/>
        <w:jc w:val="both"/>
        <w:rPr>
          <w:rFonts w:ascii="Arial" w:hAnsi="Arial" w:cs="Arial"/>
          <w:color w:val="000000"/>
          <w:sz w:val="22"/>
          <w:lang w:val="en-GB" w:eastAsia="en-GB"/>
        </w:rPr>
      </w:pPr>
      <w:r w:rsidRPr="00492645">
        <w:rPr>
          <w:rFonts w:ascii="Arial" w:hAnsi="Arial" w:cs="Arial"/>
          <w:i/>
          <w:iCs/>
          <w:color w:val="000000"/>
          <w:sz w:val="22"/>
          <w:lang w:val="en-GB" w:eastAsia="en-GB"/>
        </w:rPr>
        <w:t>Systematic Reviews</w:t>
      </w:r>
      <w:r w:rsidRPr="00492645">
        <w:rPr>
          <w:rFonts w:ascii="Arial" w:hAnsi="Arial" w:cs="Arial"/>
          <w:color w:val="000000"/>
          <w:sz w:val="22"/>
          <w:lang w:val="en-GB" w:eastAsia="en-GB"/>
        </w:rPr>
        <w:t>, (3), art. no. CD010523.</w:t>
      </w:r>
    </w:p>
    <w:p w14:paraId="73B4ED4D" w14:textId="77777777" w:rsidR="00963DCA" w:rsidRDefault="007E1D86" w:rsidP="006B12AF">
      <w:pPr>
        <w:spacing w:before="140" w:after="0" w:line="360" w:lineRule="auto"/>
        <w:ind w:left="600" w:hanging="600"/>
        <w:jc w:val="both"/>
        <w:rPr>
          <w:rFonts w:ascii="Arial" w:hAnsi="Arial" w:cs="Arial"/>
          <w:i/>
          <w:iCs/>
          <w:color w:val="000000"/>
          <w:sz w:val="22"/>
          <w:lang w:val="en-GB" w:eastAsia="en-GB"/>
        </w:rPr>
      </w:pPr>
      <w:r w:rsidRPr="00492645">
        <w:rPr>
          <w:rFonts w:ascii="Arial" w:hAnsi="Arial" w:cs="Arial"/>
          <w:color w:val="000000"/>
          <w:sz w:val="22"/>
          <w:lang w:val="en-GB" w:eastAsia="en-GB"/>
        </w:rPr>
        <w:t xml:space="preserve">Coulter, A., Roberts, S. and Dixon, A. (2013) </w:t>
      </w:r>
      <w:r w:rsidRPr="00492645">
        <w:rPr>
          <w:rFonts w:ascii="Arial" w:hAnsi="Arial" w:cs="Arial"/>
          <w:i/>
          <w:iCs/>
          <w:color w:val="000000"/>
          <w:sz w:val="22"/>
          <w:lang w:val="en-GB" w:eastAsia="en-GB"/>
        </w:rPr>
        <w:t xml:space="preserve">Delivering better services for people with long-term </w:t>
      </w:r>
    </w:p>
    <w:p w14:paraId="156E2579" w14:textId="7F00A56B" w:rsidR="007E1D86" w:rsidRPr="00492645" w:rsidRDefault="007E1D86" w:rsidP="006B12AF">
      <w:pPr>
        <w:spacing w:before="140" w:after="0" w:line="360" w:lineRule="auto"/>
        <w:ind w:left="600" w:hanging="600"/>
        <w:jc w:val="both"/>
        <w:rPr>
          <w:rFonts w:ascii="Arial" w:hAnsi="Arial" w:cs="Arial"/>
          <w:color w:val="000000"/>
          <w:sz w:val="22"/>
          <w:lang w:val="en-GB" w:eastAsia="en-GB"/>
        </w:rPr>
      </w:pPr>
      <w:r w:rsidRPr="00492645">
        <w:rPr>
          <w:rFonts w:ascii="Arial" w:hAnsi="Arial" w:cs="Arial"/>
          <w:i/>
          <w:iCs/>
          <w:color w:val="000000"/>
          <w:sz w:val="22"/>
          <w:lang w:val="en-GB" w:eastAsia="en-GB"/>
        </w:rPr>
        <w:t>conditions: building the house of care</w:t>
      </w:r>
      <w:r w:rsidRPr="00492645">
        <w:rPr>
          <w:rFonts w:ascii="Arial" w:hAnsi="Arial" w:cs="Arial"/>
          <w:color w:val="000000"/>
          <w:sz w:val="22"/>
          <w:lang w:val="en-GB" w:eastAsia="en-GB"/>
        </w:rPr>
        <w:t>. London: The King's Fund.</w:t>
      </w:r>
    </w:p>
    <w:p w14:paraId="6510366F" w14:textId="77777777" w:rsidR="00963DCA" w:rsidRDefault="007E1D86" w:rsidP="006B12AF">
      <w:pPr>
        <w:spacing w:before="140" w:after="0" w:line="360" w:lineRule="auto"/>
        <w:ind w:left="600" w:hanging="600"/>
        <w:jc w:val="both"/>
        <w:rPr>
          <w:rFonts w:ascii="Arial" w:hAnsi="Arial" w:cs="Arial"/>
          <w:color w:val="000000"/>
          <w:sz w:val="22"/>
          <w:lang w:val="en-GB" w:eastAsia="en-GB"/>
        </w:rPr>
      </w:pPr>
      <w:r w:rsidRPr="00492645">
        <w:rPr>
          <w:rFonts w:ascii="Arial" w:hAnsi="Arial" w:cs="Arial"/>
          <w:color w:val="000000"/>
          <w:sz w:val="22"/>
          <w:lang w:val="en-GB" w:eastAsia="en-GB"/>
        </w:rPr>
        <w:t xml:space="preserve">Crews, D.C., Bello, A.K., Saadi, G. and World Kidney Day Steering Committee (2019) ‘Burden, </w:t>
      </w:r>
    </w:p>
    <w:p w14:paraId="3DA057D1" w14:textId="15331DF0" w:rsidR="007E1D86" w:rsidRPr="00492645" w:rsidRDefault="007E1D86" w:rsidP="006B12AF">
      <w:pPr>
        <w:spacing w:before="140" w:after="0" w:line="360" w:lineRule="auto"/>
        <w:ind w:left="600" w:hanging="600"/>
        <w:jc w:val="both"/>
        <w:rPr>
          <w:rFonts w:ascii="Arial" w:hAnsi="Arial" w:cs="Arial"/>
          <w:color w:val="000000"/>
          <w:sz w:val="22"/>
          <w:lang w:val="en-GB" w:eastAsia="en-GB"/>
        </w:rPr>
      </w:pPr>
      <w:r w:rsidRPr="00492645">
        <w:rPr>
          <w:rFonts w:ascii="Arial" w:hAnsi="Arial" w:cs="Arial"/>
          <w:color w:val="000000"/>
          <w:sz w:val="22"/>
          <w:lang w:val="en-GB" w:eastAsia="en-GB"/>
        </w:rPr>
        <w:t xml:space="preserve">access, and disparities in kidney disease’, </w:t>
      </w:r>
      <w:r w:rsidRPr="00492645">
        <w:rPr>
          <w:rFonts w:ascii="Arial" w:hAnsi="Arial" w:cs="Arial"/>
          <w:i/>
          <w:iCs/>
          <w:color w:val="000000"/>
          <w:sz w:val="22"/>
          <w:lang w:val="en-GB" w:eastAsia="en-GB"/>
        </w:rPr>
        <w:t>Blood Purification</w:t>
      </w:r>
      <w:r w:rsidRPr="00492645">
        <w:rPr>
          <w:rFonts w:ascii="Arial" w:hAnsi="Arial" w:cs="Arial"/>
          <w:color w:val="000000"/>
          <w:sz w:val="22"/>
          <w:lang w:val="en-GB" w:eastAsia="en-GB"/>
        </w:rPr>
        <w:t>, 48(1), pp. 32–39.</w:t>
      </w:r>
    </w:p>
    <w:p w14:paraId="52E33DFC" w14:textId="77777777" w:rsidR="00963DCA" w:rsidRDefault="007E1D86" w:rsidP="006B12AF">
      <w:pPr>
        <w:spacing w:before="140" w:after="0" w:line="360" w:lineRule="auto"/>
        <w:ind w:left="600" w:hanging="600"/>
        <w:jc w:val="both"/>
        <w:rPr>
          <w:rFonts w:ascii="Arial" w:hAnsi="Arial" w:cs="Arial"/>
          <w:color w:val="000000"/>
          <w:sz w:val="22"/>
          <w:lang w:val="en-GB" w:eastAsia="en-GB"/>
        </w:rPr>
      </w:pPr>
      <w:r w:rsidRPr="00492645">
        <w:rPr>
          <w:rFonts w:ascii="Arial" w:hAnsi="Arial" w:cs="Arial"/>
          <w:color w:val="000000"/>
          <w:sz w:val="22"/>
          <w:lang w:val="en-GB" w:eastAsia="en-GB"/>
        </w:rPr>
        <w:t xml:space="preserve">Davison, S.N., Levin, A., Moss, A.H., Jha, V., Brown, E.A., Brennan, F., Murtagh, F.E., Naicker, S., </w:t>
      </w:r>
    </w:p>
    <w:p w14:paraId="2ADF390D" w14:textId="77777777" w:rsidR="00963DCA" w:rsidRDefault="007E1D86" w:rsidP="006B12AF">
      <w:pPr>
        <w:spacing w:before="140" w:after="0" w:line="360" w:lineRule="auto"/>
        <w:ind w:left="600" w:hanging="600"/>
        <w:jc w:val="both"/>
        <w:rPr>
          <w:rFonts w:ascii="Arial" w:hAnsi="Arial" w:cs="Arial"/>
          <w:color w:val="000000"/>
          <w:sz w:val="22"/>
          <w:lang w:val="en-GB" w:eastAsia="en-GB"/>
        </w:rPr>
      </w:pPr>
      <w:r w:rsidRPr="00492645">
        <w:rPr>
          <w:rFonts w:ascii="Arial" w:hAnsi="Arial" w:cs="Arial"/>
          <w:color w:val="000000"/>
          <w:sz w:val="22"/>
          <w:lang w:val="en-GB" w:eastAsia="en-GB"/>
        </w:rPr>
        <w:t xml:space="preserve">Germain, M.J., O'Donoghue, D.J. and Morton, R.L. (2015) ‘Executive summary of the KDIGO </w:t>
      </w:r>
    </w:p>
    <w:p w14:paraId="1E6B4B43" w14:textId="77777777" w:rsidR="00963DCA" w:rsidRDefault="007E1D86" w:rsidP="006B12AF">
      <w:pPr>
        <w:spacing w:before="140" w:after="0" w:line="360" w:lineRule="auto"/>
        <w:ind w:left="600" w:hanging="600"/>
        <w:jc w:val="both"/>
        <w:rPr>
          <w:rFonts w:ascii="Arial" w:hAnsi="Arial" w:cs="Arial"/>
          <w:color w:val="000000"/>
          <w:sz w:val="22"/>
          <w:lang w:val="en-GB" w:eastAsia="en-GB"/>
        </w:rPr>
      </w:pPr>
      <w:r w:rsidRPr="00492645">
        <w:rPr>
          <w:rFonts w:ascii="Arial" w:hAnsi="Arial" w:cs="Arial"/>
          <w:color w:val="000000"/>
          <w:sz w:val="22"/>
          <w:lang w:val="en-GB" w:eastAsia="en-GB"/>
        </w:rPr>
        <w:t xml:space="preserve">Controversies Conference on Supportive Care in Chronic Kidney Disease: developing a roadmap to </w:t>
      </w:r>
    </w:p>
    <w:p w14:paraId="4B55C3FE" w14:textId="509C7CC4" w:rsidR="007E1D86" w:rsidRPr="00492645" w:rsidRDefault="007E1D86" w:rsidP="006B12AF">
      <w:pPr>
        <w:spacing w:before="140" w:after="0" w:line="360" w:lineRule="auto"/>
        <w:ind w:left="600" w:hanging="600"/>
        <w:jc w:val="both"/>
        <w:rPr>
          <w:rFonts w:ascii="Arial" w:hAnsi="Arial" w:cs="Arial"/>
          <w:color w:val="000000"/>
          <w:sz w:val="22"/>
          <w:lang w:val="en-GB" w:eastAsia="en-GB"/>
        </w:rPr>
      </w:pPr>
      <w:r w:rsidRPr="00492645">
        <w:rPr>
          <w:rFonts w:ascii="Arial" w:hAnsi="Arial" w:cs="Arial"/>
          <w:color w:val="000000"/>
          <w:sz w:val="22"/>
          <w:lang w:val="en-GB" w:eastAsia="en-GB"/>
        </w:rPr>
        <w:t xml:space="preserve">improving quality care’, </w:t>
      </w:r>
      <w:r w:rsidRPr="00492645">
        <w:rPr>
          <w:rFonts w:ascii="Arial" w:hAnsi="Arial" w:cs="Arial"/>
          <w:i/>
          <w:iCs/>
          <w:color w:val="000000"/>
          <w:sz w:val="22"/>
          <w:lang w:val="en-GB" w:eastAsia="en-GB"/>
        </w:rPr>
        <w:t>Kidney International</w:t>
      </w:r>
      <w:r w:rsidRPr="00492645">
        <w:rPr>
          <w:rFonts w:ascii="Arial" w:hAnsi="Arial" w:cs="Arial"/>
          <w:color w:val="000000"/>
          <w:sz w:val="22"/>
          <w:lang w:val="en-GB" w:eastAsia="en-GB"/>
        </w:rPr>
        <w:t>, 88(3), pp. 447–459.</w:t>
      </w:r>
    </w:p>
    <w:p w14:paraId="55459DE1" w14:textId="77777777" w:rsidR="00963DCA" w:rsidRDefault="007E1D86" w:rsidP="006B12AF">
      <w:pPr>
        <w:spacing w:before="140" w:after="0" w:line="360" w:lineRule="auto"/>
        <w:ind w:left="600" w:hanging="600"/>
        <w:jc w:val="both"/>
        <w:rPr>
          <w:rFonts w:ascii="Arial" w:hAnsi="Arial" w:cs="Arial"/>
          <w:color w:val="000000"/>
          <w:sz w:val="22"/>
          <w:lang w:val="en-GB" w:eastAsia="en-GB"/>
        </w:rPr>
      </w:pPr>
      <w:r w:rsidRPr="00492645">
        <w:rPr>
          <w:rFonts w:ascii="Arial" w:hAnsi="Arial" w:cs="Arial"/>
          <w:color w:val="000000"/>
          <w:sz w:val="22"/>
          <w:lang w:val="en-GB" w:eastAsia="en-GB"/>
        </w:rPr>
        <w:t xml:space="preserve">Elwyn, G., Frosch, D., Thomson, R., Joseph-Williams, N., Lloyd, A., Kinnersley, P., Cording, E., </w:t>
      </w:r>
    </w:p>
    <w:p w14:paraId="62ABB456" w14:textId="77777777" w:rsidR="00963DCA" w:rsidRDefault="007E1D86" w:rsidP="006B12AF">
      <w:pPr>
        <w:spacing w:before="140" w:after="0" w:line="360" w:lineRule="auto"/>
        <w:ind w:left="600" w:hanging="600"/>
        <w:jc w:val="both"/>
        <w:rPr>
          <w:rFonts w:ascii="Arial" w:hAnsi="Arial" w:cs="Arial"/>
          <w:color w:val="000000"/>
          <w:sz w:val="22"/>
          <w:lang w:val="en-GB" w:eastAsia="en-GB"/>
        </w:rPr>
      </w:pPr>
      <w:r w:rsidRPr="00492645">
        <w:rPr>
          <w:rFonts w:ascii="Arial" w:hAnsi="Arial" w:cs="Arial"/>
          <w:color w:val="000000"/>
          <w:sz w:val="22"/>
          <w:lang w:val="en-GB" w:eastAsia="en-GB"/>
        </w:rPr>
        <w:t xml:space="preserve">Tomson, D., Dodd, C., Rollnick, S. and Edwards, A. (2012) ‘Shared decision making: a model for </w:t>
      </w:r>
    </w:p>
    <w:p w14:paraId="344CC3A9" w14:textId="6AC6AB6F" w:rsidR="007E1D86" w:rsidRPr="00492645" w:rsidRDefault="007E1D86" w:rsidP="006B12AF">
      <w:pPr>
        <w:spacing w:before="140" w:after="0" w:line="360" w:lineRule="auto"/>
        <w:ind w:left="600" w:hanging="600"/>
        <w:jc w:val="both"/>
        <w:rPr>
          <w:rFonts w:ascii="Arial" w:hAnsi="Arial" w:cs="Arial"/>
          <w:color w:val="000000"/>
          <w:sz w:val="22"/>
          <w:lang w:val="en-GB" w:eastAsia="en-GB"/>
        </w:rPr>
      </w:pPr>
      <w:r w:rsidRPr="00492645">
        <w:rPr>
          <w:rFonts w:ascii="Arial" w:hAnsi="Arial" w:cs="Arial"/>
          <w:color w:val="000000"/>
          <w:sz w:val="22"/>
          <w:lang w:val="en-GB" w:eastAsia="en-GB"/>
        </w:rPr>
        <w:t xml:space="preserve">clinical practice’, </w:t>
      </w:r>
      <w:r w:rsidRPr="00492645">
        <w:rPr>
          <w:rFonts w:ascii="Arial" w:hAnsi="Arial" w:cs="Arial"/>
          <w:i/>
          <w:iCs/>
          <w:color w:val="000000"/>
          <w:sz w:val="22"/>
          <w:lang w:val="en-GB" w:eastAsia="en-GB"/>
        </w:rPr>
        <w:t>Journal of General Internal Medicine</w:t>
      </w:r>
      <w:r w:rsidRPr="00492645">
        <w:rPr>
          <w:rFonts w:ascii="Arial" w:hAnsi="Arial" w:cs="Arial"/>
          <w:color w:val="000000"/>
          <w:sz w:val="22"/>
          <w:lang w:val="en-GB" w:eastAsia="en-GB"/>
        </w:rPr>
        <w:t>, 27(10), pp. 1361–1367.</w:t>
      </w:r>
    </w:p>
    <w:p w14:paraId="5D975DD2" w14:textId="77777777" w:rsidR="00963DCA" w:rsidRDefault="007E1D86" w:rsidP="006B12AF">
      <w:pPr>
        <w:spacing w:before="140" w:after="0" w:line="360" w:lineRule="auto"/>
        <w:ind w:left="600" w:hanging="600"/>
        <w:jc w:val="both"/>
        <w:rPr>
          <w:rFonts w:ascii="Arial" w:hAnsi="Arial" w:cs="Arial"/>
          <w:color w:val="000000"/>
          <w:sz w:val="22"/>
          <w:lang w:val="en-GB" w:eastAsia="en-GB"/>
        </w:rPr>
      </w:pPr>
      <w:r w:rsidRPr="00492645">
        <w:rPr>
          <w:rFonts w:ascii="Arial" w:hAnsi="Arial" w:cs="Arial"/>
          <w:color w:val="000000"/>
          <w:sz w:val="22"/>
          <w:lang w:val="en-GB" w:eastAsia="en-GB"/>
        </w:rPr>
        <w:t xml:space="preserve">Fayed, A., Fathy, A., Rakha, N.K., Soliman, K.M. and Hammad, H. (2025) ‘The effect of Empagliflozin </w:t>
      </w:r>
    </w:p>
    <w:p w14:paraId="2CFDF0FB" w14:textId="77777777" w:rsidR="00963DCA" w:rsidRDefault="007E1D86" w:rsidP="006B12AF">
      <w:pPr>
        <w:spacing w:before="140" w:after="0" w:line="360" w:lineRule="auto"/>
        <w:ind w:left="600" w:hanging="600"/>
        <w:jc w:val="both"/>
        <w:rPr>
          <w:rFonts w:ascii="Arial" w:hAnsi="Arial" w:cs="Arial"/>
          <w:i/>
          <w:iCs/>
          <w:color w:val="000000"/>
          <w:sz w:val="22"/>
          <w:lang w:val="en-GB" w:eastAsia="en-GB"/>
        </w:rPr>
      </w:pPr>
      <w:r w:rsidRPr="00492645">
        <w:rPr>
          <w:rFonts w:ascii="Arial" w:hAnsi="Arial" w:cs="Arial"/>
          <w:color w:val="000000"/>
          <w:sz w:val="22"/>
          <w:lang w:val="en-GB" w:eastAsia="en-GB"/>
        </w:rPr>
        <w:t xml:space="preserve">on alleviating C4d over-activation in Diabetic kidney disease’, </w:t>
      </w:r>
      <w:r w:rsidRPr="00492645">
        <w:rPr>
          <w:rFonts w:ascii="Arial" w:hAnsi="Arial" w:cs="Arial"/>
          <w:i/>
          <w:iCs/>
          <w:color w:val="000000"/>
          <w:sz w:val="22"/>
          <w:lang w:val="en-GB" w:eastAsia="en-GB"/>
        </w:rPr>
        <w:t xml:space="preserve">The American Journal of the Medical </w:t>
      </w:r>
    </w:p>
    <w:p w14:paraId="7FFB02CE" w14:textId="12F71C1B" w:rsidR="007E1D86" w:rsidRPr="00492645" w:rsidRDefault="007E1D86" w:rsidP="006B12AF">
      <w:pPr>
        <w:spacing w:before="140" w:after="0" w:line="360" w:lineRule="auto"/>
        <w:ind w:left="600" w:hanging="600"/>
        <w:jc w:val="both"/>
        <w:rPr>
          <w:rFonts w:ascii="Arial" w:hAnsi="Arial" w:cs="Arial"/>
          <w:color w:val="000000"/>
          <w:sz w:val="22"/>
          <w:lang w:val="en-GB" w:eastAsia="en-GB"/>
        </w:rPr>
      </w:pPr>
      <w:r w:rsidRPr="00492645">
        <w:rPr>
          <w:rFonts w:ascii="Arial" w:hAnsi="Arial" w:cs="Arial"/>
          <w:i/>
          <w:iCs/>
          <w:color w:val="000000"/>
          <w:sz w:val="22"/>
          <w:lang w:val="en-GB" w:eastAsia="en-GB"/>
        </w:rPr>
        <w:t>Sciences</w:t>
      </w:r>
      <w:r w:rsidRPr="00492645">
        <w:rPr>
          <w:rFonts w:ascii="Arial" w:hAnsi="Arial" w:cs="Arial"/>
          <w:color w:val="000000"/>
          <w:sz w:val="22"/>
          <w:lang w:val="en-GB" w:eastAsia="en-GB"/>
        </w:rPr>
        <w:t>, 369(5), pp. 568–573.</w:t>
      </w:r>
    </w:p>
    <w:p w14:paraId="7872BF0A" w14:textId="77777777" w:rsidR="00963DCA" w:rsidRDefault="007E1D86" w:rsidP="006B12AF">
      <w:pPr>
        <w:spacing w:before="140" w:after="0" w:line="360" w:lineRule="auto"/>
        <w:ind w:left="600" w:hanging="600"/>
        <w:jc w:val="both"/>
        <w:rPr>
          <w:rFonts w:ascii="Arial" w:hAnsi="Arial" w:cs="Arial"/>
          <w:color w:val="000000"/>
          <w:sz w:val="22"/>
          <w:lang w:val="en-GB" w:eastAsia="en-GB"/>
        </w:rPr>
      </w:pPr>
      <w:r w:rsidRPr="00492645">
        <w:rPr>
          <w:rFonts w:ascii="Arial" w:hAnsi="Arial" w:cs="Arial"/>
          <w:color w:val="000000"/>
          <w:sz w:val="22"/>
          <w:lang w:val="en-GB" w:eastAsia="en-GB"/>
        </w:rPr>
        <w:t xml:space="preserve">Global Burden of Disease Chronic Kidney Disease Collaboration (2020) ‘Global, regional, and </w:t>
      </w:r>
    </w:p>
    <w:p w14:paraId="5BA7A5ED" w14:textId="49FC8B24" w:rsidR="007E1D86" w:rsidRPr="00492645" w:rsidRDefault="007E1D86" w:rsidP="006B12AF">
      <w:pPr>
        <w:spacing w:before="140" w:after="0" w:line="360" w:lineRule="auto"/>
        <w:ind w:left="600" w:hanging="600"/>
        <w:jc w:val="both"/>
        <w:rPr>
          <w:rFonts w:ascii="Arial" w:hAnsi="Arial" w:cs="Arial"/>
          <w:color w:val="000000"/>
          <w:sz w:val="22"/>
          <w:lang w:val="en-GB" w:eastAsia="en-GB"/>
        </w:rPr>
      </w:pPr>
      <w:r w:rsidRPr="00492645">
        <w:rPr>
          <w:rFonts w:ascii="Arial" w:hAnsi="Arial" w:cs="Arial"/>
          <w:color w:val="000000"/>
          <w:sz w:val="22"/>
          <w:lang w:val="en-GB" w:eastAsia="en-GB"/>
        </w:rPr>
        <w:t xml:space="preserve">national burden of chronic kidney disease, 1990–2017’, </w:t>
      </w:r>
      <w:r w:rsidRPr="00492645">
        <w:rPr>
          <w:rFonts w:ascii="Arial" w:hAnsi="Arial" w:cs="Arial"/>
          <w:i/>
          <w:iCs/>
          <w:color w:val="000000"/>
          <w:sz w:val="22"/>
          <w:lang w:val="en-GB" w:eastAsia="en-GB"/>
        </w:rPr>
        <w:t>The Lancet</w:t>
      </w:r>
      <w:r w:rsidRPr="00492645">
        <w:rPr>
          <w:rFonts w:ascii="Arial" w:hAnsi="Arial" w:cs="Arial"/>
          <w:color w:val="000000"/>
          <w:sz w:val="22"/>
          <w:lang w:val="en-GB" w:eastAsia="en-GB"/>
        </w:rPr>
        <w:t>, 395(10225), pp. 709–733.</w:t>
      </w:r>
    </w:p>
    <w:p w14:paraId="1BC66D0A" w14:textId="77777777" w:rsidR="00963DCA" w:rsidRDefault="007E1D86" w:rsidP="006B12AF">
      <w:pPr>
        <w:spacing w:before="140" w:after="0" w:line="360" w:lineRule="auto"/>
        <w:ind w:left="600" w:hanging="600"/>
        <w:jc w:val="both"/>
        <w:rPr>
          <w:rFonts w:ascii="Arial" w:hAnsi="Arial" w:cs="Arial"/>
          <w:color w:val="000000"/>
          <w:sz w:val="22"/>
          <w:lang w:val="en-GB" w:eastAsia="en-GB"/>
        </w:rPr>
      </w:pPr>
      <w:r w:rsidRPr="00492645">
        <w:rPr>
          <w:rFonts w:ascii="Arial" w:hAnsi="Arial" w:cs="Arial"/>
          <w:color w:val="000000"/>
          <w:sz w:val="22"/>
          <w:lang w:val="en-GB" w:eastAsia="en-GB"/>
        </w:rPr>
        <w:t xml:space="preserve">Go, A.S., Chertow, G.M., Fan, D., McCulloch, C.E. and Hsu, C.Y. (2004) ‘Chronic kidney disease and </w:t>
      </w:r>
    </w:p>
    <w:p w14:paraId="2B71DB73" w14:textId="77777777" w:rsidR="00963DCA" w:rsidRDefault="007E1D86" w:rsidP="006B12AF">
      <w:pPr>
        <w:spacing w:before="140" w:after="0" w:line="360" w:lineRule="auto"/>
        <w:ind w:left="600" w:hanging="600"/>
        <w:jc w:val="both"/>
        <w:rPr>
          <w:rFonts w:ascii="Arial" w:hAnsi="Arial" w:cs="Arial"/>
          <w:color w:val="000000"/>
          <w:sz w:val="22"/>
          <w:lang w:val="en-GB" w:eastAsia="en-GB"/>
        </w:rPr>
      </w:pPr>
      <w:r w:rsidRPr="00492645">
        <w:rPr>
          <w:rFonts w:ascii="Arial" w:hAnsi="Arial" w:cs="Arial"/>
          <w:color w:val="000000"/>
          <w:sz w:val="22"/>
          <w:lang w:val="en-GB" w:eastAsia="en-GB"/>
        </w:rPr>
        <w:t xml:space="preserve">the risks of death, cardiovascular events, and hospitalisation’, </w:t>
      </w:r>
      <w:r w:rsidRPr="00492645">
        <w:rPr>
          <w:rFonts w:ascii="Arial" w:hAnsi="Arial" w:cs="Arial"/>
          <w:i/>
          <w:iCs/>
          <w:color w:val="000000"/>
          <w:sz w:val="22"/>
          <w:lang w:val="en-GB" w:eastAsia="en-GB"/>
        </w:rPr>
        <w:t>New England Journal of Medicine</w:t>
      </w:r>
      <w:r w:rsidRPr="00492645">
        <w:rPr>
          <w:rFonts w:ascii="Arial" w:hAnsi="Arial" w:cs="Arial"/>
          <w:color w:val="000000"/>
          <w:sz w:val="22"/>
          <w:lang w:val="en-GB" w:eastAsia="en-GB"/>
        </w:rPr>
        <w:t xml:space="preserve">, </w:t>
      </w:r>
    </w:p>
    <w:p w14:paraId="49955023" w14:textId="2651CEA8" w:rsidR="007E1D86" w:rsidRPr="00492645" w:rsidRDefault="007E1D86" w:rsidP="006B12AF">
      <w:pPr>
        <w:spacing w:before="140" w:after="0" w:line="360" w:lineRule="auto"/>
        <w:ind w:left="600" w:hanging="600"/>
        <w:jc w:val="both"/>
        <w:rPr>
          <w:rFonts w:ascii="Arial" w:hAnsi="Arial" w:cs="Arial"/>
          <w:color w:val="000000"/>
          <w:sz w:val="22"/>
          <w:lang w:val="en-GB" w:eastAsia="en-GB"/>
        </w:rPr>
      </w:pPr>
      <w:r w:rsidRPr="00492645">
        <w:rPr>
          <w:rFonts w:ascii="Arial" w:hAnsi="Arial" w:cs="Arial"/>
          <w:color w:val="000000"/>
          <w:sz w:val="22"/>
          <w:lang w:val="en-GB" w:eastAsia="en-GB"/>
        </w:rPr>
        <w:t>351(13), pp. 1296–1305.</w:t>
      </w:r>
    </w:p>
    <w:p w14:paraId="38D7EBF3" w14:textId="77777777" w:rsidR="00410C2A" w:rsidRDefault="007E1D86" w:rsidP="00963DCA">
      <w:pPr>
        <w:spacing w:before="140" w:after="0" w:line="360" w:lineRule="auto"/>
        <w:ind w:left="600" w:hanging="600"/>
        <w:jc w:val="both"/>
        <w:rPr>
          <w:rFonts w:ascii="Arial" w:hAnsi="Arial" w:cs="Arial"/>
          <w:color w:val="000000"/>
          <w:sz w:val="22"/>
          <w:lang w:val="en-GB" w:eastAsia="en-GB"/>
        </w:rPr>
      </w:pPr>
      <w:r w:rsidRPr="00492645">
        <w:rPr>
          <w:rFonts w:ascii="Arial" w:hAnsi="Arial" w:cs="Arial"/>
          <w:color w:val="000000"/>
          <w:sz w:val="22"/>
          <w:lang w:val="en-GB" w:eastAsia="en-GB"/>
        </w:rPr>
        <w:t xml:space="preserve">Heerspink, H.J., Stefánsson, B.V., Correa-Rotter, R., Chertow, G.M., Greene, T., Hou, F.F., Mann, </w:t>
      </w:r>
    </w:p>
    <w:p w14:paraId="5F9B299A" w14:textId="77777777" w:rsidR="002B1B83" w:rsidRDefault="007E1D86" w:rsidP="002B1B83">
      <w:pPr>
        <w:spacing w:before="140" w:after="0" w:line="360" w:lineRule="auto"/>
        <w:ind w:left="600" w:hanging="600"/>
        <w:jc w:val="both"/>
        <w:rPr>
          <w:rFonts w:ascii="Arial" w:hAnsi="Arial" w:cs="Arial"/>
          <w:color w:val="000000"/>
          <w:sz w:val="22"/>
          <w:lang w:val="en-GB" w:eastAsia="en-GB"/>
        </w:rPr>
      </w:pPr>
      <w:r w:rsidRPr="00492645">
        <w:rPr>
          <w:rFonts w:ascii="Arial" w:hAnsi="Arial" w:cs="Arial"/>
          <w:color w:val="000000"/>
          <w:sz w:val="22"/>
          <w:lang w:val="en-GB" w:eastAsia="en-GB"/>
        </w:rPr>
        <w:t xml:space="preserve">J.F., McMurray, J.J., Lindberg, M., Rossing, P. and Sjöström, C.D. (2020) ‘Dapagliflozin in patients </w:t>
      </w:r>
      <w:r w:rsidR="00410C2A">
        <w:rPr>
          <w:rFonts w:ascii="Arial" w:hAnsi="Arial" w:cs="Arial"/>
          <w:color w:val="000000"/>
          <w:sz w:val="22"/>
          <w:lang w:val="en-GB" w:eastAsia="en-GB"/>
        </w:rPr>
        <w:br/>
      </w:r>
    </w:p>
    <w:p w14:paraId="00301CCB" w14:textId="7F9704AC" w:rsidR="007E1D86" w:rsidRPr="00492645" w:rsidRDefault="007E1D86" w:rsidP="002B1B83">
      <w:pPr>
        <w:spacing w:before="140" w:after="0" w:line="360" w:lineRule="auto"/>
        <w:ind w:left="600" w:hanging="600"/>
        <w:jc w:val="both"/>
        <w:rPr>
          <w:rFonts w:ascii="Arial" w:hAnsi="Arial" w:cs="Arial"/>
          <w:color w:val="000000"/>
          <w:sz w:val="22"/>
          <w:lang w:val="en-GB" w:eastAsia="en-GB"/>
        </w:rPr>
      </w:pPr>
      <w:r w:rsidRPr="00492645">
        <w:rPr>
          <w:rFonts w:ascii="Arial" w:hAnsi="Arial" w:cs="Arial"/>
          <w:color w:val="000000"/>
          <w:sz w:val="22"/>
          <w:lang w:val="en-GB" w:eastAsia="en-GB"/>
        </w:rPr>
        <w:t xml:space="preserve">with chronic kidney disease’, </w:t>
      </w:r>
      <w:r w:rsidRPr="00492645">
        <w:rPr>
          <w:rFonts w:ascii="Arial" w:hAnsi="Arial" w:cs="Arial"/>
          <w:i/>
          <w:iCs/>
          <w:color w:val="000000"/>
          <w:sz w:val="22"/>
          <w:lang w:val="en-GB" w:eastAsia="en-GB"/>
        </w:rPr>
        <w:t>New England Journal of Medicine</w:t>
      </w:r>
      <w:r w:rsidRPr="00492645">
        <w:rPr>
          <w:rFonts w:ascii="Arial" w:hAnsi="Arial" w:cs="Arial"/>
          <w:color w:val="000000"/>
          <w:sz w:val="22"/>
          <w:lang w:val="en-GB" w:eastAsia="en-GB"/>
        </w:rPr>
        <w:t>, 383(15), pp. 1436–1446.</w:t>
      </w:r>
    </w:p>
    <w:p w14:paraId="1B05201D" w14:textId="77777777" w:rsidR="00410C2A" w:rsidRDefault="007E1D86" w:rsidP="006B12AF">
      <w:pPr>
        <w:spacing w:before="140" w:after="0" w:line="360" w:lineRule="auto"/>
        <w:ind w:left="600" w:hanging="600"/>
        <w:jc w:val="both"/>
        <w:rPr>
          <w:rFonts w:ascii="Arial" w:hAnsi="Arial" w:cs="Arial"/>
          <w:color w:val="000000"/>
          <w:sz w:val="22"/>
          <w:lang w:val="en-GB" w:eastAsia="en-GB"/>
        </w:rPr>
      </w:pPr>
      <w:r w:rsidRPr="00492645">
        <w:rPr>
          <w:rFonts w:ascii="Arial" w:hAnsi="Arial" w:cs="Arial"/>
          <w:color w:val="000000"/>
          <w:sz w:val="22"/>
          <w:lang w:val="en-GB" w:eastAsia="en-GB"/>
        </w:rPr>
        <w:t xml:space="preserve">Kidney Disease: Improving Global Outcomes (KDIGO) CKD Work Group (2024) ‘KDIGO 2024 clinical </w:t>
      </w:r>
    </w:p>
    <w:p w14:paraId="6FE4B78B" w14:textId="77777777" w:rsidR="00410C2A" w:rsidRDefault="007E1D86" w:rsidP="006B12AF">
      <w:pPr>
        <w:spacing w:before="140" w:after="0" w:line="360" w:lineRule="auto"/>
        <w:ind w:left="600" w:hanging="600"/>
        <w:jc w:val="both"/>
        <w:rPr>
          <w:rFonts w:ascii="Arial" w:hAnsi="Arial" w:cs="Arial"/>
          <w:i/>
          <w:iCs/>
          <w:color w:val="000000"/>
          <w:sz w:val="22"/>
          <w:lang w:val="en-GB" w:eastAsia="en-GB"/>
        </w:rPr>
      </w:pPr>
      <w:r w:rsidRPr="00492645">
        <w:rPr>
          <w:rFonts w:ascii="Arial" w:hAnsi="Arial" w:cs="Arial"/>
          <w:color w:val="000000"/>
          <w:sz w:val="22"/>
          <w:lang w:val="en-GB" w:eastAsia="en-GB"/>
        </w:rPr>
        <w:t xml:space="preserve">practice guideline for the evaluation and management of chronic kidney disease’, </w:t>
      </w:r>
      <w:r w:rsidRPr="00492645">
        <w:rPr>
          <w:rFonts w:ascii="Arial" w:hAnsi="Arial" w:cs="Arial"/>
          <w:i/>
          <w:iCs/>
          <w:color w:val="000000"/>
          <w:sz w:val="22"/>
          <w:lang w:val="en-GB" w:eastAsia="en-GB"/>
        </w:rPr>
        <w:t xml:space="preserve">Kidney </w:t>
      </w:r>
    </w:p>
    <w:p w14:paraId="50CD5590" w14:textId="235E335A" w:rsidR="007E1D86" w:rsidRPr="00492645" w:rsidRDefault="007E1D86" w:rsidP="006B12AF">
      <w:pPr>
        <w:spacing w:before="140" w:after="0" w:line="360" w:lineRule="auto"/>
        <w:ind w:left="600" w:hanging="600"/>
        <w:jc w:val="both"/>
        <w:rPr>
          <w:rFonts w:ascii="Arial" w:hAnsi="Arial" w:cs="Arial"/>
          <w:color w:val="000000"/>
          <w:sz w:val="22"/>
          <w:lang w:val="en-GB" w:eastAsia="en-GB"/>
        </w:rPr>
      </w:pPr>
      <w:r w:rsidRPr="00492645">
        <w:rPr>
          <w:rFonts w:ascii="Arial" w:hAnsi="Arial" w:cs="Arial"/>
          <w:i/>
          <w:iCs/>
          <w:color w:val="000000"/>
          <w:sz w:val="22"/>
          <w:lang w:val="en-GB" w:eastAsia="en-GB"/>
        </w:rPr>
        <w:t>International</w:t>
      </w:r>
      <w:r w:rsidRPr="00492645">
        <w:rPr>
          <w:rFonts w:ascii="Arial" w:hAnsi="Arial" w:cs="Arial"/>
          <w:color w:val="000000"/>
          <w:sz w:val="22"/>
          <w:lang w:val="en-GB" w:eastAsia="en-GB"/>
        </w:rPr>
        <w:t>, 105(4S), pp. S117–S314.</w:t>
      </w:r>
    </w:p>
    <w:p w14:paraId="5403B279" w14:textId="77777777" w:rsidR="0091111B" w:rsidRDefault="007E1D86" w:rsidP="006B12AF">
      <w:pPr>
        <w:spacing w:before="140" w:after="0" w:line="360" w:lineRule="auto"/>
        <w:ind w:left="600" w:hanging="600"/>
        <w:jc w:val="both"/>
        <w:rPr>
          <w:rFonts w:ascii="Arial" w:hAnsi="Arial" w:cs="Arial"/>
          <w:color w:val="000000"/>
          <w:sz w:val="22"/>
          <w:lang w:val="en-GB" w:eastAsia="en-GB"/>
        </w:rPr>
      </w:pPr>
      <w:r w:rsidRPr="00492645">
        <w:rPr>
          <w:rFonts w:ascii="Arial" w:hAnsi="Arial" w:cs="Arial"/>
          <w:color w:val="000000"/>
          <w:sz w:val="22"/>
          <w:lang w:val="en-GB" w:eastAsia="en-GB"/>
        </w:rPr>
        <w:t>Martinez, Y.V., Benett, I., Lewington, A.J. and Wierzbicki, A.S. (2021) ‘</w:t>
      </w:r>
      <w:r w:rsidR="00351E24" w:rsidRPr="00492645">
        <w:rPr>
          <w:rFonts w:ascii="Arial" w:hAnsi="Arial" w:cs="Arial"/>
          <w:color w:val="000000"/>
          <w:sz w:val="22"/>
          <w:lang w:val="en-GB" w:eastAsia="en-GB"/>
        </w:rPr>
        <w:t>chronic</w:t>
      </w:r>
      <w:r w:rsidRPr="00492645">
        <w:rPr>
          <w:rFonts w:ascii="Arial" w:hAnsi="Arial" w:cs="Arial"/>
          <w:color w:val="000000"/>
          <w:sz w:val="22"/>
          <w:lang w:val="en-GB" w:eastAsia="en-GB"/>
        </w:rPr>
        <w:t xml:space="preserve"> kidney disease: </w:t>
      </w:r>
    </w:p>
    <w:p w14:paraId="70584988" w14:textId="4A164937" w:rsidR="007E1D86" w:rsidRPr="00492645" w:rsidRDefault="007E1D86" w:rsidP="006B12AF">
      <w:pPr>
        <w:spacing w:before="140" w:after="0" w:line="360" w:lineRule="auto"/>
        <w:ind w:left="600" w:hanging="600"/>
        <w:jc w:val="both"/>
        <w:rPr>
          <w:rFonts w:ascii="Arial" w:hAnsi="Arial" w:cs="Arial"/>
          <w:color w:val="000000"/>
          <w:sz w:val="22"/>
          <w:lang w:val="en-GB" w:eastAsia="en-GB"/>
        </w:rPr>
      </w:pPr>
      <w:r w:rsidRPr="00492645">
        <w:rPr>
          <w:rFonts w:ascii="Arial" w:hAnsi="Arial" w:cs="Arial"/>
          <w:color w:val="000000"/>
          <w:sz w:val="22"/>
          <w:lang w:val="en-GB" w:eastAsia="en-GB"/>
        </w:rPr>
        <w:t xml:space="preserve">summary of updated NICE guidance’, </w:t>
      </w:r>
      <w:r w:rsidRPr="00492645">
        <w:rPr>
          <w:rFonts w:ascii="Arial" w:hAnsi="Arial" w:cs="Arial"/>
          <w:i/>
          <w:iCs/>
          <w:color w:val="000000"/>
          <w:sz w:val="22"/>
          <w:lang w:val="en-GB" w:eastAsia="en-GB"/>
        </w:rPr>
        <w:t>BMJ</w:t>
      </w:r>
      <w:r w:rsidRPr="00492645">
        <w:rPr>
          <w:rFonts w:ascii="Arial" w:hAnsi="Arial" w:cs="Arial"/>
          <w:color w:val="000000"/>
          <w:sz w:val="22"/>
          <w:lang w:val="en-GB" w:eastAsia="en-GB"/>
        </w:rPr>
        <w:t>, 374, art. no. n1992.</w:t>
      </w:r>
    </w:p>
    <w:p w14:paraId="2D38D31C" w14:textId="77777777" w:rsidR="0091111B" w:rsidRDefault="007E1D86" w:rsidP="006B12AF">
      <w:pPr>
        <w:spacing w:before="140" w:after="0" w:line="360" w:lineRule="auto"/>
        <w:ind w:left="600" w:hanging="600"/>
        <w:jc w:val="both"/>
        <w:rPr>
          <w:rFonts w:ascii="Arial" w:hAnsi="Arial" w:cs="Arial"/>
          <w:color w:val="000000"/>
          <w:sz w:val="22"/>
          <w:lang w:val="en-GB" w:eastAsia="en-GB"/>
        </w:rPr>
      </w:pPr>
      <w:r w:rsidRPr="00492645">
        <w:rPr>
          <w:rFonts w:ascii="Arial" w:hAnsi="Arial" w:cs="Arial"/>
          <w:color w:val="000000"/>
          <w:sz w:val="22"/>
          <w:lang w:val="en-GB" w:eastAsia="en-GB"/>
        </w:rPr>
        <w:t xml:space="preserve">Morton, R.L., Tong, A., Howard, K., Snelling, P. and Webster, A.C. (2010) ‘The views of patients and </w:t>
      </w:r>
    </w:p>
    <w:p w14:paraId="57C20A69" w14:textId="77777777" w:rsidR="0091111B" w:rsidRDefault="007E1D86" w:rsidP="006B12AF">
      <w:pPr>
        <w:spacing w:before="140" w:after="0" w:line="360" w:lineRule="auto"/>
        <w:ind w:left="600" w:hanging="600"/>
        <w:jc w:val="both"/>
        <w:rPr>
          <w:rFonts w:ascii="Arial" w:hAnsi="Arial" w:cs="Arial"/>
          <w:color w:val="000000"/>
          <w:sz w:val="22"/>
          <w:lang w:val="en-GB" w:eastAsia="en-GB"/>
        </w:rPr>
      </w:pPr>
      <w:r w:rsidRPr="00492645">
        <w:rPr>
          <w:rFonts w:ascii="Arial" w:hAnsi="Arial" w:cs="Arial"/>
          <w:color w:val="000000"/>
          <w:sz w:val="22"/>
          <w:lang w:val="en-GB" w:eastAsia="en-GB"/>
        </w:rPr>
        <w:t xml:space="preserve">carers in treatment decision making for chronic kidney disease: systematic review and thematic </w:t>
      </w:r>
    </w:p>
    <w:p w14:paraId="0609D4EE" w14:textId="7807A140" w:rsidR="007E1D86" w:rsidRPr="00492645" w:rsidRDefault="007E1D86" w:rsidP="006B12AF">
      <w:pPr>
        <w:spacing w:before="140" w:after="0" w:line="360" w:lineRule="auto"/>
        <w:ind w:left="600" w:hanging="600"/>
        <w:jc w:val="both"/>
        <w:rPr>
          <w:rFonts w:ascii="Arial" w:hAnsi="Arial" w:cs="Arial"/>
          <w:color w:val="000000"/>
          <w:sz w:val="22"/>
          <w:lang w:val="en-GB" w:eastAsia="en-GB"/>
        </w:rPr>
      </w:pPr>
      <w:r w:rsidRPr="00492645">
        <w:rPr>
          <w:rFonts w:ascii="Arial" w:hAnsi="Arial" w:cs="Arial"/>
          <w:color w:val="000000"/>
          <w:sz w:val="22"/>
          <w:lang w:val="en-GB" w:eastAsia="en-GB"/>
        </w:rPr>
        <w:t xml:space="preserve">synthesis of qualitative studies’, </w:t>
      </w:r>
      <w:r w:rsidRPr="00492645">
        <w:rPr>
          <w:rFonts w:ascii="Arial" w:hAnsi="Arial" w:cs="Arial"/>
          <w:i/>
          <w:iCs/>
          <w:color w:val="000000"/>
          <w:sz w:val="22"/>
          <w:lang w:val="en-GB" w:eastAsia="en-GB"/>
        </w:rPr>
        <w:t>BMJ</w:t>
      </w:r>
      <w:r w:rsidRPr="00492645">
        <w:rPr>
          <w:rFonts w:ascii="Arial" w:hAnsi="Arial" w:cs="Arial"/>
          <w:color w:val="000000"/>
          <w:sz w:val="22"/>
          <w:lang w:val="en-GB" w:eastAsia="en-GB"/>
        </w:rPr>
        <w:t>, 340, art. no. c112.</w:t>
      </w:r>
    </w:p>
    <w:p w14:paraId="3559327D" w14:textId="77777777" w:rsidR="0091111B" w:rsidRDefault="007E1D86" w:rsidP="006B12AF">
      <w:pPr>
        <w:spacing w:before="140" w:after="0" w:line="360" w:lineRule="auto"/>
        <w:ind w:left="600" w:hanging="600"/>
        <w:jc w:val="both"/>
        <w:rPr>
          <w:rFonts w:ascii="Arial" w:hAnsi="Arial" w:cs="Arial"/>
          <w:i/>
          <w:iCs/>
          <w:color w:val="000000"/>
          <w:sz w:val="22"/>
          <w:lang w:val="en-GB" w:eastAsia="en-GB"/>
        </w:rPr>
      </w:pPr>
      <w:r w:rsidRPr="00492645">
        <w:rPr>
          <w:rFonts w:ascii="Arial" w:hAnsi="Arial" w:cs="Arial"/>
          <w:color w:val="000000"/>
          <w:sz w:val="22"/>
          <w:lang w:val="en-GB" w:eastAsia="en-GB"/>
        </w:rPr>
        <w:t xml:space="preserve">National Institute for Health and Care Excellence (NICE) (2021) </w:t>
      </w:r>
      <w:r w:rsidR="00351E24" w:rsidRPr="00492645">
        <w:rPr>
          <w:rFonts w:ascii="Arial" w:hAnsi="Arial" w:cs="Arial"/>
          <w:i/>
          <w:iCs/>
          <w:color w:val="000000"/>
          <w:sz w:val="22"/>
          <w:lang w:val="en-GB" w:eastAsia="en-GB"/>
        </w:rPr>
        <w:t>chronic</w:t>
      </w:r>
      <w:r w:rsidRPr="00492645">
        <w:rPr>
          <w:rFonts w:ascii="Arial" w:hAnsi="Arial" w:cs="Arial"/>
          <w:i/>
          <w:iCs/>
          <w:color w:val="000000"/>
          <w:sz w:val="22"/>
          <w:lang w:val="en-GB" w:eastAsia="en-GB"/>
        </w:rPr>
        <w:t xml:space="preserve"> kidney disease: assessment </w:t>
      </w:r>
    </w:p>
    <w:p w14:paraId="423A5EF1" w14:textId="29B58FC5" w:rsidR="007E1D86" w:rsidRPr="00492645" w:rsidRDefault="007E1D86" w:rsidP="006B12AF">
      <w:pPr>
        <w:spacing w:before="140" w:after="0" w:line="360" w:lineRule="auto"/>
        <w:ind w:left="600" w:hanging="600"/>
        <w:jc w:val="both"/>
        <w:rPr>
          <w:rFonts w:ascii="Arial" w:hAnsi="Arial" w:cs="Arial"/>
          <w:color w:val="000000"/>
          <w:sz w:val="22"/>
          <w:lang w:val="en-GB" w:eastAsia="en-GB"/>
        </w:rPr>
      </w:pPr>
      <w:r w:rsidRPr="00492645">
        <w:rPr>
          <w:rFonts w:ascii="Arial" w:hAnsi="Arial" w:cs="Arial"/>
          <w:i/>
          <w:iCs/>
          <w:color w:val="000000"/>
          <w:sz w:val="22"/>
          <w:lang w:val="en-GB" w:eastAsia="en-GB"/>
        </w:rPr>
        <w:t>and management</w:t>
      </w:r>
      <w:r w:rsidRPr="00492645">
        <w:rPr>
          <w:rFonts w:ascii="Arial" w:hAnsi="Arial" w:cs="Arial"/>
          <w:color w:val="000000"/>
          <w:sz w:val="22"/>
          <w:lang w:val="en-GB" w:eastAsia="en-GB"/>
        </w:rPr>
        <w:t xml:space="preserve"> (NICE Guideline NG203). London: NICE.</w:t>
      </w:r>
    </w:p>
    <w:p w14:paraId="31C33ADA" w14:textId="77777777" w:rsidR="0091111B" w:rsidRDefault="007E1D86" w:rsidP="006B12AF">
      <w:pPr>
        <w:spacing w:before="140" w:after="0" w:line="360" w:lineRule="auto"/>
        <w:ind w:left="600" w:hanging="600"/>
        <w:jc w:val="both"/>
        <w:rPr>
          <w:rFonts w:ascii="Arial" w:hAnsi="Arial" w:cs="Arial"/>
          <w:color w:val="000000"/>
          <w:sz w:val="22"/>
          <w:lang w:val="en-GB" w:eastAsia="en-GB"/>
        </w:rPr>
      </w:pPr>
      <w:r w:rsidRPr="00492645">
        <w:rPr>
          <w:rFonts w:ascii="Arial" w:hAnsi="Arial" w:cs="Arial"/>
          <w:color w:val="000000"/>
          <w:sz w:val="22"/>
          <w:lang w:val="en-GB" w:eastAsia="en-GB"/>
        </w:rPr>
        <w:t xml:space="preserve">NHS England (2016) </w:t>
      </w:r>
      <w:r w:rsidRPr="00492645">
        <w:rPr>
          <w:rFonts w:ascii="Arial" w:hAnsi="Arial" w:cs="Arial"/>
          <w:i/>
          <w:iCs/>
          <w:color w:val="000000"/>
          <w:sz w:val="22"/>
          <w:lang w:val="en-GB" w:eastAsia="en-GB"/>
        </w:rPr>
        <w:t>The House of Care: a framework for long term condition care</w:t>
      </w:r>
      <w:r w:rsidRPr="00492645">
        <w:rPr>
          <w:rFonts w:ascii="Arial" w:hAnsi="Arial" w:cs="Arial"/>
          <w:color w:val="000000"/>
          <w:sz w:val="22"/>
          <w:lang w:val="en-GB" w:eastAsia="en-GB"/>
        </w:rPr>
        <w:t xml:space="preserve">. London: NHS </w:t>
      </w:r>
    </w:p>
    <w:p w14:paraId="54590B08" w14:textId="10E4BA14" w:rsidR="007E1D86" w:rsidRPr="00492645" w:rsidRDefault="007E1D86" w:rsidP="006B12AF">
      <w:pPr>
        <w:spacing w:before="140" w:after="0" w:line="360" w:lineRule="auto"/>
        <w:ind w:left="600" w:hanging="600"/>
        <w:jc w:val="both"/>
        <w:rPr>
          <w:rFonts w:ascii="Arial" w:hAnsi="Arial" w:cs="Arial"/>
          <w:color w:val="000000"/>
          <w:sz w:val="22"/>
          <w:lang w:val="en-GB" w:eastAsia="en-GB"/>
        </w:rPr>
      </w:pPr>
      <w:r w:rsidRPr="00492645">
        <w:rPr>
          <w:rFonts w:ascii="Arial" w:hAnsi="Arial" w:cs="Arial"/>
          <w:color w:val="000000"/>
          <w:sz w:val="22"/>
          <w:lang w:val="en-GB" w:eastAsia="en-GB"/>
        </w:rPr>
        <w:t>England.</w:t>
      </w:r>
    </w:p>
    <w:p w14:paraId="770916AF" w14:textId="57635311" w:rsidR="007E1D86" w:rsidRPr="00492645" w:rsidRDefault="007E1D86" w:rsidP="006B12AF">
      <w:pPr>
        <w:spacing w:before="140" w:after="0" w:line="360" w:lineRule="auto"/>
        <w:ind w:left="600" w:hanging="600"/>
        <w:jc w:val="both"/>
        <w:rPr>
          <w:rFonts w:ascii="Arial" w:hAnsi="Arial" w:cs="Arial"/>
          <w:color w:val="000000"/>
          <w:sz w:val="22"/>
          <w:lang w:val="en-GB" w:eastAsia="en-GB"/>
        </w:rPr>
      </w:pPr>
      <w:r w:rsidRPr="00492645">
        <w:rPr>
          <w:rFonts w:ascii="Arial" w:hAnsi="Arial" w:cs="Arial"/>
          <w:color w:val="000000"/>
          <w:sz w:val="22"/>
          <w:lang w:val="en-GB" w:eastAsia="en-GB"/>
        </w:rPr>
        <w:t xml:space="preserve">NHS England (2019) </w:t>
      </w:r>
      <w:r w:rsidRPr="00492645">
        <w:rPr>
          <w:rFonts w:ascii="Arial" w:hAnsi="Arial" w:cs="Arial"/>
          <w:i/>
          <w:iCs/>
          <w:color w:val="000000"/>
          <w:sz w:val="22"/>
          <w:lang w:val="en-GB" w:eastAsia="en-GB"/>
        </w:rPr>
        <w:t>The NHS Long Term Plan</w:t>
      </w:r>
      <w:r w:rsidRPr="00492645">
        <w:rPr>
          <w:rFonts w:ascii="Arial" w:hAnsi="Arial" w:cs="Arial"/>
          <w:color w:val="000000"/>
          <w:sz w:val="22"/>
          <w:lang w:val="en-GB" w:eastAsia="en-GB"/>
        </w:rPr>
        <w:t>. London: NHS England.</w:t>
      </w:r>
    </w:p>
    <w:p w14:paraId="58D8D15D" w14:textId="77777777" w:rsidR="0091111B" w:rsidRDefault="007E1D86" w:rsidP="006B12AF">
      <w:pPr>
        <w:spacing w:before="140" w:after="0" w:line="360" w:lineRule="auto"/>
        <w:ind w:left="600" w:hanging="600"/>
        <w:jc w:val="both"/>
        <w:rPr>
          <w:rFonts w:ascii="Arial" w:hAnsi="Arial" w:cs="Arial"/>
          <w:color w:val="000000"/>
          <w:sz w:val="22"/>
          <w:lang w:val="en-GB" w:eastAsia="en-GB"/>
        </w:rPr>
      </w:pPr>
      <w:r w:rsidRPr="00492645">
        <w:rPr>
          <w:rFonts w:ascii="Arial" w:hAnsi="Arial" w:cs="Arial"/>
          <w:color w:val="000000"/>
          <w:sz w:val="22"/>
          <w:lang w:val="en-GB" w:eastAsia="en-GB"/>
        </w:rPr>
        <w:t xml:space="preserve">NHS England (2023) </w:t>
      </w:r>
      <w:r w:rsidRPr="00492645">
        <w:rPr>
          <w:rFonts w:ascii="Arial" w:hAnsi="Arial" w:cs="Arial"/>
          <w:i/>
          <w:iCs/>
          <w:color w:val="000000"/>
          <w:sz w:val="22"/>
          <w:lang w:val="en-GB" w:eastAsia="en-GB"/>
        </w:rPr>
        <w:t>A national framework for NHS – action on inclusion health</w:t>
      </w:r>
      <w:r w:rsidRPr="00492645">
        <w:rPr>
          <w:rFonts w:ascii="Arial" w:hAnsi="Arial" w:cs="Arial"/>
          <w:color w:val="000000"/>
          <w:sz w:val="22"/>
          <w:lang w:val="en-GB" w:eastAsia="en-GB"/>
        </w:rPr>
        <w:t xml:space="preserve">. London: NHS </w:t>
      </w:r>
    </w:p>
    <w:p w14:paraId="32B81D2E" w14:textId="020D71F1" w:rsidR="007E1D86" w:rsidRPr="00492645" w:rsidRDefault="007E1D86" w:rsidP="006B12AF">
      <w:pPr>
        <w:spacing w:before="140" w:after="0" w:line="360" w:lineRule="auto"/>
        <w:ind w:left="600" w:hanging="600"/>
        <w:jc w:val="both"/>
        <w:rPr>
          <w:rFonts w:ascii="Arial" w:hAnsi="Arial" w:cs="Arial"/>
          <w:color w:val="000000"/>
          <w:sz w:val="22"/>
          <w:lang w:val="en-GB" w:eastAsia="en-GB"/>
        </w:rPr>
      </w:pPr>
      <w:r w:rsidRPr="00492645">
        <w:rPr>
          <w:rFonts w:ascii="Arial" w:hAnsi="Arial" w:cs="Arial"/>
          <w:color w:val="000000"/>
          <w:sz w:val="22"/>
          <w:lang w:val="en-GB" w:eastAsia="en-GB"/>
        </w:rPr>
        <w:t>England.</w:t>
      </w:r>
    </w:p>
    <w:p w14:paraId="2203ACEB" w14:textId="77777777" w:rsidR="0091111B" w:rsidRDefault="007E1D86" w:rsidP="006B12AF">
      <w:pPr>
        <w:spacing w:before="140" w:after="0" w:line="360" w:lineRule="auto"/>
        <w:ind w:left="600" w:hanging="600"/>
        <w:jc w:val="both"/>
        <w:rPr>
          <w:rFonts w:ascii="Arial" w:hAnsi="Arial" w:cs="Arial"/>
          <w:color w:val="000000"/>
          <w:sz w:val="22"/>
          <w:lang w:val="en-GB" w:eastAsia="en-GB"/>
        </w:rPr>
      </w:pPr>
      <w:r w:rsidRPr="00492645">
        <w:rPr>
          <w:rFonts w:ascii="Arial" w:hAnsi="Arial" w:cs="Arial"/>
          <w:color w:val="000000"/>
          <w:sz w:val="22"/>
          <w:lang w:val="en-GB" w:eastAsia="en-GB"/>
        </w:rPr>
        <w:t xml:space="preserve">NHS England and NHS Improvement (2022) </w:t>
      </w:r>
      <w:r w:rsidRPr="00492645">
        <w:rPr>
          <w:rFonts w:ascii="Arial" w:hAnsi="Arial" w:cs="Arial"/>
          <w:i/>
          <w:iCs/>
          <w:color w:val="000000"/>
          <w:sz w:val="22"/>
          <w:lang w:val="en-GB" w:eastAsia="en-GB"/>
        </w:rPr>
        <w:t>Personalised palliative and end-of-life care</w:t>
      </w:r>
      <w:r w:rsidRPr="00492645">
        <w:rPr>
          <w:rFonts w:ascii="Arial" w:hAnsi="Arial" w:cs="Arial"/>
          <w:color w:val="000000"/>
          <w:sz w:val="22"/>
          <w:lang w:val="en-GB" w:eastAsia="en-GB"/>
        </w:rPr>
        <w:t xml:space="preserve">. London: </w:t>
      </w:r>
    </w:p>
    <w:p w14:paraId="5C442CE0" w14:textId="383D4819" w:rsidR="007E1D86" w:rsidRPr="00492645" w:rsidRDefault="007E1D86" w:rsidP="006B12AF">
      <w:pPr>
        <w:spacing w:before="140" w:after="0" w:line="360" w:lineRule="auto"/>
        <w:ind w:left="600" w:hanging="600"/>
        <w:jc w:val="both"/>
        <w:rPr>
          <w:rFonts w:ascii="Arial" w:hAnsi="Arial" w:cs="Arial"/>
          <w:color w:val="000000"/>
          <w:sz w:val="22"/>
          <w:lang w:val="en-GB" w:eastAsia="en-GB"/>
        </w:rPr>
      </w:pPr>
      <w:r w:rsidRPr="00492645">
        <w:rPr>
          <w:rFonts w:ascii="Arial" w:hAnsi="Arial" w:cs="Arial"/>
          <w:color w:val="000000"/>
          <w:sz w:val="22"/>
          <w:lang w:val="en-GB" w:eastAsia="en-GB"/>
        </w:rPr>
        <w:t>NHS England.</w:t>
      </w:r>
    </w:p>
    <w:p w14:paraId="27B16557" w14:textId="77777777" w:rsidR="0091111B" w:rsidRDefault="007E1D86" w:rsidP="006B12AF">
      <w:pPr>
        <w:spacing w:before="140" w:after="0" w:line="360" w:lineRule="auto"/>
        <w:ind w:left="600" w:hanging="600"/>
        <w:jc w:val="both"/>
        <w:rPr>
          <w:rFonts w:ascii="Arial" w:hAnsi="Arial" w:cs="Arial"/>
          <w:color w:val="000000"/>
          <w:sz w:val="22"/>
          <w:lang w:val="en-GB" w:eastAsia="en-GB"/>
        </w:rPr>
      </w:pPr>
      <w:r w:rsidRPr="00492645">
        <w:rPr>
          <w:rFonts w:ascii="Arial" w:hAnsi="Arial" w:cs="Arial"/>
          <w:color w:val="000000"/>
          <w:sz w:val="22"/>
          <w:lang w:val="en-GB" w:eastAsia="en-GB"/>
        </w:rPr>
        <w:t xml:space="preserve">Palmer, S., Vecchio, M., Craig, J.C., Tonelli, M., Johnson, D.W., Nicolucci, A., Pellegrini, F., </w:t>
      </w:r>
    </w:p>
    <w:p w14:paraId="442E17D5" w14:textId="77777777" w:rsidR="0091111B" w:rsidRDefault="007E1D86" w:rsidP="006B12AF">
      <w:pPr>
        <w:spacing w:before="140" w:after="0" w:line="360" w:lineRule="auto"/>
        <w:ind w:left="600" w:hanging="600"/>
        <w:jc w:val="both"/>
        <w:rPr>
          <w:rFonts w:ascii="Arial" w:hAnsi="Arial" w:cs="Arial"/>
          <w:color w:val="000000"/>
          <w:sz w:val="22"/>
          <w:lang w:val="en-GB" w:eastAsia="en-GB"/>
        </w:rPr>
      </w:pPr>
      <w:r w:rsidRPr="00492645">
        <w:rPr>
          <w:rFonts w:ascii="Arial" w:hAnsi="Arial" w:cs="Arial"/>
          <w:color w:val="000000"/>
          <w:sz w:val="22"/>
          <w:lang w:val="en-GB" w:eastAsia="en-GB"/>
        </w:rPr>
        <w:t xml:space="preserve">Saglimbene, V., Logroscino, G., Fishbane, S. and Strippoli, G.F. (2013) ‘Prevalence of depression in </w:t>
      </w:r>
    </w:p>
    <w:p w14:paraId="58A7CBAB" w14:textId="77777777" w:rsidR="0091111B" w:rsidRDefault="007E1D86" w:rsidP="006B12AF">
      <w:pPr>
        <w:spacing w:before="140" w:after="0" w:line="360" w:lineRule="auto"/>
        <w:ind w:left="600" w:hanging="600"/>
        <w:jc w:val="both"/>
        <w:rPr>
          <w:rFonts w:ascii="Arial" w:hAnsi="Arial" w:cs="Arial"/>
          <w:i/>
          <w:iCs/>
          <w:color w:val="000000"/>
          <w:sz w:val="22"/>
          <w:lang w:val="en-GB" w:eastAsia="en-GB"/>
        </w:rPr>
      </w:pPr>
      <w:r w:rsidRPr="00492645">
        <w:rPr>
          <w:rFonts w:ascii="Arial" w:hAnsi="Arial" w:cs="Arial"/>
          <w:color w:val="000000"/>
          <w:sz w:val="22"/>
          <w:lang w:val="en-GB" w:eastAsia="en-GB"/>
        </w:rPr>
        <w:t xml:space="preserve">chronic kidney disease: systematic review and meta-analysis of observational studies’, </w:t>
      </w:r>
      <w:r w:rsidRPr="00492645">
        <w:rPr>
          <w:rFonts w:ascii="Arial" w:hAnsi="Arial" w:cs="Arial"/>
          <w:i/>
          <w:iCs/>
          <w:color w:val="000000"/>
          <w:sz w:val="22"/>
          <w:lang w:val="en-GB" w:eastAsia="en-GB"/>
        </w:rPr>
        <w:t xml:space="preserve">Kidney </w:t>
      </w:r>
    </w:p>
    <w:p w14:paraId="3E7A6BEF" w14:textId="37552637" w:rsidR="007E1D86" w:rsidRPr="00492645" w:rsidRDefault="007E1D86" w:rsidP="006B12AF">
      <w:pPr>
        <w:spacing w:before="140" w:after="0" w:line="360" w:lineRule="auto"/>
        <w:ind w:left="600" w:hanging="600"/>
        <w:jc w:val="both"/>
        <w:rPr>
          <w:rFonts w:ascii="Arial" w:hAnsi="Arial" w:cs="Arial"/>
          <w:color w:val="000000"/>
          <w:sz w:val="22"/>
          <w:lang w:val="en-GB" w:eastAsia="en-GB"/>
        </w:rPr>
      </w:pPr>
      <w:r w:rsidRPr="00492645">
        <w:rPr>
          <w:rFonts w:ascii="Arial" w:hAnsi="Arial" w:cs="Arial"/>
          <w:i/>
          <w:iCs/>
          <w:color w:val="000000"/>
          <w:sz w:val="22"/>
          <w:lang w:val="en-GB" w:eastAsia="en-GB"/>
        </w:rPr>
        <w:t>International</w:t>
      </w:r>
      <w:r w:rsidRPr="00492645">
        <w:rPr>
          <w:rFonts w:ascii="Arial" w:hAnsi="Arial" w:cs="Arial"/>
          <w:color w:val="000000"/>
          <w:sz w:val="22"/>
          <w:lang w:val="en-GB" w:eastAsia="en-GB"/>
        </w:rPr>
        <w:t>, 84(1), pp. 179–191.</w:t>
      </w:r>
    </w:p>
    <w:p w14:paraId="574E936F" w14:textId="77777777" w:rsidR="0091111B" w:rsidRDefault="007E1D86" w:rsidP="006B12AF">
      <w:pPr>
        <w:spacing w:before="140" w:after="0" w:line="360" w:lineRule="auto"/>
        <w:ind w:left="600" w:hanging="600"/>
        <w:jc w:val="both"/>
        <w:rPr>
          <w:rFonts w:ascii="Arial" w:hAnsi="Arial" w:cs="Arial"/>
          <w:color w:val="000000"/>
          <w:sz w:val="22"/>
          <w:lang w:val="en-GB" w:eastAsia="en-GB"/>
        </w:rPr>
      </w:pPr>
      <w:r w:rsidRPr="00492645">
        <w:rPr>
          <w:rFonts w:ascii="Arial" w:hAnsi="Arial" w:cs="Arial"/>
          <w:color w:val="000000"/>
          <w:sz w:val="22"/>
          <w:lang w:val="en-GB" w:eastAsia="en-GB"/>
        </w:rPr>
        <w:t xml:space="preserve">Romagnani, P., Remuzzi, G., Glassock, R., Levin, A., Jager, K.J., Tonelli, M., Massy, Z., Wanner, C. </w:t>
      </w:r>
    </w:p>
    <w:p w14:paraId="13BF7908" w14:textId="77777777" w:rsidR="0091111B" w:rsidRDefault="007E1D86" w:rsidP="006B12AF">
      <w:pPr>
        <w:spacing w:before="140" w:after="0" w:line="360" w:lineRule="auto"/>
        <w:ind w:left="600" w:hanging="600"/>
        <w:jc w:val="both"/>
        <w:rPr>
          <w:rFonts w:ascii="Arial" w:hAnsi="Arial" w:cs="Arial"/>
          <w:color w:val="000000"/>
          <w:sz w:val="22"/>
          <w:lang w:val="en-GB" w:eastAsia="en-GB"/>
        </w:rPr>
      </w:pPr>
      <w:r w:rsidRPr="00492645">
        <w:rPr>
          <w:rFonts w:ascii="Arial" w:hAnsi="Arial" w:cs="Arial"/>
          <w:color w:val="000000"/>
          <w:sz w:val="22"/>
          <w:lang w:val="en-GB" w:eastAsia="en-GB"/>
        </w:rPr>
        <w:t>and Anders, H.J. (2017) ‘</w:t>
      </w:r>
      <w:r w:rsidR="00351E24" w:rsidRPr="00492645">
        <w:rPr>
          <w:rFonts w:ascii="Arial" w:hAnsi="Arial" w:cs="Arial"/>
          <w:color w:val="000000"/>
          <w:sz w:val="22"/>
          <w:lang w:val="en-GB" w:eastAsia="en-GB"/>
        </w:rPr>
        <w:t>chronic</w:t>
      </w:r>
      <w:r w:rsidRPr="00492645">
        <w:rPr>
          <w:rFonts w:ascii="Arial" w:hAnsi="Arial" w:cs="Arial"/>
          <w:color w:val="000000"/>
          <w:sz w:val="22"/>
          <w:lang w:val="en-GB" w:eastAsia="en-GB"/>
        </w:rPr>
        <w:t xml:space="preserve"> kidney disease’, </w:t>
      </w:r>
      <w:r w:rsidRPr="00492645">
        <w:rPr>
          <w:rFonts w:ascii="Arial" w:hAnsi="Arial" w:cs="Arial"/>
          <w:i/>
          <w:iCs/>
          <w:color w:val="000000"/>
          <w:sz w:val="22"/>
          <w:lang w:val="en-GB" w:eastAsia="en-GB"/>
        </w:rPr>
        <w:t>Nature Reviews Disease Primers</w:t>
      </w:r>
      <w:r w:rsidRPr="00492645">
        <w:rPr>
          <w:rFonts w:ascii="Arial" w:hAnsi="Arial" w:cs="Arial"/>
          <w:color w:val="000000"/>
          <w:sz w:val="22"/>
          <w:lang w:val="en-GB" w:eastAsia="en-GB"/>
        </w:rPr>
        <w:t xml:space="preserve">, 3(1), art. no. </w:t>
      </w:r>
    </w:p>
    <w:p w14:paraId="798B9280" w14:textId="7C7AF2BF" w:rsidR="007E1D86" w:rsidRPr="00492645" w:rsidRDefault="007E1D86" w:rsidP="006B12AF">
      <w:pPr>
        <w:spacing w:before="140" w:after="0" w:line="360" w:lineRule="auto"/>
        <w:ind w:left="600" w:hanging="600"/>
        <w:jc w:val="both"/>
        <w:rPr>
          <w:rFonts w:ascii="Arial" w:hAnsi="Arial" w:cs="Arial"/>
          <w:color w:val="000000"/>
          <w:sz w:val="22"/>
          <w:lang w:val="en-GB" w:eastAsia="en-GB"/>
        </w:rPr>
      </w:pPr>
      <w:r w:rsidRPr="00492645">
        <w:rPr>
          <w:rFonts w:ascii="Arial" w:hAnsi="Arial" w:cs="Arial"/>
          <w:color w:val="000000"/>
          <w:sz w:val="22"/>
          <w:lang w:val="en-GB" w:eastAsia="en-GB"/>
        </w:rPr>
        <w:t>17088.</w:t>
      </w:r>
    </w:p>
    <w:p w14:paraId="7A80412A" w14:textId="6B116199" w:rsidR="007E1D86" w:rsidRPr="00492645" w:rsidRDefault="007E1D86" w:rsidP="006B12AF">
      <w:pPr>
        <w:spacing w:before="140" w:after="0" w:line="360" w:lineRule="auto"/>
        <w:ind w:left="600" w:hanging="600"/>
        <w:jc w:val="both"/>
        <w:rPr>
          <w:rFonts w:ascii="Arial" w:hAnsi="Arial" w:cs="Arial"/>
          <w:color w:val="000000"/>
          <w:sz w:val="22"/>
          <w:lang w:val="en-GB" w:eastAsia="en-GB"/>
        </w:rPr>
      </w:pPr>
      <w:r w:rsidRPr="00492645">
        <w:rPr>
          <w:rFonts w:ascii="Arial" w:hAnsi="Arial" w:cs="Arial"/>
          <w:color w:val="000000"/>
          <w:sz w:val="22"/>
          <w:lang w:val="en-GB" w:eastAsia="en-GB"/>
        </w:rPr>
        <w:t xml:space="preserve">Scholes, S. (2017) </w:t>
      </w:r>
      <w:r w:rsidRPr="00492645">
        <w:rPr>
          <w:rFonts w:ascii="Arial" w:hAnsi="Arial" w:cs="Arial"/>
          <w:i/>
          <w:iCs/>
          <w:color w:val="000000"/>
          <w:sz w:val="22"/>
          <w:lang w:val="en-GB" w:eastAsia="en-GB"/>
        </w:rPr>
        <w:t>Health survey for England 2016: Physical activity in adults</w:t>
      </w:r>
      <w:r w:rsidRPr="00492645">
        <w:rPr>
          <w:rFonts w:ascii="Arial" w:hAnsi="Arial" w:cs="Arial"/>
          <w:color w:val="000000"/>
          <w:sz w:val="22"/>
          <w:lang w:val="en-GB" w:eastAsia="en-GB"/>
        </w:rPr>
        <w:t>. London: NHS Digital.</w:t>
      </w:r>
    </w:p>
    <w:p w14:paraId="5121AFCE" w14:textId="77777777" w:rsidR="0091111B" w:rsidRDefault="007E1D86" w:rsidP="006B12AF">
      <w:pPr>
        <w:spacing w:before="140" w:after="0" w:line="360" w:lineRule="auto"/>
        <w:ind w:left="600" w:hanging="600"/>
        <w:jc w:val="both"/>
        <w:rPr>
          <w:rFonts w:ascii="Arial" w:hAnsi="Arial" w:cs="Arial"/>
          <w:color w:val="000000"/>
          <w:sz w:val="22"/>
          <w:lang w:val="en-GB" w:eastAsia="en-GB"/>
        </w:rPr>
      </w:pPr>
      <w:r w:rsidRPr="00492645">
        <w:rPr>
          <w:rFonts w:ascii="Arial" w:hAnsi="Arial" w:cs="Arial"/>
          <w:color w:val="000000"/>
          <w:sz w:val="22"/>
          <w:lang w:val="en-GB" w:eastAsia="en-GB"/>
        </w:rPr>
        <w:t xml:space="preserve">Tonelli, M., Meda, R.L., Abdijalil, G., Pichaiwong, W., Hafidz, M.I.A., Michalska, M. and Ulasi, I. (2025) </w:t>
      </w:r>
    </w:p>
    <w:p w14:paraId="1968843F" w14:textId="77777777" w:rsidR="0091111B" w:rsidRDefault="007E1D86" w:rsidP="006B12AF">
      <w:pPr>
        <w:spacing w:before="140" w:after="0" w:line="360" w:lineRule="auto"/>
        <w:ind w:left="600" w:hanging="600"/>
        <w:jc w:val="both"/>
        <w:rPr>
          <w:rFonts w:ascii="Arial" w:hAnsi="Arial" w:cs="Arial"/>
          <w:color w:val="000000"/>
          <w:sz w:val="22"/>
          <w:lang w:val="en-GB" w:eastAsia="en-GB"/>
        </w:rPr>
      </w:pPr>
      <w:r w:rsidRPr="00492645">
        <w:rPr>
          <w:rFonts w:ascii="Arial" w:hAnsi="Arial" w:cs="Arial"/>
          <w:color w:val="000000"/>
          <w:sz w:val="22"/>
          <w:lang w:val="en-GB" w:eastAsia="en-GB"/>
        </w:rPr>
        <w:t xml:space="preserve">‘Implementing the commitments of the WHO kidney health resolution: initial steps in 3 diverse </w:t>
      </w:r>
    </w:p>
    <w:p w14:paraId="2550F473" w14:textId="146247C8" w:rsidR="007E1D86" w:rsidRPr="00492645" w:rsidRDefault="007E1D86" w:rsidP="006B12AF">
      <w:pPr>
        <w:spacing w:before="140" w:after="0" w:line="360" w:lineRule="auto"/>
        <w:ind w:left="600" w:hanging="600"/>
        <w:jc w:val="both"/>
        <w:rPr>
          <w:rFonts w:ascii="Arial" w:hAnsi="Arial" w:cs="Arial"/>
          <w:color w:val="000000"/>
          <w:sz w:val="22"/>
          <w:lang w:val="en-GB" w:eastAsia="en-GB"/>
        </w:rPr>
      </w:pPr>
      <w:r w:rsidRPr="00492645">
        <w:rPr>
          <w:rFonts w:ascii="Arial" w:hAnsi="Arial" w:cs="Arial"/>
          <w:color w:val="000000"/>
          <w:sz w:val="22"/>
          <w:lang w:val="en-GB" w:eastAsia="en-GB"/>
        </w:rPr>
        <w:t xml:space="preserve">settings’, </w:t>
      </w:r>
      <w:r w:rsidRPr="00492645">
        <w:rPr>
          <w:rFonts w:ascii="Arial" w:hAnsi="Arial" w:cs="Arial"/>
          <w:i/>
          <w:iCs/>
          <w:color w:val="000000"/>
          <w:sz w:val="22"/>
          <w:lang w:val="en-GB" w:eastAsia="en-GB"/>
        </w:rPr>
        <w:t>Kidney International</w:t>
      </w:r>
      <w:r w:rsidRPr="00492645">
        <w:rPr>
          <w:rFonts w:ascii="Arial" w:hAnsi="Arial" w:cs="Arial"/>
          <w:color w:val="000000"/>
          <w:sz w:val="22"/>
          <w:lang w:val="en-GB" w:eastAsia="en-GB"/>
        </w:rPr>
        <w:t>, 108(6), pp. 969–977.</w:t>
      </w:r>
    </w:p>
    <w:p w14:paraId="2DF466CF" w14:textId="77777777" w:rsidR="006B12AF" w:rsidRDefault="007E1D86" w:rsidP="006B12AF">
      <w:pPr>
        <w:spacing w:before="140" w:after="0" w:line="360" w:lineRule="auto"/>
        <w:ind w:left="600" w:hanging="600"/>
        <w:jc w:val="both"/>
        <w:rPr>
          <w:rFonts w:ascii="Arial" w:hAnsi="Arial" w:cs="Arial"/>
          <w:color w:val="000000"/>
          <w:sz w:val="22"/>
          <w:lang w:val="en-GB" w:eastAsia="en-GB"/>
        </w:rPr>
      </w:pPr>
      <w:r w:rsidRPr="00492645">
        <w:rPr>
          <w:rFonts w:ascii="Arial" w:hAnsi="Arial" w:cs="Arial"/>
          <w:color w:val="000000"/>
          <w:sz w:val="22"/>
          <w:lang w:val="en-GB" w:eastAsia="en-GB"/>
        </w:rPr>
        <w:t xml:space="preserve">Verberne, W.R., Geers, A.T., Jellema, W.T., Vincent, H.H., van Delden, J.J. and Bos, W.J.W. (2016) </w:t>
      </w:r>
    </w:p>
    <w:p w14:paraId="17119AEF" w14:textId="77777777" w:rsidR="006B12AF" w:rsidRDefault="007E1D86" w:rsidP="006B12AF">
      <w:pPr>
        <w:spacing w:before="140" w:after="0" w:line="360" w:lineRule="auto"/>
        <w:ind w:left="600" w:hanging="600"/>
        <w:jc w:val="both"/>
        <w:rPr>
          <w:rFonts w:ascii="Arial" w:hAnsi="Arial" w:cs="Arial"/>
          <w:color w:val="000000"/>
          <w:sz w:val="22"/>
          <w:lang w:val="en-GB" w:eastAsia="en-GB"/>
        </w:rPr>
      </w:pPr>
      <w:r w:rsidRPr="00492645">
        <w:rPr>
          <w:rFonts w:ascii="Arial" w:hAnsi="Arial" w:cs="Arial"/>
          <w:color w:val="000000"/>
          <w:sz w:val="22"/>
          <w:lang w:val="en-GB" w:eastAsia="en-GB"/>
        </w:rPr>
        <w:t xml:space="preserve">‘Comparative survival among older adults with advanced kidney disease managed conservatively </w:t>
      </w:r>
    </w:p>
    <w:p w14:paraId="2DBEB3EC" w14:textId="1418D0DE" w:rsidR="007E1D86" w:rsidRPr="00492645" w:rsidRDefault="007E1D86" w:rsidP="006B12AF">
      <w:pPr>
        <w:spacing w:before="140" w:after="0" w:line="360" w:lineRule="auto"/>
        <w:ind w:left="600" w:hanging="600"/>
        <w:jc w:val="both"/>
        <w:rPr>
          <w:rFonts w:ascii="Arial" w:hAnsi="Arial" w:cs="Arial"/>
          <w:color w:val="000000"/>
          <w:sz w:val="22"/>
          <w:lang w:val="en-GB" w:eastAsia="en-GB"/>
        </w:rPr>
      </w:pPr>
      <w:r w:rsidRPr="00492645">
        <w:rPr>
          <w:rFonts w:ascii="Arial" w:hAnsi="Arial" w:cs="Arial"/>
          <w:color w:val="000000"/>
          <w:sz w:val="22"/>
          <w:lang w:val="en-GB" w:eastAsia="en-GB"/>
        </w:rPr>
        <w:t xml:space="preserve">versus with dialysis’, </w:t>
      </w:r>
      <w:r w:rsidRPr="00492645">
        <w:rPr>
          <w:rFonts w:ascii="Arial" w:hAnsi="Arial" w:cs="Arial"/>
          <w:i/>
          <w:iCs/>
          <w:color w:val="000000"/>
          <w:sz w:val="22"/>
          <w:lang w:val="en-GB" w:eastAsia="en-GB"/>
        </w:rPr>
        <w:t>Clinical Journal of the American Society of Nephrology</w:t>
      </w:r>
      <w:r w:rsidRPr="00492645">
        <w:rPr>
          <w:rFonts w:ascii="Arial" w:hAnsi="Arial" w:cs="Arial"/>
          <w:color w:val="000000"/>
          <w:sz w:val="22"/>
          <w:lang w:val="en-GB" w:eastAsia="en-GB"/>
        </w:rPr>
        <w:t>, 11(4), pp. 633–640.</w:t>
      </w:r>
    </w:p>
    <w:p w14:paraId="614B36E4" w14:textId="77777777" w:rsidR="006B12AF" w:rsidRDefault="007E1D86" w:rsidP="006B12AF">
      <w:pPr>
        <w:spacing w:before="140" w:after="0" w:line="360" w:lineRule="auto"/>
        <w:ind w:left="600" w:hanging="600"/>
        <w:jc w:val="both"/>
        <w:rPr>
          <w:rFonts w:ascii="Arial" w:hAnsi="Arial" w:cs="Arial"/>
          <w:color w:val="000000"/>
          <w:sz w:val="22"/>
          <w:lang w:val="en-GB" w:eastAsia="en-GB"/>
        </w:rPr>
      </w:pPr>
      <w:r w:rsidRPr="00492645">
        <w:rPr>
          <w:rFonts w:ascii="Arial" w:hAnsi="Arial" w:cs="Arial"/>
          <w:color w:val="000000"/>
          <w:sz w:val="22"/>
          <w:lang w:val="en-GB" w:eastAsia="en-GB"/>
        </w:rPr>
        <w:t xml:space="preserve">Wagner, E.H., Austin, B.T., Davis, C., Hindmarsh, M., Schaefer, J. and Bonomi, A. (2001) ‘Improving </w:t>
      </w:r>
    </w:p>
    <w:p w14:paraId="08093DE7" w14:textId="5127072D" w:rsidR="007E1D86" w:rsidRPr="00492645" w:rsidRDefault="007E1D86" w:rsidP="006B12AF">
      <w:pPr>
        <w:spacing w:before="140" w:after="0" w:line="360" w:lineRule="auto"/>
        <w:ind w:left="600" w:hanging="600"/>
        <w:jc w:val="both"/>
        <w:rPr>
          <w:rFonts w:ascii="Arial" w:hAnsi="Arial" w:cs="Arial"/>
          <w:color w:val="000000"/>
          <w:sz w:val="22"/>
          <w:lang w:val="en-GB" w:eastAsia="en-GB"/>
        </w:rPr>
      </w:pPr>
      <w:r w:rsidRPr="00492645">
        <w:rPr>
          <w:rFonts w:ascii="Arial" w:hAnsi="Arial" w:cs="Arial"/>
          <w:color w:val="000000"/>
          <w:sz w:val="22"/>
          <w:lang w:val="en-GB" w:eastAsia="en-GB"/>
        </w:rPr>
        <w:t xml:space="preserve">chronic illness care: translating evidence into action’, </w:t>
      </w:r>
      <w:r w:rsidRPr="00492645">
        <w:rPr>
          <w:rFonts w:ascii="Arial" w:hAnsi="Arial" w:cs="Arial"/>
          <w:i/>
          <w:iCs/>
          <w:color w:val="000000"/>
          <w:sz w:val="22"/>
          <w:lang w:val="en-GB" w:eastAsia="en-GB"/>
        </w:rPr>
        <w:t>Health Affairs</w:t>
      </w:r>
      <w:r w:rsidRPr="00492645">
        <w:rPr>
          <w:rFonts w:ascii="Arial" w:hAnsi="Arial" w:cs="Arial"/>
          <w:color w:val="000000"/>
          <w:sz w:val="22"/>
          <w:lang w:val="en-GB" w:eastAsia="en-GB"/>
        </w:rPr>
        <w:t>, 20(6), pp. 64–78.</w:t>
      </w:r>
    </w:p>
    <w:p w14:paraId="33B8BC92" w14:textId="77777777" w:rsidR="006B12AF" w:rsidRDefault="007E1D86" w:rsidP="006B12AF">
      <w:pPr>
        <w:spacing w:before="140" w:after="0" w:line="360" w:lineRule="auto"/>
        <w:ind w:left="600" w:hanging="600"/>
        <w:jc w:val="both"/>
        <w:rPr>
          <w:rFonts w:ascii="Arial" w:hAnsi="Arial" w:cs="Arial"/>
          <w:i/>
          <w:iCs/>
          <w:color w:val="000000"/>
          <w:sz w:val="22"/>
          <w:lang w:val="en-GB" w:eastAsia="en-GB"/>
        </w:rPr>
      </w:pPr>
      <w:r w:rsidRPr="00492645">
        <w:rPr>
          <w:rFonts w:ascii="Arial" w:hAnsi="Arial" w:cs="Arial"/>
          <w:color w:val="000000"/>
          <w:sz w:val="22"/>
          <w:lang w:val="en-GB" w:eastAsia="en-GB"/>
        </w:rPr>
        <w:t xml:space="preserve">Webster, A.C., Nagler, E.V., Morton, R.L. and Masson, P. (2017) ‘Chronic kidney disease’, </w:t>
      </w:r>
      <w:r w:rsidRPr="00492645">
        <w:rPr>
          <w:rFonts w:ascii="Arial" w:hAnsi="Arial" w:cs="Arial"/>
          <w:i/>
          <w:iCs/>
          <w:color w:val="000000"/>
          <w:sz w:val="22"/>
          <w:lang w:val="en-GB" w:eastAsia="en-GB"/>
        </w:rPr>
        <w:t xml:space="preserve">The </w:t>
      </w:r>
    </w:p>
    <w:p w14:paraId="6598803C" w14:textId="6C19C573" w:rsidR="007E1D86" w:rsidRPr="00492645" w:rsidRDefault="007E1D86" w:rsidP="006B12AF">
      <w:pPr>
        <w:spacing w:before="140" w:after="0" w:line="360" w:lineRule="auto"/>
        <w:ind w:left="600" w:hanging="600"/>
        <w:jc w:val="both"/>
        <w:rPr>
          <w:rFonts w:ascii="Arial" w:hAnsi="Arial" w:cs="Arial"/>
          <w:color w:val="000000"/>
          <w:sz w:val="22"/>
          <w:lang w:val="en-GB" w:eastAsia="en-GB"/>
        </w:rPr>
      </w:pPr>
      <w:r w:rsidRPr="00492645">
        <w:rPr>
          <w:rFonts w:ascii="Arial" w:hAnsi="Arial" w:cs="Arial"/>
          <w:i/>
          <w:iCs/>
          <w:color w:val="000000"/>
          <w:sz w:val="22"/>
          <w:lang w:val="en-GB" w:eastAsia="en-GB"/>
        </w:rPr>
        <w:t>Lancet</w:t>
      </w:r>
      <w:r w:rsidRPr="00492645">
        <w:rPr>
          <w:rFonts w:ascii="Arial" w:hAnsi="Arial" w:cs="Arial"/>
          <w:color w:val="000000"/>
          <w:sz w:val="22"/>
          <w:lang w:val="en-GB" w:eastAsia="en-GB"/>
        </w:rPr>
        <w:t>, 389(10075), pp. 1238–1252.</w:t>
      </w:r>
    </w:p>
    <w:p w14:paraId="4747EFDB" w14:textId="77777777" w:rsidR="006B12AF" w:rsidRDefault="007E1D86" w:rsidP="006B12AF">
      <w:pPr>
        <w:spacing w:before="140" w:after="0" w:line="360" w:lineRule="auto"/>
        <w:ind w:left="600" w:hanging="600"/>
        <w:jc w:val="both"/>
        <w:rPr>
          <w:rFonts w:ascii="Arial" w:hAnsi="Arial" w:cs="Arial"/>
          <w:color w:val="000000"/>
          <w:sz w:val="22"/>
          <w:lang w:val="en-GB" w:eastAsia="en-GB"/>
        </w:rPr>
      </w:pPr>
      <w:r w:rsidRPr="00492645">
        <w:rPr>
          <w:rFonts w:ascii="Arial" w:hAnsi="Arial" w:cs="Arial"/>
          <w:color w:val="000000"/>
          <w:sz w:val="22"/>
          <w:lang w:val="en-GB" w:eastAsia="en-GB"/>
        </w:rPr>
        <w:t xml:space="preserve">Wolfe, R.A., Ashby, V.B., Milford, E.L., Ojo, A.O., Ettenger, R.E., Agodoa, L.Y., Held, P.J. and Port, </w:t>
      </w:r>
    </w:p>
    <w:p w14:paraId="40795027" w14:textId="77777777" w:rsidR="006B12AF" w:rsidRDefault="007E1D86" w:rsidP="006B12AF">
      <w:pPr>
        <w:spacing w:before="140" w:after="0" w:line="360" w:lineRule="auto"/>
        <w:ind w:left="600" w:hanging="600"/>
        <w:jc w:val="both"/>
        <w:rPr>
          <w:rFonts w:ascii="Arial" w:hAnsi="Arial" w:cs="Arial"/>
          <w:color w:val="000000"/>
          <w:sz w:val="22"/>
          <w:lang w:val="en-GB" w:eastAsia="en-GB"/>
        </w:rPr>
      </w:pPr>
      <w:r w:rsidRPr="00492645">
        <w:rPr>
          <w:rFonts w:ascii="Arial" w:hAnsi="Arial" w:cs="Arial"/>
          <w:color w:val="000000"/>
          <w:sz w:val="22"/>
          <w:lang w:val="en-GB" w:eastAsia="en-GB"/>
        </w:rPr>
        <w:t xml:space="preserve">F.K. (1999) ‘Comparison of mortality in all patients on dialysis, patients on dialysis awaiting </w:t>
      </w:r>
    </w:p>
    <w:p w14:paraId="18BB7F92" w14:textId="77777777" w:rsidR="006B12AF" w:rsidRDefault="007E1D86" w:rsidP="006B12AF">
      <w:pPr>
        <w:spacing w:before="140" w:after="0" w:line="360" w:lineRule="auto"/>
        <w:ind w:left="600" w:hanging="600"/>
        <w:jc w:val="both"/>
        <w:rPr>
          <w:rFonts w:ascii="Arial" w:hAnsi="Arial" w:cs="Arial"/>
          <w:color w:val="000000"/>
          <w:sz w:val="22"/>
          <w:lang w:val="en-GB" w:eastAsia="en-GB"/>
        </w:rPr>
      </w:pPr>
      <w:r w:rsidRPr="00492645">
        <w:rPr>
          <w:rFonts w:ascii="Arial" w:hAnsi="Arial" w:cs="Arial"/>
          <w:color w:val="000000"/>
          <w:sz w:val="22"/>
          <w:lang w:val="en-GB" w:eastAsia="en-GB"/>
        </w:rPr>
        <w:t xml:space="preserve">transplantation, and recipients of a first cadaveric transplant’, </w:t>
      </w:r>
      <w:r w:rsidRPr="00492645">
        <w:rPr>
          <w:rFonts w:ascii="Arial" w:hAnsi="Arial" w:cs="Arial"/>
          <w:i/>
          <w:iCs/>
          <w:color w:val="000000"/>
          <w:sz w:val="22"/>
          <w:lang w:val="en-GB" w:eastAsia="en-GB"/>
        </w:rPr>
        <w:t>New England Journal of Medicine</w:t>
      </w:r>
      <w:r w:rsidRPr="00492645">
        <w:rPr>
          <w:rFonts w:ascii="Arial" w:hAnsi="Arial" w:cs="Arial"/>
          <w:color w:val="000000"/>
          <w:sz w:val="22"/>
          <w:lang w:val="en-GB" w:eastAsia="en-GB"/>
        </w:rPr>
        <w:t xml:space="preserve">, </w:t>
      </w:r>
    </w:p>
    <w:p w14:paraId="267C7C47" w14:textId="0904D066" w:rsidR="007E1D86" w:rsidRPr="00492645" w:rsidRDefault="007E1D86" w:rsidP="006B12AF">
      <w:pPr>
        <w:spacing w:before="140" w:after="0" w:line="360" w:lineRule="auto"/>
        <w:ind w:left="600" w:hanging="600"/>
        <w:jc w:val="both"/>
        <w:rPr>
          <w:rFonts w:ascii="Arial" w:hAnsi="Arial" w:cs="Arial"/>
          <w:color w:val="000000"/>
          <w:sz w:val="22"/>
          <w:lang w:val="en-GB" w:eastAsia="en-GB"/>
        </w:rPr>
      </w:pPr>
      <w:r w:rsidRPr="00492645">
        <w:rPr>
          <w:rFonts w:ascii="Arial" w:hAnsi="Arial" w:cs="Arial"/>
          <w:color w:val="000000"/>
          <w:sz w:val="22"/>
          <w:lang w:val="en-GB" w:eastAsia="en-GB"/>
        </w:rPr>
        <w:t>341(23), pp. 1725–1730.</w:t>
      </w:r>
    </w:p>
    <w:p w14:paraId="44C205B4" w14:textId="77777777" w:rsidR="000163A8" w:rsidRPr="000163A8" w:rsidRDefault="000163A8" w:rsidP="000163A8"/>
    <w:sectPr w:rsidR="000163A8" w:rsidRPr="000163A8" w:rsidSect="00F25558">
      <w:footerReference w:type="default" r:id="rId13"/>
      <w:pgSz w:w="12240" w:h="15840"/>
      <w:pgMar w:top="1080" w:right="1152" w:bottom="1008" w:left="1152"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25F0B7" w14:textId="77777777" w:rsidR="00F35660" w:rsidRDefault="00F35660">
      <w:pPr>
        <w:spacing w:after="0" w:line="240" w:lineRule="auto"/>
      </w:pPr>
      <w:r>
        <w:separator/>
      </w:r>
    </w:p>
  </w:endnote>
  <w:endnote w:type="continuationSeparator" w:id="0">
    <w:p w14:paraId="604DE91D" w14:textId="77777777" w:rsidR="00F35660" w:rsidRDefault="00F356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AppleSystemUIFont">
    <w:altName w:val="Cambria"/>
    <w:charset w:val="00"/>
    <w:family w:val="roman"/>
    <w:pitch w:val="default"/>
  </w:font>
  <w:font w:name=".SFUI-Regular">
    <w:altName w:val="Cambria"/>
    <w:charset w:val="00"/>
    <w:family w:val="roman"/>
    <w:pitch w:val="default"/>
  </w:font>
  <w:font w:name=".SFUI-Semibold">
    <w:altName w:val="Cambria"/>
    <w:charset w:val="00"/>
    <w:family w:val="roman"/>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0034B1" w14:textId="1DE1EFDF" w:rsidR="00662399" w:rsidRDefault="000B1EC2">
    <w:pPr>
      <w:pStyle w:val="Footer"/>
      <w:jc w:val="right"/>
    </w:pPr>
    <w:r>
      <w:t xml:space="preserve">CKD • Level 7 Information Booklet  |  </w:t>
    </w:r>
    <w:r>
      <w:fldChar w:fldCharType="begin"/>
    </w:r>
    <w:r>
      <w:instrText>PAGE</w:instrText>
    </w:r>
    <w:r>
      <w:fldChar w:fldCharType="separate"/>
    </w:r>
    <w:r w:rsidR="006D681B">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60F6A2" w14:textId="77777777" w:rsidR="00F35660" w:rsidRDefault="00F35660">
      <w:pPr>
        <w:spacing w:after="0" w:line="240" w:lineRule="auto"/>
      </w:pPr>
      <w:r>
        <w:separator/>
      </w:r>
    </w:p>
  </w:footnote>
  <w:footnote w:type="continuationSeparator" w:id="0">
    <w:p w14:paraId="34734368" w14:textId="77777777" w:rsidR="00F35660" w:rsidRDefault="00F35660">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WTDgcflG" int2:invalidationBookmarkName="" int2:hashCode="3Q4yC7V24CHo5R" int2:id="0DKqVUE4">
      <int2:state int2:value="Rejected" int2:type="style"/>
    </int2:bookmark>
    <int2:bookmark int2:bookmarkName="_Int_0tiCHhuI" int2:invalidationBookmarkName="" int2:hashCode="dkmkRuVDysnpuX" int2:id="0p7xgqMw">
      <int2:state int2:value="Rejected" int2:type="style"/>
    </int2:bookmark>
    <int2:bookmark int2:bookmarkName="_Int_Cgrgqy2P" int2:invalidationBookmarkName="" int2:hashCode="KH/R9eYBhxaRyz" int2:id="1fuUevgR">
      <int2:state int2:value="Rejected" int2:type="style"/>
    </int2:bookmark>
    <int2:bookmark int2:bookmarkName="_Int_OrfrTVYF" int2:invalidationBookmarkName="" int2:hashCode="gRg+Ewpr1g5/o3" int2:id="4F8QB7sG">
      <int2:state int2:value="Rejected" int2:type="style"/>
    </int2:bookmark>
    <int2:bookmark int2:bookmarkName="_Int_0dSbBpII" int2:invalidationBookmarkName="" int2:hashCode="v1+anaRfUIDswh" int2:id="5jDlTy1p">
      <int2:state int2:value="Rejected" int2:type="style"/>
    </int2:bookmark>
    <int2:bookmark int2:bookmarkName="_Int_XLhKRTln" int2:invalidationBookmarkName="" int2:hashCode="d8oRIYDBEd0bOk" int2:id="6WAShutd">
      <int2:state int2:value="Rejected" int2:type="style"/>
    </int2:bookmark>
    <int2:bookmark int2:bookmarkName="_Int_awfupziF" int2:invalidationBookmarkName="" int2:hashCode="43K/JlIt1QZTyM" int2:id="96essJBr">
      <int2:state int2:value="Rejected" int2:type="style"/>
    </int2:bookmark>
    <int2:bookmark int2:bookmarkName="_Int_mwyN1B2t" int2:invalidationBookmarkName="" int2:hashCode="gxzwY1tTL9m1Xm" int2:id="DvmcZpcq">
      <int2:state int2:value="Rejected" int2:type="style"/>
    </int2:bookmark>
    <int2:bookmark int2:bookmarkName="_Int_fSpxzY0q" int2:invalidationBookmarkName="" int2:hashCode="v1+anaRfUIDswh" int2:id="EvLNh1BS">
      <int2:state int2:value="Rejected" int2:type="style"/>
    </int2:bookmark>
    <int2:bookmark int2:bookmarkName="_Int_rYCPxJs5" int2:invalidationBookmarkName="" int2:hashCode="ySxSngcxxX79dV" int2:id="I265Z1JK">
      <int2:state int2:value="Rejected" int2:type="style"/>
    </int2:bookmark>
    <int2:bookmark int2:bookmarkName="_Int_6iD2sWp4" int2:invalidationBookmarkName="" int2:hashCode="gUJOMp1skMc5S9" int2:id="IHHc4Duq">
      <int2:state int2:value="Rejected" int2:type="style"/>
    </int2:bookmark>
    <int2:bookmark int2:bookmarkName="_Int_jBwu8VqY" int2:invalidationBookmarkName="" int2:hashCode="SMFwPIHakRGYAb" int2:id="KFNqkb8r">
      <int2:state int2:value="Rejected" int2:type="style"/>
    </int2:bookmark>
    <int2:bookmark int2:bookmarkName="_Int_E4MvUB8h" int2:invalidationBookmarkName="" int2:hashCode="RwS8xN3rmVOQre" int2:id="L4onpC2v">
      <int2:state int2:value="Rejected" int2:type="style"/>
    </int2:bookmark>
    <int2:bookmark int2:bookmarkName="_Int_NbXQDcDu" int2:invalidationBookmarkName="" int2:hashCode="xhKzW50/O76H3Z" int2:id="LToTKpAl">
      <int2:state int2:value="Rejected" int2:type="style"/>
    </int2:bookmark>
    <int2:bookmark int2:bookmarkName="_Int_z5MkNd7k" int2:invalidationBookmarkName="" int2:hashCode="NV8o8sDDh63WIx" int2:id="OVO7d9Kc">
      <int2:state int2:value="Rejected" int2:type="style"/>
    </int2:bookmark>
    <int2:bookmark int2:bookmarkName="_Int_1ftzX7Kj" int2:invalidationBookmarkName="" int2:hashCode="2i9M6eDcqD4Mt6" int2:id="PqHsCZAx">
      <int2:state int2:value="Rejected" int2:type="style"/>
    </int2:bookmark>
    <int2:bookmark int2:bookmarkName="_Int_ykH4GW0i" int2:invalidationBookmarkName="" int2:hashCode="b0ecJmq9xsQSK0" int2:id="Qn23JaS2">
      <int2:state int2:value="Rejected" int2:type="style"/>
    </int2:bookmark>
    <int2:bookmark int2:bookmarkName="_Int_B8XJ7uGY" int2:invalidationBookmarkName="" int2:hashCode="SLGLFARhzcGrh6" int2:id="TWOYzu2Y">
      <int2:state int2:value="Rejected" int2:type="style"/>
    </int2:bookmark>
    <int2:bookmark int2:bookmarkName="_Int_SKJsWNlc" int2:invalidationBookmarkName="" int2:hashCode="MTQ5TwyYrGnw2W" int2:id="U9pqxaSO">
      <int2:state int2:value="Rejected" int2:type="style"/>
    </int2:bookmark>
    <int2:bookmark int2:bookmarkName="_Int_W5MWH5eS" int2:invalidationBookmarkName="" int2:hashCode="NSli/oX68nX5rz" int2:id="WnlQooJy">
      <int2:state int2:value="Rejected" int2:type="style"/>
    </int2:bookmark>
    <int2:bookmark int2:bookmarkName="_Int_9Y5S4AU5" int2:invalidationBookmarkName="" int2:hashCode="0FDVCLiyEJIc6n" int2:id="WnrSD4Tc">
      <int2:state int2:value="Rejected" int2:type="style"/>
    </int2:bookmark>
    <int2:bookmark int2:bookmarkName="_Int_eRZNi9TX" int2:invalidationBookmarkName="" int2:hashCode="QyMHtVzhlTy+I2" int2:id="Xqth8L2j">
      <int2:state int2:value="Rejected" int2:type="style"/>
    </int2:bookmark>
    <int2:bookmark int2:bookmarkName="_Int_6YTqTUiK" int2:invalidationBookmarkName="" int2:hashCode="v1+anaRfUIDswh" int2:id="cJpJeKhT">
      <int2:state int2:value="Rejected" int2:type="style"/>
    </int2:bookmark>
    <int2:bookmark int2:bookmarkName="_Int_1VsdiCkQ" int2:invalidationBookmarkName="" int2:hashCode="uB/+4qn1FINT/S" int2:id="daIXPXqt">
      <int2:state int2:value="Rejected" int2:type="style"/>
    </int2:bookmark>
    <int2:bookmark int2:bookmarkName="_Int_12pYHbTW" int2:invalidationBookmarkName="" int2:hashCode="XG3cdZqnWHvVNK" int2:id="eDRHZisp">
      <int2:state int2:value="Rejected" int2:type="style"/>
    </int2:bookmark>
    <int2:bookmark int2:bookmarkName="_Int_0sNkDe62" int2:invalidationBookmarkName="" int2:hashCode="m/D4/19di8v/ud" int2:id="fugsw0eD">
      <int2:state int2:value="Rejected" int2:type="style"/>
    </int2:bookmark>
    <int2:bookmark int2:bookmarkName="_Int_vwwJGAms" int2:invalidationBookmarkName="" int2:hashCode="xhKzW50/O76H3Z" int2:id="i2gED4dl">
      <int2:state int2:value="Rejected" int2:type="style"/>
    </int2:bookmark>
    <int2:bookmark int2:bookmarkName="_Int_uP4K5Eka" int2:invalidationBookmarkName="" int2:hashCode="abv8hEK+50SKSI" int2:id="iWpX4q86">
      <int2:state int2:value="Rejected" int2:type="style"/>
    </int2:bookmark>
    <int2:bookmark int2:bookmarkName="_Int_TBSk5i28" int2:invalidationBookmarkName="" int2:hashCode="43K/JlIt1QZTyM" int2:id="idSSL6xf">
      <int2:state int2:value="Rejected" int2:type="style"/>
    </int2:bookmark>
    <int2:bookmark int2:bookmarkName="_Int_6PeLNyFd" int2:invalidationBookmarkName="" int2:hashCode="B18a8kjeRQN7vy" int2:id="j2rN1yX5">
      <int2:state int2:value="Rejected" int2:type="style"/>
    </int2:bookmark>
    <int2:bookmark int2:bookmarkName="_Int_hhAD67KT" int2:invalidationBookmarkName="" int2:hashCode="m/D4/19di8v/ud" int2:id="lpuTSvxV">
      <int2:state int2:value="Rejected" int2:type="style"/>
    </int2:bookmark>
    <int2:bookmark int2:bookmarkName="_Int_pV898M3l" int2:invalidationBookmarkName="" int2:hashCode="m/D4/19di8v/ud" int2:id="nDgeJVwN">
      <int2:state int2:value="Rejected" int2:type="style"/>
    </int2:bookmark>
    <int2:bookmark int2:bookmarkName="_Int_hWA9CMdU" int2:invalidationBookmarkName="" int2:hashCode="2i9M6eDcqD4Mt6" int2:id="nSB5EQDp">
      <int2:state int2:value="Rejected" int2:type="style"/>
    </int2:bookmark>
    <int2:bookmark int2:bookmarkName="_Int_D5losiSD" int2:invalidationBookmarkName="" int2:hashCode="xhKzW50/O76H3Z" int2:id="nwaonW2X">
      <int2:state int2:value="Rejected" int2:type="style"/>
    </int2:bookmark>
    <int2:bookmark int2:bookmarkName="_Int_qydKeNwX" int2:invalidationBookmarkName="" int2:hashCode="IkbHvcW4A7IHo6" int2:id="oC2OcRX5">
      <int2:state int2:value="Rejected" int2:type="style"/>
    </int2:bookmark>
    <int2:bookmark int2:bookmarkName="_Int_uhLP7CeH" int2:invalidationBookmarkName="" int2:hashCode="gclN/B5M4iBkHk" int2:id="qnix4cRG">
      <int2:state int2:value="Rejected" int2:type="style"/>
    </int2:bookmark>
    <int2:bookmark int2:bookmarkName="_Int_ECFs7eMC" int2:invalidationBookmarkName="" int2:hashCode="v1+anaRfUIDswh" int2:id="uygpOqUe">
      <int2:state int2:value="Rejected" int2:type="style"/>
    </int2:bookmark>
    <int2:bookmark int2:bookmarkName="_Int_6Lw8RtNt" int2:invalidationBookmarkName="" int2:hashCode="xhKzW50/O76H3Z" int2:id="xjsQ9NgW">
      <int2:state int2:value="Rejected" int2:type="style"/>
    </int2:bookmark>
    <int2:bookmark int2:bookmarkName="_Int_SOtBIVGA" int2:invalidationBookmarkName="" int2:hashCode="7Z1P9njDL/gjNQ" int2:id="y1edCLrd">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B9A334B"/>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15:restartNumberingAfterBreak="0">
    <w:nsid w:val="1272513F"/>
    <w:multiLevelType w:val="hybridMultilevel"/>
    <w:tmpl w:val="23CCC0BA"/>
    <w:lvl w:ilvl="0" w:tplc="FFFFFFFF">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74397710">
    <w:abstractNumId w:val="5"/>
  </w:num>
  <w:num w:numId="2" w16cid:durableId="1191988868">
    <w:abstractNumId w:val="3"/>
  </w:num>
  <w:num w:numId="3" w16cid:durableId="1376084288">
    <w:abstractNumId w:val="7"/>
  </w:num>
  <w:num w:numId="4" w16cid:durableId="1492604352">
    <w:abstractNumId w:val="8"/>
  </w:num>
  <w:num w:numId="5" w16cid:durableId="1769816021">
    <w:abstractNumId w:val="6"/>
  </w:num>
  <w:num w:numId="6" w16cid:durableId="1908999323">
    <w:abstractNumId w:val="0"/>
  </w:num>
  <w:num w:numId="7" w16cid:durableId="1990747504">
    <w:abstractNumId w:val="4"/>
  </w:num>
  <w:num w:numId="8" w16cid:durableId="2063363027">
    <w:abstractNumId w:val="1"/>
  </w:num>
  <w:num w:numId="9" w16cid:durableId="99764346">
    <w:abstractNumId w:val="2"/>
  </w:num>
  <w:num w:numId="10" w16cid:durableId="238835501">
    <w:abstractNumId w:val="9"/>
  </w:num>
  <w:num w:numId="11" w16cid:durableId="63340679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0986"/>
    <w:rsid w:val="000012F4"/>
    <w:rsid w:val="0000448B"/>
    <w:rsid w:val="00004D21"/>
    <w:rsid w:val="00007383"/>
    <w:rsid w:val="000079C2"/>
    <w:rsid w:val="00010B93"/>
    <w:rsid w:val="000114C2"/>
    <w:rsid w:val="00011CD0"/>
    <w:rsid w:val="000127C5"/>
    <w:rsid w:val="00013B4D"/>
    <w:rsid w:val="00013B6C"/>
    <w:rsid w:val="00014083"/>
    <w:rsid w:val="00014265"/>
    <w:rsid w:val="00014CA6"/>
    <w:rsid w:val="000163A8"/>
    <w:rsid w:val="000168BF"/>
    <w:rsid w:val="000174F0"/>
    <w:rsid w:val="00020887"/>
    <w:rsid w:val="000229BA"/>
    <w:rsid w:val="0002351D"/>
    <w:rsid w:val="00026BB0"/>
    <w:rsid w:val="00026CCC"/>
    <w:rsid w:val="000335C5"/>
    <w:rsid w:val="000341D1"/>
    <w:rsid w:val="00034616"/>
    <w:rsid w:val="000346E2"/>
    <w:rsid w:val="00035055"/>
    <w:rsid w:val="000359F4"/>
    <w:rsid w:val="000368DE"/>
    <w:rsid w:val="00036E33"/>
    <w:rsid w:val="00041A90"/>
    <w:rsid w:val="0004336A"/>
    <w:rsid w:val="00043C02"/>
    <w:rsid w:val="00045AEB"/>
    <w:rsid w:val="0004703F"/>
    <w:rsid w:val="00052453"/>
    <w:rsid w:val="00053189"/>
    <w:rsid w:val="000567F6"/>
    <w:rsid w:val="00057901"/>
    <w:rsid w:val="0006063C"/>
    <w:rsid w:val="00061347"/>
    <w:rsid w:val="000620D3"/>
    <w:rsid w:val="000634D5"/>
    <w:rsid w:val="000655C2"/>
    <w:rsid w:val="00065D63"/>
    <w:rsid w:val="00066715"/>
    <w:rsid w:val="00066ABB"/>
    <w:rsid w:val="0007509C"/>
    <w:rsid w:val="00077880"/>
    <w:rsid w:val="00080EC3"/>
    <w:rsid w:val="0008143C"/>
    <w:rsid w:val="000821FF"/>
    <w:rsid w:val="000877E3"/>
    <w:rsid w:val="00092E0B"/>
    <w:rsid w:val="00094F54"/>
    <w:rsid w:val="00097803"/>
    <w:rsid w:val="000A0841"/>
    <w:rsid w:val="000A13CF"/>
    <w:rsid w:val="000A4159"/>
    <w:rsid w:val="000B1EC2"/>
    <w:rsid w:val="000B3AC8"/>
    <w:rsid w:val="000B49C8"/>
    <w:rsid w:val="000B5883"/>
    <w:rsid w:val="000B6F55"/>
    <w:rsid w:val="000B75F1"/>
    <w:rsid w:val="000C07B6"/>
    <w:rsid w:val="000C0D49"/>
    <w:rsid w:val="000C28C6"/>
    <w:rsid w:val="000C656A"/>
    <w:rsid w:val="000D007A"/>
    <w:rsid w:val="000D0C3B"/>
    <w:rsid w:val="000D0F47"/>
    <w:rsid w:val="000D1452"/>
    <w:rsid w:val="000D168E"/>
    <w:rsid w:val="000E04D8"/>
    <w:rsid w:val="000E103A"/>
    <w:rsid w:val="000E4FA1"/>
    <w:rsid w:val="000E61C6"/>
    <w:rsid w:val="000E65DD"/>
    <w:rsid w:val="000F069E"/>
    <w:rsid w:val="000F66C4"/>
    <w:rsid w:val="000F78DD"/>
    <w:rsid w:val="00100BCC"/>
    <w:rsid w:val="00100FD0"/>
    <w:rsid w:val="00101231"/>
    <w:rsid w:val="001042C5"/>
    <w:rsid w:val="00105D9C"/>
    <w:rsid w:val="001076F2"/>
    <w:rsid w:val="001118D3"/>
    <w:rsid w:val="00112013"/>
    <w:rsid w:val="00113189"/>
    <w:rsid w:val="00116FF3"/>
    <w:rsid w:val="00122F01"/>
    <w:rsid w:val="00124BAC"/>
    <w:rsid w:val="00126AC1"/>
    <w:rsid w:val="00127ACA"/>
    <w:rsid w:val="001310CE"/>
    <w:rsid w:val="0013194F"/>
    <w:rsid w:val="00132665"/>
    <w:rsid w:val="00135051"/>
    <w:rsid w:val="00135E96"/>
    <w:rsid w:val="00141D25"/>
    <w:rsid w:val="001435CE"/>
    <w:rsid w:val="00143EEE"/>
    <w:rsid w:val="0015074B"/>
    <w:rsid w:val="00150C88"/>
    <w:rsid w:val="001518B0"/>
    <w:rsid w:val="00151E99"/>
    <w:rsid w:val="00152695"/>
    <w:rsid w:val="00152A59"/>
    <w:rsid w:val="001652D6"/>
    <w:rsid w:val="00167590"/>
    <w:rsid w:val="00172049"/>
    <w:rsid w:val="001722D5"/>
    <w:rsid w:val="001735CE"/>
    <w:rsid w:val="00173A1E"/>
    <w:rsid w:val="00174DF8"/>
    <w:rsid w:val="00175278"/>
    <w:rsid w:val="00175315"/>
    <w:rsid w:val="001804B4"/>
    <w:rsid w:val="001816B7"/>
    <w:rsid w:val="00181F6E"/>
    <w:rsid w:val="00182B8D"/>
    <w:rsid w:val="00182CCD"/>
    <w:rsid w:val="001834D7"/>
    <w:rsid w:val="00183A1F"/>
    <w:rsid w:val="00184253"/>
    <w:rsid w:val="001844CF"/>
    <w:rsid w:val="00186799"/>
    <w:rsid w:val="00187FAC"/>
    <w:rsid w:val="00191E62"/>
    <w:rsid w:val="00193E7A"/>
    <w:rsid w:val="00195724"/>
    <w:rsid w:val="001A09C6"/>
    <w:rsid w:val="001A527A"/>
    <w:rsid w:val="001A69D3"/>
    <w:rsid w:val="001B0E1C"/>
    <w:rsid w:val="001B3012"/>
    <w:rsid w:val="001B3400"/>
    <w:rsid w:val="001B3D29"/>
    <w:rsid w:val="001B47B7"/>
    <w:rsid w:val="001B6070"/>
    <w:rsid w:val="001C020F"/>
    <w:rsid w:val="001C1652"/>
    <w:rsid w:val="001C2CB2"/>
    <w:rsid w:val="001C3752"/>
    <w:rsid w:val="001C3AC9"/>
    <w:rsid w:val="001C6420"/>
    <w:rsid w:val="001C6897"/>
    <w:rsid w:val="001D11BF"/>
    <w:rsid w:val="001D2907"/>
    <w:rsid w:val="001D470B"/>
    <w:rsid w:val="001D4FD4"/>
    <w:rsid w:val="001D51A7"/>
    <w:rsid w:val="001E25EF"/>
    <w:rsid w:val="001E65D5"/>
    <w:rsid w:val="001E7BE1"/>
    <w:rsid w:val="001F3F0F"/>
    <w:rsid w:val="001F4429"/>
    <w:rsid w:val="001F46D4"/>
    <w:rsid w:val="001F4D40"/>
    <w:rsid w:val="001F645F"/>
    <w:rsid w:val="001F66C1"/>
    <w:rsid w:val="001F7928"/>
    <w:rsid w:val="00200CF7"/>
    <w:rsid w:val="00201A63"/>
    <w:rsid w:val="002023F5"/>
    <w:rsid w:val="00205452"/>
    <w:rsid w:val="0020562C"/>
    <w:rsid w:val="00210615"/>
    <w:rsid w:val="0021235A"/>
    <w:rsid w:val="0021321F"/>
    <w:rsid w:val="00217E36"/>
    <w:rsid w:val="0022493B"/>
    <w:rsid w:val="002273B9"/>
    <w:rsid w:val="00230165"/>
    <w:rsid w:val="002357DD"/>
    <w:rsid w:val="00236228"/>
    <w:rsid w:val="00236537"/>
    <w:rsid w:val="00236FA5"/>
    <w:rsid w:val="00240B4D"/>
    <w:rsid w:val="002412CD"/>
    <w:rsid w:val="002416E2"/>
    <w:rsid w:val="00242C5E"/>
    <w:rsid w:val="002477B0"/>
    <w:rsid w:val="002513AF"/>
    <w:rsid w:val="00251646"/>
    <w:rsid w:val="00252313"/>
    <w:rsid w:val="002567F3"/>
    <w:rsid w:val="00260332"/>
    <w:rsid w:val="00260451"/>
    <w:rsid w:val="00263A8A"/>
    <w:rsid w:val="00267A49"/>
    <w:rsid w:val="00274387"/>
    <w:rsid w:val="00274971"/>
    <w:rsid w:val="002751EA"/>
    <w:rsid w:val="00276813"/>
    <w:rsid w:val="00280ADC"/>
    <w:rsid w:val="00281BCE"/>
    <w:rsid w:val="002831A7"/>
    <w:rsid w:val="002832F6"/>
    <w:rsid w:val="00285CB3"/>
    <w:rsid w:val="00286300"/>
    <w:rsid w:val="00286DAA"/>
    <w:rsid w:val="002903BE"/>
    <w:rsid w:val="00290A31"/>
    <w:rsid w:val="0029478B"/>
    <w:rsid w:val="0029639D"/>
    <w:rsid w:val="00297495"/>
    <w:rsid w:val="00297A06"/>
    <w:rsid w:val="002A10BE"/>
    <w:rsid w:val="002A251E"/>
    <w:rsid w:val="002A32B0"/>
    <w:rsid w:val="002A3C80"/>
    <w:rsid w:val="002A3FAE"/>
    <w:rsid w:val="002A62D0"/>
    <w:rsid w:val="002A65CD"/>
    <w:rsid w:val="002A7CF4"/>
    <w:rsid w:val="002A7DCD"/>
    <w:rsid w:val="002B1858"/>
    <w:rsid w:val="002B1B83"/>
    <w:rsid w:val="002B21D4"/>
    <w:rsid w:val="002B2424"/>
    <w:rsid w:val="002B26FF"/>
    <w:rsid w:val="002B2884"/>
    <w:rsid w:val="002B54C0"/>
    <w:rsid w:val="002B5E8F"/>
    <w:rsid w:val="002B6F12"/>
    <w:rsid w:val="002B75A9"/>
    <w:rsid w:val="002C0613"/>
    <w:rsid w:val="002C6B42"/>
    <w:rsid w:val="002C732B"/>
    <w:rsid w:val="002D3634"/>
    <w:rsid w:val="002D5152"/>
    <w:rsid w:val="002D522A"/>
    <w:rsid w:val="002E0969"/>
    <w:rsid w:val="002E1911"/>
    <w:rsid w:val="002E2369"/>
    <w:rsid w:val="002E2839"/>
    <w:rsid w:val="002E3339"/>
    <w:rsid w:val="002E4230"/>
    <w:rsid w:val="002E460A"/>
    <w:rsid w:val="002E4B36"/>
    <w:rsid w:val="002E5261"/>
    <w:rsid w:val="002E5F7E"/>
    <w:rsid w:val="002E6F7A"/>
    <w:rsid w:val="002E7539"/>
    <w:rsid w:val="002F04DC"/>
    <w:rsid w:val="002F0604"/>
    <w:rsid w:val="002F0BA1"/>
    <w:rsid w:val="002F2813"/>
    <w:rsid w:val="003017BD"/>
    <w:rsid w:val="0030229D"/>
    <w:rsid w:val="00302C20"/>
    <w:rsid w:val="003033C5"/>
    <w:rsid w:val="00303770"/>
    <w:rsid w:val="00304E1B"/>
    <w:rsid w:val="00306C0F"/>
    <w:rsid w:val="00307310"/>
    <w:rsid w:val="0031080D"/>
    <w:rsid w:val="00311995"/>
    <w:rsid w:val="00313C0F"/>
    <w:rsid w:val="00321218"/>
    <w:rsid w:val="003228FF"/>
    <w:rsid w:val="00323C00"/>
    <w:rsid w:val="00325ECE"/>
    <w:rsid w:val="00326F90"/>
    <w:rsid w:val="00330783"/>
    <w:rsid w:val="003308A7"/>
    <w:rsid w:val="003314CC"/>
    <w:rsid w:val="003332BD"/>
    <w:rsid w:val="00333E28"/>
    <w:rsid w:val="00334015"/>
    <w:rsid w:val="00335146"/>
    <w:rsid w:val="00336123"/>
    <w:rsid w:val="0033647D"/>
    <w:rsid w:val="00336516"/>
    <w:rsid w:val="00340A17"/>
    <w:rsid w:val="00343B0C"/>
    <w:rsid w:val="00344547"/>
    <w:rsid w:val="00350779"/>
    <w:rsid w:val="00351E24"/>
    <w:rsid w:val="003536CB"/>
    <w:rsid w:val="00354823"/>
    <w:rsid w:val="0035688E"/>
    <w:rsid w:val="00356C57"/>
    <w:rsid w:val="003572D0"/>
    <w:rsid w:val="00357A0E"/>
    <w:rsid w:val="003610D2"/>
    <w:rsid w:val="003620A3"/>
    <w:rsid w:val="00362250"/>
    <w:rsid w:val="0036398D"/>
    <w:rsid w:val="00364512"/>
    <w:rsid w:val="003645DC"/>
    <w:rsid w:val="003646DF"/>
    <w:rsid w:val="003650F8"/>
    <w:rsid w:val="003701A2"/>
    <w:rsid w:val="003716EB"/>
    <w:rsid w:val="00371D2A"/>
    <w:rsid w:val="0037348B"/>
    <w:rsid w:val="00373B32"/>
    <w:rsid w:val="0037529B"/>
    <w:rsid w:val="00375FCE"/>
    <w:rsid w:val="00377B64"/>
    <w:rsid w:val="00377E29"/>
    <w:rsid w:val="00384408"/>
    <w:rsid w:val="00386163"/>
    <w:rsid w:val="003867B0"/>
    <w:rsid w:val="00386A21"/>
    <w:rsid w:val="00391EB3"/>
    <w:rsid w:val="003948DF"/>
    <w:rsid w:val="0039490D"/>
    <w:rsid w:val="00396213"/>
    <w:rsid w:val="003965E4"/>
    <w:rsid w:val="00397040"/>
    <w:rsid w:val="00397B2D"/>
    <w:rsid w:val="003A2BFB"/>
    <w:rsid w:val="003A3314"/>
    <w:rsid w:val="003A41C9"/>
    <w:rsid w:val="003A430C"/>
    <w:rsid w:val="003A7AEA"/>
    <w:rsid w:val="003B0DED"/>
    <w:rsid w:val="003B0F91"/>
    <w:rsid w:val="003B3E42"/>
    <w:rsid w:val="003B4555"/>
    <w:rsid w:val="003B4DC7"/>
    <w:rsid w:val="003B5455"/>
    <w:rsid w:val="003B6255"/>
    <w:rsid w:val="003C15F8"/>
    <w:rsid w:val="003C29C2"/>
    <w:rsid w:val="003C35C3"/>
    <w:rsid w:val="003C4507"/>
    <w:rsid w:val="003C7FCD"/>
    <w:rsid w:val="003D0D42"/>
    <w:rsid w:val="003D0FD1"/>
    <w:rsid w:val="003D201E"/>
    <w:rsid w:val="003D3662"/>
    <w:rsid w:val="003D3BFB"/>
    <w:rsid w:val="003D4BE9"/>
    <w:rsid w:val="003D5257"/>
    <w:rsid w:val="003D7435"/>
    <w:rsid w:val="003D7ED8"/>
    <w:rsid w:val="003E122C"/>
    <w:rsid w:val="003E3BDF"/>
    <w:rsid w:val="003E41BD"/>
    <w:rsid w:val="003F16C1"/>
    <w:rsid w:val="003F5E51"/>
    <w:rsid w:val="003F68B3"/>
    <w:rsid w:val="00401182"/>
    <w:rsid w:val="0040235D"/>
    <w:rsid w:val="0040401B"/>
    <w:rsid w:val="004047ED"/>
    <w:rsid w:val="00407B9D"/>
    <w:rsid w:val="004105AD"/>
    <w:rsid w:val="00410C2A"/>
    <w:rsid w:val="00411194"/>
    <w:rsid w:val="004115F6"/>
    <w:rsid w:val="00413062"/>
    <w:rsid w:val="00415EA4"/>
    <w:rsid w:val="004160E8"/>
    <w:rsid w:val="00417A59"/>
    <w:rsid w:val="00423598"/>
    <w:rsid w:val="00423F11"/>
    <w:rsid w:val="00433243"/>
    <w:rsid w:val="00433E9D"/>
    <w:rsid w:val="00433EDF"/>
    <w:rsid w:val="00434211"/>
    <w:rsid w:val="00434A4A"/>
    <w:rsid w:val="004366A5"/>
    <w:rsid w:val="004367FE"/>
    <w:rsid w:val="00440B19"/>
    <w:rsid w:val="004438B6"/>
    <w:rsid w:val="00445E5A"/>
    <w:rsid w:val="00446408"/>
    <w:rsid w:val="004533E2"/>
    <w:rsid w:val="004541E8"/>
    <w:rsid w:val="004565F2"/>
    <w:rsid w:val="00456FD3"/>
    <w:rsid w:val="00457E61"/>
    <w:rsid w:val="004600C4"/>
    <w:rsid w:val="00460774"/>
    <w:rsid w:val="00461339"/>
    <w:rsid w:val="0046248C"/>
    <w:rsid w:val="00462B0F"/>
    <w:rsid w:val="0046301A"/>
    <w:rsid w:val="00464ECD"/>
    <w:rsid w:val="004661C3"/>
    <w:rsid w:val="0046631B"/>
    <w:rsid w:val="00472181"/>
    <w:rsid w:val="0047249E"/>
    <w:rsid w:val="00472AA1"/>
    <w:rsid w:val="00473D93"/>
    <w:rsid w:val="0047433A"/>
    <w:rsid w:val="004766BB"/>
    <w:rsid w:val="00481A9D"/>
    <w:rsid w:val="00483092"/>
    <w:rsid w:val="004831B1"/>
    <w:rsid w:val="0048415C"/>
    <w:rsid w:val="004843E3"/>
    <w:rsid w:val="004867A6"/>
    <w:rsid w:val="004877E9"/>
    <w:rsid w:val="00487B19"/>
    <w:rsid w:val="00490324"/>
    <w:rsid w:val="00492645"/>
    <w:rsid w:val="00492CF2"/>
    <w:rsid w:val="0049351D"/>
    <w:rsid w:val="00493E6E"/>
    <w:rsid w:val="0049585D"/>
    <w:rsid w:val="0049643D"/>
    <w:rsid w:val="00497323"/>
    <w:rsid w:val="004A2EEA"/>
    <w:rsid w:val="004A5010"/>
    <w:rsid w:val="004A769C"/>
    <w:rsid w:val="004B0C1F"/>
    <w:rsid w:val="004B0E54"/>
    <w:rsid w:val="004B2603"/>
    <w:rsid w:val="004B468D"/>
    <w:rsid w:val="004B59DA"/>
    <w:rsid w:val="004B7EAB"/>
    <w:rsid w:val="004C1987"/>
    <w:rsid w:val="004C3A05"/>
    <w:rsid w:val="004C45E5"/>
    <w:rsid w:val="004C4E3F"/>
    <w:rsid w:val="004C5979"/>
    <w:rsid w:val="004D0313"/>
    <w:rsid w:val="004D16EA"/>
    <w:rsid w:val="004D215F"/>
    <w:rsid w:val="004D4044"/>
    <w:rsid w:val="004D5306"/>
    <w:rsid w:val="004D648B"/>
    <w:rsid w:val="004E1D5D"/>
    <w:rsid w:val="004E1E7D"/>
    <w:rsid w:val="004E253D"/>
    <w:rsid w:val="004E2C32"/>
    <w:rsid w:val="004E3656"/>
    <w:rsid w:val="004E494B"/>
    <w:rsid w:val="004E548C"/>
    <w:rsid w:val="004E64A9"/>
    <w:rsid w:val="004F0A5E"/>
    <w:rsid w:val="004F0C46"/>
    <w:rsid w:val="004F2AA4"/>
    <w:rsid w:val="004F45FD"/>
    <w:rsid w:val="004F53E9"/>
    <w:rsid w:val="004F621C"/>
    <w:rsid w:val="004F702F"/>
    <w:rsid w:val="004F7865"/>
    <w:rsid w:val="00501462"/>
    <w:rsid w:val="005016F9"/>
    <w:rsid w:val="0050393B"/>
    <w:rsid w:val="00503CB5"/>
    <w:rsid w:val="005044AD"/>
    <w:rsid w:val="00504F44"/>
    <w:rsid w:val="005070CD"/>
    <w:rsid w:val="0050742A"/>
    <w:rsid w:val="00511732"/>
    <w:rsid w:val="00513935"/>
    <w:rsid w:val="0051566E"/>
    <w:rsid w:val="00517B7F"/>
    <w:rsid w:val="00522C08"/>
    <w:rsid w:val="00522D72"/>
    <w:rsid w:val="0052310E"/>
    <w:rsid w:val="005231D5"/>
    <w:rsid w:val="0052442E"/>
    <w:rsid w:val="00525C87"/>
    <w:rsid w:val="00527E04"/>
    <w:rsid w:val="005325A6"/>
    <w:rsid w:val="00535130"/>
    <w:rsid w:val="005351DB"/>
    <w:rsid w:val="005371C9"/>
    <w:rsid w:val="00537EC4"/>
    <w:rsid w:val="0054009A"/>
    <w:rsid w:val="00540C72"/>
    <w:rsid w:val="005410CF"/>
    <w:rsid w:val="005419CE"/>
    <w:rsid w:val="00542922"/>
    <w:rsid w:val="005445E6"/>
    <w:rsid w:val="00544A2C"/>
    <w:rsid w:val="00546FAB"/>
    <w:rsid w:val="005535D1"/>
    <w:rsid w:val="00554BEF"/>
    <w:rsid w:val="005605F0"/>
    <w:rsid w:val="005642CB"/>
    <w:rsid w:val="00564BB8"/>
    <w:rsid w:val="005659D6"/>
    <w:rsid w:val="005678E9"/>
    <w:rsid w:val="00567E38"/>
    <w:rsid w:val="0057111C"/>
    <w:rsid w:val="0057201D"/>
    <w:rsid w:val="00572646"/>
    <w:rsid w:val="00572C5F"/>
    <w:rsid w:val="00572E41"/>
    <w:rsid w:val="00574C5E"/>
    <w:rsid w:val="00575F63"/>
    <w:rsid w:val="00577FF3"/>
    <w:rsid w:val="0058243D"/>
    <w:rsid w:val="005839F6"/>
    <w:rsid w:val="00586E81"/>
    <w:rsid w:val="005908C4"/>
    <w:rsid w:val="00595339"/>
    <w:rsid w:val="005A052B"/>
    <w:rsid w:val="005A091C"/>
    <w:rsid w:val="005A354A"/>
    <w:rsid w:val="005A4230"/>
    <w:rsid w:val="005A646A"/>
    <w:rsid w:val="005A77D7"/>
    <w:rsid w:val="005B0CD7"/>
    <w:rsid w:val="005B33BC"/>
    <w:rsid w:val="005B5997"/>
    <w:rsid w:val="005B701D"/>
    <w:rsid w:val="005C0E1F"/>
    <w:rsid w:val="005C214C"/>
    <w:rsid w:val="005C3B70"/>
    <w:rsid w:val="005C4378"/>
    <w:rsid w:val="005C5EBA"/>
    <w:rsid w:val="005C6902"/>
    <w:rsid w:val="005C6961"/>
    <w:rsid w:val="005D043E"/>
    <w:rsid w:val="005D26EE"/>
    <w:rsid w:val="005D276E"/>
    <w:rsid w:val="005D2993"/>
    <w:rsid w:val="005E0897"/>
    <w:rsid w:val="005E1E16"/>
    <w:rsid w:val="005E3651"/>
    <w:rsid w:val="005E3C1E"/>
    <w:rsid w:val="005F04FE"/>
    <w:rsid w:val="005F10DD"/>
    <w:rsid w:val="005F1A9B"/>
    <w:rsid w:val="005F26E5"/>
    <w:rsid w:val="005F3104"/>
    <w:rsid w:val="005F4EA1"/>
    <w:rsid w:val="005F73E2"/>
    <w:rsid w:val="005F76D3"/>
    <w:rsid w:val="006006A7"/>
    <w:rsid w:val="00600B09"/>
    <w:rsid w:val="00600D65"/>
    <w:rsid w:val="00604D5F"/>
    <w:rsid w:val="00606856"/>
    <w:rsid w:val="00606D77"/>
    <w:rsid w:val="00614E5E"/>
    <w:rsid w:val="00616CFB"/>
    <w:rsid w:val="00620629"/>
    <w:rsid w:val="00622934"/>
    <w:rsid w:val="0062350F"/>
    <w:rsid w:val="0062378A"/>
    <w:rsid w:val="0062475B"/>
    <w:rsid w:val="0062484D"/>
    <w:rsid w:val="006249D8"/>
    <w:rsid w:val="006264E5"/>
    <w:rsid w:val="006266EE"/>
    <w:rsid w:val="00630655"/>
    <w:rsid w:val="00632BBE"/>
    <w:rsid w:val="006339F5"/>
    <w:rsid w:val="006358F8"/>
    <w:rsid w:val="0064013C"/>
    <w:rsid w:val="006421AB"/>
    <w:rsid w:val="00645C8C"/>
    <w:rsid w:val="006469C3"/>
    <w:rsid w:val="00646B14"/>
    <w:rsid w:val="0064729D"/>
    <w:rsid w:val="00647FFC"/>
    <w:rsid w:val="0065007A"/>
    <w:rsid w:val="00650A87"/>
    <w:rsid w:val="006555EA"/>
    <w:rsid w:val="0065656B"/>
    <w:rsid w:val="00656C8B"/>
    <w:rsid w:val="00657882"/>
    <w:rsid w:val="00661616"/>
    <w:rsid w:val="00662055"/>
    <w:rsid w:val="006621B1"/>
    <w:rsid w:val="00662399"/>
    <w:rsid w:val="006625ED"/>
    <w:rsid w:val="006629E4"/>
    <w:rsid w:val="00663A20"/>
    <w:rsid w:val="00663A9F"/>
    <w:rsid w:val="00664530"/>
    <w:rsid w:val="00667BE9"/>
    <w:rsid w:val="00671AD1"/>
    <w:rsid w:val="00672D27"/>
    <w:rsid w:val="006759B1"/>
    <w:rsid w:val="006761B6"/>
    <w:rsid w:val="00677582"/>
    <w:rsid w:val="00677A8E"/>
    <w:rsid w:val="00680859"/>
    <w:rsid w:val="00681AD4"/>
    <w:rsid w:val="00681B2D"/>
    <w:rsid w:val="006827F9"/>
    <w:rsid w:val="00685804"/>
    <w:rsid w:val="00685D14"/>
    <w:rsid w:val="00687625"/>
    <w:rsid w:val="00687716"/>
    <w:rsid w:val="0069508F"/>
    <w:rsid w:val="006A002E"/>
    <w:rsid w:val="006A1386"/>
    <w:rsid w:val="006A339E"/>
    <w:rsid w:val="006A49C0"/>
    <w:rsid w:val="006A673E"/>
    <w:rsid w:val="006A71C6"/>
    <w:rsid w:val="006B0406"/>
    <w:rsid w:val="006B0CBC"/>
    <w:rsid w:val="006B12AF"/>
    <w:rsid w:val="006B3D23"/>
    <w:rsid w:val="006B573C"/>
    <w:rsid w:val="006B5A6C"/>
    <w:rsid w:val="006C1C47"/>
    <w:rsid w:val="006C43EC"/>
    <w:rsid w:val="006C6064"/>
    <w:rsid w:val="006C6E90"/>
    <w:rsid w:val="006C7F70"/>
    <w:rsid w:val="006D0088"/>
    <w:rsid w:val="006D0490"/>
    <w:rsid w:val="006D26C6"/>
    <w:rsid w:val="006D4764"/>
    <w:rsid w:val="006D5C85"/>
    <w:rsid w:val="006D681B"/>
    <w:rsid w:val="006D769F"/>
    <w:rsid w:val="006E22EF"/>
    <w:rsid w:val="006E282B"/>
    <w:rsid w:val="006E5CC0"/>
    <w:rsid w:val="006E6206"/>
    <w:rsid w:val="006E6E6D"/>
    <w:rsid w:val="006F2283"/>
    <w:rsid w:val="006F2699"/>
    <w:rsid w:val="006F5AFA"/>
    <w:rsid w:val="0070047D"/>
    <w:rsid w:val="0070059B"/>
    <w:rsid w:val="00700C38"/>
    <w:rsid w:val="00701B84"/>
    <w:rsid w:val="00701CE6"/>
    <w:rsid w:val="007041EE"/>
    <w:rsid w:val="0070468C"/>
    <w:rsid w:val="0070574E"/>
    <w:rsid w:val="00707C97"/>
    <w:rsid w:val="007130AA"/>
    <w:rsid w:val="00713AD1"/>
    <w:rsid w:val="0071464A"/>
    <w:rsid w:val="00714FA4"/>
    <w:rsid w:val="007168BA"/>
    <w:rsid w:val="00716900"/>
    <w:rsid w:val="00716D85"/>
    <w:rsid w:val="0072392A"/>
    <w:rsid w:val="007249A5"/>
    <w:rsid w:val="00726D5A"/>
    <w:rsid w:val="00730CE6"/>
    <w:rsid w:val="00736026"/>
    <w:rsid w:val="00737004"/>
    <w:rsid w:val="0073745C"/>
    <w:rsid w:val="00737B31"/>
    <w:rsid w:val="007409E1"/>
    <w:rsid w:val="00745B8D"/>
    <w:rsid w:val="007535D7"/>
    <w:rsid w:val="00754772"/>
    <w:rsid w:val="00755533"/>
    <w:rsid w:val="0075576D"/>
    <w:rsid w:val="00757A1F"/>
    <w:rsid w:val="00760698"/>
    <w:rsid w:val="00760832"/>
    <w:rsid w:val="0076512C"/>
    <w:rsid w:val="00766575"/>
    <w:rsid w:val="0076768C"/>
    <w:rsid w:val="0077196F"/>
    <w:rsid w:val="00775EBD"/>
    <w:rsid w:val="007767D1"/>
    <w:rsid w:val="00776CEA"/>
    <w:rsid w:val="007773B5"/>
    <w:rsid w:val="0078077A"/>
    <w:rsid w:val="0078118C"/>
    <w:rsid w:val="007811FF"/>
    <w:rsid w:val="00783718"/>
    <w:rsid w:val="00792EF8"/>
    <w:rsid w:val="00793AA6"/>
    <w:rsid w:val="00797775"/>
    <w:rsid w:val="007A03E0"/>
    <w:rsid w:val="007A1022"/>
    <w:rsid w:val="007A2ABF"/>
    <w:rsid w:val="007A3ADF"/>
    <w:rsid w:val="007B037A"/>
    <w:rsid w:val="007B1A80"/>
    <w:rsid w:val="007B36B7"/>
    <w:rsid w:val="007B3809"/>
    <w:rsid w:val="007B4308"/>
    <w:rsid w:val="007C1C5A"/>
    <w:rsid w:val="007C1D3F"/>
    <w:rsid w:val="007C2383"/>
    <w:rsid w:val="007C2E98"/>
    <w:rsid w:val="007D0370"/>
    <w:rsid w:val="007D03F9"/>
    <w:rsid w:val="007D1B5A"/>
    <w:rsid w:val="007D42FF"/>
    <w:rsid w:val="007D4FC6"/>
    <w:rsid w:val="007D6508"/>
    <w:rsid w:val="007D694A"/>
    <w:rsid w:val="007D6EC3"/>
    <w:rsid w:val="007D7632"/>
    <w:rsid w:val="007E082A"/>
    <w:rsid w:val="007E08D8"/>
    <w:rsid w:val="007E1D86"/>
    <w:rsid w:val="007E20A9"/>
    <w:rsid w:val="007E4283"/>
    <w:rsid w:val="007E4C54"/>
    <w:rsid w:val="007E5881"/>
    <w:rsid w:val="007E7A35"/>
    <w:rsid w:val="007F4329"/>
    <w:rsid w:val="007F4634"/>
    <w:rsid w:val="007F4F6F"/>
    <w:rsid w:val="007F7225"/>
    <w:rsid w:val="007F7809"/>
    <w:rsid w:val="00801AF3"/>
    <w:rsid w:val="00801B5B"/>
    <w:rsid w:val="0080295C"/>
    <w:rsid w:val="008121B5"/>
    <w:rsid w:val="00812D61"/>
    <w:rsid w:val="00812D6D"/>
    <w:rsid w:val="008166F2"/>
    <w:rsid w:val="0081784B"/>
    <w:rsid w:val="008226BE"/>
    <w:rsid w:val="008227F5"/>
    <w:rsid w:val="00822B10"/>
    <w:rsid w:val="008232F3"/>
    <w:rsid w:val="0082345A"/>
    <w:rsid w:val="008252CC"/>
    <w:rsid w:val="00830212"/>
    <w:rsid w:val="00830920"/>
    <w:rsid w:val="00830F28"/>
    <w:rsid w:val="00832F65"/>
    <w:rsid w:val="00833F60"/>
    <w:rsid w:val="00835687"/>
    <w:rsid w:val="00840DBB"/>
    <w:rsid w:val="00841AB7"/>
    <w:rsid w:val="00841CED"/>
    <w:rsid w:val="00846C2A"/>
    <w:rsid w:val="008501F8"/>
    <w:rsid w:val="0085020E"/>
    <w:rsid w:val="00850D47"/>
    <w:rsid w:val="008530A7"/>
    <w:rsid w:val="00857C84"/>
    <w:rsid w:val="00860E2F"/>
    <w:rsid w:val="00870616"/>
    <w:rsid w:val="00870638"/>
    <w:rsid w:val="00874B46"/>
    <w:rsid w:val="00874BBF"/>
    <w:rsid w:val="00874C97"/>
    <w:rsid w:val="00876DF7"/>
    <w:rsid w:val="00877AB4"/>
    <w:rsid w:val="00880A8E"/>
    <w:rsid w:val="00881DDC"/>
    <w:rsid w:val="0088283A"/>
    <w:rsid w:val="008828A5"/>
    <w:rsid w:val="00882EF0"/>
    <w:rsid w:val="00885CB9"/>
    <w:rsid w:val="00886FCB"/>
    <w:rsid w:val="0088721C"/>
    <w:rsid w:val="00887561"/>
    <w:rsid w:val="00887875"/>
    <w:rsid w:val="00891A1E"/>
    <w:rsid w:val="00892914"/>
    <w:rsid w:val="008946E2"/>
    <w:rsid w:val="00897EEA"/>
    <w:rsid w:val="008A0F55"/>
    <w:rsid w:val="008A2575"/>
    <w:rsid w:val="008A5AAD"/>
    <w:rsid w:val="008A6132"/>
    <w:rsid w:val="008A623D"/>
    <w:rsid w:val="008A7FF7"/>
    <w:rsid w:val="008B3CD8"/>
    <w:rsid w:val="008B5B76"/>
    <w:rsid w:val="008B6778"/>
    <w:rsid w:val="008B79AC"/>
    <w:rsid w:val="008C0364"/>
    <w:rsid w:val="008C3325"/>
    <w:rsid w:val="008C370C"/>
    <w:rsid w:val="008C3A2D"/>
    <w:rsid w:val="008C47B9"/>
    <w:rsid w:val="008C4C0B"/>
    <w:rsid w:val="008C5550"/>
    <w:rsid w:val="008D60E8"/>
    <w:rsid w:val="008E01D9"/>
    <w:rsid w:val="008E225C"/>
    <w:rsid w:val="008E2340"/>
    <w:rsid w:val="008E37A5"/>
    <w:rsid w:val="008E530B"/>
    <w:rsid w:val="008E66CC"/>
    <w:rsid w:val="008E7F30"/>
    <w:rsid w:val="008F138A"/>
    <w:rsid w:val="008F1E25"/>
    <w:rsid w:val="008F2554"/>
    <w:rsid w:val="008F3B4E"/>
    <w:rsid w:val="008F5F18"/>
    <w:rsid w:val="0090618D"/>
    <w:rsid w:val="0091111B"/>
    <w:rsid w:val="009117C7"/>
    <w:rsid w:val="009123C6"/>
    <w:rsid w:val="009149F6"/>
    <w:rsid w:val="00915B76"/>
    <w:rsid w:val="0091601E"/>
    <w:rsid w:val="00916B2F"/>
    <w:rsid w:val="0092078B"/>
    <w:rsid w:val="009223F6"/>
    <w:rsid w:val="0092332C"/>
    <w:rsid w:val="009233D7"/>
    <w:rsid w:val="00924B5B"/>
    <w:rsid w:val="009253A8"/>
    <w:rsid w:val="00927443"/>
    <w:rsid w:val="00927573"/>
    <w:rsid w:val="00930DF4"/>
    <w:rsid w:val="0093102F"/>
    <w:rsid w:val="00931946"/>
    <w:rsid w:val="00933B5F"/>
    <w:rsid w:val="00934689"/>
    <w:rsid w:val="00934B29"/>
    <w:rsid w:val="0093538D"/>
    <w:rsid w:val="00935C51"/>
    <w:rsid w:val="00936E56"/>
    <w:rsid w:val="009378AD"/>
    <w:rsid w:val="00940C26"/>
    <w:rsid w:val="00941293"/>
    <w:rsid w:val="0094191A"/>
    <w:rsid w:val="009419AE"/>
    <w:rsid w:val="0094210A"/>
    <w:rsid w:val="00942F64"/>
    <w:rsid w:val="009441E7"/>
    <w:rsid w:val="0094463D"/>
    <w:rsid w:val="009452CA"/>
    <w:rsid w:val="0094582A"/>
    <w:rsid w:val="00945CAA"/>
    <w:rsid w:val="009478D5"/>
    <w:rsid w:val="00953701"/>
    <w:rsid w:val="009543C2"/>
    <w:rsid w:val="00955DA4"/>
    <w:rsid w:val="009565A6"/>
    <w:rsid w:val="0095677C"/>
    <w:rsid w:val="00956B67"/>
    <w:rsid w:val="00960C3F"/>
    <w:rsid w:val="00963DCA"/>
    <w:rsid w:val="00972592"/>
    <w:rsid w:val="009733E8"/>
    <w:rsid w:val="009738C4"/>
    <w:rsid w:val="00974C00"/>
    <w:rsid w:val="009757A3"/>
    <w:rsid w:val="0098417B"/>
    <w:rsid w:val="009845E4"/>
    <w:rsid w:val="00985672"/>
    <w:rsid w:val="00986E2B"/>
    <w:rsid w:val="00987101"/>
    <w:rsid w:val="009974A7"/>
    <w:rsid w:val="009A0E0F"/>
    <w:rsid w:val="009A15FF"/>
    <w:rsid w:val="009A235D"/>
    <w:rsid w:val="009A60CF"/>
    <w:rsid w:val="009A6F54"/>
    <w:rsid w:val="009A7D71"/>
    <w:rsid w:val="009B2815"/>
    <w:rsid w:val="009B7D0D"/>
    <w:rsid w:val="009C333B"/>
    <w:rsid w:val="009C5F8F"/>
    <w:rsid w:val="009C653E"/>
    <w:rsid w:val="009C6D70"/>
    <w:rsid w:val="009D00D8"/>
    <w:rsid w:val="009D07DE"/>
    <w:rsid w:val="009D3499"/>
    <w:rsid w:val="009D5F24"/>
    <w:rsid w:val="009D77E6"/>
    <w:rsid w:val="009E17D0"/>
    <w:rsid w:val="009E63AF"/>
    <w:rsid w:val="009E7030"/>
    <w:rsid w:val="009E799F"/>
    <w:rsid w:val="009F0E10"/>
    <w:rsid w:val="009F1671"/>
    <w:rsid w:val="009F27D1"/>
    <w:rsid w:val="009F2EC6"/>
    <w:rsid w:val="009F4594"/>
    <w:rsid w:val="009F506F"/>
    <w:rsid w:val="009F50DB"/>
    <w:rsid w:val="009F524D"/>
    <w:rsid w:val="009F569A"/>
    <w:rsid w:val="009F66AB"/>
    <w:rsid w:val="009F6C97"/>
    <w:rsid w:val="00A00ED4"/>
    <w:rsid w:val="00A14ECF"/>
    <w:rsid w:val="00A21993"/>
    <w:rsid w:val="00A23D8E"/>
    <w:rsid w:val="00A26F99"/>
    <w:rsid w:val="00A27277"/>
    <w:rsid w:val="00A303A9"/>
    <w:rsid w:val="00A31111"/>
    <w:rsid w:val="00A312DD"/>
    <w:rsid w:val="00A34018"/>
    <w:rsid w:val="00A35512"/>
    <w:rsid w:val="00A36E4A"/>
    <w:rsid w:val="00A37235"/>
    <w:rsid w:val="00A43614"/>
    <w:rsid w:val="00A45658"/>
    <w:rsid w:val="00A5171C"/>
    <w:rsid w:val="00A51F06"/>
    <w:rsid w:val="00A51F18"/>
    <w:rsid w:val="00A533B3"/>
    <w:rsid w:val="00A55CBE"/>
    <w:rsid w:val="00A566AE"/>
    <w:rsid w:val="00A579FF"/>
    <w:rsid w:val="00A61D75"/>
    <w:rsid w:val="00A62FB0"/>
    <w:rsid w:val="00A644C1"/>
    <w:rsid w:val="00A64890"/>
    <w:rsid w:val="00A65DCC"/>
    <w:rsid w:val="00A660FC"/>
    <w:rsid w:val="00A675C4"/>
    <w:rsid w:val="00A701D6"/>
    <w:rsid w:val="00A70D52"/>
    <w:rsid w:val="00A71DDB"/>
    <w:rsid w:val="00A80098"/>
    <w:rsid w:val="00A8037D"/>
    <w:rsid w:val="00A807AF"/>
    <w:rsid w:val="00A829E0"/>
    <w:rsid w:val="00A837A5"/>
    <w:rsid w:val="00A849E3"/>
    <w:rsid w:val="00A84F2F"/>
    <w:rsid w:val="00A8625D"/>
    <w:rsid w:val="00A866FB"/>
    <w:rsid w:val="00A86C75"/>
    <w:rsid w:val="00A87811"/>
    <w:rsid w:val="00A943E6"/>
    <w:rsid w:val="00A949E8"/>
    <w:rsid w:val="00A96317"/>
    <w:rsid w:val="00A96BF1"/>
    <w:rsid w:val="00AA1431"/>
    <w:rsid w:val="00AA1D8D"/>
    <w:rsid w:val="00AA2651"/>
    <w:rsid w:val="00AA2A38"/>
    <w:rsid w:val="00AA7B8D"/>
    <w:rsid w:val="00AB0090"/>
    <w:rsid w:val="00AB0C63"/>
    <w:rsid w:val="00AB1417"/>
    <w:rsid w:val="00AB5359"/>
    <w:rsid w:val="00AB7CAB"/>
    <w:rsid w:val="00AC05E3"/>
    <w:rsid w:val="00AC26BC"/>
    <w:rsid w:val="00AC38A1"/>
    <w:rsid w:val="00AC44B5"/>
    <w:rsid w:val="00AD0D84"/>
    <w:rsid w:val="00AD18F2"/>
    <w:rsid w:val="00AD236D"/>
    <w:rsid w:val="00AD6665"/>
    <w:rsid w:val="00AD6F8F"/>
    <w:rsid w:val="00AE0981"/>
    <w:rsid w:val="00AE1237"/>
    <w:rsid w:val="00AE46EC"/>
    <w:rsid w:val="00AE514B"/>
    <w:rsid w:val="00AE5B2A"/>
    <w:rsid w:val="00AE7EB1"/>
    <w:rsid w:val="00AF1409"/>
    <w:rsid w:val="00AF1BA2"/>
    <w:rsid w:val="00AF2C07"/>
    <w:rsid w:val="00AF2F11"/>
    <w:rsid w:val="00AF4C62"/>
    <w:rsid w:val="00AF4DC8"/>
    <w:rsid w:val="00AF6E54"/>
    <w:rsid w:val="00B02515"/>
    <w:rsid w:val="00B033F2"/>
    <w:rsid w:val="00B04A48"/>
    <w:rsid w:val="00B0549F"/>
    <w:rsid w:val="00B07149"/>
    <w:rsid w:val="00B07A0C"/>
    <w:rsid w:val="00B07D3B"/>
    <w:rsid w:val="00B21B8D"/>
    <w:rsid w:val="00B24734"/>
    <w:rsid w:val="00B27A7B"/>
    <w:rsid w:val="00B302F6"/>
    <w:rsid w:val="00B3164F"/>
    <w:rsid w:val="00B32C3B"/>
    <w:rsid w:val="00B33FA2"/>
    <w:rsid w:val="00B34F10"/>
    <w:rsid w:val="00B43972"/>
    <w:rsid w:val="00B46585"/>
    <w:rsid w:val="00B46C8E"/>
    <w:rsid w:val="00B47730"/>
    <w:rsid w:val="00B47AE2"/>
    <w:rsid w:val="00B502DC"/>
    <w:rsid w:val="00B50934"/>
    <w:rsid w:val="00B51810"/>
    <w:rsid w:val="00B550A9"/>
    <w:rsid w:val="00B56F40"/>
    <w:rsid w:val="00B63654"/>
    <w:rsid w:val="00B7203C"/>
    <w:rsid w:val="00B72266"/>
    <w:rsid w:val="00B752E4"/>
    <w:rsid w:val="00B754F0"/>
    <w:rsid w:val="00B77E22"/>
    <w:rsid w:val="00B802C9"/>
    <w:rsid w:val="00B80530"/>
    <w:rsid w:val="00B80A85"/>
    <w:rsid w:val="00B80B43"/>
    <w:rsid w:val="00B83F42"/>
    <w:rsid w:val="00B84F28"/>
    <w:rsid w:val="00B91123"/>
    <w:rsid w:val="00B917BF"/>
    <w:rsid w:val="00B96571"/>
    <w:rsid w:val="00B97935"/>
    <w:rsid w:val="00BA11D5"/>
    <w:rsid w:val="00BA23F5"/>
    <w:rsid w:val="00BA5C50"/>
    <w:rsid w:val="00BA6B0F"/>
    <w:rsid w:val="00BB1622"/>
    <w:rsid w:val="00BB26B7"/>
    <w:rsid w:val="00BB2727"/>
    <w:rsid w:val="00BC237D"/>
    <w:rsid w:val="00BC2F14"/>
    <w:rsid w:val="00BC7039"/>
    <w:rsid w:val="00BD7B44"/>
    <w:rsid w:val="00BE1F87"/>
    <w:rsid w:val="00BE4346"/>
    <w:rsid w:val="00BE442B"/>
    <w:rsid w:val="00BE73EA"/>
    <w:rsid w:val="00BF0546"/>
    <w:rsid w:val="00BF09F1"/>
    <w:rsid w:val="00BF100B"/>
    <w:rsid w:val="00BF126F"/>
    <w:rsid w:val="00BF15DC"/>
    <w:rsid w:val="00BF545A"/>
    <w:rsid w:val="00BF62DE"/>
    <w:rsid w:val="00BF761C"/>
    <w:rsid w:val="00C007A5"/>
    <w:rsid w:val="00C00F4C"/>
    <w:rsid w:val="00C03484"/>
    <w:rsid w:val="00C0589C"/>
    <w:rsid w:val="00C10D55"/>
    <w:rsid w:val="00C112C1"/>
    <w:rsid w:val="00C11548"/>
    <w:rsid w:val="00C1497F"/>
    <w:rsid w:val="00C15300"/>
    <w:rsid w:val="00C153C0"/>
    <w:rsid w:val="00C157B8"/>
    <w:rsid w:val="00C15DC1"/>
    <w:rsid w:val="00C208F2"/>
    <w:rsid w:val="00C21C81"/>
    <w:rsid w:val="00C21F11"/>
    <w:rsid w:val="00C24FE0"/>
    <w:rsid w:val="00C25A83"/>
    <w:rsid w:val="00C26D15"/>
    <w:rsid w:val="00C27DD1"/>
    <w:rsid w:val="00C3148A"/>
    <w:rsid w:val="00C314DF"/>
    <w:rsid w:val="00C33CE0"/>
    <w:rsid w:val="00C36CAF"/>
    <w:rsid w:val="00C41FE8"/>
    <w:rsid w:val="00C434D5"/>
    <w:rsid w:val="00C46E22"/>
    <w:rsid w:val="00C47622"/>
    <w:rsid w:val="00C47FE4"/>
    <w:rsid w:val="00C509C3"/>
    <w:rsid w:val="00C51590"/>
    <w:rsid w:val="00C5436D"/>
    <w:rsid w:val="00C55A3E"/>
    <w:rsid w:val="00C55A49"/>
    <w:rsid w:val="00C575F4"/>
    <w:rsid w:val="00C62358"/>
    <w:rsid w:val="00C6268B"/>
    <w:rsid w:val="00C62729"/>
    <w:rsid w:val="00C62FBD"/>
    <w:rsid w:val="00C644FA"/>
    <w:rsid w:val="00C665E6"/>
    <w:rsid w:val="00C676EB"/>
    <w:rsid w:val="00C70386"/>
    <w:rsid w:val="00C7052E"/>
    <w:rsid w:val="00C71F05"/>
    <w:rsid w:val="00C7464A"/>
    <w:rsid w:val="00C755F8"/>
    <w:rsid w:val="00C80408"/>
    <w:rsid w:val="00C833B7"/>
    <w:rsid w:val="00C8388E"/>
    <w:rsid w:val="00C8389F"/>
    <w:rsid w:val="00C84985"/>
    <w:rsid w:val="00C85B34"/>
    <w:rsid w:val="00C87BD4"/>
    <w:rsid w:val="00C90E3A"/>
    <w:rsid w:val="00C91B51"/>
    <w:rsid w:val="00C93ADC"/>
    <w:rsid w:val="00C942F9"/>
    <w:rsid w:val="00C97BC1"/>
    <w:rsid w:val="00CA0877"/>
    <w:rsid w:val="00CA0CA9"/>
    <w:rsid w:val="00CA10D7"/>
    <w:rsid w:val="00CA2E33"/>
    <w:rsid w:val="00CA31FD"/>
    <w:rsid w:val="00CA32AA"/>
    <w:rsid w:val="00CB054A"/>
    <w:rsid w:val="00CB0664"/>
    <w:rsid w:val="00CB213D"/>
    <w:rsid w:val="00CB21EF"/>
    <w:rsid w:val="00CB237D"/>
    <w:rsid w:val="00CB2FCF"/>
    <w:rsid w:val="00CB3E3D"/>
    <w:rsid w:val="00CB62B4"/>
    <w:rsid w:val="00CB69D7"/>
    <w:rsid w:val="00CC2999"/>
    <w:rsid w:val="00CC5FB2"/>
    <w:rsid w:val="00CC6C3D"/>
    <w:rsid w:val="00CC7E0E"/>
    <w:rsid w:val="00CD2D64"/>
    <w:rsid w:val="00CE0B57"/>
    <w:rsid w:val="00CE286F"/>
    <w:rsid w:val="00CE342C"/>
    <w:rsid w:val="00CE4150"/>
    <w:rsid w:val="00CE5515"/>
    <w:rsid w:val="00CE7366"/>
    <w:rsid w:val="00CF086F"/>
    <w:rsid w:val="00CF20E4"/>
    <w:rsid w:val="00CF24B0"/>
    <w:rsid w:val="00CF37B7"/>
    <w:rsid w:val="00CF39A2"/>
    <w:rsid w:val="00CF4C6D"/>
    <w:rsid w:val="00CF74A0"/>
    <w:rsid w:val="00D00F56"/>
    <w:rsid w:val="00D075F7"/>
    <w:rsid w:val="00D10715"/>
    <w:rsid w:val="00D107E4"/>
    <w:rsid w:val="00D1099B"/>
    <w:rsid w:val="00D110ED"/>
    <w:rsid w:val="00D12F55"/>
    <w:rsid w:val="00D134E7"/>
    <w:rsid w:val="00D15B16"/>
    <w:rsid w:val="00D16682"/>
    <w:rsid w:val="00D1668C"/>
    <w:rsid w:val="00D239DD"/>
    <w:rsid w:val="00D23F0F"/>
    <w:rsid w:val="00D24F21"/>
    <w:rsid w:val="00D25856"/>
    <w:rsid w:val="00D27A24"/>
    <w:rsid w:val="00D31997"/>
    <w:rsid w:val="00D3345B"/>
    <w:rsid w:val="00D35554"/>
    <w:rsid w:val="00D3663D"/>
    <w:rsid w:val="00D3724E"/>
    <w:rsid w:val="00D3752B"/>
    <w:rsid w:val="00D405E6"/>
    <w:rsid w:val="00D4236E"/>
    <w:rsid w:val="00D42EE4"/>
    <w:rsid w:val="00D4311C"/>
    <w:rsid w:val="00D437E9"/>
    <w:rsid w:val="00D43CAE"/>
    <w:rsid w:val="00D4604C"/>
    <w:rsid w:val="00D469BB"/>
    <w:rsid w:val="00D52075"/>
    <w:rsid w:val="00D53899"/>
    <w:rsid w:val="00D54FEB"/>
    <w:rsid w:val="00D551C6"/>
    <w:rsid w:val="00D60DE1"/>
    <w:rsid w:val="00D61F5B"/>
    <w:rsid w:val="00D62820"/>
    <w:rsid w:val="00D64767"/>
    <w:rsid w:val="00D64F0F"/>
    <w:rsid w:val="00D70DCC"/>
    <w:rsid w:val="00D7162B"/>
    <w:rsid w:val="00D729B6"/>
    <w:rsid w:val="00D73DF8"/>
    <w:rsid w:val="00D74695"/>
    <w:rsid w:val="00D74CDC"/>
    <w:rsid w:val="00D82A48"/>
    <w:rsid w:val="00D82DAF"/>
    <w:rsid w:val="00D845ED"/>
    <w:rsid w:val="00D8623B"/>
    <w:rsid w:val="00D926D8"/>
    <w:rsid w:val="00D95E65"/>
    <w:rsid w:val="00D96415"/>
    <w:rsid w:val="00DA1D75"/>
    <w:rsid w:val="00DA3BE3"/>
    <w:rsid w:val="00DA746A"/>
    <w:rsid w:val="00DA77E5"/>
    <w:rsid w:val="00DB092D"/>
    <w:rsid w:val="00DB0F4C"/>
    <w:rsid w:val="00DB2F92"/>
    <w:rsid w:val="00DB3419"/>
    <w:rsid w:val="00DB5555"/>
    <w:rsid w:val="00DB765D"/>
    <w:rsid w:val="00DC093E"/>
    <w:rsid w:val="00DC29F8"/>
    <w:rsid w:val="00DC2C7B"/>
    <w:rsid w:val="00DC3783"/>
    <w:rsid w:val="00DC7A76"/>
    <w:rsid w:val="00DC7E0D"/>
    <w:rsid w:val="00DD43E0"/>
    <w:rsid w:val="00DD7BCF"/>
    <w:rsid w:val="00DE04B5"/>
    <w:rsid w:val="00DE10E1"/>
    <w:rsid w:val="00DE1D7E"/>
    <w:rsid w:val="00DE1EF4"/>
    <w:rsid w:val="00DE2255"/>
    <w:rsid w:val="00DE3F6D"/>
    <w:rsid w:val="00DE44E0"/>
    <w:rsid w:val="00DE5825"/>
    <w:rsid w:val="00DE737E"/>
    <w:rsid w:val="00DE73A9"/>
    <w:rsid w:val="00DE780D"/>
    <w:rsid w:val="00DF00F2"/>
    <w:rsid w:val="00DF055B"/>
    <w:rsid w:val="00DF1F04"/>
    <w:rsid w:val="00DF5999"/>
    <w:rsid w:val="00DF6A6E"/>
    <w:rsid w:val="00DF706D"/>
    <w:rsid w:val="00E0190F"/>
    <w:rsid w:val="00E0212E"/>
    <w:rsid w:val="00E03F2B"/>
    <w:rsid w:val="00E05A90"/>
    <w:rsid w:val="00E06766"/>
    <w:rsid w:val="00E07257"/>
    <w:rsid w:val="00E10462"/>
    <w:rsid w:val="00E10484"/>
    <w:rsid w:val="00E12043"/>
    <w:rsid w:val="00E122B9"/>
    <w:rsid w:val="00E134C3"/>
    <w:rsid w:val="00E13E7C"/>
    <w:rsid w:val="00E141AE"/>
    <w:rsid w:val="00E14682"/>
    <w:rsid w:val="00E20A64"/>
    <w:rsid w:val="00E20B97"/>
    <w:rsid w:val="00E2445C"/>
    <w:rsid w:val="00E25CCB"/>
    <w:rsid w:val="00E2650C"/>
    <w:rsid w:val="00E27A01"/>
    <w:rsid w:val="00E31473"/>
    <w:rsid w:val="00E34A56"/>
    <w:rsid w:val="00E35540"/>
    <w:rsid w:val="00E35722"/>
    <w:rsid w:val="00E35E03"/>
    <w:rsid w:val="00E41608"/>
    <w:rsid w:val="00E41C4B"/>
    <w:rsid w:val="00E43161"/>
    <w:rsid w:val="00E43FBE"/>
    <w:rsid w:val="00E44449"/>
    <w:rsid w:val="00E444D5"/>
    <w:rsid w:val="00E4531C"/>
    <w:rsid w:val="00E4660F"/>
    <w:rsid w:val="00E469AE"/>
    <w:rsid w:val="00E47621"/>
    <w:rsid w:val="00E502BD"/>
    <w:rsid w:val="00E5077D"/>
    <w:rsid w:val="00E527D7"/>
    <w:rsid w:val="00E53AAC"/>
    <w:rsid w:val="00E57242"/>
    <w:rsid w:val="00E57E24"/>
    <w:rsid w:val="00E629AE"/>
    <w:rsid w:val="00E62B02"/>
    <w:rsid w:val="00E62B24"/>
    <w:rsid w:val="00E64EA7"/>
    <w:rsid w:val="00E67C29"/>
    <w:rsid w:val="00E703E3"/>
    <w:rsid w:val="00E70B99"/>
    <w:rsid w:val="00E768A3"/>
    <w:rsid w:val="00E850C2"/>
    <w:rsid w:val="00E87951"/>
    <w:rsid w:val="00E910C7"/>
    <w:rsid w:val="00E92331"/>
    <w:rsid w:val="00E930B8"/>
    <w:rsid w:val="00E93126"/>
    <w:rsid w:val="00E93ACA"/>
    <w:rsid w:val="00E94845"/>
    <w:rsid w:val="00E9550E"/>
    <w:rsid w:val="00E968D7"/>
    <w:rsid w:val="00E96957"/>
    <w:rsid w:val="00E96C24"/>
    <w:rsid w:val="00EA1B86"/>
    <w:rsid w:val="00EA26A5"/>
    <w:rsid w:val="00EA338E"/>
    <w:rsid w:val="00EA6B37"/>
    <w:rsid w:val="00EA7F40"/>
    <w:rsid w:val="00EB0B63"/>
    <w:rsid w:val="00EB1499"/>
    <w:rsid w:val="00EB5F12"/>
    <w:rsid w:val="00EB66D9"/>
    <w:rsid w:val="00EC01EE"/>
    <w:rsid w:val="00EC0A92"/>
    <w:rsid w:val="00EC4B32"/>
    <w:rsid w:val="00ED1034"/>
    <w:rsid w:val="00ED18D8"/>
    <w:rsid w:val="00ED4738"/>
    <w:rsid w:val="00ED4C1E"/>
    <w:rsid w:val="00ED7219"/>
    <w:rsid w:val="00ED7F1B"/>
    <w:rsid w:val="00EE232F"/>
    <w:rsid w:val="00EE5D09"/>
    <w:rsid w:val="00EF414D"/>
    <w:rsid w:val="00EF4902"/>
    <w:rsid w:val="00EF72D5"/>
    <w:rsid w:val="00F01947"/>
    <w:rsid w:val="00F02009"/>
    <w:rsid w:val="00F02A7C"/>
    <w:rsid w:val="00F07091"/>
    <w:rsid w:val="00F07D90"/>
    <w:rsid w:val="00F11463"/>
    <w:rsid w:val="00F120DD"/>
    <w:rsid w:val="00F1251A"/>
    <w:rsid w:val="00F12814"/>
    <w:rsid w:val="00F14A86"/>
    <w:rsid w:val="00F15777"/>
    <w:rsid w:val="00F15D05"/>
    <w:rsid w:val="00F203DA"/>
    <w:rsid w:val="00F214EC"/>
    <w:rsid w:val="00F222D5"/>
    <w:rsid w:val="00F23186"/>
    <w:rsid w:val="00F235DB"/>
    <w:rsid w:val="00F236FD"/>
    <w:rsid w:val="00F2431E"/>
    <w:rsid w:val="00F24C95"/>
    <w:rsid w:val="00F25558"/>
    <w:rsid w:val="00F25EB2"/>
    <w:rsid w:val="00F26EC0"/>
    <w:rsid w:val="00F27BCA"/>
    <w:rsid w:val="00F3028D"/>
    <w:rsid w:val="00F31B80"/>
    <w:rsid w:val="00F35660"/>
    <w:rsid w:val="00F378A3"/>
    <w:rsid w:val="00F37C58"/>
    <w:rsid w:val="00F37CA0"/>
    <w:rsid w:val="00F402D1"/>
    <w:rsid w:val="00F425EF"/>
    <w:rsid w:val="00F42A47"/>
    <w:rsid w:val="00F43624"/>
    <w:rsid w:val="00F450E6"/>
    <w:rsid w:val="00F45B97"/>
    <w:rsid w:val="00F4650E"/>
    <w:rsid w:val="00F505E7"/>
    <w:rsid w:val="00F50F52"/>
    <w:rsid w:val="00F51F66"/>
    <w:rsid w:val="00F52436"/>
    <w:rsid w:val="00F53009"/>
    <w:rsid w:val="00F533B8"/>
    <w:rsid w:val="00F545DF"/>
    <w:rsid w:val="00F56BFC"/>
    <w:rsid w:val="00F576C9"/>
    <w:rsid w:val="00F60BC6"/>
    <w:rsid w:val="00F638E5"/>
    <w:rsid w:val="00F648CC"/>
    <w:rsid w:val="00F64B4D"/>
    <w:rsid w:val="00F66628"/>
    <w:rsid w:val="00F734A5"/>
    <w:rsid w:val="00F7401F"/>
    <w:rsid w:val="00F76A22"/>
    <w:rsid w:val="00F76D2E"/>
    <w:rsid w:val="00F774B4"/>
    <w:rsid w:val="00F77912"/>
    <w:rsid w:val="00F8059B"/>
    <w:rsid w:val="00F81721"/>
    <w:rsid w:val="00F8642D"/>
    <w:rsid w:val="00F8739E"/>
    <w:rsid w:val="00F9141F"/>
    <w:rsid w:val="00F91DA1"/>
    <w:rsid w:val="00F93B91"/>
    <w:rsid w:val="00F96854"/>
    <w:rsid w:val="00F96CAC"/>
    <w:rsid w:val="00FA1C62"/>
    <w:rsid w:val="00FA1FAC"/>
    <w:rsid w:val="00FA2EE1"/>
    <w:rsid w:val="00FA382C"/>
    <w:rsid w:val="00FA3F09"/>
    <w:rsid w:val="00FA47A2"/>
    <w:rsid w:val="00FA5EC4"/>
    <w:rsid w:val="00FA6C4D"/>
    <w:rsid w:val="00FA7D3B"/>
    <w:rsid w:val="00FB0047"/>
    <w:rsid w:val="00FB00E9"/>
    <w:rsid w:val="00FB08C8"/>
    <w:rsid w:val="00FB1BAC"/>
    <w:rsid w:val="00FB2BCD"/>
    <w:rsid w:val="00FB4C4D"/>
    <w:rsid w:val="00FB594C"/>
    <w:rsid w:val="00FB61CF"/>
    <w:rsid w:val="00FC058A"/>
    <w:rsid w:val="00FC1DEB"/>
    <w:rsid w:val="00FC1F54"/>
    <w:rsid w:val="00FC399B"/>
    <w:rsid w:val="00FC3F4A"/>
    <w:rsid w:val="00FC5994"/>
    <w:rsid w:val="00FC693F"/>
    <w:rsid w:val="00FC7FBD"/>
    <w:rsid w:val="00FD00ED"/>
    <w:rsid w:val="00FD11CD"/>
    <w:rsid w:val="00FD3AC6"/>
    <w:rsid w:val="00FD4840"/>
    <w:rsid w:val="00FE2CBE"/>
    <w:rsid w:val="00FE3EFE"/>
    <w:rsid w:val="00FE4111"/>
    <w:rsid w:val="00FE4281"/>
    <w:rsid w:val="00FE4E36"/>
    <w:rsid w:val="00FE55C8"/>
    <w:rsid w:val="00FE66A1"/>
    <w:rsid w:val="00FE6AA7"/>
    <w:rsid w:val="00FE7DA4"/>
    <w:rsid w:val="00FF5185"/>
    <w:rsid w:val="00FF5CD4"/>
    <w:rsid w:val="00FF7809"/>
    <w:rsid w:val="00FF7D44"/>
    <w:rsid w:val="00FF7DE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10E24D8"/>
  <w14:defaultImageDpi w14:val="330"/>
  <w15:docId w15:val="{1278F95D-E349-4B0F-8FAD-AEDFBB10E1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40"/>
    </w:pPr>
    <w:rPr>
      <w:rFonts w:ascii="Aptos" w:hAnsi="Aptos"/>
      <w:sz w:val="20"/>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004664"/>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004664"/>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004664"/>
      <w:spacing w:val="5"/>
      <w:kern w:val="28"/>
      <w:sz w:val="4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4"/>
      </w:numPr>
      <w:contextualSpacing/>
    </w:pPr>
  </w:style>
  <w:style w:type="paragraph" w:styleId="ListBullet2">
    <w:name w:val="List Bullet 2"/>
    <w:basedOn w:val="Normal"/>
    <w:uiPriority w:val="99"/>
    <w:unhideWhenUsed/>
    <w:rsid w:val="00326F90"/>
    <w:pPr>
      <w:numPr>
        <w:numId w:val="5"/>
      </w:numPr>
      <w:contextualSpacing/>
    </w:pPr>
  </w:style>
  <w:style w:type="paragraph" w:styleId="ListBullet3">
    <w:name w:val="List Bullet 3"/>
    <w:basedOn w:val="Normal"/>
    <w:uiPriority w:val="99"/>
    <w:unhideWhenUsed/>
    <w:rsid w:val="00326F90"/>
    <w:pPr>
      <w:numPr>
        <w:numId w:val="1"/>
      </w:numPr>
      <w:contextualSpacing/>
    </w:pPr>
  </w:style>
  <w:style w:type="paragraph" w:styleId="ListNumber">
    <w:name w:val="List Number"/>
    <w:basedOn w:val="Normal"/>
    <w:uiPriority w:val="99"/>
    <w:unhideWhenUsed/>
    <w:rsid w:val="00326F90"/>
    <w:pPr>
      <w:numPr>
        <w:numId w:val="3"/>
      </w:numPr>
      <w:contextualSpacing/>
    </w:pPr>
  </w:style>
  <w:style w:type="paragraph" w:styleId="ListNumber2">
    <w:name w:val="List Number 2"/>
    <w:basedOn w:val="Normal"/>
    <w:uiPriority w:val="99"/>
    <w:unhideWhenUsed/>
    <w:rsid w:val="0029639D"/>
    <w:pPr>
      <w:numPr>
        <w:numId w:val="2"/>
      </w:numPr>
      <w:contextualSpacing/>
    </w:pPr>
  </w:style>
  <w:style w:type="paragraph" w:styleId="ListNumber3">
    <w:name w:val="List Number 3"/>
    <w:basedOn w:val="Normal"/>
    <w:uiPriority w:val="99"/>
    <w:unhideWhenUsed/>
    <w:rsid w:val="0029639D"/>
    <w:pPr>
      <w:numPr>
        <w:numId w:val="9"/>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ColorfulShading-Accent11">
    <w:name w:val="Colorful Shading - Accent 11"/>
    <w:basedOn w:val="TableNormal"/>
    <w:uiPriority w:val="71"/>
    <w:rsid w:val="003D4BE9"/>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customStyle="1" w:styleId="ColorfulShading-Accent21">
    <w:name w:val="Colorful Shading - Accent 21"/>
    <w:basedOn w:val="TableNormal"/>
    <w:uiPriority w:val="71"/>
    <w:rsid w:val="003D4BE9"/>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customStyle="1" w:styleId="ColorfulShading-Accent31">
    <w:name w:val="Colorful Shading - Accent 31"/>
    <w:basedOn w:val="TableNormal"/>
    <w:uiPriority w:val="71"/>
    <w:rsid w:val="003D4BE9"/>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customStyle="1" w:styleId="ColorfulShading-Accent41">
    <w:name w:val="Colorful Shading - Accent 41"/>
    <w:basedOn w:val="TableNormal"/>
    <w:uiPriority w:val="71"/>
    <w:rsid w:val="003D4BE9"/>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customStyle="1" w:styleId="ColorfulShading-Accent51">
    <w:name w:val="Colorful Shading - Accent 51"/>
    <w:basedOn w:val="TableNormal"/>
    <w:uiPriority w:val="71"/>
    <w:rsid w:val="003D4BE9"/>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customStyle="1" w:styleId="ColorfulShading-Accent61">
    <w:name w:val="Colorful Shading - Accent 61"/>
    <w:basedOn w:val="TableNormal"/>
    <w:uiPriority w:val="71"/>
    <w:rsid w:val="003D4BE9"/>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customStyle="1" w:styleId="ColorfulList-Accent11">
    <w:name w:val="Colorful List - Accent 11"/>
    <w:basedOn w:val="TableNormal"/>
    <w:uiPriority w:val="72"/>
    <w:rsid w:val="003D4BE9"/>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customStyle="1" w:styleId="ColorfulList-Accent21">
    <w:name w:val="Colorful List - Accent 21"/>
    <w:basedOn w:val="TableNormal"/>
    <w:uiPriority w:val="72"/>
    <w:rsid w:val="003D4BE9"/>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customStyle="1" w:styleId="ColorfulList-Accent31">
    <w:name w:val="Colorful List - Accent 31"/>
    <w:basedOn w:val="TableNormal"/>
    <w:uiPriority w:val="72"/>
    <w:rsid w:val="003D4BE9"/>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customStyle="1" w:styleId="ColorfulList-Accent41">
    <w:name w:val="Colorful List - Accent 41"/>
    <w:basedOn w:val="TableNormal"/>
    <w:uiPriority w:val="72"/>
    <w:rsid w:val="003D4BE9"/>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customStyle="1" w:styleId="ColorfulList-Accent51">
    <w:name w:val="Colorful List - Accent 51"/>
    <w:basedOn w:val="TableNormal"/>
    <w:uiPriority w:val="72"/>
    <w:rsid w:val="003D4BE9"/>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customStyle="1" w:styleId="ColorfulList-Accent61">
    <w:name w:val="Colorful List - Accent 61"/>
    <w:basedOn w:val="TableNormal"/>
    <w:uiPriority w:val="72"/>
    <w:rsid w:val="003D4BE9"/>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ColorfulGrid-Accent11">
    <w:name w:val="Colorful Grid - Accent 11"/>
    <w:basedOn w:val="TableNormal"/>
    <w:uiPriority w:val="73"/>
    <w:rsid w:val="003D4BE9"/>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ColorfulGrid-Accent21">
    <w:name w:val="Colorful Grid - Accent 21"/>
    <w:basedOn w:val="TableNormal"/>
    <w:uiPriority w:val="73"/>
    <w:rsid w:val="003D4BE9"/>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customStyle="1" w:styleId="ColorfulGrid-Accent31">
    <w:name w:val="Colorful Grid - Accent 31"/>
    <w:basedOn w:val="TableNormal"/>
    <w:uiPriority w:val="73"/>
    <w:rsid w:val="003D4BE9"/>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customStyle="1" w:styleId="ColorfulGrid-Accent41">
    <w:name w:val="Colorful Grid - Accent 41"/>
    <w:basedOn w:val="TableNormal"/>
    <w:uiPriority w:val="73"/>
    <w:rsid w:val="003D4BE9"/>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customStyle="1" w:styleId="ColorfulGrid-Accent51">
    <w:name w:val="Colorful Grid - Accent 51"/>
    <w:basedOn w:val="TableNormal"/>
    <w:uiPriority w:val="73"/>
    <w:rsid w:val="003D4BE9"/>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ColorfulGrid-Accent61">
    <w:name w:val="Colorful Grid - Accent 61"/>
    <w:basedOn w:val="TableNormal"/>
    <w:uiPriority w:val="73"/>
    <w:rsid w:val="003D4BE9"/>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F4650E"/>
    <w:pPr>
      <w:tabs>
        <w:tab w:val="right" w:leader="dot" w:pos="9926"/>
      </w:tabs>
      <w:spacing w:after="100" w:line="360" w:lineRule="auto"/>
    </w:pPr>
  </w:style>
  <w:style w:type="character" w:styleId="Hyperlink">
    <w:name w:val="Hyperlink"/>
    <w:basedOn w:val="DefaultParagraphFont"/>
    <w:uiPriority w:val="99"/>
    <w:unhideWhenUsed/>
    <w:rsid w:val="00F4650E"/>
    <w:rPr>
      <w:color w:val="0000FF" w:themeColor="hyperlink"/>
      <w:u w:val="single"/>
    </w:rPr>
  </w:style>
  <w:style w:type="character" w:customStyle="1" w:styleId="s1">
    <w:name w:val="s1"/>
    <w:basedOn w:val="DefaultParagraphFont"/>
    <w:rsid w:val="00E93126"/>
    <w:rPr>
      <w:rFonts w:ascii="Helvetica" w:hAnsi="Helvetica" w:hint="default"/>
      <w:b w:val="0"/>
      <w:bCs w:val="0"/>
      <w:i w:val="0"/>
      <w:iCs w:val="0"/>
      <w:sz w:val="18"/>
      <w:szCs w:val="18"/>
    </w:rPr>
  </w:style>
  <w:style w:type="paragraph" w:customStyle="1" w:styleId="li1">
    <w:name w:val="li1"/>
    <w:basedOn w:val="Normal"/>
    <w:rsid w:val="00E93126"/>
    <w:pPr>
      <w:spacing w:after="0" w:line="240" w:lineRule="auto"/>
    </w:pPr>
    <w:rPr>
      <w:rFonts w:ascii="Helvetica" w:hAnsi="Helvetica" w:cs="Times New Roman"/>
      <w:sz w:val="18"/>
      <w:szCs w:val="18"/>
      <w:lang w:val="en-GB" w:eastAsia="en-GB"/>
    </w:rPr>
  </w:style>
  <w:style w:type="character" w:customStyle="1" w:styleId="apple-converted-space">
    <w:name w:val="apple-converted-space"/>
    <w:basedOn w:val="DefaultParagraphFont"/>
    <w:rsid w:val="0020562C"/>
  </w:style>
  <w:style w:type="paragraph" w:customStyle="1" w:styleId="p1">
    <w:name w:val="p1"/>
    <w:basedOn w:val="Normal"/>
    <w:rsid w:val="00F60BC6"/>
    <w:pPr>
      <w:spacing w:before="200" w:after="0" w:line="240" w:lineRule="auto"/>
    </w:pPr>
    <w:rPr>
      <w:rFonts w:ascii=".AppleSystemUIFont" w:hAnsi=".AppleSystemUIFont" w:cs="Times New Roman"/>
      <w:color w:val="000000"/>
      <w:sz w:val="26"/>
      <w:szCs w:val="26"/>
      <w:lang w:val="en-GB" w:eastAsia="en-GB"/>
    </w:rPr>
  </w:style>
  <w:style w:type="paragraph" w:customStyle="1" w:styleId="p2">
    <w:name w:val="p2"/>
    <w:basedOn w:val="Normal"/>
    <w:rsid w:val="00EF72D5"/>
    <w:pPr>
      <w:spacing w:before="107" w:after="0" w:line="240" w:lineRule="auto"/>
    </w:pPr>
    <w:rPr>
      <w:rFonts w:ascii=".AppleSystemUIFont" w:hAnsi=".AppleSystemUIFont" w:cs="Times New Roman"/>
      <w:color w:val="000000"/>
      <w:sz w:val="26"/>
      <w:szCs w:val="26"/>
      <w:lang w:val="en-GB" w:eastAsia="en-GB"/>
    </w:rPr>
  </w:style>
  <w:style w:type="character" w:customStyle="1" w:styleId="s2">
    <w:name w:val="s2"/>
    <w:basedOn w:val="DefaultParagraphFont"/>
    <w:rsid w:val="00EF72D5"/>
    <w:rPr>
      <w:rFonts w:ascii=".SFUI-Regular" w:hAnsi=".SFUI-Regular" w:hint="default"/>
      <w:b w:val="0"/>
      <w:bCs w:val="0"/>
      <w:i w:val="0"/>
      <w:iCs w:val="0"/>
      <w:sz w:val="26"/>
      <w:szCs w:val="26"/>
    </w:rPr>
  </w:style>
  <w:style w:type="paragraph" w:customStyle="1" w:styleId="p3">
    <w:name w:val="p3"/>
    <w:basedOn w:val="Normal"/>
    <w:rsid w:val="004E548C"/>
    <w:pPr>
      <w:spacing w:before="200" w:after="0" w:line="240" w:lineRule="auto"/>
    </w:pPr>
    <w:rPr>
      <w:rFonts w:ascii=".AppleSystemUIFont" w:hAnsi=".AppleSystemUIFont" w:cs="Times New Roman"/>
      <w:color w:val="000000"/>
      <w:sz w:val="26"/>
      <w:szCs w:val="26"/>
      <w:lang w:val="en-GB" w:eastAsia="en-GB"/>
    </w:rPr>
  </w:style>
  <w:style w:type="character" w:customStyle="1" w:styleId="s3">
    <w:name w:val="s3"/>
    <w:basedOn w:val="DefaultParagraphFont"/>
    <w:rsid w:val="004E548C"/>
    <w:rPr>
      <w:rFonts w:ascii=".SFUI-Semibold" w:hAnsi=".SFUI-Semibold" w:hint="default"/>
      <w:b/>
      <w:bCs/>
      <w:i w:val="0"/>
      <w:iCs w:val="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macintosh"/>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09B7ED-859C-2E4E-97E4-9033F69303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4880</Words>
  <Characters>27817</Characters>
  <Application>Microsoft Office Word</Application>
  <DocSecurity>4</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32632</CharactersWithSpaces>
  <SharedDoc>false</SharedDoc>
  <HyperlinkBase/>
  <HLinks>
    <vt:vector size="102" baseType="variant">
      <vt:variant>
        <vt:i4>1441855</vt:i4>
      </vt:variant>
      <vt:variant>
        <vt:i4>98</vt:i4>
      </vt:variant>
      <vt:variant>
        <vt:i4>0</vt:i4>
      </vt:variant>
      <vt:variant>
        <vt:i4>5</vt:i4>
      </vt:variant>
      <vt:variant>
        <vt:lpwstr/>
      </vt:variant>
      <vt:variant>
        <vt:lpwstr>_Toc243595755</vt:lpwstr>
      </vt:variant>
      <vt:variant>
        <vt:i4>1441855</vt:i4>
      </vt:variant>
      <vt:variant>
        <vt:i4>92</vt:i4>
      </vt:variant>
      <vt:variant>
        <vt:i4>0</vt:i4>
      </vt:variant>
      <vt:variant>
        <vt:i4>5</vt:i4>
      </vt:variant>
      <vt:variant>
        <vt:lpwstr/>
      </vt:variant>
      <vt:variant>
        <vt:lpwstr>_Toc243595754</vt:lpwstr>
      </vt:variant>
      <vt:variant>
        <vt:i4>1441855</vt:i4>
      </vt:variant>
      <vt:variant>
        <vt:i4>86</vt:i4>
      </vt:variant>
      <vt:variant>
        <vt:i4>0</vt:i4>
      </vt:variant>
      <vt:variant>
        <vt:i4>5</vt:i4>
      </vt:variant>
      <vt:variant>
        <vt:lpwstr/>
      </vt:variant>
      <vt:variant>
        <vt:lpwstr>_Toc243595753</vt:lpwstr>
      </vt:variant>
      <vt:variant>
        <vt:i4>1441855</vt:i4>
      </vt:variant>
      <vt:variant>
        <vt:i4>80</vt:i4>
      </vt:variant>
      <vt:variant>
        <vt:i4>0</vt:i4>
      </vt:variant>
      <vt:variant>
        <vt:i4>5</vt:i4>
      </vt:variant>
      <vt:variant>
        <vt:lpwstr/>
      </vt:variant>
      <vt:variant>
        <vt:lpwstr>_Toc243595752</vt:lpwstr>
      </vt:variant>
      <vt:variant>
        <vt:i4>1441855</vt:i4>
      </vt:variant>
      <vt:variant>
        <vt:i4>74</vt:i4>
      </vt:variant>
      <vt:variant>
        <vt:i4>0</vt:i4>
      </vt:variant>
      <vt:variant>
        <vt:i4>5</vt:i4>
      </vt:variant>
      <vt:variant>
        <vt:lpwstr/>
      </vt:variant>
      <vt:variant>
        <vt:lpwstr>_Toc243595751</vt:lpwstr>
      </vt:variant>
      <vt:variant>
        <vt:i4>1441855</vt:i4>
      </vt:variant>
      <vt:variant>
        <vt:i4>68</vt:i4>
      </vt:variant>
      <vt:variant>
        <vt:i4>0</vt:i4>
      </vt:variant>
      <vt:variant>
        <vt:i4>5</vt:i4>
      </vt:variant>
      <vt:variant>
        <vt:lpwstr/>
      </vt:variant>
      <vt:variant>
        <vt:lpwstr>_Toc243595750</vt:lpwstr>
      </vt:variant>
      <vt:variant>
        <vt:i4>1507391</vt:i4>
      </vt:variant>
      <vt:variant>
        <vt:i4>62</vt:i4>
      </vt:variant>
      <vt:variant>
        <vt:i4>0</vt:i4>
      </vt:variant>
      <vt:variant>
        <vt:i4>5</vt:i4>
      </vt:variant>
      <vt:variant>
        <vt:lpwstr/>
      </vt:variant>
      <vt:variant>
        <vt:lpwstr>_Toc243595749</vt:lpwstr>
      </vt:variant>
      <vt:variant>
        <vt:i4>1507391</vt:i4>
      </vt:variant>
      <vt:variant>
        <vt:i4>56</vt:i4>
      </vt:variant>
      <vt:variant>
        <vt:i4>0</vt:i4>
      </vt:variant>
      <vt:variant>
        <vt:i4>5</vt:i4>
      </vt:variant>
      <vt:variant>
        <vt:lpwstr/>
      </vt:variant>
      <vt:variant>
        <vt:lpwstr>_Toc243595748</vt:lpwstr>
      </vt:variant>
      <vt:variant>
        <vt:i4>1507391</vt:i4>
      </vt:variant>
      <vt:variant>
        <vt:i4>50</vt:i4>
      </vt:variant>
      <vt:variant>
        <vt:i4>0</vt:i4>
      </vt:variant>
      <vt:variant>
        <vt:i4>5</vt:i4>
      </vt:variant>
      <vt:variant>
        <vt:lpwstr/>
      </vt:variant>
      <vt:variant>
        <vt:lpwstr>_Toc243595747</vt:lpwstr>
      </vt:variant>
      <vt:variant>
        <vt:i4>1507391</vt:i4>
      </vt:variant>
      <vt:variant>
        <vt:i4>44</vt:i4>
      </vt:variant>
      <vt:variant>
        <vt:i4>0</vt:i4>
      </vt:variant>
      <vt:variant>
        <vt:i4>5</vt:i4>
      </vt:variant>
      <vt:variant>
        <vt:lpwstr/>
      </vt:variant>
      <vt:variant>
        <vt:lpwstr>_Toc243595746</vt:lpwstr>
      </vt:variant>
      <vt:variant>
        <vt:i4>1507391</vt:i4>
      </vt:variant>
      <vt:variant>
        <vt:i4>38</vt:i4>
      </vt:variant>
      <vt:variant>
        <vt:i4>0</vt:i4>
      </vt:variant>
      <vt:variant>
        <vt:i4>5</vt:i4>
      </vt:variant>
      <vt:variant>
        <vt:lpwstr/>
      </vt:variant>
      <vt:variant>
        <vt:lpwstr>_Toc243595745</vt:lpwstr>
      </vt:variant>
      <vt:variant>
        <vt:i4>1507391</vt:i4>
      </vt:variant>
      <vt:variant>
        <vt:i4>32</vt:i4>
      </vt:variant>
      <vt:variant>
        <vt:i4>0</vt:i4>
      </vt:variant>
      <vt:variant>
        <vt:i4>5</vt:i4>
      </vt:variant>
      <vt:variant>
        <vt:lpwstr/>
      </vt:variant>
      <vt:variant>
        <vt:lpwstr>_Toc243595744</vt:lpwstr>
      </vt:variant>
      <vt:variant>
        <vt:i4>1507391</vt:i4>
      </vt:variant>
      <vt:variant>
        <vt:i4>26</vt:i4>
      </vt:variant>
      <vt:variant>
        <vt:i4>0</vt:i4>
      </vt:variant>
      <vt:variant>
        <vt:i4>5</vt:i4>
      </vt:variant>
      <vt:variant>
        <vt:lpwstr/>
      </vt:variant>
      <vt:variant>
        <vt:lpwstr>_Toc243595743</vt:lpwstr>
      </vt:variant>
      <vt:variant>
        <vt:i4>1507391</vt:i4>
      </vt:variant>
      <vt:variant>
        <vt:i4>20</vt:i4>
      </vt:variant>
      <vt:variant>
        <vt:i4>0</vt:i4>
      </vt:variant>
      <vt:variant>
        <vt:i4>5</vt:i4>
      </vt:variant>
      <vt:variant>
        <vt:lpwstr/>
      </vt:variant>
      <vt:variant>
        <vt:lpwstr>_Toc243595742</vt:lpwstr>
      </vt:variant>
      <vt:variant>
        <vt:i4>1507391</vt:i4>
      </vt:variant>
      <vt:variant>
        <vt:i4>14</vt:i4>
      </vt:variant>
      <vt:variant>
        <vt:i4>0</vt:i4>
      </vt:variant>
      <vt:variant>
        <vt:i4>5</vt:i4>
      </vt:variant>
      <vt:variant>
        <vt:lpwstr/>
      </vt:variant>
      <vt:variant>
        <vt:lpwstr>_Toc243595741</vt:lpwstr>
      </vt:variant>
      <vt:variant>
        <vt:i4>1507391</vt:i4>
      </vt:variant>
      <vt:variant>
        <vt:i4>8</vt:i4>
      </vt:variant>
      <vt:variant>
        <vt:i4>0</vt:i4>
      </vt:variant>
      <vt:variant>
        <vt:i4>5</vt:i4>
      </vt:variant>
      <vt:variant>
        <vt:lpwstr/>
      </vt:variant>
      <vt:variant>
        <vt:lpwstr>_Toc243595740</vt:lpwstr>
      </vt:variant>
      <vt:variant>
        <vt:i4>1048639</vt:i4>
      </vt:variant>
      <vt:variant>
        <vt:i4>2</vt:i4>
      </vt:variant>
      <vt:variant>
        <vt:i4>0</vt:i4>
      </vt:variant>
      <vt:variant>
        <vt:i4>5</vt:i4>
      </vt:variant>
      <vt:variant>
        <vt:lpwstr/>
      </vt:variant>
      <vt:variant>
        <vt:lpwstr>_Toc243595739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Shamaila Sakhawat (2309140)</cp:lastModifiedBy>
  <cp:revision>570</cp:revision>
  <dcterms:created xsi:type="dcterms:W3CDTF">2026-10-12T05:18:00Z</dcterms:created>
  <dcterms:modified xsi:type="dcterms:W3CDTF">2026-10-22T20:08:00Z</dcterms:modified>
  <cp:category/>
</cp:coreProperties>
</file>