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32B98" w:rsidRPr="00E83FE4" w:rsidRDefault="00E32B98" w:rsidP="00E32B98">
      <w:pPr>
        <w:spacing w:line="360" w:lineRule="auto"/>
        <w:jc w:val="center"/>
        <w:rPr>
          <w:u w:val="single"/>
        </w:rPr>
      </w:pPr>
      <w:r w:rsidRPr="00E83FE4">
        <w:rPr>
          <w:u w:val="single"/>
          <w:lang w:val="en-GB"/>
        </w:rPr>
        <w:t>HPCS7004</w:t>
      </w:r>
      <w:r>
        <w:rPr>
          <w:u w:val="single"/>
          <w:lang w:val="en-GB"/>
        </w:rPr>
        <w:t xml:space="preserve"> - </w:t>
      </w:r>
      <w:r w:rsidRPr="00FA3DA6">
        <w:rPr>
          <w:u w:val="single"/>
        </w:rPr>
        <w:t>Women in the Middle Ages: Sources From the Celtic Regions</w:t>
      </w:r>
    </w:p>
    <w:p w:rsidR="0047589A" w:rsidRDefault="00E32B98" w:rsidP="002479E8">
      <w:pPr>
        <w:spacing w:line="360" w:lineRule="auto"/>
        <w:rPr>
          <w:i/>
          <w:iCs/>
          <w:lang w:val="en-GB"/>
        </w:rPr>
      </w:pPr>
      <w:r>
        <w:rPr>
          <w:i/>
          <w:iCs/>
          <w:lang w:val="en-GB"/>
        </w:rPr>
        <w:t>Compile a portrait of any ‘real’ medieval woman from the Celtic regions. What sources can be used and how reliable are these sources?</w:t>
      </w:r>
    </w:p>
    <w:p w:rsidR="00B1375F" w:rsidRPr="002479E8" w:rsidRDefault="00B1375F" w:rsidP="002479E8">
      <w:pPr>
        <w:spacing w:line="360" w:lineRule="auto"/>
        <w:rPr>
          <w:i/>
          <w:iCs/>
          <w:lang w:val="en-GB"/>
        </w:rPr>
      </w:pPr>
    </w:p>
    <w:p w:rsidR="0047589A" w:rsidRDefault="0047589A" w:rsidP="00E32B98">
      <w:pPr>
        <w:spacing w:line="360" w:lineRule="auto"/>
        <w:jc w:val="center"/>
        <w:rPr>
          <w:u w:val="single"/>
        </w:rPr>
      </w:pPr>
      <w:r w:rsidRPr="00B1375F">
        <w:t>Joan of Wales: the Queen of Diplomacy</w:t>
      </w:r>
    </w:p>
    <w:p w:rsidR="009B40DE" w:rsidRDefault="002479E8" w:rsidP="002479E8">
      <w:pPr>
        <w:spacing w:line="360" w:lineRule="auto"/>
        <w:jc w:val="center"/>
      </w:pPr>
      <w:r>
        <w:t xml:space="preserve">By </w:t>
      </w:r>
      <w:r w:rsidRPr="00FA3DA6">
        <w:rPr>
          <w:lang w:val="en-GB"/>
        </w:rPr>
        <w:t xml:space="preserve">Natalie </w:t>
      </w:r>
      <w:proofErr w:type="spellStart"/>
      <w:r w:rsidRPr="00FA3DA6">
        <w:rPr>
          <w:lang w:val="en-GB"/>
        </w:rPr>
        <w:t>Grueninger</w:t>
      </w:r>
      <w:proofErr w:type="spellEnd"/>
      <w:r w:rsidRPr="00FA3DA6">
        <w:rPr>
          <w:lang w:val="en-GB"/>
        </w:rPr>
        <w:t xml:space="preserve"> (Student number: </w:t>
      </w:r>
      <w:r w:rsidRPr="00FA3DA6">
        <w:t>2501381)</w:t>
      </w:r>
    </w:p>
    <w:p w:rsidR="002479E8" w:rsidRDefault="002479E8" w:rsidP="002479E8">
      <w:pPr>
        <w:spacing w:line="360" w:lineRule="auto"/>
        <w:jc w:val="center"/>
      </w:pPr>
    </w:p>
    <w:p w:rsidR="00D902B7" w:rsidRDefault="006F70B9" w:rsidP="0050779B">
      <w:pPr>
        <w:spacing w:line="360" w:lineRule="auto"/>
      </w:pPr>
      <w:r>
        <w:t xml:space="preserve">Compiling a portrait of a medieval woman is </w:t>
      </w:r>
      <w:r w:rsidR="00C020C0">
        <w:t>not without its challenges</w:t>
      </w:r>
      <w:r w:rsidR="00786672">
        <w:t xml:space="preserve">, </w:t>
      </w:r>
      <w:r w:rsidR="00693681">
        <w:t xml:space="preserve">given </w:t>
      </w:r>
      <w:r w:rsidR="00DA53F1">
        <w:t>that</w:t>
      </w:r>
      <w:r w:rsidR="00786672">
        <w:t xml:space="preserve"> </w:t>
      </w:r>
      <w:r w:rsidR="002228AD">
        <w:t>women’s lives</w:t>
      </w:r>
      <w:r w:rsidR="00786672">
        <w:t xml:space="preserve"> </w:t>
      </w:r>
      <w:r w:rsidR="00495E96">
        <w:t>were</w:t>
      </w:r>
      <w:r w:rsidR="00786672">
        <w:t xml:space="preserve"> rarely recorded in any detail in contemporary sources</w:t>
      </w:r>
      <w:r>
        <w:t xml:space="preserve">. </w:t>
      </w:r>
      <w:r w:rsidR="00B52D2B">
        <w:t>This may offer an explanation for why</w:t>
      </w:r>
      <w:r w:rsidR="00230C3A">
        <w:t xml:space="preserve"> modern historians,</w:t>
      </w:r>
      <w:r w:rsidR="00B52D2B">
        <w:t xml:space="preserve"> w</w:t>
      </w:r>
      <w:r w:rsidR="00701103">
        <w:t>hen constructing the history of Wales before the Edwardian conquest of 128</w:t>
      </w:r>
      <w:r w:rsidR="00A1298B">
        <w:t>2</w:t>
      </w:r>
      <w:r w:rsidR="00701103">
        <w:t xml:space="preserve">–83, have tended to </w:t>
      </w:r>
      <w:r w:rsidR="00A1298B">
        <w:t>centre the narrative around the actions of men</w:t>
      </w:r>
      <w:r w:rsidR="00316C6E">
        <w:t xml:space="preserve">. Traditionally, scholarly attention has focused </w:t>
      </w:r>
      <w:r w:rsidR="004B68ED">
        <w:t>on</w:t>
      </w:r>
      <w:r w:rsidR="006F7B66">
        <w:t xml:space="preserve"> the native princes and their often turbulent relationship</w:t>
      </w:r>
      <w:r w:rsidR="00D94515">
        <w:t>s</w:t>
      </w:r>
      <w:r w:rsidR="006F7B66">
        <w:t xml:space="preserve"> with their Anglo-Norman neighbours.</w:t>
      </w:r>
      <w:r w:rsidR="00CB4950">
        <w:t xml:space="preserve"> </w:t>
      </w:r>
      <w:r w:rsidR="00B52D2B">
        <w:t>Naturally, t</w:t>
      </w:r>
      <w:r w:rsidR="00F30DB2">
        <w:t>his</w:t>
      </w:r>
      <w:r w:rsidR="00AA33C4">
        <w:t xml:space="preserve"> male-centred approach</w:t>
      </w:r>
      <w:r w:rsidR="00F30DB2">
        <w:t xml:space="preserve"> has led to the misleading impression that women</w:t>
      </w:r>
      <w:r w:rsidR="00413E92">
        <w:t xml:space="preserve"> were largely absent from the events that unfolded in Wales in the thirteenth century</w:t>
      </w:r>
      <w:r w:rsidR="00157B77">
        <w:t xml:space="preserve"> </w:t>
      </w:r>
      <w:r w:rsidR="00413E92">
        <w:t xml:space="preserve">and </w:t>
      </w:r>
      <w:r w:rsidR="00AC6B98">
        <w:t>played no significant role in the</w:t>
      </w:r>
      <w:r w:rsidR="00AA33C4">
        <w:t xml:space="preserve"> internecine warfare and</w:t>
      </w:r>
      <w:r w:rsidR="00AC6B98">
        <w:t xml:space="preserve"> political machinations that dominated the </w:t>
      </w:r>
      <w:r w:rsidR="007337C6">
        <w:t>period</w:t>
      </w:r>
      <w:r w:rsidR="00AC6B98">
        <w:t>.</w:t>
      </w:r>
      <w:r w:rsidR="00157B77">
        <w:t xml:space="preserve"> </w:t>
      </w:r>
      <w:r w:rsidR="00316C6E">
        <w:t>While th</w:t>
      </w:r>
      <w:r w:rsidR="00194CE0">
        <w:t>is</w:t>
      </w:r>
      <w:r w:rsidR="00565FDC">
        <w:t xml:space="preserve"> omission of women from Welsh history may be partly attributed to a paucity of </w:t>
      </w:r>
      <w:r w:rsidR="00897CFB">
        <w:t>documentation</w:t>
      </w:r>
      <w:r w:rsidR="00565FDC">
        <w:t xml:space="preserve">, </w:t>
      </w:r>
      <w:proofErr w:type="spellStart"/>
      <w:r w:rsidR="00565FDC">
        <w:t>Gwenyth</w:t>
      </w:r>
      <w:proofErr w:type="spellEnd"/>
      <w:r w:rsidR="00565FDC">
        <w:t xml:space="preserve"> Richards maintains that earlier historians have rendered women ‘more invisible than is warranted by the available sources’.</w:t>
      </w:r>
      <w:r w:rsidR="00565FDC">
        <w:rPr>
          <w:rStyle w:val="FootnoteReference"/>
        </w:rPr>
        <w:footnoteReference w:id="1"/>
      </w:r>
      <w:r w:rsidR="00565FDC">
        <w:t xml:space="preserve"> </w:t>
      </w:r>
      <w:r w:rsidR="000A64DE">
        <w:t>The</w:t>
      </w:r>
      <w:r w:rsidR="00F25BF3">
        <w:t xml:space="preserve"> historiography</w:t>
      </w:r>
      <w:r w:rsidR="000A64DE">
        <w:t>, however,</w:t>
      </w:r>
      <w:r w:rsidR="00F25BF3">
        <w:t xml:space="preserve"> is</w:t>
      </w:r>
      <w:r w:rsidR="000A64DE">
        <w:t xml:space="preserve"> fortunately</w:t>
      </w:r>
      <w:r w:rsidR="00F25BF3">
        <w:t xml:space="preserve"> changing</w:t>
      </w:r>
      <w:r w:rsidR="000A64DE">
        <w:t>.</w:t>
      </w:r>
      <w:r w:rsidR="005B1178">
        <w:t xml:space="preserve"> </w:t>
      </w:r>
      <w:r w:rsidR="000A64DE">
        <w:t>More</w:t>
      </w:r>
      <w:r w:rsidR="005B1178">
        <w:t xml:space="preserve"> historians now acknowledge </w:t>
      </w:r>
      <w:r w:rsidR="000A64DE">
        <w:t>that</w:t>
      </w:r>
      <w:r w:rsidR="00220964">
        <w:t xml:space="preserve"> Welsh noblewomen,</w:t>
      </w:r>
      <w:r w:rsidR="000A64DE">
        <w:t xml:space="preserve"> far from being passive</w:t>
      </w:r>
      <w:r w:rsidR="00220964">
        <w:t xml:space="preserve"> and p</w:t>
      </w:r>
      <w:r w:rsidR="0033199E">
        <w:t>owerless</w:t>
      </w:r>
      <w:r w:rsidR="000A64DE">
        <w:t xml:space="preserve"> observers</w:t>
      </w:r>
      <w:r w:rsidR="00220964">
        <w:t>, together with men ‘</w:t>
      </w:r>
      <w:r w:rsidR="00220964" w:rsidRPr="00220964">
        <w:t>made the history of Wales in the thirteenth century</w:t>
      </w:r>
      <w:r w:rsidR="00220964">
        <w:t>’</w:t>
      </w:r>
      <w:r w:rsidR="00220964" w:rsidRPr="00220964">
        <w:t>.</w:t>
      </w:r>
      <w:r w:rsidR="0033199E">
        <w:rPr>
          <w:rStyle w:val="FootnoteReference"/>
        </w:rPr>
        <w:footnoteReference w:id="2"/>
      </w:r>
      <w:r w:rsidR="004A52F5">
        <w:t xml:space="preserve"> One such woman</w:t>
      </w:r>
      <w:r w:rsidR="00D902B7">
        <w:t xml:space="preserve"> was Joan of </w:t>
      </w:r>
      <w:r w:rsidR="00C65719">
        <w:t>Wales</w:t>
      </w:r>
      <w:r w:rsidR="00D902B7">
        <w:t xml:space="preserve">, the subject of </w:t>
      </w:r>
      <w:r w:rsidR="005C075C">
        <w:t>this</w:t>
      </w:r>
      <w:r w:rsidR="00D902B7">
        <w:t xml:space="preserve"> </w:t>
      </w:r>
      <w:r w:rsidR="00233E9D">
        <w:t>study</w:t>
      </w:r>
      <w:r w:rsidR="00D902B7">
        <w:t>.</w:t>
      </w:r>
      <w:r w:rsidR="00D902B7">
        <w:tab/>
      </w:r>
    </w:p>
    <w:p w:rsidR="005057CC" w:rsidRDefault="00D902B7" w:rsidP="00B274AC">
      <w:pPr>
        <w:spacing w:line="360" w:lineRule="auto"/>
        <w:ind w:firstLine="720"/>
      </w:pPr>
      <w:r>
        <w:t xml:space="preserve">Joan, also known as Siwan </w:t>
      </w:r>
      <w:r w:rsidR="003A584F">
        <w:t>to the Welsh</w:t>
      </w:r>
      <w:r>
        <w:t>, occupied a central role in the political and diplomatic life of Wales in the first half of the thirteenth century</w:t>
      </w:r>
      <w:r w:rsidR="00C02B73">
        <w:t xml:space="preserve"> and was instrumental in nurturing Anglo-Welsh relations</w:t>
      </w:r>
      <w:r>
        <w:t xml:space="preserve">. </w:t>
      </w:r>
      <w:r w:rsidR="0066102C">
        <w:t>She was the illegitimate daughter of King John of England, half-sister of Henry III</w:t>
      </w:r>
      <w:r w:rsidR="00C232CE">
        <w:t xml:space="preserve"> of England</w:t>
      </w:r>
      <w:r w:rsidR="0066102C">
        <w:t xml:space="preserve"> and wife of </w:t>
      </w:r>
      <w:proofErr w:type="spellStart"/>
      <w:r w:rsidR="0066102C">
        <w:t>Llywelyn</w:t>
      </w:r>
      <w:proofErr w:type="spellEnd"/>
      <w:r w:rsidR="0066102C">
        <w:t xml:space="preserve"> ap </w:t>
      </w:r>
      <w:proofErr w:type="spellStart"/>
      <w:r w:rsidR="0066102C">
        <w:t>Iorwerth</w:t>
      </w:r>
      <w:proofErr w:type="spellEnd"/>
      <w:r w:rsidR="0066102C">
        <w:t>,</w:t>
      </w:r>
      <w:r w:rsidR="00FD7419">
        <w:t xml:space="preserve"> </w:t>
      </w:r>
      <w:r w:rsidR="00C232CE">
        <w:t>prince of Gwynedd in North Wales</w:t>
      </w:r>
      <w:r w:rsidR="0012570A">
        <w:t xml:space="preserve"> </w:t>
      </w:r>
      <w:r w:rsidR="00C13C31">
        <w:t>and arguably the most powerful medieval Welsh ruler</w:t>
      </w:r>
      <w:r w:rsidR="00C232CE">
        <w:t>.</w:t>
      </w:r>
      <w:r w:rsidR="005B04AB">
        <w:rPr>
          <w:rStyle w:val="FootnoteReference"/>
        </w:rPr>
        <w:footnoteReference w:id="3"/>
      </w:r>
      <w:r w:rsidR="00B53B11">
        <w:t xml:space="preserve"> </w:t>
      </w:r>
      <w:r w:rsidR="00E960B2">
        <w:t>Joan’s</w:t>
      </w:r>
      <w:r w:rsidR="00B53B11">
        <w:t xml:space="preserve"> female forebears</w:t>
      </w:r>
      <w:r w:rsidR="00E251B4">
        <w:t xml:space="preserve"> </w:t>
      </w:r>
      <w:r w:rsidR="00E251B4">
        <w:lastRenderedPageBreak/>
        <w:t>and kinswomen</w:t>
      </w:r>
      <w:r w:rsidR="00B53B11">
        <w:t xml:space="preserve"> were just as distinguished as her male relatives</w:t>
      </w:r>
      <w:r w:rsidR="00E960B2">
        <w:t xml:space="preserve"> and undoubtedly inspired her own political ambition</w:t>
      </w:r>
      <w:r w:rsidR="00A70661">
        <w:t>s</w:t>
      </w:r>
      <w:r w:rsidR="00B53B11">
        <w:t>.</w:t>
      </w:r>
      <w:r w:rsidR="00E251B4">
        <w:t xml:space="preserve"> Joan’s paternal grandmother was the formidable Eleanor of Aquitaine</w:t>
      </w:r>
      <w:r w:rsidR="00986CC5">
        <w:t>,</w:t>
      </w:r>
      <w:r w:rsidR="00343D97">
        <w:t xml:space="preserve"> who was </w:t>
      </w:r>
      <w:r w:rsidR="00986CC5">
        <w:t>renowned for her political acumen and influence.</w:t>
      </w:r>
      <w:r w:rsidR="00986CC5">
        <w:rPr>
          <w:rStyle w:val="FootnoteReference"/>
        </w:rPr>
        <w:footnoteReference w:id="4"/>
      </w:r>
      <w:r w:rsidR="00E251B4">
        <w:t xml:space="preserve"> </w:t>
      </w:r>
      <w:r w:rsidR="00343D97">
        <w:t>She was also directly related to</w:t>
      </w:r>
      <w:r w:rsidR="00E251B4">
        <w:t xml:space="preserve"> the Empress Matilda</w:t>
      </w:r>
      <w:r w:rsidR="00343D97">
        <w:t xml:space="preserve">, </w:t>
      </w:r>
      <w:r w:rsidR="006C291E">
        <w:t xml:space="preserve">famously </w:t>
      </w:r>
      <w:r w:rsidR="00343D97">
        <w:t>the first woman to be named as heir to the English throne</w:t>
      </w:r>
      <w:r w:rsidR="00E251B4">
        <w:t>.</w:t>
      </w:r>
      <w:r w:rsidR="00343D97">
        <w:rPr>
          <w:rStyle w:val="FootnoteReference"/>
        </w:rPr>
        <w:footnoteReference w:id="5"/>
      </w:r>
      <w:r w:rsidR="00A62B16">
        <w:t xml:space="preserve"> </w:t>
      </w:r>
      <w:r w:rsidR="0050779B">
        <w:t xml:space="preserve">Despite her </w:t>
      </w:r>
      <w:r w:rsidR="003A3A69">
        <w:t>elevated</w:t>
      </w:r>
      <w:r w:rsidR="0050779B">
        <w:t xml:space="preserve"> position, many aspects of </w:t>
      </w:r>
      <w:r w:rsidR="004751FA">
        <w:t>Joan’s</w:t>
      </w:r>
      <w:r w:rsidR="0050779B">
        <w:t xml:space="preserve"> life remain unknown or contested</w:t>
      </w:r>
      <w:r w:rsidR="004751FA">
        <w:t>, including her date of birth and birthplace,</w:t>
      </w:r>
      <w:r w:rsidR="00851AD5">
        <w:t xml:space="preserve"> </w:t>
      </w:r>
      <w:r w:rsidR="004751FA">
        <w:t>the identity of her mother</w:t>
      </w:r>
      <w:r w:rsidR="00851AD5">
        <w:t xml:space="preserve">, and the date and location of her marriage to </w:t>
      </w:r>
      <w:proofErr w:type="spellStart"/>
      <w:r w:rsidR="00851AD5">
        <w:t>Llywelyn</w:t>
      </w:r>
      <w:proofErr w:type="spellEnd"/>
      <w:r w:rsidR="004751FA">
        <w:t>.</w:t>
      </w:r>
      <w:r w:rsidR="004751FA">
        <w:rPr>
          <w:rStyle w:val="FootnoteReference"/>
        </w:rPr>
        <w:footnoteReference w:id="6"/>
      </w:r>
      <w:r w:rsidR="00436308">
        <w:t xml:space="preserve"> What is less opaque is the indispensable role she played in the diplomacy of the period. The celebrated Welsh historian John Edward Lloyd acknowledged </w:t>
      </w:r>
      <w:r w:rsidR="005057CC">
        <w:t xml:space="preserve">her importance in his study of the history of Wales published in 1912. When discussing </w:t>
      </w:r>
      <w:proofErr w:type="spellStart"/>
      <w:r w:rsidR="005057CC">
        <w:t>Llywelyn</w:t>
      </w:r>
      <w:proofErr w:type="spellEnd"/>
      <w:r w:rsidR="005057CC">
        <w:t xml:space="preserve"> he noted </w:t>
      </w:r>
      <w:r w:rsidR="00D7336E">
        <w:t>the following:</w:t>
      </w:r>
    </w:p>
    <w:p w:rsidR="005057CC" w:rsidRDefault="005057CC" w:rsidP="00B274AC">
      <w:pPr>
        <w:spacing w:line="360" w:lineRule="auto"/>
        <w:ind w:firstLine="720"/>
      </w:pPr>
    </w:p>
    <w:p w:rsidR="005057CC" w:rsidRPr="006433ED" w:rsidRDefault="005057CC" w:rsidP="005057CC">
      <w:pPr>
        <w:spacing w:line="360" w:lineRule="auto"/>
        <w:ind w:left="720"/>
      </w:pPr>
      <w:r w:rsidRPr="006433ED">
        <w:t>the prince had one emissary whose diplomatic services far outran those of the seneschal and who helped him in this capacity for the greater part of his reign. To the assistance of his wife Joan, both as advocate and counsellor, there can be no doubt he was much indebted</w:t>
      </w:r>
      <w:r w:rsidR="00D7336E">
        <w:t>.</w:t>
      </w:r>
      <w:r w:rsidR="00D7336E">
        <w:rPr>
          <w:rStyle w:val="FootnoteReference"/>
        </w:rPr>
        <w:footnoteReference w:id="7"/>
      </w:r>
    </w:p>
    <w:p w:rsidR="005057CC" w:rsidRDefault="005057CC" w:rsidP="00B274AC">
      <w:pPr>
        <w:spacing w:line="360" w:lineRule="auto"/>
        <w:ind w:firstLine="720"/>
      </w:pPr>
    </w:p>
    <w:p w:rsidR="00B14060" w:rsidRDefault="004E785F" w:rsidP="0050779B">
      <w:pPr>
        <w:spacing w:line="360" w:lineRule="auto"/>
      </w:pPr>
      <w:r>
        <w:t>By taking a chronological approach</w:t>
      </w:r>
      <w:r w:rsidR="004C5EE0">
        <w:t xml:space="preserve"> to Joan’s story</w:t>
      </w:r>
      <w:r>
        <w:t>, t</w:t>
      </w:r>
      <w:r w:rsidR="00CC7A61">
        <w:t xml:space="preserve">his </w:t>
      </w:r>
      <w:r w:rsidR="004C5EE0">
        <w:t xml:space="preserve">essay will </w:t>
      </w:r>
      <w:r w:rsidR="000B7FFC">
        <w:t>consider key moments</w:t>
      </w:r>
      <w:r w:rsidR="008F27AF">
        <w:t xml:space="preserve"> in </w:t>
      </w:r>
      <w:r w:rsidR="004C5EE0">
        <w:t>her</w:t>
      </w:r>
      <w:r w:rsidR="004D6750">
        <w:t xml:space="preserve"> </w:t>
      </w:r>
      <w:r w:rsidR="00CD5D1F">
        <w:t>life</w:t>
      </w:r>
      <w:r w:rsidR="006F57C1">
        <w:t>,</w:t>
      </w:r>
      <w:r w:rsidR="00DC7912">
        <w:t xml:space="preserve"> </w:t>
      </w:r>
      <w:r w:rsidR="00CD5D1F">
        <w:t>with particular attention focused on her political activities</w:t>
      </w:r>
      <w:r w:rsidR="00976C13">
        <w:t>.</w:t>
      </w:r>
      <w:r w:rsidR="00612BCD">
        <w:t xml:space="preserve"> </w:t>
      </w:r>
      <w:r w:rsidR="00ED56FA">
        <w:t>In order to form a clearer picture of who Joan was,</w:t>
      </w:r>
      <w:r w:rsidR="00976C13">
        <w:t xml:space="preserve"> </w:t>
      </w:r>
      <w:r w:rsidR="00ED56FA">
        <w:t>a</w:t>
      </w:r>
      <w:r w:rsidR="00E047FC">
        <w:t>spects of</w:t>
      </w:r>
      <w:r w:rsidR="004D7278">
        <w:t xml:space="preserve"> Welsh</w:t>
      </w:r>
      <w:r w:rsidR="00E047FC">
        <w:t xml:space="preserve"> queenship</w:t>
      </w:r>
      <w:r w:rsidR="002E0443">
        <w:t>, including the expectations associated with her office</w:t>
      </w:r>
      <w:r w:rsidR="0059028B">
        <w:t>,</w:t>
      </w:r>
      <w:r w:rsidR="00E047FC">
        <w:t xml:space="preserve"> will be </w:t>
      </w:r>
      <w:r w:rsidR="00ED56FA">
        <w:t>explored. As</w:t>
      </w:r>
      <w:r w:rsidR="00E047FC">
        <w:t xml:space="preserve"> Joan’s biographer, Danna Messer, recently argued, </w:t>
      </w:r>
      <w:r w:rsidR="00ED56FA">
        <w:t>‘Joan and queenship go hand-in-hand. Both stories are one’.</w:t>
      </w:r>
      <w:r w:rsidR="00ED56FA">
        <w:rPr>
          <w:rStyle w:val="FootnoteReference"/>
        </w:rPr>
        <w:footnoteReference w:id="8"/>
      </w:r>
      <w:r w:rsidR="00E047FC">
        <w:t xml:space="preserve"> </w:t>
      </w:r>
      <w:r w:rsidR="00B14060">
        <w:t xml:space="preserve">Before exploring what is known of Joan’s early life, it is valuable to briefly comment on the major sources for the lives of women in medieval Wales. </w:t>
      </w:r>
    </w:p>
    <w:p w:rsidR="00B14060" w:rsidRDefault="00B14060" w:rsidP="0050779B">
      <w:pPr>
        <w:spacing w:line="360" w:lineRule="auto"/>
      </w:pPr>
    </w:p>
    <w:p w:rsidR="00B14060" w:rsidRPr="0024164E" w:rsidRDefault="00B14060" w:rsidP="0050779B">
      <w:pPr>
        <w:spacing w:line="360" w:lineRule="auto"/>
        <w:rPr>
          <w:b/>
          <w:bCs/>
        </w:rPr>
      </w:pPr>
      <w:r w:rsidRPr="00B14060">
        <w:rPr>
          <w:b/>
          <w:bCs/>
        </w:rPr>
        <w:t>The Sources</w:t>
      </w:r>
    </w:p>
    <w:p w:rsidR="00A041CF" w:rsidRDefault="00B14060" w:rsidP="00B14060">
      <w:pPr>
        <w:spacing w:line="360" w:lineRule="auto"/>
      </w:pPr>
      <w:r>
        <w:lastRenderedPageBreak/>
        <w:t>Details about the lives of medieval Welsh women can be drawn from a range of sources, including Welsh and English chronicles</w:t>
      </w:r>
      <w:r w:rsidR="008E5A06">
        <w:t xml:space="preserve"> and annals, </w:t>
      </w:r>
      <w:r w:rsidR="00485012">
        <w:t>the works of contemporary writers</w:t>
      </w:r>
      <w:r w:rsidR="008E5A06">
        <w:t xml:space="preserve"> such as Gerald of Wales,</w:t>
      </w:r>
      <w:r w:rsidR="006A0C57">
        <w:t xml:space="preserve"> </w:t>
      </w:r>
      <w:r>
        <w:t>charters, letters and other documents issued by the Welsh rulers.</w:t>
      </w:r>
      <w:r w:rsidR="00531447">
        <w:t xml:space="preserve"> The Laws of Hywel </w:t>
      </w:r>
      <w:proofErr w:type="spellStart"/>
      <w:r w:rsidR="00531447">
        <w:t>Dda</w:t>
      </w:r>
      <w:proofErr w:type="spellEnd"/>
      <w:r w:rsidR="00531447">
        <w:t xml:space="preserve"> are also useful,</w:t>
      </w:r>
      <w:r w:rsidR="00A041CF">
        <w:t xml:space="preserve"> </w:t>
      </w:r>
      <w:r w:rsidR="00531447">
        <w:t>as are</w:t>
      </w:r>
      <w:r>
        <w:t xml:space="preserve"> </w:t>
      </w:r>
      <w:r w:rsidR="00531447">
        <w:t>l</w:t>
      </w:r>
      <w:r>
        <w:t>iterary sources</w:t>
      </w:r>
      <w:r w:rsidR="00531447">
        <w:t xml:space="preserve">, such as </w:t>
      </w:r>
      <w:r w:rsidR="00485012">
        <w:t xml:space="preserve">court </w:t>
      </w:r>
      <w:r w:rsidR="00531447">
        <w:t xml:space="preserve">poetry and the </w:t>
      </w:r>
      <w:proofErr w:type="spellStart"/>
      <w:r w:rsidR="00531447">
        <w:t>Mabinogion</w:t>
      </w:r>
      <w:proofErr w:type="spellEnd"/>
      <w:r w:rsidR="00531447">
        <w:t xml:space="preserve">. </w:t>
      </w:r>
      <w:r w:rsidR="00485012">
        <w:t xml:space="preserve">While </w:t>
      </w:r>
      <w:r w:rsidR="008E5A06">
        <w:t>these sources reveal much about Welsh custom and culture,</w:t>
      </w:r>
      <w:r w:rsidR="00F53EF4">
        <w:t xml:space="preserve"> and the position of women in society,</w:t>
      </w:r>
      <w:r w:rsidR="008E5A06">
        <w:t xml:space="preserve"> they do have their limitations. </w:t>
      </w:r>
      <w:r w:rsidR="003D4F6F">
        <w:t xml:space="preserve">For example, the chronicles are not impartial sources and often give contradictory accounts. </w:t>
      </w:r>
      <w:r w:rsidR="0024655D">
        <w:t>Furthermore, t</w:t>
      </w:r>
      <w:r w:rsidR="003D4F6F">
        <w:t>h</w:t>
      </w:r>
      <w:r w:rsidR="004E289E">
        <w:t>ey</w:t>
      </w:r>
      <w:r w:rsidR="003D4F6F">
        <w:t xml:space="preserve"> were </w:t>
      </w:r>
      <w:r w:rsidR="007603C2">
        <w:t>frequently</w:t>
      </w:r>
      <w:r w:rsidR="003D4F6F">
        <w:t xml:space="preserve"> penned</w:t>
      </w:r>
      <w:r w:rsidR="004E289E">
        <w:t xml:space="preserve"> by monks</w:t>
      </w:r>
      <w:r w:rsidR="003D4F6F">
        <w:t xml:space="preserve"> </w:t>
      </w:r>
      <w:r w:rsidR="004E289E">
        <w:t xml:space="preserve">who held very particular, and </w:t>
      </w:r>
      <w:r w:rsidR="0024655D">
        <w:t>often</w:t>
      </w:r>
      <w:r w:rsidR="004E289E">
        <w:t xml:space="preserve"> uncomplimentary, view</w:t>
      </w:r>
      <w:r w:rsidR="0024655D">
        <w:t>s</w:t>
      </w:r>
      <w:r w:rsidR="004E289E">
        <w:t xml:space="preserve"> o</w:t>
      </w:r>
      <w:r w:rsidR="0024655D">
        <w:t>n</w:t>
      </w:r>
      <w:r w:rsidR="004E289E">
        <w:t xml:space="preserve"> women.</w:t>
      </w:r>
      <w:r w:rsidR="00A041CF">
        <w:t xml:space="preserve"> The events they recorded were also influenced by</w:t>
      </w:r>
      <w:r w:rsidR="006A0C57">
        <w:t xml:space="preserve"> </w:t>
      </w:r>
      <w:r w:rsidR="00A041CF">
        <w:t>patrons</w:t>
      </w:r>
      <w:r w:rsidR="006A0C57">
        <w:t xml:space="preserve">, who wielded significant influence within monastic communities. Literary sources </w:t>
      </w:r>
      <w:r w:rsidR="00CB17CB">
        <w:t xml:space="preserve">are similarly problematic, as they </w:t>
      </w:r>
      <w:r w:rsidR="005D54D9">
        <w:t>revolve around</w:t>
      </w:r>
      <w:r w:rsidR="00CB17CB">
        <w:t xml:space="preserve"> fictional characters</w:t>
      </w:r>
      <w:r w:rsidR="005D54D9">
        <w:t xml:space="preserve"> and events, and </w:t>
      </w:r>
      <w:r w:rsidR="00F73CCE">
        <w:t>may</w:t>
      </w:r>
      <w:r w:rsidR="005D54D9">
        <w:t xml:space="preserve"> reflect cultural ideals and attit</w:t>
      </w:r>
      <w:r w:rsidR="00F73CCE">
        <w:t>udes</w:t>
      </w:r>
      <w:r w:rsidR="005D54D9">
        <w:t xml:space="preserve"> rather than reality</w:t>
      </w:r>
      <w:r w:rsidR="00CB17CB">
        <w:t>.</w:t>
      </w:r>
      <w:r w:rsidR="00473C96">
        <w:t xml:space="preserve"> </w:t>
      </w:r>
      <w:r w:rsidR="00617377">
        <w:t>When evaluating a source’s value and reliability,</w:t>
      </w:r>
      <w:r w:rsidR="005D54D9">
        <w:t xml:space="preserve"> </w:t>
      </w:r>
      <w:r w:rsidR="005E1ECB">
        <w:t>its origin</w:t>
      </w:r>
      <w:r w:rsidR="005D54D9">
        <w:t xml:space="preserve"> and the agendas that might be at </w:t>
      </w:r>
      <w:r w:rsidR="00322595">
        <w:t>work</w:t>
      </w:r>
      <w:r w:rsidR="005E1ECB">
        <w:t xml:space="preserve"> are </w:t>
      </w:r>
      <w:r w:rsidR="00D55B11">
        <w:t>critical</w:t>
      </w:r>
      <w:r w:rsidR="005E1ECB">
        <w:t xml:space="preserve"> considerations</w:t>
      </w:r>
      <w:r w:rsidR="00617377">
        <w:t xml:space="preserve">. </w:t>
      </w:r>
    </w:p>
    <w:p w:rsidR="00B14060" w:rsidRPr="0078059A" w:rsidRDefault="00B14060" w:rsidP="0050779B">
      <w:pPr>
        <w:spacing w:line="360" w:lineRule="auto"/>
      </w:pPr>
    </w:p>
    <w:p w:rsidR="0078059A" w:rsidRDefault="0078059A" w:rsidP="0078059A">
      <w:pPr>
        <w:spacing w:line="360" w:lineRule="auto"/>
      </w:pPr>
      <w:r w:rsidRPr="0078059A">
        <w:rPr>
          <w:b/>
          <w:bCs/>
        </w:rPr>
        <w:t>Early Life and Upbringing</w:t>
      </w:r>
    </w:p>
    <w:p w:rsidR="0078059A" w:rsidRDefault="0078059A" w:rsidP="0050779B">
      <w:pPr>
        <w:spacing w:line="360" w:lineRule="auto"/>
      </w:pPr>
    </w:p>
    <w:p w:rsidR="00416A6B" w:rsidRDefault="008212D0" w:rsidP="00EC735C">
      <w:pPr>
        <w:spacing w:line="360" w:lineRule="auto"/>
      </w:pPr>
      <w:r>
        <w:t xml:space="preserve">As previously mentioned, Joan’s exact date of birth is unknown. Messer </w:t>
      </w:r>
      <w:r w:rsidR="00C11E2F">
        <w:t>states</w:t>
      </w:r>
      <w:r>
        <w:t xml:space="preserve"> she was likely born</w:t>
      </w:r>
      <w:r w:rsidR="00C11E2F">
        <w:t xml:space="preserve"> </w:t>
      </w:r>
      <w:r>
        <w:t>in the second half of the 1180s</w:t>
      </w:r>
      <w:r w:rsidR="00C11E2F">
        <w:t>, before her father’s first marriage to Isabella of Gloucester in August 1189.</w:t>
      </w:r>
      <w:r w:rsidR="00C11E2F">
        <w:rPr>
          <w:rStyle w:val="FootnoteReference"/>
        </w:rPr>
        <w:footnoteReference w:id="9"/>
      </w:r>
      <w:r w:rsidR="00C11E2F">
        <w:t xml:space="preserve"> She</w:t>
      </w:r>
      <w:r>
        <w:t xml:space="preserve"> bases this </w:t>
      </w:r>
      <w:r w:rsidR="00C11E2F">
        <w:t xml:space="preserve">assertion on a papal decree issued by Pope </w:t>
      </w:r>
      <w:proofErr w:type="spellStart"/>
      <w:r w:rsidR="00C11E2F">
        <w:t>Honorious</w:t>
      </w:r>
      <w:proofErr w:type="spellEnd"/>
      <w:r w:rsidR="00C11E2F">
        <w:t xml:space="preserve"> III in 1226, in which it is noted that Joan was born out of wedlock</w:t>
      </w:r>
      <w:r w:rsidR="009B67C0">
        <w:t xml:space="preserve"> and that both her parents were unmarried at the time</w:t>
      </w:r>
      <w:r w:rsidR="00C11E2F">
        <w:t>.</w:t>
      </w:r>
      <w:r w:rsidR="00392F60">
        <w:t xml:space="preserve"> </w:t>
      </w:r>
      <w:r w:rsidR="009B67C0">
        <w:t xml:space="preserve">The only other mention of </w:t>
      </w:r>
      <w:r w:rsidR="009A34AE">
        <w:t>her</w:t>
      </w:r>
      <w:r w:rsidR="009B67C0">
        <w:t xml:space="preserve"> mother is found in the Tewkesbury annals</w:t>
      </w:r>
      <w:r w:rsidR="003A608C">
        <w:t>, where</w:t>
      </w:r>
      <w:r w:rsidR="00275AE1">
        <w:t xml:space="preserve"> </w:t>
      </w:r>
      <w:r w:rsidR="00AF0F44">
        <w:t>in the entry</w:t>
      </w:r>
      <w:r w:rsidR="00275AE1">
        <w:t xml:space="preserve"> recording Joan’s death</w:t>
      </w:r>
      <w:r w:rsidR="00776B7E">
        <w:t>,</w:t>
      </w:r>
      <w:r w:rsidR="009A34AE">
        <w:t xml:space="preserve"> </w:t>
      </w:r>
      <w:r w:rsidR="00E8446C">
        <w:t>the author</w:t>
      </w:r>
      <w:r w:rsidR="00275AE1">
        <w:t xml:space="preserve"> </w:t>
      </w:r>
      <w:r w:rsidR="00E8446C">
        <w:t>identifies her as</w:t>
      </w:r>
      <w:r w:rsidR="009A34AE">
        <w:t xml:space="preserve"> ‘Joan Lady of Wales, wife of </w:t>
      </w:r>
      <w:proofErr w:type="spellStart"/>
      <w:r w:rsidR="009A34AE">
        <w:t>Llywelyn</w:t>
      </w:r>
      <w:proofErr w:type="spellEnd"/>
      <w:r w:rsidR="009A34AE">
        <w:t xml:space="preserve">, daughter of </w:t>
      </w:r>
      <w:r w:rsidR="006E1360">
        <w:t>k</w:t>
      </w:r>
      <w:r w:rsidR="009A34AE">
        <w:t xml:space="preserve">ing John and </w:t>
      </w:r>
      <w:r w:rsidR="006E1360">
        <w:t>q</w:t>
      </w:r>
      <w:r w:rsidR="009A34AE">
        <w:t>ueen Clemencia’.</w:t>
      </w:r>
      <w:r w:rsidR="009A34AE">
        <w:rPr>
          <w:rStyle w:val="FootnoteReference"/>
        </w:rPr>
        <w:footnoteReference w:id="10"/>
      </w:r>
      <w:r w:rsidR="006E1360">
        <w:t xml:space="preserve"> Th</w:t>
      </w:r>
      <w:r w:rsidR="00AF0F44">
        <w:t xml:space="preserve">is mysterious entry </w:t>
      </w:r>
      <w:r w:rsidR="006E1360">
        <w:t xml:space="preserve">has caused much debate. </w:t>
      </w:r>
      <w:r w:rsidR="00AF0F44">
        <w:t>As Messer stresses the title ‘queen’</w:t>
      </w:r>
      <w:r w:rsidR="001D790E">
        <w:t xml:space="preserve"> </w:t>
      </w:r>
      <w:r w:rsidR="00AF0F44">
        <w:t>could ‘relate to very different meanings’.</w:t>
      </w:r>
      <w:r w:rsidR="00AF0F44">
        <w:rPr>
          <w:rStyle w:val="FootnoteReference"/>
        </w:rPr>
        <w:footnoteReference w:id="11"/>
      </w:r>
      <w:r w:rsidR="00AF0F44">
        <w:t xml:space="preserve"> While it is not within the remit of this essay to explore these in</w:t>
      </w:r>
      <w:r w:rsidR="00E1349E">
        <w:t xml:space="preserve"> any</w:t>
      </w:r>
      <w:r w:rsidR="00AF0F44">
        <w:t xml:space="preserve"> detail, it is important to </w:t>
      </w:r>
      <w:r w:rsidR="00EA06D9">
        <w:t>note</w:t>
      </w:r>
      <w:r w:rsidR="00C47E9F">
        <w:t xml:space="preserve"> that</w:t>
      </w:r>
      <w:r w:rsidR="00EA06D9">
        <w:t xml:space="preserve"> within the medieval period</w:t>
      </w:r>
      <w:r w:rsidR="00C47E9F">
        <w:t xml:space="preserve"> </w:t>
      </w:r>
      <w:r w:rsidR="00EA06D9">
        <w:t>the word could variously refer to</w:t>
      </w:r>
      <w:r w:rsidR="005940BB">
        <w:t xml:space="preserve"> </w:t>
      </w:r>
      <w:r w:rsidR="00403BF6">
        <w:t>the wife of a king</w:t>
      </w:r>
      <w:r w:rsidR="00C47E9F">
        <w:t>, to a female ruler</w:t>
      </w:r>
      <w:r w:rsidR="00341F42">
        <w:t xml:space="preserve">, </w:t>
      </w:r>
      <w:r w:rsidR="00403BF6">
        <w:t>or even</w:t>
      </w:r>
      <w:r w:rsidR="007956F7">
        <w:t xml:space="preserve"> to</w:t>
      </w:r>
      <w:r w:rsidR="00403BF6">
        <w:t xml:space="preserve"> </w:t>
      </w:r>
      <w:r w:rsidR="00EA06D9">
        <w:t>a</w:t>
      </w:r>
      <w:r w:rsidR="00403BF6">
        <w:t xml:space="preserve"> king’s </w:t>
      </w:r>
      <w:r w:rsidR="00FC6291">
        <w:t>concubine</w:t>
      </w:r>
      <w:r w:rsidR="00C47E9F">
        <w:t>.</w:t>
      </w:r>
      <w:r w:rsidR="00C47E9F">
        <w:rPr>
          <w:rStyle w:val="FootnoteReference"/>
        </w:rPr>
        <w:footnoteReference w:id="12"/>
      </w:r>
      <w:r w:rsidR="007956F7">
        <w:t xml:space="preserve"> </w:t>
      </w:r>
      <w:r w:rsidR="009615E8">
        <w:t>W</w:t>
      </w:r>
      <w:r w:rsidR="00A74BEF">
        <w:t xml:space="preserve">hile it was </w:t>
      </w:r>
      <w:r w:rsidR="00A74BEF">
        <w:lastRenderedPageBreak/>
        <w:t>deemed unacceptable by ecclesiastical officials, concubinage was</w:t>
      </w:r>
      <w:r w:rsidR="006972EC">
        <w:t xml:space="preserve"> nonetheless</w:t>
      </w:r>
      <w:r w:rsidR="00A74BEF">
        <w:t xml:space="preserve"> </w:t>
      </w:r>
      <w:r w:rsidR="009615E8">
        <w:t>commonly practiced in medieval Europe</w:t>
      </w:r>
      <w:r w:rsidR="00FC6291">
        <w:t>.</w:t>
      </w:r>
      <w:r w:rsidR="00127FCF">
        <w:rPr>
          <w:rStyle w:val="FootnoteReference"/>
        </w:rPr>
        <w:footnoteReference w:id="13"/>
      </w:r>
      <w:r w:rsidR="00FC6291">
        <w:t xml:space="preserve"> </w:t>
      </w:r>
      <w:r w:rsidR="00AA7329">
        <w:t>E</w:t>
      </w:r>
      <w:r w:rsidR="004855DE">
        <w:t>arly medieval laws</w:t>
      </w:r>
      <w:r w:rsidR="005E5CC9">
        <w:t xml:space="preserve"> </w:t>
      </w:r>
      <w:r w:rsidR="004855DE">
        <w:t>protected a concubine’s status and in</w:t>
      </w:r>
      <w:r w:rsidR="00A575F1">
        <w:t xml:space="preserve"> many cases</w:t>
      </w:r>
      <w:r w:rsidR="004855DE">
        <w:t xml:space="preserve"> </w:t>
      </w:r>
      <w:r w:rsidR="00BC7041">
        <w:t>vested her with the same legal rights as the formal wife.</w:t>
      </w:r>
      <w:r w:rsidR="0078011C">
        <w:rPr>
          <w:rStyle w:val="FootnoteReference"/>
        </w:rPr>
        <w:footnoteReference w:id="14"/>
      </w:r>
      <w:r w:rsidR="00ED54C9">
        <w:t xml:space="preserve"> Pre-conquest Welsh law texts actually recognised nine legitimate forms of marital unions.</w:t>
      </w:r>
      <w:r w:rsidR="00ED54C9">
        <w:rPr>
          <w:rStyle w:val="FootnoteReference"/>
        </w:rPr>
        <w:footnoteReference w:id="15"/>
      </w:r>
      <w:r w:rsidR="00ED54C9">
        <w:t xml:space="preserve"> </w:t>
      </w:r>
      <w:r w:rsidR="00AA7329">
        <w:t xml:space="preserve">It is possible then that </w:t>
      </w:r>
      <w:r w:rsidR="00A23462">
        <w:t xml:space="preserve">Clemencia </w:t>
      </w:r>
      <w:r w:rsidR="00536D62">
        <w:t>was</w:t>
      </w:r>
      <w:r w:rsidR="00A23462">
        <w:t xml:space="preserve"> referred to as ‘queen’ because she was </w:t>
      </w:r>
      <w:r w:rsidR="00536D62">
        <w:t>known to have had</w:t>
      </w:r>
      <w:r w:rsidR="00A23462">
        <w:t xml:space="preserve"> a sexual relationship with the future King John, not because </w:t>
      </w:r>
      <w:r w:rsidR="00DF40C9">
        <w:t xml:space="preserve">she </w:t>
      </w:r>
      <w:r w:rsidR="00880D86">
        <w:t xml:space="preserve">ever </w:t>
      </w:r>
      <w:r w:rsidR="00DF40C9">
        <w:t>occupied the office of queen in the modern sense.</w:t>
      </w:r>
      <w:r w:rsidR="00ED54C9">
        <w:t xml:space="preserve"> </w:t>
      </w:r>
      <w:r w:rsidR="002908A7">
        <w:t xml:space="preserve">Given that Tewkesbury </w:t>
      </w:r>
      <w:r w:rsidR="00B607ED">
        <w:t>is</w:t>
      </w:r>
      <w:r w:rsidR="002908A7">
        <w:t xml:space="preserve"> located on the Welsh March</w:t>
      </w:r>
      <w:r w:rsidR="00AF5F20">
        <w:t>,</w:t>
      </w:r>
      <w:r w:rsidR="00DF40C9">
        <w:t xml:space="preserve"> </w:t>
      </w:r>
      <w:r w:rsidR="00296F04">
        <w:t>Messer draws attention to the fact that</w:t>
      </w:r>
      <w:r w:rsidR="00AF5F20">
        <w:t xml:space="preserve"> in t</w:t>
      </w:r>
      <w:r w:rsidR="00B607ED">
        <w:t>his</w:t>
      </w:r>
      <w:r w:rsidR="00AF5F20">
        <w:t xml:space="preserve"> </w:t>
      </w:r>
      <w:r w:rsidR="00B607ED">
        <w:t>borderland</w:t>
      </w:r>
      <w:r w:rsidR="00AF5F20">
        <w:t xml:space="preserve"> ‘acculturation of Welsh attitudes towards marriage was inevitable’,</w:t>
      </w:r>
      <w:r w:rsidR="00ED54C9">
        <w:t xml:space="preserve"> </w:t>
      </w:r>
      <w:r w:rsidR="00AF5F20">
        <w:t>therefore</w:t>
      </w:r>
      <w:r w:rsidR="007F20D9">
        <w:t xml:space="preserve"> </w:t>
      </w:r>
      <w:r w:rsidR="00B607ED">
        <w:t>the reference to Clemencia may indeed</w:t>
      </w:r>
      <w:r w:rsidR="00400182">
        <w:t xml:space="preserve"> reflect</w:t>
      </w:r>
      <w:r w:rsidR="00B607ED">
        <w:t xml:space="preserve"> ‘customary attitudes towards royal concubines in Wales’.</w:t>
      </w:r>
      <w:r w:rsidR="00B607ED">
        <w:rPr>
          <w:rStyle w:val="FootnoteReference"/>
        </w:rPr>
        <w:footnoteReference w:id="16"/>
      </w:r>
      <w:r w:rsidR="00B607ED">
        <w:t xml:space="preserve"> </w:t>
      </w:r>
      <w:r w:rsidR="00046025">
        <w:t xml:space="preserve">When considering the reliability of the </w:t>
      </w:r>
      <w:r w:rsidR="00CE152C">
        <w:t>Tewkesbury</w:t>
      </w:r>
      <w:r w:rsidR="00046025">
        <w:t xml:space="preserve"> account, it is</w:t>
      </w:r>
      <w:r w:rsidR="00F60078">
        <w:t xml:space="preserve"> also</w:t>
      </w:r>
      <w:r w:rsidR="00046025">
        <w:t xml:space="preserve"> important to </w:t>
      </w:r>
      <w:r w:rsidR="00453552">
        <w:t>note</w:t>
      </w:r>
      <w:r w:rsidR="00F60078">
        <w:t xml:space="preserve"> that at the time </w:t>
      </w:r>
      <w:r w:rsidR="00E302EB">
        <w:t>it was written</w:t>
      </w:r>
      <w:r w:rsidR="00CE152C">
        <w:t xml:space="preserve">, </w:t>
      </w:r>
      <w:r w:rsidR="00F60078">
        <w:t xml:space="preserve">Henry III, Joan’s half-brother, was king of England and </w:t>
      </w:r>
      <w:proofErr w:type="spellStart"/>
      <w:r w:rsidR="00F60078">
        <w:t>Llywellyn</w:t>
      </w:r>
      <w:proofErr w:type="spellEnd"/>
      <w:r w:rsidR="00C622C5">
        <w:t>, her widower,</w:t>
      </w:r>
      <w:r w:rsidR="00F60078">
        <w:t xml:space="preserve"> </w:t>
      </w:r>
      <w:r w:rsidR="00C622C5">
        <w:t xml:space="preserve">the </w:t>
      </w:r>
      <w:proofErr w:type="spellStart"/>
      <w:r w:rsidR="00C622C5">
        <w:t>defacto</w:t>
      </w:r>
      <w:proofErr w:type="spellEnd"/>
      <w:r w:rsidR="00C622C5">
        <w:t xml:space="preserve"> ruler of Wales</w:t>
      </w:r>
      <w:r w:rsidR="00821A23">
        <w:t xml:space="preserve">. </w:t>
      </w:r>
      <w:r w:rsidR="000941B1">
        <w:t>Therefore, regardless of Clemencia’s status,</w:t>
      </w:r>
      <w:r w:rsidR="00B732FF">
        <w:t xml:space="preserve"> the monk may have felt it prudent to bestow the title of queen on </w:t>
      </w:r>
      <w:r w:rsidR="003239EE">
        <w:t>her to emphasise Joan’s</w:t>
      </w:r>
      <w:r w:rsidR="00F7045D">
        <w:t xml:space="preserve"> own</w:t>
      </w:r>
      <w:r w:rsidR="003239EE">
        <w:t xml:space="preserve"> legitimacy and royal </w:t>
      </w:r>
      <w:r w:rsidR="000B60B8">
        <w:t xml:space="preserve">status. </w:t>
      </w:r>
      <w:r w:rsidR="008D3EF8">
        <w:t>Given that Joan’s mother is only mentioned twice in the sources, s</w:t>
      </w:r>
      <w:r w:rsidR="00416A6B">
        <w:t xml:space="preserve">peculation abounds as to the exact identity of the mysterious ‘queen Clemencia’. A number of contenders have been proposed, including Clemence </w:t>
      </w:r>
      <w:proofErr w:type="spellStart"/>
      <w:r w:rsidR="00416A6B">
        <w:t>Pinel</w:t>
      </w:r>
      <w:proofErr w:type="spellEnd"/>
      <w:r w:rsidR="00416A6B">
        <w:t>; Agatha de Ferrers;</w:t>
      </w:r>
      <w:r w:rsidR="009F7673">
        <w:t xml:space="preserve"> and</w:t>
      </w:r>
      <w:r w:rsidR="00416A6B">
        <w:t xml:space="preserve"> Constance, duchess of Brittany</w:t>
      </w:r>
      <w:r w:rsidR="009F7673">
        <w:t>.</w:t>
      </w:r>
      <w:r w:rsidR="009F7673">
        <w:rPr>
          <w:rStyle w:val="FootnoteReference"/>
        </w:rPr>
        <w:footnoteReference w:id="17"/>
      </w:r>
      <w:r w:rsidR="009F7673">
        <w:t xml:space="preserve"> Messer has, however, recently argued against these identifications, instead proposing</w:t>
      </w:r>
      <w:r w:rsidR="00EC735C">
        <w:t xml:space="preserve"> that</w:t>
      </w:r>
      <w:r w:rsidR="009F7673">
        <w:t xml:space="preserve"> </w:t>
      </w:r>
      <w:proofErr w:type="spellStart"/>
      <w:r w:rsidR="00EC735C" w:rsidRPr="00EC735C">
        <w:t>Clémence</w:t>
      </w:r>
      <w:proofErr w:type="spellEnd"/>
      <w:r w:rsidR="00EC735C" w:rsidRPr="00EC735C">
        <w:t xml:space="preserve"> de </w:t>
      </w:r>
      <w:proofErr w:type="spellStart"/>
      <w:r w:rsidR="00EC735C" w:rsidRPr="00EC735C">
        <w:t>Fougères</w:t>
      </w:r>
      <w:proofErr w:type="spellEnd"/>
      <w:r w:rsidR="00EC735C">
        <w:t xml:space="preserve">, the second wife of </w:t>
      </w:r>
      <w:proofErr w:type="spellStart"/>
      <w:r w:rsidR="00EC735C">
        <w:t>Ranulf</w:t>
      </w:r>
      <w:proofErr w:type="spellEnd"/>
      <w:r w:rsidR="00EC735C">
        <w:t xml:space="preserve"> of Chester, and Clemence de Verdun, wife of Nicholas de Verdun, are the ‘stronger candidates for Joan’s mother’.</w:t>
      </w:r>
      <w:r w:rsidR="00EC735C">
        <w:rPr>
          <w:rStyle w:val="FootnoteReference"/>
        </w:rPr>
        <w:footnoteReference w:id="18"/>
      </w:r>
      <w:r w:rsidR="00973F13">
        <w:t xml:space="preserve"> </w:t>
      </w:r>
    </w:p>
    <w:p w:rsidR="00B3316A" w:rsidRDefault="00973F13" w:rsidP="001A7B90">
      <w:pPr>
        <w:spacing w:line="360" w:lineRule="auto"/>
      </w:pPr>
      <w:r>
        <w:tab/>
        <w:t xml:space="preserve">Speculation on Joan’s parentage aside, what else do we know about her early years? </w:t>
      </w:r>
      <w:r w:rsidR="00875E02">
        <w:t xml:space="preserve">Details are frustratingly sparse, but </w:t>
      </w:r>
      <w:r w:rsidR="00BB064F">
        <w:t>she may have been</w:t>
      </w:r>
      <w:r w:rsidR="00875E02">
        <w:t xml:space="preserve"> born in </w:t>
      </w:r>
      <w:r w:rsidR="00BB064F">
        <w:t xml:space="preserve">France, as her father spent </w:t>
      </w:r>
      <w:r w:rsidR="005442B5">
        <w:t xml:space="preserve">a </w:t>
      </w:r>
      <w:r w:rsidR="00747B5A">
        <w:t>great deal of time</w:t>
      </w:r>
      <w:r w:rsidR="00BB064F">
        <w:t xml:space="preserve"> there</w:t>
      </w:r>
      <w:r w:rsidR="00CF720A">
        <w:t xml:space="preserve"> in the late 1180s,</w:t>
      </w:r>
      <w:r w:rsidR="00BB064F">
        <w:t xml:space="preserve"> before </w:t>
      </w:r>
      <w:r w:rsidR="005558F8">
        <w:t>returning to England to marry</w:t>
      </w:r>
      <w:r w:rsidR="00BB064F">
        <w:t xml:space="preserve"> Isabella of Gloucester in 1189.</w:t>
      </w:r>
      <w:r w:rsidR="00CF720A">
        <w:rPr>
          <w:rStyle w:val="FootnoteReference"/>
        </w:rPr>
        <w:footnoteReference w:id="19"/>
      </w:r>
      <w:r w:rsidR="00A13455">
        <w:t xml:space="preserve"> It is</w:t>
      </w:r>
      <w:r w:rsidR="001E4077">
        <w:t xml:space="preserve"> also</w:t>
      </w:r>
      <w:r w:rsidR="00A13455">
        <w:t xml:space="preserve"> possible that she was raised in </w:t>
      </w:r>
      <w:r w:rsidR="00F013A1">
        <w:t>Normandy</w:t>
      </w:r>
      <w:r w:rsidR="00A13455">
        <w:t xml:space="preserve">, as she is first </w:t>
      </w:r>
      <w:r w:rsidR="00A13455">
        <w:lastRenderedPageBreak/>
        <w:t>recorded in the sources in 1203, when she sailed from Normandy to England.</w:t>
      </w:r>
      <w:r w:rsidR="00A07151">
        <w:rPr>
          <w:rStyle w:val="FootnoteReference"/>
        </w:rPr>
        <w:footnoteReference w:id="20"/>
      </w:r>
      <w:r w:rsidR="00544581">
        <w:t xml:space="preserve"> A </w:t>
      </w:r>
      <w:r w:rsidR="00E439AF">
        <w:t>grant made by King John</w:t>
      </w:r>
      <w:r w:rsidR="005442B5">
        <w:t xml:space="preserve"> in February 1203</w:t>
      </w:r>
      <w:r w:rsidR="00E439AF">
        <w:t xml:space="preserve"> to </w:t>
      </w:r>
      <w:r w:rsidR="005442B5" w:rsidRPr="005442B5">
        <w:t>the Abbey of Our Lady of Fontaine-</w:t>
      </w:r>
      <w:proofErr w:type="spellStart"/>
      <w:r w:rsidR="005442B5" w:rsidRPr="005442B5">
        <w:t>Guérard</w:t>
      </w:r>
      <w:proofErr w:type="spellEnd"/>
      <w:r w:rsidR="005442B5">
        <w:t xml:space="preserve"> in Normandy, may indicate that Joan was raised</w:t>
      </w:r>
      <w:r w:rsidR="00DF3149">
        <w:t xml:space="preserve"> </w:t>
      </w:r>
      <w:r w:rsidR="00747B5A">
        <w:t>in the convent</w:t>
      </w:r>
      <w:r w:rsidR="005442B5">
        <w:t xml:space="preserve"> and educated by the nuns.</w:t>
      </w:r>
      <w:r w:rsidR="005442B5">
        <w:rPr>
          <w:rStyle w:val="FootnoteReference"/>
        </w:rPr>
        <w:footnoteReference w:id="21"/>
      </w:r>
      <w:r w:rsidR="00202ADB">
        <w:t xml:space="preserve"> </w:t>
      </w:r>
      <w:r w:rsidR="0046644A">
        <w:t>This would certainly not have been uncommon for the time.</w:t>
      </w:r>
      <w:r w:rsidR="00C4552C">
        <w:t xml:space="preserve"> Women of Joan’s status </w:t>
      </w:r>
      <w:r w:rsidR="00EF037F">
        <w:t xml:space="preserve">were </w:t>
      </w:r>
      <w:r w:rsidR="00B3316A">
        <w:t>usually either</w:t>
      </w:r>
      <w:r w:rsidR="00C4552C">
        <w:t xml:space="preserve"> educated in nunneries or in great households.</w:t>
      </w:r>
      <w:r w:rsidR="00EF037F">
        <w:rPr>
          <w:rStyle w:val="FootnoteReference"/>
        </w:rPr>
        <w:footnoteReference w:id="22"/>
      </w:r>
      <w:r w:rsidR="00EA3918">
        <w:t xml:space="preserve"> </w:t>
      </w:r>
      <w:r w:rsidR="00B3316A">
        <w:t xml:space="preserve">If Joan was educated at </w:t>
      </w:r>
      <w:r w:rsidR="00B3316A" w:rsidRPr="005442B5">
        <w:t>Fontaine-</w:t>
      </w:r>
      <w:proofErr w:type="spellStart"/>
      <w:r w:rsidR="00B3316A" w:rsidRPr="005442B5">
        <w:t>Guérard</w:t>
      </w:r>
      <w:proofErr w:type="spellEnd"/>
      <w:r w:rsidR="00B3316A">
        <w:t xml:space="preserve">, what might she have learned there? According to Shirley Kersey, the usual convent curriculum </w:t>
      </w:r>
      <w:r w:rsidR="00596295">
        <w:t>was quite extensive and consisted of:</w:t>
      </w:r>
    </w:p>
    <w:p w:rsidR="00596295" w:rsidRDefault="00596295" w:rsidP="001A7B90">
      <w:pPr>
        <w:spacing w:line="360" w:lineRule="auto"/>
      </w:pPr>
    </w:p>
    <w:p w:rsidR="00596295" w:rsidRDefault="00B3316A" w:rsidP="00896D2B">
      <w:pPr>
        <w:spacing w:line="360" w:lineRule="auto"/>
        <w:ind w:left="720"/>
      </w:pPr>
      <w:r w:rsidRPr="00B3316A">
        <w:t>Latin reading and writing, religion, embroidery, spinning, weaving, painting, morals, manners, and music</w:t>
      </w:r>
      <w:r w:rsidR="00596295">
        <w:t xml:space="preserve"> …</w:t>
      </w:r>
      <w:r w:rsidRPr="00B3316A">
        <w:t xml:space="preserve"> Some nunneries offered a study of law while others taught the classical writers. Still others included in their curricula the Greek language</w:t>
      </w:r>
      <w:r>
        <w:t xml:space="preserve"> </w:t>
      </w:r>
      <w:r w:rsidRPr="00B3316A">
        <w:t>and the Greek Seven Liberal Arts: grammar, dialectic, rhetoric, music, arithmetic, geometry, and astronomy.</w:t>
      </w:r>
      <w:r w:rsidR="00596295">
        <w:rPr>
          <w:rStyle w:val="FootnoteReference"/>
        </w:rPr>
        <w:footnoteReference w:id="23"/>
      </w:r>
      <w:r w:rsidRPr="00B3316A">
        <w:t xml:space="preserve"> </w:t>
      </w:r>
    </w:p>
    <w:p w:rsidR="009B150C" w:rsidRDefault="009B150C" w:rsidP="001A7B90">
      <w:pPr>
        <w:spacing w:line="360" w:lineRule="auto"/>
      </w:pPr>
    </w:p>
    <w:p w:rsidR="008D781F" w:rsidRDefault="00A66E7F" w:rsidP="00913693">
      <w:pPr>
        <w:spacing w:line="360" w:lineRule="auto"/>
      </w:pPr>
      <w:r>
        <w:t>There also exists the possibility that Joan was raised in one of her father’s households in Normandy</w:t>
      </w:r>
      <w:r w:rsidR="00913693">
        <w:t xml:space="preserve"> or</w:t>
      </w:r>
      <w:r>
        <w:t xml:space="preserve"> even in the queen’s own household. </w:t>
      </w:r>
      <w:r w:rsidR="00913693">
        <w:t xml:space="preserve">Following the annulment of King John’s first marriage to Isabella of Gloucester, he married </w:t>
      </w:r>
      <w:r w:rsidR="00913693" w:rsidRPr="00913693">
        <w:t xml:space="preserve">Isabella of </w:t>
      </w:r>
      <w:proofErr w:type="spellStart"/>
      <w:r w:rsidR="00913693" w:rsidRPr="00913693">
        <w:t>Angoulême</w:t>
      </w:r>
      <w:proofErr w:type="spellEnd"/>
      <w:r w:rsidR="00913693">
        <w:t xml:space="preserve"> in August 1200.</w:t>
      </w:r>
      <w:r w:rsidR="00913693">
        <w:rPr>
          <w:rStyle w:val="FootnoteReference"/>
        </w:rPr>
        <w:footnoteReference w:id="24"/>
      </w:r>
      <w:r w:rsidR="008E026B">
        <w:t xml:space="preserve"> If Joan was raised at court, it </w:t>
      </w:r>
      <w:r w:rsidR="00CD0EAA">
        <w:t xml:space="preserve">is probably there that she began developing </w:t>
      </w:r>
      <w:r w:rsidR="008E026B">
        <w:t>the diplomatic skills</w:t>
      </w:r>
      <w:r w:rsidR="00CD0EAA">
        <w:t xml:space="preserve"> </w:t>
      </w:r>
      <w:r w:rsidR="001C6F53">
        <w:t>she would become renowned for</w:t>
      </w:r>
      <w:r w:rsidR="00CD0EAA">
        <w:t xml:space="preserve">. </w:t>
      </w:r>
      <w:r w:rsidR="00653090">
        <w:t>A courtly education would</w:t>
      </w:r>
      <w:r w:rsidR="00CD0EAA">
        <w:t xml:space="preserve"> </w:t>
      </w:r>
      <w:r w:rsidR="00653090">
        <w:t>have included lessons in reading, writing and deportment</w:t>
      </w:r>
      <w:r w:rsidR="00B7703F">
        <w:t xml:space="preserve"> and </w:t>
      </w:r>
      <w:r w:rsidR="00267DAD">
        <w:t>focused</w:t>
      </w:r>
      <w:r w:rsidR="00BC6412">
        <w:t xml:space="preserve"> on developing</w:t>
      </w:r>
      <w:r w:rsidR="00B71280">
        <w:t xml:space="preserve"> other highly-prized skills such as hawking, playing chess,</w:t>
      </w:r>
      <w:r w:rsidR="001346A4">
        <w:t xml:space="preserve"> verbal repartee,</w:t>
      </w:r>
      <w:r w:rsidR="00B71280">
        <w:t xml:space="preserve"> singing and playing musical instruments.</w:t>
      </w:r>
      <w:r w:rsidR="00BC6412">
        <w:rPr>
          <w:rStyle w:val="FootnoteReference"/>
        </w:rPr>
        <w:footnoteReference w:id="25"/>
      </w:r>
      <w:r w:rsidR="002D4E13">
        <w:t xml:space="preserve"> </w:t>
      </w:r>
      <w:r w:rsidR="001B1229">
        <w:t xml:space="preserve">These more refined skills </w:t>
      </w:r>
      <w:r w:rsidR="00750429">
        <w:t xml:space="preserve">were also part of the education that women received under fosterage in </w:t>
      </w:r>
      <w:r w:rsidR="00750429">
        <w:lastRenderedPageBreak/>
        <w:t xml:space="preserve">great households. </w:t>
      </w:r>
      <w:r w:rsidR="008C0B72">
        <w:t xml:space="preserve">This educational setting would </w:t>
      </w:r>
      <w:r w:rsidR="001346A4">
        <w:t>have additionally</w:t>
      </w:r>
      <w:r w:rsidR="008C0B72">
        <w:t xml:space="preserve"> provided </w:t>
      </w:r>
      <w:r w:rsidR="001346A4">
        <w:t xml:space="preserve">noble and aristocratic </w:t>
      </w:r>
      <w:r w:rsidR="00EE54F9">
        <w:t>girls</w:t>
      </w:r>
      <w:r w:rsidR="008C0B72">
        <w:t xml:space="preserve"> </w:t>
      </w:r>
      <w:r w:rsidR="001622F4">
        <w:t>opportunities</w:t>
      </w:r>
      <w:r w:rsidR="008C0B72">
        <w:t xml:space="preserve"> to learn</w:t>
      </w:r>
      <w:r w:rsidR="00750429">
        <w:t xml:space="preserve"> administrative and household management skills</w:t>
      </w:r>
      <w:r w:rsidR="001622F4">
        <w:t>, which were essential for</w:t>
      </w:r>
      <w:r w:rsidR="00EE54F9">
        <w:t xml:space="preserve"> those</w:t>
      </w:r>
      <w:r w:rsidR="00A71DB1">
        <w:t xml:space="preserve"> </w:t>
      </w:r>
      <w:r w:rsidR="00EE54F9">
        <w:t>‘</w:t>
      </w:r>
      <w:r w:rsidR="001622F4">
        <w:t>destined to marry into vast lordship estates’.</w:t>
      </w:r>
      <w:r w:rsidR="001622F4">
        <w:rPr>
          <w:rStyle w:val="FootnoteReference"/>
        </w:rPr>
        <w:footnoteReference w:id="26"/>
      </w:r>
      <w:r w:rsidR="00102535">
        <w:t xml:space="preserve"> </w:t>
      </w:r>
      <w:r w:rsidR="003154E5">
        <w:t>Regardless of where Joan was raised, she undoubtedly received an education commensurate with her royal status</w:t>
      </w:r>
      <w:r w:rsidR="005E4717">
        <w:t xml:space="preserve"> and one designed to prepare her for her future in Wales, as the wife of </w:t>
      </w:r>
      <w:proofErr w:type="spellStart"/>
      <w:r w:rsidR="005E4717" w:rsidRPr="005E4717">
        <w:t>Llywelyn</w:t>
      </w:r>
      <w:proofErr w:type="spellEnd"/>
      <w:r w:rsidR="005E4717" w:rsidRPr="005E4717">
        <w:t xml:space="preserve"> ap </w:t>
      </w:r>
      <w:proofErr w:type="spellStart"/>
      <w:r w:rsidR="005E4717" w:rsidRPr="005E4717">
        <w:t>Iorwerth</w:t>
      </w:r>
      <w:proofErr w:type="spellEnd"/>
      <w:r w:rsidR="005E4717">
        <w:t xml:space="preserve">. </w:t>
      </w:r>
    </w:p>
    <w:p w:rsidR="00FD0175" w:rsidRDefault="00FD0175" w:rsidP="00913693">
      <w:pPr>
        <w:spacing w:line="360" w:lineRule="auto"/>
      </w:pPr>
    </w:p>
    <w:p w:rsidR="00FD0175" w:rsidRDefault="009D5460" w:rsidP="00913693">
      <w:pPr>
        <w:spacing w:line="360" w:lineRule="auto"/>
      </w:pPr>
      <w:r>
        <w:rPr>
          <w:b/>
          <w:bCs/>
        </w:rPr>
        <w:t>An Anglo-Welsh Agreement and</w:t>
      </w:r>
      <w:r w:rsidR="008F337F">
        <w:rPr>
          <w:b/>
          <w:bCs/>
        </w:rPr>
        <w:t xml:space="preserve"> a</w:t>
      </w:r>
      <w:r>
        <w:rPr>
          <w:b/>
          <w:bCs/>
        </w:rPr>
        <w:t xml:space="preserve"> </w:t>
      </w:r>
      <w:r w:rsidR="00125D2E">
        <w:rPr>
          <w:b/>
          <w:bCs/>
        </w:rPr>
        <w:t>Betrothal</w:t>
      </w:r>
      <w:r w:rsidR="008D10E9">
        <w:rPr>
          <w:b/>
          <w:bCs/>
        </w:rPr>
        <w:t xml:space="preserve"> </w:t>
      </w:r>
    </w:p>
    <w:p w:rsidR="000832B4" w:rsidRDefault="000832B4" w:rsidP="00913693">
      <w:pPr>
        <w:spacing w:line="360" w:lineRule="auto"/>
      </w:pPr>
    </w:p>
    <w:p w:rsidR="001F0E0A" w:rsidRDefault="00743F97" w:rsidP="001F0E0A">
      <w:pPr>
        <w:spacing w:line="360" w:lineRule="auto"/>
      </w:pPr>
      <w:r>
        <w:t>In the Middle Ages,</w:t>
      </w:r>
      <w:r w:rsidR="008D6E65">
        <w:t xml:space="preserve"> kings used </w:t>
      </w:r>
      <w:r w:rsidR="00D7338B">
        <w:t>their own marriages and those of their children</w:t>
      </w:r>
      <w:r w:rsidR="008D6E65">
        <w:t xml:space="preserve"> to further their political agendas,</w:t>
      </w:r>
      <w:r w:rsidR="00D7338B">
        <w:t xml:space="preserve"> </w:t>
      </w:r>
      <w:r w:rsidR="008D6E65">
        <w:t>create and solidify alliances</w:t>
      </w:r>
      <w:r w:rsidR="004168D1">
        <w:t>,</w:t>
      </w:r>
      <w:r w:rsidR="008D6E65">
        <w:t xml:space="preserve"> and strengthen their political power and influence. Elizabeth Thomas </w:t>
      </w:r>
      <w:r w:rsidR="00BD02AE">
        <w:t>argues</w:t>
      </w:r>
      <w:r w:rsidR="008D6E65">
        <w:t xml:space="preserve"> that in England in the twelfth and thirteenth centuries, most royal marriages were predicated </w:t>
      </w:r>
      <w:r w:rsidR="004168D1">
        <w:t>around</w:t>
      </w:r>
      <w:r w:rsidR="008D6E65">
        <w:t xml:space="preserve"> </w:t>
      </w:r>
      <w:r w:rsidR="00ED733F">
        <w:t>one primary principle, ‘that being control over the Angevin land-holdings on the continent’.</w:t>
      </w:r>
      <w:r w:rsidR="00ED733F">
        <w:rPr>
          <w:rStyle w:val="FootnoteReference"/>
        </w:rPr>
        <w:footnoteReference w:id="27"/>
      </w:r>
      <w:r w:rsidR="00D7338B">
        <w:t xml:space="preserve"> </w:t>
      </w:r>
      <w:r w:rsidR="006338C2">
        <w:t xml:space="preserve">She also </w:t>
      </w:r>
      <w:r w:rsidR="002615EC">
        <w:t>states</w:t>
      </w:r>
      <w:r w:rsidR="006338C2">
        <w:t xml:space="preserve"> that Joan’s marriage to </w:t>
      </w:r>
      <w:proofErr w:type="spellStart"/>
      <w:r w:rsidR="006338C2">
        <w:t>Llywelyn</w:t>
      </w:r>
      <w:proofErr w:type="spellEnd"/>
      <w:r w:rsidR="006338C2">
        <w:t xml:space="preserve"> was the only royal marriage made with Wales in this period.</w:t>
      </w:r>
      <w:r w:rsidR="00C05A19">
        <w:rPr>
          <w:rStyle w:val="FootnoteReference"/>
        </w:rPr>
        <w:footnoteReference w:id="28"/>
      </w:r>
      <w:r w:rsidR="00FA03F6">
        <w:t xml:space="preserve"> This </w:t>
      </w:r>
      <w:r w:rsidR="001A3132">
        <w:t>assertion</w:t>
      </w:r>
      <w:r w:rsidR="00FA03F6">
        <w:t xml:space="preserve">, however, fails to take into account the marriage of Henry II’s half-sister, Emma, to </w:t>
      </w:r>
      <w:proofErr w:type="spellStart"/>
      <w:r w:rsidR="00FA03F6">
        <w:t>Llywelyn’s</w:t>
      </w:r>
      <w:proofErr w:type="spellEnd"/>
      <w:r w:rsidR="00FA03F6">
        <w:t xml:space="preserve"> predecessor and uncle, </w:t>
      </w:r>
      <w:proofErr w:type="spellStart"/>
      <w:r w:rsidR="00872D4D">
        <w:t>Dafydd</w:t>
      </w:r>
      <w:proofErr w:type="spellEnd"/>
      <w:r w:rsidR="00872D4D">
        <w:t xml:space="preserve"> ab Owain Gwynedd</w:t>
      </w:r>
      <w:r w:rsidR="00816D9E">
        <w:t xml:space="preserve"> in 1174</w:t>
      </w:r>
      <w:r w:rsidR="00872D4D">
        <w:t>.</w:t>
      </w:r>
      <w:r w:rsidR="00C176E5">
        <w:rPr>
          <w:rStyle w:val="FootnoteReference"/>
        </w:rPr>
        <w:footnoteReference w:id="29"/>
      </w:r>
      <w:r w:rsidR="00CF258A">
        <w:t xml:space="preserve"> Certainly more</w:t>
      </w:r>
      <w:r w:rsidR="00412975">
        <w:t xml:space="preserve"> common was</w:t>
      </w:r>
      <w:r w:rsidR="00D25DCD">
        <w:t xml:space="preserve"> </w:t>
      </w:r>
      <w:r w:rsidR="00412975">
        <w:t>i</w:t>
      </w:r>
      <w:r w:rsidR="00403685">
        <w:t>ntermarriage between the Welsh and the Anglo-Norman aristocracy</w:t>
      </w:r>
      <w:r w:rsidR="00DB11F2">
        <w:t>, a practice that</w:t>
      </w:r>
      <w:r w:rsidR="00412975">
        <w:t xml:space="preserve"> </w:t>
      </w:r>
      <w:r w:rsidR="00DB11F2">
        <w:t xml:space="preserve">Rhys ap </w:t>
      </w:r>
      <w:proofErr w:type="spellStart"/>
      <w:r w:rsidR="00DB11F2">
        <w:t>Gruffudd</w:t>
      </w:r>
      <w:proofErr w:type="spellEnd"/>
      <w:r w:rsidR="00DB11F2">
        <w:t>, also known as the Lord Rhys, used</w:t>
      </w:r>
      <w:r w:rsidR="00A860A8">
        <w:t xml:space="preserve"> successfully</w:t>
      </w:r>
      <w:r w:rsidR="00DB11F2">
        <w:t xml:space="preserve"> to expand his dynasty eastwards in the twelfth century. </w:t>
      </w:r>
      <w:r w:rsidR="005B2D7D">
        <w:t xml:space="preserve">He married a number of his children into leading Marcher families. His son </w:t>
      </w:r>
      <w:proofErr w:type="spellStart"/>
      <w:r w:rsidR="001F0E0A" w:rsidRPr="001F0E0A">
        <w:t>Gruffudd</w:t>
      </w:r>
      <w:proofErr w:type="spellEnd"/>
      <w:r w:rsidR="005B2D7D">
        <w:t>, for instance, married</w:t>
      </w:r>
      <w:r w:rsidR="001F0E0A" w:rsidRPr="001F0E0A">
        <w:t xml:space="preserve"> Matilda de </w:t>
      </w:r>
      <w:proofErr w:type="spellStart"/>
      <w:r w:rsidR="001F0E0A" w:rsidRPr="001F0E0A">
        <w:t>Braose</w:t>
      </w:r>
      <w:proofErr w:type="spellEnd"/>
      <w:r w:rsidR="001F0E0A" w:rsidRPr="001F0E0A">
        <w:t>, the daughter of</w:t>
      </w:r>
      <w:r w:rsidR="001F0E0A">
        <w:t xml:space="preserve"> William de </w:t>
      </w:r>
      <w:proofErr w:type="spellStart"/>
      <w:r w:rsidR="001F0E0A">
        <w:t>Braose</w:t>
      </w:r>
      <w:proofErr w:type="spellEnd"/>
      <w:r w:rsidR="001F0E0A">
        <w:t>,</w:t>
      </w:r>
      <w:r w:rsidR="001F0E0A" w:rsidRPr="001F0E0A">
        <w:t xml:space="preserve"> </w:t>
      </w:r>
      <w:r w:rsidR="001F0E0A">
        <w:t>a</w:t>
      </w:r>
      <w:r w:rsidR="001F0E0A" w:rsidRPr="001F0E0A">
        <w:t xml:space="preserve"> </w:t>
      </w:r>
      <w:r w:rsidR="00393B47">
        <w:t>prominent</w:t>
      </w:r>
      <w:r w:rsidR="001F0E0A" w:rsidRPr="001F0E0A">
        <w:t xml:space="preserve"> Marcher lord</w:t>
      </w:r>
      <w:r w:rsidR="001F0E0A">
        <w:t>.</w:t>
      </w:r>
      <w:r w:rsidR="00393B47">
        <w:rPr>
          <w:rStyle w:val="FootnoteReference"/>
        </w:rPr>
        <w:footnoteReference w:id="30"/>
      </w:r>
      <w:r w:rsidR="00D63D03">
        <w:t xml:space="preserve"> </w:t>
      </w:r>
      <w:r w:rsidR="00442200">
        <w:t xml:space="preserve">In the following century, </w:t>
      </w:r>
      <w:r w:rsidR="00D63D03">
        <w:t xml:space="preserve">Joan and </w:t>
      </w:r>
      <w:proofErr w:type="spellStart"/>
      <w:r w:rsidR="00D63D03">
        <w:t>Llywelyn</w:t>
      </w:r>
      <w:proofErr w:type="spellEnd"/>
      <w:r w:rsidR="00D63D03">
        <w:t xml:space="preserve"> </w:t>
      </w:r>
      <w:r w:rsidR="00D94C5D">
        <w:t>would pursue</w:t>
      </w:r>
      <w:r w:rsidR="00D63D03">
        <w:t xml:space="preserve"> a similar policy</w:t>
      </w:r>
      <w:r w:rsidR="007A38DF">
        <w:t xml:space="preserve">, by marrying two of their daughters into the </w:t>
      </w:r>
      <w:proofErr w:type="spellStart"/>
      <w:r w:rsidR="007A38DF">
        <w:t>Braose</w:t>
      </w:r>
      <w:proofErr w:type="spellEnd"/>
      <w:r w:rsidR="007A38DF">
        <w:t xml:space="preserve"> dynasty and another to </w:t>
      </w:r>
      <w:r w:rsidR="00E648BA">
        <w:t xml:space="preserve">John of Scotland, the earl of Huntingdon, ‘sealing the most powerful Marcher-Welsh alliance </w:t>
      </w:r>
      <w:r w:rsidR="00E648BA">
        <w:lastRenderedPageBreak/>
        <w:t>of its time’</w:t>
      </w:r>
      <w:r w:rsidR="00D63D03">
        <w:t>.</w:t>
      </w:r>
      <w:r w:rsidR="00E648BA">
        <w:rPr>
          <w:rStyle w:val="FootnoteReference"/>
        </w:rPr>
        <w:footnoteReference w:id="31"/>
      </w:r>
      <w:r w:rsidR="005850DB">
        <w:t xml:space="preserve"> </w:t>
      </w:r>
      <w:r w:rsidR="00BC544D">
        <w:t>Given the rarity of royal marriages with the Welsh</w:t>
      </w:r>
      <w:r w:rsidR="005850DB">
        <w:t xml:space="preserve">, it is </w:t>
      </w:r>
      <w:r w:rsidR="00BC544D">
        <w:t>valuable</w:t>
      </w:r>
      <w:r w:rsidR="005850DB">
        <w:t xml:space="preserve"> to consider </w:t>
      </w:r>
      <w:r w:rsidR="00D1019C">
        <w:t xml:space="preserve">King </w:t>
      </w:r>
      <w:r w:rsidR="005850DB">
        <w:t xml:space="preserve">John’s reasons for </w:t>
      </w:r>
      <w:r w:rsidR="00567452">
        <w:t>negotiating a marriage alliance</w:t>
      </w:r>
      <w:r w:rsidR="00AE442A">
        <w:t xml:space="preserve"> </w:t>
      </w:r>
      <w:r w:rsidR="00567452">
        <w:t xml:space="preserve">with </w:t>
      </w:r>
      <w:r w:rsidR="003B38EF">
        <w:t>the ruler of Gwynedd</w:t>
      </w:r>
      <w:r w:rsidR="00567452">
        <w:t xml:space="preserve">. </w:t>
      </w:r>
    </w:p>
    <w:p w:rsidR="00035272" w:rsidRDefault="00581405" w:rsidP="00913693">
      <w:pPr>
        <w:spacing w:line="360" w:lineRule="auto"/>
      </w:pPr>
      <w:r>
        <w:tab/>
      </w:r>
      <w:r w:rsidR="00D77596">
        <w:t xml:space="preserve">While space limitations preclude an extensive discussion of </w:t>
      </w:r>
      <w:proofErr w:type="spellStart"/>
      <w:r w:rsidR="00D77596">
        <w:t>Llywelyn’s</w:t>
      </w:r>
      <w:proofErr w:type="spellEnd"/>
      <w:r w:rsidR="00D77596">
        <w:t xml:space="preserve"> rise to power and the complex political landscape of twelfth- and thirteenth-century Wales, it is important to </w:t>
      </w:r>
      <w:r w:rsidR="0011357B">
        <w:t>highlight</w:t>
      </w:r>
      <w:r w:rsidR="00D77596">
        <w:t xml:space="preserve"> a number of points to </w:t>
      </w:r>
      <w:r w:rsidR="0011357B">
        <w:t>provide historical context to the</w:t>
      </w:r>
      <w:r w:rsidR="0098670D">
        <w:t xml:space="preserve"> </w:t>
      </w:r>
      <w:r w:rsidR="0011357B">
        <w:t>negotiations</w:t>
      </w:r>
      <w:r w:rsidR="0098670D">
        <w:t xml:space="preserve"> and, more broadly, to Joan’s life. </w:t>
      </w:r>
      <w:r w:rsidR="00C145B5">
        <w:t>As R. R. Davies relates, ‘by the late twelfth century the map of political power in Wales had largely assumed the shape it was to retain until the Edwardian Conquest’.</w:t>
      </w:r>
      <w:r w:rsidR="00C145B5">
        <w:rPr>
          <w:rStyle w:val="FootnoteReference"/>
        </w:rPr>
        <w:footnoteReference w:id="32"/>
      </w:r>
      <w:r w:rsidR="00CE3095">
        <w:t xml:space="preserve"> Native Wales was divided into a number of separate kingdoms or principalities, ruled by independent princes, also commonly referred to as kings. The largest</w:t>
      </w:r>
      <w:r w:rsidR="00CD7788">
        <w:t xml:space="preserve"> and most powerful</w:t>
      </w:r>
      <w:r w:rsidR="00CE3095">
        <w:t xml:space="preserve"> of these were Gwynedd</w:t>
      </w:r>
      <w:r w:rsidR="00A4068C">
        <w:t xml:space="preserve"> in the north</w:t>
      </w:r>
      <w:r w:rsidR="00CE3095">
        <w:t>, Powys</w:t>
      </w:r>
      <w:r w:rsidR="00A4068C">
        <w:t xml:space="preserve"> in central Wales</w:t>
      </w:r>
      <w:r w:rsidR="00CE3095">
        <w:t xml:space="preserve"> and </w:t>
      </w:r>
      <w:proofErr w:type="spellStart"/>
      <w:r w:rsidR="00CE3095">
        <w:t>Deheubarth</w:t>
      </w:r>
      <w:proofErr w:type="spellEnd"/>
      <w:r w:rsidR="00A4068C">
        <w:t xml:space="preserve"> in the south-west</w:t>
      </w:r>
      <w:r w:rsidR="00CE3095">
        <w:t>, although</w:t>
      </w:r>
      <w:r w:rsidR="00CD7788">
        <w:t xml:space="preserve"> the latter lost its predominant position</w:t>
      </w:r>
      <w:r w:rsidR="00CE3095">
        <w:t xml:space="preserve"> following the death of Lord Rhys,</w:t>
      </w:r>
      <w:r w:rsidR="00CD7788">
        <w:t xml:space="preserve"> </w:t>
      </w:r>
      <w:r w:rsidR="00C1493D">
        <w:t xml:space="preserve">the </w:t>
      </w:r>
      <w:r w:rsidR="00CD7788">
        <w:t>ruler of the region, in 1197.</w:t>
      </w:r>
      <w:r w:rsidR="00BF3DC4">
        <w:t xml:space="preserve"> Thereby leaving </w:t>
      </w:r>
      <w:proofErr w:type="spellStart"/>
      <w:r w:rsidR="00BF3DC4" w:rsidRPr="001915C1">
        <w:t>Gwenwynwyn</w:t>
      </w:r>
      <w:proofErr w:type="spellEnd"/>
      <w:r w:rsidR="00BF3DC4">
        <w:t xml:space="preserve">, the </w:t>
      </w:r>
      <w:r w:rsidR="00B16EB2">
        <w:t>prince</w:t>
      </w:r>
      <w:r w:rsidR="00BF3DC4">
        <w:t xml:space="preserve"> of</w:t>
      </w:r>
      <w:r w:rsidR="00CD7788">
        <w:t xml:space="preserve"> </w:t>
      </w:r>
      <w:r w:rsidR="00BF3DC4">
        <w:t xml:space="preserve">Powys, </w:t>
      </w:r>
      <w:r w:rsidR="00461C02">
        <w:t xml:space="preserve">and </w:t>
      </w:r>
      <w:proofErr w:type="spellStart"/>
      <w:r w:rsidR="00BF3DC4">
        <w:t>Llywely</w:t>
      </w:r>
      <w:r w:rsidR="00461C02">
        <w:t>n</w:t>
      </w:r>
      <w:proofErr w:type="spellEnd"/>
      <w:r w:rsidR="00BF3DC4">
        <w:t xml:space="preserve">, prince of Gwynedd, </w:t>
      </w:r>
      <w:r w:rsidR="00461C02">
        <w:t>to vie with each</w:t>
      </w:r>
      <w:r w:rsidR="00E855BB">
        <w:t xml:space="preserve"> </w:t>
      </w:r>
      <w:r w:rsidR="00461C02">
        <w:t xml:space="preserve">other for </w:t>
      </w:r>
      <w:r w:rsidR="008E4AE6">
        <w:t>supremacy</w:t>
      </w:r>
      <w:r w:rsidR="00BF3DC4">
        <w:t>.</w:t>
      </w:r>
      <w:r w:rsidR="00037A78">
        <w:t xml:space="preserve"> </w:t>
      </w:r>
      <w:proofErr w:type="spellStart"/>
      <w:r w:rsidR="00037A78">
        <w:t>Llywelyn</w:t>
      </w:r>
      <w:proofErr w:type="spellEnd"/>
      <w:r w:rsidR="00037A78">
        <w:t xml:space="preserve"> eventually emerged successful and Gwynedd</w:t>
      </w:r>
      <w:r w:rsidR="00AD3C95">
        <w:t>, under his leadership,</w:t>
      </w:r>
      <w:r w:rsidR="00037A78">
        <w:t xml:space="preserve"> ‘came to secure a measure of sustained hegemony’.</w:t>
      </w:r>
      <w:r w:rsidR="00037A78">
        <w:rPr>
          <w:rStyle w:val="FootnoteReference"/>
        </w:rPr>
        <w:footnoteReference w:id="33"/>
      </w:r>
      <w:r w:rsidR="00B101FB">
        <w:t xml:space="preserve"> </w:t>
      </w:r>
      <w:r w:rsidR="00B26E8C">
        <w:t xml:space="preserve">Importantly, </w:t>
      </w:r>
      <w:proofErr w:type="spellStart"/>
      <w:r w:rsidR="00B26E8C">
        <w:t>Llywelyn</w:t>
      </w:r>
      <w:proofErr w:type="spellEnd"/>
      <w:r w:rsidR="009669D8">
        <w:t xml:space="preserve">, like </w:t>
      </w:r>
      <w:r w:rsidR="00B26E8C">
        <w:t xml:space="preserve">his </w:t>
      </w:r>
      <w:proofErr w:type="spellStart"/>
      <w:r w:rsidR="00B26E8C">
        <w:t>Venedotian</w:t>
      </w:r>
      <w:proofErr w:type="spellEnd"/>
      <w:r w:rsidR="00B26E8C">
        <w:t xml:space="preserve"> </w:t>
      </w:r>
      <w:r w:rsidR="009669D8">
        <w:t>predecessors, acknowledged English suzerainty.</w:t>
      </w:r>
      <w:r w:rsidR="009669D8">
        <w:rPr>
          <w:rStyle w:val="FootnoteReference"/>
        </w:rPr>
        <w:footnoteReference w:id="34"/>
      </w:r>
      <w:r w:rsidR="009669D8">
        <w:t xml:space="preserve"> </w:t>
      </w:r>
      <w:r w:rsidR="00B101FB">
        <w:t xml:space="preserve">It is also </w:t>
      </w:r>
      <w:r w:rsidR="00630837">
        <w:t>salient</w:t>
      </w:r>
      <w:r w:rsidR="00B101FB">
        <w:t xml:space="preserve"> to recognise that native Wales, from the late twelfth century onwards called </w:t>
      </w:r>
      <w:r w:rsidR="00B101FB" w:rsidRPr="00B101FB">
        <w:rPr>
          <w:i/>
          <w:iCs/>
        </w:rPr>
        <w:t>Wallia</w:t>
      </w:r>
      <w:r w:rsidR="00B101FB">
        <w:rPr>
          <w:i/>
          <w:iCs/>
        </w:rPr>
        <w:t xml:space="preserve"> </w:t>
      </w:r>
      <w:r w:rsidR="00B101FB">
        <w:t xml:space="preserve">(Wales) or </w:t>
      </w:r>
      <w:proofErr w:type="spellStart"/>
      <w:r w:rsidR="00B101FB" w:rsidRPr="00B101FB">
        <w:rPr>
          <w:i/>
          <w:iCs/>
        </w:rPr>
        <w:t>pura</w:t>
      </w:r>
      <w:proofErr w:type="spellEnd"/>
      <w:r w:rsidR="00B101FB" w:rsidRPr="00B101FB">
        <w:rPr>
          <w:i/>
          <w:iCs/>
        </w:rPr>
        <w:t xml:space="preserve"> Wallia</w:t>
      </w:r>
      <w:r w:rsidR="00B101FB">
        <w:rPr>
          <w:i/>
          <w:iCs/>
        </w:rPr>
        <w:t xml:space="preserve"> </w:t>
      </w:r>
      <w:r w:rsidR="00B101FB">
        <w:t>(pure Wales)</w:t>
      </w:r>
      <w:r w:rsidR="00E16222">
        <w:t>, was distinct from the March of Wales (</w:t>
      </w:r>
      <w:proofErr w:type="spellStart"/>
      <w:r w:rsidR="00E16222" w:rsidRPr="00E16222">
        <w:rPr>
          <w:i/>
          <w:iCs/>
        </w:rPr>
        <w:t>marchia</w:t>
      </w:r>
      <w:proofErr w:type="spellEnd"/>
      <w:r w:rsidR="00E16222" w:rsidRPr="00E16222">
        <w:rPr>
          <w:i/>
          <w:iCs/>
        </w:rPr>
        <w:t xml:space="preserve"> </w:t>
      </w:r>
      <w:proofErr w:type="spellStart"/>
      <w:r w:rsidR="00E16222" w:rsidRPr="00E16222">
        <w:rPr>
          <w:i/>
          <w:iCs/>
        </w:rPr>
        <w:t>Wallie</w:t>
      </w:r>
      <w:proofErr w:type="spellEnd"/>
      <w:r w:rsidR="00E16222">
        <w:t>)</w:t>
      </w:r>
      <w:r w:rsidR="004E293F">
        <w:t>, a politically separate region that lay between England and Wales.</w:t>
      </w:r>
      <w:r w:rsidR="00683205">
        <w:rPr>
          <w:rStyle w:val="FootnoteReference"/>
        </w:rPr>
        <w:footnoteReference w:id="35"/>
      </w:r>
      <w:r w:rsidR="004E293F">
        <w:t xml:space="preserve"> The area was defined by Marcher Lordships, numbering nearly fifty by the end of the thirteenth century. The Marcher lords were English barons who </w:t>
      </w:r>
      <w:r w:rsidR="003631A4">
        <w:t>held the</w:t>
      </w:r>
      <w:r w:rsidR="00D74476">
        <w:t>ir</w:t>
      </w:r>
      <w:r w:rsidR="003631A4">
        <w:t xml:space="preserve"> lordship</w:t>
      </w:r>
      <w:r w:rsidR="00D74476">
        <w:t>s</w:t>
      </w:r>
      <w:r w:rsidR="003631A4">
        <w:t xml:space="preserve"> from the Crown, but administered </w:t>
      </w:r>
      <w:r w:rsidR="00D74476">
        <w:t>them</w:t>
      </w:r>
      <w:r w:rsidR="003631A4">
        <w:t xml:space="preserve"> with a considerable </w:t>
      </w:r>
      <w:r w:rsidR="00D74476">
        <w:t>degree</w:t>
      </w:r>
      <w:r w:rsidR="003631A4">
        <w:t xml:space="preserve"> of autonomy, applying their own system of law, administration and taxation.</w:t>
      </w:r>
      <w:r w:rsidR="003631A4">
        <w:rPr>
          <w:rStyle w:val="FootnoteReference"/>
        </w:rPr>
        <w:footnoteReference w:id="36"/>
      </w:r>
      <w:r w:rsidR="005D142D">
        <w:t xml:space="preserve"> King John was well aware of the ‘unscrupulous private interests’ of the powerful Marcher barons, having been one himself for the duration of his first marriage to Isabella, heiress to the earldom of </w:t>
      </w:r>
      <w:r w:rsidR="005D142D">
        <w:lastRenderedPageBreak/>
        <w:t>Gloucester.</w:t>
      </w:r>
      <w:r w:rsidR="005D142D">
        <w:rPr>
          <w:rStyle w:val="FootnoteReference"/>
        </w:rPr>
        <w:footnoteReference w:id="37"/>
      </w:r>
      <w:r w:rsidR="00CD2F07">
        <w:t xml:space="preserve"> He recognised that an alliance between a Marcher baron and </w:t>
      </w:r>
      <w:r w:rsidR="00C2469B">
        <w:t xml:space="preserve">the increasingly influential </w:t>
      </w:r>
      <w:proofErr w:type="spellStart"/>
      <w:r w:rsidR="00C2469B">
        <w:t>Llywelyn</w:t>
      </w:r>
      <w:proofErr w:type="spellEnd"/>
      <w:r w:rsidR="00CD2F07">
        <w:t xml:space="preserve"> could pose a serious threat to the</w:t>
      </w:r>
      <w:r w:rsidR="00C2469B">
        <w:t xml:space="preserve"> Crown, therefore he sought to neutralise the danger by </w:t>
      </w:r>
      <w:r w:rsidR="00AC49E9">
        <w:t xml:space="preserve">negotiating </w:t>
      </w:r>
      <w:r w:rsidR="004113FE">
        <w:t>a treaty with the Welsh prince in</w:t>
      </w:r>
      <w:r w:rsidR="00247BD9">
        <w:t xml:space="preserve"> July</w:t>
      </w:r>
      <w:r w:rsidR="004113FE">
        <w:t xml:space="preserve"> 1201. This is the oldest surviving written agreement between an English king and a native Welsh ruler, but as H</w:t>
      </w:r>
      <w:r w:rsidR="0031262E">
        <w:t xml:space="preserve">uw Pryce </w:t>
      </w:r>
      <w:r w:rsidR="0009490B">
        <w:t>has stressed</w:t>
      </w:r>
      <w:r w:rsidR="0031262E">
        <w:t>, it does not preclude the possibility ‘that earlier agreements had been written down’</w:t>
      </w:r>
      <w:r w:rsidR="00AC49E9">
        <w:t>.</w:t>
      </w:r>
      <w:r w:rsidR="0031262E">
        <w:rPr>
          <w:rStyle w:val="FootnoteReference"/>
        </w:rPr>
        <w:footnoteReference w:id="38"/>
      </w:r>
      <w:r w:rsidR="00247BD9">
        <w:t xml:space="preserve"> In return for </w:t>
      </w:r>
      <w:proofErr w:type="spellStart"/>
      <w:r w:rsidR="00247BD9">
        <w:t>Llywelyn’s</w:t>
      </w:r>
      <w:proofErr w:type="spellEnd"/>
      <w:r w:rsidR="00247BD9">
        <w:t xml:space="preserve"> service and fealty, the royal government acknowledged his </w:t>
      </w:r>
      <w:r w:rsidR="00AC0E24">
        <w:t>supremacy</w:t>
      </w:r>
      <w:r w:rsidR="00247BD9">
        <w:t xml:space="preserve"> in North Wales.</w:t>
      </w:r>
      <w:r w:rsidR="008A1497">
        <w:rPr>
          <w:rStyle w:val="FootnoteReference"/>
        </w:rPr>
        <w:footnoteReference w:id="39"/>
      </w:r>
      <w:r w:rsidR="00247BD9">
        <w:t xml:space="preserve"> </w:t>
      </w:r>
      <w:r w:rsidR="00AC0E24">
        <w:t xml:space="preserve">This was seen as the beginning of a period of rapprochement between </w:t>
      </w:r>
      <w:proofErr w:type="spellStart"/>
      <w:r w:rsidR="00AC0E24">
        <w:t>Llywelyn</w:t>
      </w:r>
      <w:proofErr w:type="spellEnd"/>
      <w:r w:rsidR="00AC0E24">
        <w:t xml:space="preserve"> and John that culminated in October 1204 in the prince’s betrothal to Joan.</w:t>
      </w:r>
      <w:r w:rsidR="00AC0E24">
        <w:rPr>
          <w:rStyle w:val="FootnoteReference"/>
        </w:rPr>
        <w:footnoteReference w:id="40"/>
      </w:r>
      <w:r w:rsidR="008A1497">
        <w:t xml:space="preserve"> </w:t>
      </w:r>
      <w:r w:rsidR="00035272">
        <w:t>From this moment until her death, Joan worked</w:t>
      </w:r>
      <w:r w:rsidR="008B53A1">
        <w:t xml:space="preserve"> tirelessly</w:t>
      </w:r>
      <w:r w:rsidR="00035272">
        <w:t xml:space="preserve"> to maintain this policy of friendship between her husband and the English Crown, which would prove an</w:t>
      </w:r>
      <w:r w:rsidR="008B53A1">
        <w:t xml:space="preserve"> immensely</w:t>
      </w:r>
      <w:r w:rsidR="00035272">
        <w:t xml:space="preserve"> arduous task.</w:t>
      </w:r>
    </w:p>
    <w:p w:rsidR="008B53A1" w:rsidRDefault="008B53A1" w:rsidP="00913693">
      <w:pPr>
        <w:spacing w:line="360" w:lineRule="auto"/>
      </w:pPr>
    </w:p>
    <w:p w:rsidR="008B53A1" w:rsidRPr="008B53A1" w:rsidRDefault="008B53A1" w:rsidP="00913693">
      <w:pPr>
        <w:spacing w:line="360" w:lineRule="auto"/>
        <w:rPr>
          <w:b/>
          <w:bCs/>
        </w:rPr>
      </w:pPr>
      <w:r w:rsidRPr="008B53A1">
        <w:rPr>
          <w:b/>
          <w:bCs/>
        </w:rPr>
        <w:t>From English Princess to Welsh Queen</w:t>
      </w:r>
    </w:p>
    <w:p w:rsidR="003D1AEC" w:rsidRDefault="003D1AEC" w:rsidP="00913693">
      <w:pPr>
        <w:spacing w:line="360" w:lineRule="auto"/>
      </w:pPr>
    </w:p>
    <w:p w:rsidR="008B53A1" w:rsidRDefault="003D1AEC" w:rsidP="00913693">
      <w:pPr>
        <w:spacing w:line="360" w:lineRule="auto"/>
      </w:pPr>
      <w:r>
        <w:t xml:space="preserve">As mentioned earlier, a teenage Joan sailed from Normandy to England in 1203. Her father may have accompanied her on the crossing, as he too returned to England from the continent at this time. </w:t>
      </w:r>
      <w:r w:rsidR="000C187B">
        <w:t>The sources are silent</w:t>
      </w:r>
      <w:r w:rsidR="00482283">
        <w:t>, however,</w:t>
      </w:r>
      <w:r w:rsidR="000C187B">
        <w:t xml:space="preserve"> on Joan’s subsequent movements</w:t>
      </w:r>
      <w:r w:rsidR="00004D3E">
        <w:t>,</w:t>
      </w:r>
      <w:r w:rsidR="000C187B">
        <w:t xml:space="preserve"> and they do not record precisely when and where she and </w:t>
      </w:r>
      <w:proofErr w:type="spellStart"/>
      <w:r w:rsidR="000C187B">
        <w:t>Llywelyn</w:t>
      </w:r>
      <w:proofErr w:type="spellEnd"/>
      <w:r w:rsidR="000C187B">
        <w:t xml:space="preserve"> were married. </w:t>
      </w:r>
      <w:r w:rsidR="00573072">
        <w:t xml:space="preserve">Their betrothal took place sometime before 15 October 1204 and Messer infers from contemporary </w:t>
      </w:r>
      <w:r w:rsidR="00004D3E">
        <w:t>sources</w:t>
      </w:r>
      <w:r w:rsidR="00573072">
        <w:t xml:space="preserve"> that they were married</w:t>
      </w:r>
      <w:r w:rsidR="00004D3E">
        <w:t xml:space="preserve"> in Worcester Cathedral</w:t>
      </w:r>
      <w:r w:rsidR="00573072">
        <w:t xml:space="preserve"> between February and March 1205.</w:t>
      </w:r>
      <w:r w:rsidR="00004D3E">
        <w:rPr>
          <w:rStyle w:val="FootnoteReference"/>
        </w:rPr>
        <w:footnoteReference w:id="41"/>
      </w:r>
      <w:r w:rsidR="00573072">
        <w:t xml:space="preserve"> </w:t>
      </w:r>
      <w:r w:rsidR="00004D3E">
        <w:t xml:space="preserve">King John </w:t>
      </w:r>
      <w:r w:rsidR="000F1A92">
        <w:t>was staying in the area at the time</w:t>
      </w:r>
      <w:r w:rsidR="00004D3E">
        <w:t>,</w:t>
      </w:r>
      <w:r w:rsidR="000F1A92">
        <w:t xml:space="preserve"> </w:t>
      </w:r>
      <w:r w:rsidR="00C319AF">
        <w:t xml:space="preserve">therefore </w:t>
      </w:r>
      <w:r w:rsidR="001E323C">
        <w:t>it is</w:t>
      </w:r>
      <w:r w:rsidR="00C319AF">
        <w:t xml:space="preserve"> possible</w:t>
      </w:r>
      <w:r w:rsidR="00004D3E">
        <w:t xml:space="preserve"> that </w:t>
      </w:r>
      <w:r w:rsidR="000F1A92">
        <w:t>he</w:t>
      </w:r>
      <w:r w:rsidR="00004D3E">
        <w:t xml:space="preserve"> attended his daughter’s wedding.</w:t>
      </w:r>
      <w:r w:rsidR="00C319AF">
        <w:rPr>
          <w:rStyle w:val="FootnoteReference"/>
        </w:rPr>
        <w:footnoteReference w:id="42"/>
      </w:r>
      <w:r w:rsidR="007E24BA">
        <w:t xml:space="preserve"> </w:t>
      </w:r>
      <w:r w:rsidR="00CA5042">
        <w:t xml:space="preserve">Disappointingly for the historian, </w:t>
      </w:r>
      <w:r w:rsidR="007B1300">
        <w:t xml:space="preserve">Joan does not reappear in the historical records until 1211. </w:t>
      </w:r>
      <w:r w:rsidR="00035778">
        <w:t>Therefore, o</w:t>
      </w:r>
      <w:r w:rsidR="007B1300">
        <w:t xml:space="preserve">ne can only speculate on </w:t>
      </w:r>
      <w:r w:rsidR="00035778">
        <w:t>the intervening years</w:t>
      </w:r>
      <w:r w:rsidR="002F5AC7">
        <w:t xml:space="preserve">, in which she </w:t>
      </w:r>
      <w:r w:rsidR="002D1801">
        <w:t>resided in t</w:t>
      </w:r>
      <w:r w:rsidR="002D1801" w:rsidRPr="002D1801">
        <w:t>he royal palaces of the Princes of Gwynedd</w:t>
      </w:r>
      <w:r w:rsidR="002F5AC7">
        <w:t xml:space="preserve">, </w:t>
      </w:r>
      <w:r w:rsidR="002F5AC7">
        <w:lastRenderedPageBreak/>
        <w:t xml:space="preserve">including ‘Aber, Caernarfon, </w:t>
      </w:r>
      <w:proofErr w:type="spellStart"/>
      <w:r w:rsidR="002F5AC7">
        <w:t>Rhosyr</w:t>
      </w:r>
      <w:proofErr w:type="spellEnd"/>
      <w:r w:rsidR="002F5AC7">
        <w:t xml:space="preserve">, </w:t>
      </w:r>
      <w:proofErr w:type="spellStart"/>
      <w:r w:rsidR="002F5AC7">
        <w:t>Cemais</w:t>
      </w:r>
      <w:proofErr w:type="spellEnd"/>
      <w:r w:rsidR="002F5AC7">
        <w:t xml:space="preserve">, </w:t>
      </w:r>
      <w:proofErr w:type="spellStart"/>
      <w:r w:rsidR="002F5AC7">
        <w:t>Llanfaes</w:t>
      </w:r>
      <w:proofErr w:type="spellEnd"/>
      <w:r w:rsidR="002F5AC7">
        <w:t xml:space="preserve">, </w:t>
      </w:r>
      <w:proofErr w:type="spellStart"/>
      <w:r w:rsidR="002F5AC7">
        <w:t>Trefriw</w:t>
      </w:r>
      <w:proofErr w:type="spellEnd"/>
      <w:r w:rsidR="002F5AC7">
        <w:t>, Beddgelert, and Castell Hen Blas’.</w:t>
      </w:r>
      <w:r w:rsidR="00F735B3">
        <w:rPr>
          <w:rStyle w:val="FootnoteReference"/>
        </w:rPr>
        <w:footnoteReference w:id="43"/>
      </w:r>
    </w:p>
    <w:p w:rsidR="00F30357" w:rsidRDefault="003866A2" w:rsidP="00913693">
      <w:pPr>
        <w:spacing w:line="360" w:lineRule="auto"/>
      </w:pPr>
      <w:r>
        <w:tab/>
      </w:r>
      <w:r w:rsidR="00020131">
        <w:t>Presumably</w:t>
      </w:r>
      <w:r w:rsidR="00214954">
        <w:t>,</w:t>
      </w:r>
      <w:r w:rsidR="00020131">
        <w:t xml:space="preserve"> upon arriving in Wales,</w:t>
      </w:r>
      <w:r w:rsidR="00214954">
        <w:t xml:space="preserve"> Joan</w:t>
      </w:r>
      <w:r w:rsidR="00020131">
        <w:t xml:space="preserve"> </w:t>
      </w:r>
      <w:r w:rsidR="00214954">
        <w:t>dedicated herself to learning the language of her new homeland, alongside familiarising herself with</w:t>
      </w:r>
      <w:r w:rsidR="00B60DFD">
        <w:t xml:space="preserve"> </w:t>
      </w:r>
      <w:r w:rsidR="00214954">
        <w:t xml:space="preserve">the local customs and conventional expectations of her role as </w:t>
      </w:r>
      <w:proofErr w:type="spellStart"/>
      <w:r w:rsidR="00214954">
        <w:t>Llywelyn’s</w:t>
      </w:r>
      <w:proofErr w:type="spellEnd"/>
      <w:r w:rsidR="00214954">
        <w:t xml:space="preserve"> wife and</w:t>
      </w:r>
      <w:r w:rsidR="00020131">
        <w:t xml:space="preserve"> as</w:t>
      </w:r>
      <w:r w:rsidR="00214954">
        <w:t xml:space="preserve"> </w:t>
      </w:r>
      <w:proofErr w:type="spellStart"/>
      <w:r w:rsidR="00214954">
        <w:t>Venedotian</w:t>
      </w:r>
      <w:proofErr w:type="spellEnd"/>
      <w:r w:rsidR="00214954">
        <w:t xml:space="preserve"> queen.</w:t>
      </w:r>
      <w:r w:rsidR="00604D6C">
        <w:t xml:space="preserve"> </w:t>
      </w:r>
      <w:r w:rsidR="0042238A">
        <w:t xml:space="preserve">While no contemporary source </w:t>
      </w:r>
      <w:r w:rsidR="006D4511">
        <w:t>refers to Joan specifically</w:t>
      </w:r>
      <w:r w:rsidR="0042238A">
        <w:t xml:space="preserve"> as queen, t</w:t>
      </w:r>
      <w:r w:rsidR="00604D6C">
        <w:t xml:space="preserve">he designation </w:t>
      </w:r>
      <w:r w:rsidR="0042238A">
        <w:t xml:space="preserve">is </w:t>
      </w:r>
      <w:r w:rsidR="00604D6C">
        <w:t>used</w:t>
      </w:r>
      <w:r w:rsidR="00FB382A">
        <w:t xml:space="preserve"> by scholars</w:t>
      </w:r>
      <w:r w:rsidR="00604D6C">
        <w:t xml:space="preserve"> to </w:t>
      </w:r>
      <w:r w:rsidR="006D4F8B">
        <w:t>foreground the fact that</w:t>
      </w:r>
      <w:r w:rsidR="006D26C2">
        <w:t xml:space="preserve"> </w:t>
      </w:r>
      <w:r w:rsidR="006D4F8B">
        <w:t>Joan’s status was</w:t>
      </w:r>
      <w:r w:rsidR="00604D6C">
        <w:t xml:space="preserve"> unparalleled</w:t>
      </w:r>
      <w:r w:rsidR="00B578DB">
        <w:t xml:space="preserve"> among her peers. </w:t>
      </w:r>
      <w:r w:rsidR="006D4F8B">
        <w:t xml:space="preserve">As Messer emphasises, </w:t>
      </w:r>
      <w:r w:rsidR="00F559C7">
        <w:t xml:space="preserve">‘in the most fundamental ways, </w:t>
      </w:r>
      <w:r w:rsidR="006D4F8B">
        <w:t xml:space="preserve">Joan and </w:t>
      </w:r>
      <w:proofErr w:type="spellStart"/>
      <w:r w:rsidR="006D4F8B">
        <w:t>Llywelyn</w:t>
      </w:r>
      <w:proofErr w:type="spellEnd"/>
      <w:r w:rsidR="006D4F8B">
        <w:t xml:space="preserve"> were queen and king</w:t>
      </w:r>
      <w:r w:rsidR="00F559C7">
        <w:t>’</w:t>
      </w:r>
      <w:r w:rsidR="006D4F8B">
        <w:t>,</w:t>
      </w:r>
      <w:r w:rsidR="00F559C7">
        <w:t xml:space="preserve"> even though multiple other titles are used</w:t>
      </w:r>
      <w:r w:rsidR="006D4511">
        <w:t xml:space="preserve"> to identify them</w:t>
      </w:r>
      <w:r w:rsidR="005F66C0">
        <w:t xml:space="preserve"> and demarcate their</w:t>
      </w:r>
      <w:r w:rsidR="00412A5A">
        <w:t xml:space="preserve"> imperial</w:t>
      </w:r>
      <w:r w:rsidR="005F66C0">
        <w:t xml:space="preserve"> authority</w:t>
      </w:r>
      <w:r w:rsidR="00F559C7">
        <w:t>, including ‘prince’, ‘princess’, ‘lord’</w:t>
      </w:r>
      <w:r w:rsidR="007D4130">
        <w:t xml:space="preserve"> and ‘lady’.</w:t>
      </w:r>
      <w:r w:rsidR="00DE18CA">
        <w:rPr>
          <w:rStyle w:val="FootnoteReference"/>
        </w:rPr>
        <w:footnoteReference w:id="44"/>
      </w:r>
      <w:r w:rsidR="00412A5A">
        <w:t xml:space="preserve"> </w:t>
      </w:r>
      <w:r w:rsidR="00105936">
        <w:t>It is important to stress that the queen in native Wales was not merely a titular figurehead</w:t>
      </w:r>
      <w:r w:rsidR="006F4483">
        <w:t xml:space="preserve">, relegated to the margins of political life. </w:t>
      </w:r>
      <w:r w:rsidR="00A1668E">
        <w:t>She possessed ‘a high level of authoritative and administrative power’ and was visible and active within the king’s court.</w:t>
      </w:r>
      <w:r w:rsidR="00A1668E">
        <w:rPr>
          <w:rStyle w:val="FootnoteReference"/>
        </w:rPr>
        <w:footnoteReference w:id="45"/>
      </w:r>
      <w:r w:rsidR="00FF68EB">
        <w:t xml:space="preserve"> </w:t>
      </w:r>
    </w:p>
    <w:p w:rsidR="00F30357" w:rsidRDefault="00EA0ABB" w:rsidP="00913693">
      <w:pPr>
        <w:spacing w:line="360" w:lineRule="auto"/>
      </w:pPr>
      <w:r>
        <w:tab/>
        <w:t xml:space="preserve">Among Joan’s many responsibilities </w:t>
      </w:r>
      <w:r w:rsidR="001302E2">
        <w:t>w</w:t>
      </w:r>
      <w:r w:rsidR="003B353F">
        <w:t>ere</w:t>
      </w:r>
      <w:r w:rsidR="001302E2">
        <w:t xml:space="preserve"> attending </w:t>
      </w:r>
      <w:r w:rsidR="003B353F">
        <w:t>court celebrations</w:t>
      </w:r>
      <w:r w:rsidR="001302E2">
        <w:t xml:space="preserve">, entertaining guests and providing hospitality to visitors. </w:t>
      </w:r>
      <w:r w:rsidR="003B353F">
        <w:t>In medieval Wales, hospitality was highly valued</w:t>
      </w:r>
      <w:r w:rsidR="005A0669">
        <w:t xml:space="preserve"> and its importance is attested by the </w:t>
      </w:r>
      <w:r w:rsidR="0076324E">
        <w:t>prevalence of this theme in medieval Welsh poetry.</w:t>
      </w:r>
      <w:r w:rsidR="0076324E">
        <w:rPr>
          <w:rStyle w:val="FootnoteReference"/>
        </w:rPr>
        <w:footnoteReference w:id="46"/>
      </w:r>
      <w:r w:rsidR="00E407C4">
        <w:t xml:space="preserve"> Verses composed pre-conquest describe the hall culture of the native princes, the liberality with which food and drink were dispensed, and the overall conviviality of this space.</w:t>
      </w:r>
      <w:r w:rsidR="00360369">
        <w:rPr>
          <w:rStyle w:val="FootnoteReference"/>
        </w:rPr>
        <w:footnoteReference w:id="47"/>
      </w:r>
      <w:r w:rsidR="00FC7631">
        <w:t xml:space="preserve"> These attributes were echoed in other contemporary works.</w:t>
      </w:r>
      <w:r w:rsidR="002A1633">
        <w:t xml:space="preserve"> </w:t>
      </w:r>
      <w:r w:rsidR="00FC7631">
        <w:t>The</w:t>
      </w:r>
      <w:r w:rsidR="002A1633">
        <w:t xml:space="preserve"> medieval writer known as Gerald of Wales </w:t>
      </w:r>
      <w:r w:rsidR="00686703">
        <w:t>waxed lyrical about Welsh hospitality</w:t>
      </w:r>
      <w:r w:rsidR="009B03B3">
        <w:t xml:space="preserve"> and emphasised the important role of the host and hostess.</w:t>
      </w:r>
      <w:r w:rsidR="00CB3A57">
        <w:rPr>
          <w:rStyle w:val="FootnoteReference"/>
        </w:rPr>
        <w:footnoteReference w:id="48"/>
      </w:r>
      <w:r w:rsidR="00FC7631">
        <w:t xml:space="preserve"> He also noted the hospitality </w:t>
      </w:r>
      <w:r w:rsidR="00426E44">
        <w:t>shown</w:t>
      </w:r>
      <w:r w:rsidR="00FC7631">
        <w:t xml:space="preserve"> to him in the late twelfth-century court of </w:t>
      </w:r>
      <w:proofErr w:type="spellStart"/>
      <w:r w:rsidR="00FC7631">
        <w:t>Dafydd</w:t>
      </w:r>
      <w:proofErr w:type="spellEnd"/>
      <w:r w:rsidR="00FC7631">
        <w:t xml:space="preserve"> ab Owain and Emma of Anjou. </w:t>
      </w:r>
      <w:r w:rsidR="00195DD2">
        <w:t xml:space="preserve">The famed Welsh poet, </w:t>
      </w:r>
      <w:proofErr w:type="spellStart"/>
      <w:r w:rsidR="00195DD2">
        <w:t>Cynddelw</w:t>
      </w:r>
      <w:proofErr w:type="spellEnd"/>
      <w:r w:rsidR="00195DD2">
        <w:t xml:space="preserve">, similarly </w:t>
      </w:r>
      <w:r w:rsidR="00195DD2">
        <w:lastRenderedPageBreak/>
        <w:t>underline</w:t>
      </w:r>
      <w:r w:rsidR="009E3D0F">
        <w:t>d</w:t>
      </w:r>
      <w:r w:rsidR="00195DD2">
        <w:t xml:space="preserve"> the</w:t>
      </w:r>
      <w:r w:rsidR="00353645">
        <w:t xml:space="preserve"> magnanimity and</w:t>
      </w:r>
      <w:r w:rsidR="00195DD2">
        <w:t xml:space="preserve"> hospitality of the Welsh princes</w:t>
      </w:r>
      <w:r w:rsidR="00141BC4">
        <w:t>.</w:t>
      </w:r>
      <w:r w:rsidR="0086425B">
        <w:rPr>
          <w:rStyle w:val="FootnoteReference"/>
        </w:rPr>
        <w:footnoteReference w:id="49"/>
      </w:r>
      <w:r w:rsidR="00141BC4">
        <w:t xml:space="preserve"> </w:t>
      </w:r>
      <w:r w:rsidR="00353645">
        <w:t xml:space="preserve">There can be </w:t>
      </w:r>
      <w:r w:rsidR="008B528A">
        <w:t xml:space="preserve">little doubt, then, that Joan </w:t>
      </w:r>
      <w:r w:rsidR="00133F3E">
        <w:t xml:space="preserve">partook in this custom. </w:t>
      </w:r>
    </w:p>
    <w:p w:rsidR="000832B4" w:rsidRDefault="00091C58" w:rsidP="00913693">
      <w:pPr>
        <w:spacing w:line="360" w:lineRule="auto"/>
      </w:pPr>
      <w:r>
        <w:tab/>
        <w:t xml:space="preserve"> The Welsh law</w:t>
      </w:r>
      <w:r w:rsidR="002F75A5">
        <w:t>s</w:t>
      </w:r>
      <w:r>
        <w:t xml:space="preserve"> are </w:t>
      </w:r>
      <w:r w:rsidR="004A5FFA">
        <w:t>another</w:t>
      </w:r>
      <w:r>
        <w:t xml:space="preserve"> valuable source of information on the royal household in medieval Wales. </w:t>
      </w:r>
      <w:r w:rsidR="00D35DA3">
        <w:t xml:space="preserve">Susan Johns summarises what they reveal about </w:t>
      </w:r>
      <w:r w:rsidR="00B117C9">
        <w:t>the position of</w:t>
      </w:r>
      <w:r w:rsidR="0081404F">
        <w:t xml:space="preserve"> the</w:t>
      </w:r>
      <w:r w:rsidR="00B117C9">
        <w:t xml:space="preserve"> queen</w:t>
      </w:r>
      <w:r w:rsidR="00D35DA3">
        <w:t xml:space="preserve"> i</w:t>
      </w:r>
      <w:r>
        <w:t>n her illuminating article on the portrayal of female power and queenship in medieval Welsh literary and legal texts</w:t>
      </w:r>
      <w:r w:rsidR="00D35DA3">
        <w:t>.</w:t>
      </w:r>
      <w:r w:rsidR="00D2036D">
        <w:rPr>
          <w:rStyle w:val="FootnoteReference"/>
        </w:rPr>
        <w:footnoteReference w:id="50"/>
      </w:r>
      <w:r w:rsidR="00BF6623">
        <w:t xml:space="preserve"> Among the privileges afforded to the queen, and therefore likely to Joan, are her own officers and a large entourage of servants</w:t>
      </w:r>
      <w:r w:rsidR="001F5E8C">
        <w:t>, which included a chambermaid, steward, priest, ‘groom of the rein’ and</w:t>
      </w:r>
      <w:r w:rsidR="0051109D">
        <w:t xml:space="preserve"> a</w:t>
      </w:r>
      <w:r w:rsidR="001F5E8C">
        <w:t xml:space="preserve"> cook</w:t>
      </w:r>
      <w:r w:rsidR="00BF6623">
        <w:t>.</w:t>
      </w:r>
      <w:r w:rsidR="001F5E8C">
        <w:t xml:space="preserve"> </w:t>
      </w:r>
      <w:r w:rsidR="00BF6623">
        <w:t>She had her own privy purse and was entitled to ‘one third of the king’s income from his personal lands for her use’.</w:t>
      </w:r>
      <w:r w:rsidR="00F5153E">
        <w:rPr>
          <w:rStyle w:val="FootnoteReference"/>
        </w:rPr>
        <w:footnoteReference w:id="51"/>
      </w:r>
      <w:r w:rsidR="00BF6623">
        <w:t xml:space="preserve"> </w:t>
      </w:r>
      <w:r w:rsidR="00864B6A">
        <w:t>The queen was permitted to undertake circuits around the royal demesne</w:t>
      </w:r>
      <w:r w:rsidR="00ED516C">
        <w:t>, either accompanied by her husband or, during his absences, with her own household.</w:t>
      </w:r>
      <w:r w:rsidR="00A31878">
        <w:t xml:space="preserve"> </w:t>
      </w:r>
      <w:r w:rsidR="00ED516C">
        <w:t>Importantly, she</w:t>
      </w:r>
      <w:r w:rsidR="00864B6A">
        <w:t xml:space="preserve"> </w:t>
      </w:r>
      <w:r w:rsidR="00A7049A">
        <w:t>could</w:t>
      </w:r>
      <w:r w:rsidR="00326A0D">
        <w:t xml:space="preserve"> also</w:t>
      </w:r>
      <w:r w:rsidR="00A7049A">
        <w:t xml:space="preserve"> extend her protection to visitors</w:t>
      </w:r>
      <w:r w:rsidR="00ED516C">
        <w:t xml:space="preserve"> who required safe passage, which hints at her role in diplomacy. </w:t>
      </w:r>
      <w:r w:rsidR="00396AA8">
        <w:t>With regard to court ceremony,</w:t>
      </w:r>
      <w:r w:rsidR="001F5E8C">
        <w:t xml:space="preserve"> at </w:t>
      </w:r>
      <w:r w:rsidR="0051109D">
        <w:t>banquets</w:t>
      </w:r>
      <w:r w:rsidR="00366F73">
        <w:t xml:space="preserve"> and important</w:t>
      </w:r>
      <w:r w:rsidR="0036442D">
        <w:t xml:space="preserve"> festivities </w:t>
      </w:r>
      <w:r w:rsidR="00396AA8">
        <w:t>she was tasked with providing a horn of mead to the chief of the household and mead to the chief huntsman.</w:t>
      </w:r>
      <w:r w:rsidR="00E6723A">
        <w:t xml:space="preserve"> These acts of gift-giving conferred honour upon the recipient and </w:t>
      </w:r>
      <w:r w:rsidR="000403DF">
        <w:t>were also ‘associated with bridging a peace and cementing alliances and friendships’.</w:t>
      </w:r>
      <w:r w:rsidR="000403DF">
        <w:rPr>
          <w:rStyle w:val="FootnoteReference"/>
        </w:rPr>
        <w:footnoteReference w:id="52"/>
      </w:r>
      <w:r w:rsidR="00DF4B97">
        <w:t xml:space="preserve"> The image of</w:t>
      </w:r>
      <w:r w:rsidR="008E034C">
        <w:t xml:space="preserve"> a</w:t>
      </w:r>
      <w:r w:rsidR="00DF4B97">
        <w:t xml:space="preserve"> queen holding</w:t>
      </w:r>
      <w:r w:rsidR="00EE2A38">
        <w:t xml:space="preserve"> out</w:t>
      </w:r>
      <w:r w:rsidR="008E034C">
        <w:t xml:space="preserve"> a</w:t>
      </w:r>
      <w:r w:rsidR="00DF4B97">
        <w:t xml:space="preserve"> chalice of mead w</w:t>
      </w:r>
      <w:r w:rsidR="008E034C">
        <w:t>as</w:t>
      </w:r>
      <w:r w:rsidR="00DF4B97">
        <w:t xml:space="preserve"> popular in the Middle Ages and point</w:t>
      </w:r>
      <w:r w:rsidR="00CA1CAF">
        <w:t>ed</w:t>
      </w:r>
      <w:r w:rsidR="00DF4B97">
        <w:t xml:space="preserve"> to </w:t>
      </w:r>
      <w:r w:rsidR="000634C5">
        <w:t>her role as</w:t>
      </w:r>
      <w:r w:rsidR="00DF4B97">
        <w:t xml:space="preserve"> intercessor and mediator</w:t>
      </w:r>
      <w:r w:rsidR="008E034C">
        <w:t>.</w:t>
      </w:r>
      <w:r w:rsidR="00EE2A38">
        <w:rPr>
          <w:rStyle w:val="FootnoteReference"/>
        </w:rPr>
        <w:footnoteReference w:id="53"/>
      </w:r>
      <w:r w:rsidR="00EE2A38">
        <w:t xml:space="preserve"> These are duties that Joan is widely documented as fulfilling</w:t>
      </w:r>
      <w:r w:rsidR="0063493B">
        <w:t>, but b</w:t>
      </w:r>
      <w:r w:rsidR="00EE2A38">
        <w:t xml:space="preserve">efore turning to look at these </w:t>
      </w:r>
      <w:r w:rsidR="00B86E41">
        <w:t xml:space="preserve">more closely, it is relevant to this discussion to </w:t>
      </w:r>
      <w:r w:rsidR="00AD02E8">
        <w:t xml:space="preserve">mention </w:t>
      </w:r>
      <w:r w:rsidR="00B86E41">
        <w:t>another queen of Gwynedd by the name of Angharad</w:t>
      </w:r>
      <w:r w:rsidR="00AD02E8">
        <w:t>.</w:t>
      </w:r>
    </w:p>
    <w:p w:rsidR="004C1D36" w:rsidRDefault="00AD02E8" w:rsidP="00913693">
      <w:pPr>
        <w:spacing w:line="360" w:lineRule="auto"/>
      </w:pPr>
      <w:r>
        <w:tab/>
      </w:r>
      <w:r w:rsidR="004C1D36">
        <w:t xml:space="preserve">The </w:t>
      </w:r>
      <w:r w:rsidR="004C1D36" w:rsidRPr="004C1D36">
        <w:rPr>
          <w:i/>
          <w:iCs/>
        </w:rPr>
        <w:t xml:space="preserve">Vita </w:t>
      </w:r>
      <w:proofErr w:type="spellStart"/>
      <w:r w:rsidR="004C1D36" w:rsidRPr="004C1D36">
        <w:rPr>
          <w:i/>
          <w:iCs/>
        </w:rPr>
        <w:t>Griffini</w:t>
      </w:r>
      <w:proofErr w:type="spellEnd"/>
      <w:r w:rsidR="004C1D36" w:rsidRPr="004C1D36">
        <w:rPr>
          <w:i/>
          <w:iCs/>
        </w:rPr>
        <w:t xml:space="preserve"> </w:t>
      </w:r>
      <w:proofErr w:type="spellStart"/>
      <w:r w:rsidR="004C1D36" w:rsidRPr="004C1D36">
        <w:rPr>
          <w:i/>
          <w:iCs/>
        </w:rPr>
        <w:t>Filii</w:t>
      </w:r>
      <w:proofErr w:type="spellEnd"/>
      <w:r w:rsidR="004C1D36" w:rsidRPr="004C1D36">
        <w:rPr>
          <w:i/>
          <w:iCs/>
        </w:rPr>
        <w:t xml:space="preserve"> </w:t>
      </w:r>
      <w:proofErr w:type="spellStart"/>
      <w:r w:rsidR="004C1D36" w:rsidRPr="004C1D36">
        <w:rPr>
          <w:i/>
          <w:iCs/>
        </w:rPr>
        <w:t>Conani</w:t>
      </w:r>
      <w:proofErr w:type="spellEnd"/>
      <w:r w:rsidR="004C1D36">
        <w:rPr>
          <w:i/>
          <w:iCs/>
        </w:rPr>
        <w:t xml:space="preserve"> </w:t>
      </w:r>
      <w:r w:rsidR="004C1D36">
        <w:t xml:space="preserve">is a twelfth-century Latin biography of </w:t>
      </w:r>
      <w:proofErr w:type="spellStart"/>
      <w:r w:rsidR="004C1D36">
        <w:t>Llywelyn’s</w:t>
      </w:r>
      <w:proofErr w:type="spellEnd"/>
      <w:r w:rsidR="004C1D36">
        <w:t xml:space="preserve"> paternal great-grandfather and ruler of Gwynedd, </w:t>
      </w:r>
      <w:proofErr w:type="spellStart"/>
      <w:r w:rsidR="004C1D36">
        <w:t>Gruffudd</w:t>
      </w:r>
      <w:proofErr w:type="spellEnd"/>
      <w:r w:rsidR="004C1D36">
        <w:t xml:space="preserve"> ap </w:t>
      </w:r>
      <w:proofErr w:type="spellStart"/>
      <w:r w:rsidR="004C1D36">
        <w:t>Cynan</w:t>
      </w:r>
      <w:proofErr w:type="spellEnd"/>
      <w:r w:rsidR="004C1D36">
        <w:t xml:space="preserve">. It was composed shortly after the Welsh king’s death in 1137 for his son and heir, Owain. Especially pertinent to this discussion is the description of </w:t>
      </w:r>
      <w:proofErr w:type="spellStart"/>
      <w:r w:rsidR="00F51BA5">
        <w:t>Gruffudd’s</w:t>
      </w:r>
      <w:proofErr w:type="spellEnd"/>
      <w:r w:rsidR="00F51BA5">
        <w:t xml:space="preserve"> wife </w:t>
      </w:r>
      <w:r w:rsidR="00A36BC6">
        <w:t xml:space="preserve">Queen </w:t>
      </w:r>
      <w:r w:rsidR="00F51BA5">
        <w:t xml:space="preserve">Angharad. As Johns elucidates, ‘the </w:t>
      </w:r>
      <w:r w:rsidR="00F51BA5" w:rsidRPr="00F51BA5">
        <w:rPr>
          <w:i/>
          <w:iCs/>
        </w:rPr>
        <w:t>Vita</w:t>
      </w:r>
      <w:r w:rsidR="00F51BA5">
        <w:t xml:space="preserve"> demonstrates that manners, comportment, education and physical appearance were </w:t>
      </w:r>
      <w:r w:rsidR="00F51BA5">
        <w:lastRenderedPageBreak/>
        <w:t>critically important for constructing an image of appropriate rulership’</w:t>
      </w:r>
      <w:r w:rsidR="0023464A">
        <w:t xml:space="preserve"> and notes that Angharad is the only Welsh queen ‘we can see’</w:t>
      </w:r>
      <w:r w:rsidR="00F51BA5">
        <w:t>.</w:t>
      </w:r>
      <w:r w:rsidR="00744DAC">
        <w:rPr>
          <w:rStyle w:val="FootnoteReference"/>
        </w:rPr>
        <w:footnoteReference w:id="54"/>
      </w:r>
      <w:r w:rsidR="00F51BA5">
        <w:t xml:space="preserve"> </w:t>
      </w:r>
      <w:r w:rsidR="0023464A">
        <w:t>She</w:t>
      </w:r>
      <w:r w:rsidR="00686470">
        <w:t xml:space="preserve"> is described in the following terms:</w:t>
      </w:r>
      <w:r w:rsidR="00F51BA5">
        <w:t xml:space="preserve"> </w:t>
      </w:r>
      <w:r w:rsidR="004C1D36">
        <w:t xml:space="preserve"> </w:t>
      </w:r>
    </w:p>
    <w:p w:rsidR="004C1D36" w:rsidRDefault="004C1D36" w:rsidP="00913693">
      <w:pPr>
        <w:spacing w:line="360" w:lineRule="auto"/>
      </w:pPr>
    </w:p>
    <w:p w:rsidR="00AD02E8" w:rsidRDefault="00F51BA5" w:rsidP="00F51BA5">
      <w:pPr>
        <w:spacing w:line="360" w:lineRule="auto"/>
        <w:ind w:left="720"/>
      </w:pPr>
      <w:r>
        <w:t>she was wise, noble, modest, fair-haired with eyes [gap in text] and a hawk-like body. Each single part of her body suited her as fittingly as possible, straight legs, elegant feet, long fingers, very slender nails, they said furthermore that she was genial and elegant of speech, in habit and gesture decorous, sensible, and cautious, sensible in advice, kind to friends, generous to the poor and most well-informed in all important matters.</w:t>
      </w:r>
      <w:r w:rsidR="00EC002E">
        <w:rPr>
          <w:rStyle w:val="FootnoteReference"/>
        </w:rPr>
        <w:footnoteReference w:id="55"/>
      </w:r>
    </w:p>
    <w:p w:rsidR="0098202D" w:rsidRDefault="0098202D" w:rsidP="004545AF">
      <w:pPr>
        <w:spacing w:line="360" w:lineRule="auto"/>
      </w:pPr>
    </w:p>
    <w:p w:rsidR="000A077E" w:rsidRDefault="0098202D" w:rsidP="004545AF">
      <w:pPr>
        <w:spacing w:line="360" w:lineRule="auto"/>
      </w:pPr>
      <w:r>
        <w:t>T</w:t>
      </w:r>
      <w:r w:rsidR="00651460">
        <w:t>his description</w:t>
      </w:r>
      <w:r w:rsidR="003370B8">
        <w:t xml:space="preserve"> obviously</w:t>
      </w:r>
      <w:r w:rsidR="00651460">
        <w:t xml:space="preserve"> contains many stereotypes about beauty and the qualities associated with royal women, </w:t>
      </w:r>
      <w:r>
        <w:t>including modesty and circumspection</w:t>
      </w:r>
      <w:r w:rsidR="003370B8">
        <w:t>. However, it also</w:t>
      </w:r>
      <w:r>
        <w:t xml:space="preserve"> </w:t>
      </w:r>
      <w:r w:rsidR="003370B8">
        <w:t>highlights</w:t>
      </w:r>
      <w:r>
        <w:t xml:space="preserve"> Angharad’s intellectual qualities and </w:t>
      </w:r>
      <w:r w:rsidR="003370B8">
        <w:t xml:space="preserve">her role as adviser to the king. She is lauded for being ‘most well-informed in all important matters’, thus, </w:t>
      </w:r>
      <w:r w:rsidR="00796FC7">
        <w:t>as Johns stresses</w:t>
      </w:r>
      <w:r w:rsidR="003370B8">
        <w:t>, demonstrat</w:t>
      </w:r>
      <w:r w:rsidR="009C7243">
        <w:t>es</w:t>
      </w:r>
      <w:r w:rsidR="003370B8">
        <w:t xml:space="preserve"> that ‘queenship carried a political charge’.</w:t>
      </w:r>
      <w:r w:rsidR="003370B8">
        <w:rPr>
          <w:rStyle w:val="FootnoteReference"/>
        </w:rPr>
        <w:footnoteReference w:id="56"/>
      </w:r>
      <w:r w:rsidR="009C7243">
        <w:t xml:space="preserve"> Furthermore, </w:t>
      </w:r>
      <w:r w:rsidR="00332821">
        <w:t>it offers a revealing insight into how Joan was expected to behave</w:t>
      </w:r>
      <w:r w:rsidR="007C14E6">
        <w:t xml:space="preserve"> and the</w:t>
      </w:r>
      <w:r w:rsidR="0042297D">
        <w:t xml:space="preserve"> traditional</w:t>
      </w:r>
      <w:r w:rsidR="007C14E6">
        <w:t xml:space="preserve"> duties associated with her </w:t>
      </w:r>
      <w:r w:rsidR="0042297D">
        <w:t>role</w:t>
      </w:r>
      <w:r w:rsidR="007C14E6">
        <w:t xml:space="preserve">. </w:t>
      </w:r>
      <w:r w:rsidR="0042297D">
        <w:t xml:space="preserve">There is one </w:t>
      </w:r>
      <w:r w:rsidR="002C3026">
        <w:t>important aspect of medieval queenship</w:t>
      </w:r>
      <w:r w:rsidR="0042297D">
        <w:t>, though, that is not mentioned in the above-quoted description</w:t>
      </w:r>
      <w:r w:rsidR="002C3026">
        <w:t>, namely the centrality of maternity.</w:t>
      </w:r>
      <w:r w:rsidR="000C5CE3">
        <w:t xml:space="preserve"> </w:t>
      </w:r>
    </w:p>
    <w:p w:rsidR="00A775FB" w:rsidRDefault="00530FEE" w:rsidP="000A077E">
      <w:pPr>
        <w:spacing w:line="360" w:lineRule="auto"/>
        <w:ind w:firstLine="720"/>
      </w:pPr>
      <w:r>
        <w:t xml:space="preserve">According to Joan’s biographer, in the first five years of Joan’s marriage to </w:t>
      </w:r>
      <w:proofErr w:type="spellStart"/>
      <w:r>
        <w:t>Llywelyn</w:t>
      </w:r>
      <w:proofErr w:type="spellEnd"/>
      <w:r>
        <w:t xml:space="preserve">, she gave birth to the first three of at least five known children: </w:t>
      </w:r>
      <w:proofErr w:type="spellStart"/>
      <w:r>
        <w:t>Gwladus</w:t>
      </w:r>
      <w:proofErr w:type="spellEnd"/>
      <w:r>
        <w:t xml:space="preserve"> </w:t>
      </w:r>
      <w:proofErr w:type="spellStart"/>
      <w:r>
        <w:t>Ddu</w:t>
      </w:r>
      <w:proofErr w:type="spellEnd"/>
      <w:r>
        <w:t xml:space="preserve">, </w:t>
      </w:r>
      <w:proofErr w:type="spellStart"/>
      <w:r>
        <w:t>Marared</w:t>
      </w:r>
      <w:proofErr w:type="spellEnd"/>
      <w:r>
        <w:t xml:space="preserve"> and </w:t>
      </w:r>
      <w:proofErr w:type="spellStart"/>
      <w:r>
        <w:t>Elen</w:t>
      </w:r>
      <w:proofErr w:type="spellEnd"/>
      <w:r>
        <w:t>.</w:t>
      </w:r>
      <w:r w:rsidR="000040A5">
        <w:rPr>
          <w:rStyle w:val="FootnoteReference"/>
        </w:rPr>
        <w:footnoteReference w:id="57"/>
      </w:r>
      <w:r>
        <w:t xml:space="preserve"> While there exists some debate as to the </w:t>
      </w:r>
      <w:r w:rsidR="001E499F">
        <w:t xml:space="preserve">identity of </w:t>
      </w:r>
      <w:proofErr w:type="spellStart"/>
      <w:r w:rsidR="001E499F">
        <w:t>Gwladus</w:t>
      </w:r>
      <w:proofErr w:type="spellEnd"/>
      <w:r w:rsidR="001E499F">
        <w:t>’ mother, a contemporary chronicle refers to her as Joan’s daughter. It is, of course, possible that Joan had other pregnancies that ended in miscarriage, stillbirth or neonatal loss</w:t>
      </w:r>
      <w:r w:rsidR="0054243B">
        <w:t>,</w:t>
      </w:r>
      <w:r w:rsidR="001E499F">
        <w:t xml:space="preserve"> and</w:t>
      </w:r>
      <w:r w:rsidR="0054243B">
        <w:t xml:space="preserve"> that</w:t>
      </w:r>
      <w:r w:rsidR="001E499F">
        <w:t xml:space="preserve"> simply went unrecorded. </w:t>
      </w:r>
      <w:r w:rsidR="00F1091D">
        <w:t xml:space="preserve">The birth of Joan and </w:t>
      </w:r>
      <w:proofErr w:type="spellStart"/>
      <w:r w:rsidR="00F1091D">
        <w:t>Llywelyn’s</w:t>
      </w:r>
      <w:proofErr w:type="spellEnd"/>
      <w:r w:rsidR="00F1091D">
        <w:t xml:space="preserve"> only surviving son, </w:t>
      </w:r>
      <w:proofErr w:type="spellStart"/>
      <w:r w:rsidR="00F1091D">
        <w:t>Dafyd</w:t>
      </w:r>
      <w:r w:rsidR="0032738B">
        <w:t>d</w:t>
      </w:r>
      <w:proofErr w:type="spellEnd"/>
      <w:r w:rsidR="00F1091D">
        <w:t xml:space="preserve">, </w:t>
      </w:r>
      <w:r w:rsidR="00410066">
        <w:t>probably occurred in the</w:t>
      </w:r>
      <w:r w:rsidR="00FC0D9F">
        <w:t xml:space="preserve"> latter half of</w:t>
      </w:r>
      <w:r w:rsidR="009C4EC6">
        <w:t xml:space="preserve"> the</w:t>
      </w:r>
      <w:r w:rsidR="00410066">
        <w:t xml:space="preserve"> first decade of their marriage</w:t>
      </w:r>
      <w:r w:rsidR="008640AE">
        <w:t>.</w:t>
      </w:r>
      <w:r w:rsidR="00410066">
        <w:t xml:space="preserve"> </w:t>
      </w:r>
      <w:r w:rsidR="008640AE">
        <w:t xml:space="preserve">He is, though, </w:t>
      </w:r>
      <w:r w:rsidR="00E26F9D">
        <w:t>not mentioned in the sources until 1220</w:t>
      </w:r>
      <w:r w:rsidR="008640AE">
        <w:t xml:space="preserve"> when it was agreed at a meeting in Shrewsbury that </w:t>
      </w:r>
      <w:proofErr w:type="spellStart"/>
      <w:r w:rsidR="008640AE">
        <w:t>Dafydd</w:t>
      </w:r>
      <w:proofErr w:type="spellEnd"/>
      <w:r w:rsidR="008640AE">
        <w:t>, rather than his older</w:t>
      </w:r>
      <w:r w:rsidR="00667672">
        <w:t xml:space="preserve"> (and illegitimate)</w:t>
      </w:r>
      <w:r w:rsidR="008640AE">
        <w:t xml:space="preserve"> half-brother </w:t>
      </w:r>
      <w:proofErr w:type="spellStart"/>
      <w:r w:rsidR="008640AE" w:rsidRPr="008640AE">
        <w:t>Gruffudd</w:t>
      </w:r>
      <w:proofErr w:type="spellEnd"/>
      <w:r w:rsidR="008640AE">
        <w:t>, would succeed his father</w:t>
      </w:r>
      <w:r w:rsidR="00AE44B8">
        <w:t>.</w:t>
      </w:r>
      <w:r w:rsidR="00BA584C">
        <w:rPr>
          <w:rStyle w:val="FootnoteReference"/>
        </w:rPr>
        <w:footnoteReference w:id="58"/>
      </w:r>
      <w:r w:rsidR="00AE44B8">
        <w:t xml:space="preserve"> By this </w:t>
      </w:r>
      <w:r w:rsidR="00AE44B8">
        <w:lastRenderedPageBreak/>
        <w:t xml:space="preserve">time, </w:t>
      </w:r>
      <w:r w:rsidR="004B4FAF">
        <w:t xml:space="preserve">King John was dead and Joan’s half-brother, Henry III, sat on the English throne. </w:t>
      </w:r>
      <w:r w:rsidR="0054243B">
        <w:t>The years that followed</w:t>
      </w:r>
      <w:r w:rsidR="008640AE">
        <w:t xml:space="preserve"> the </w:t>
      </w:r>
      <w:r w:rsidR="00D0787E">
        <w:t xml:space="preserve">Shrewsbury </w:t>
      </w:r>
      <w:r w:rsidR="008640AE">
        <w:t xml:space="preserve">meeting </w:t>
      </w:r>
      <w:r w:rsidR="0054243B">
        <w:t xml:space="preserve">are the best-documented of Joan’s diplomatic career and form the subject of the </w:t>
      </w:r>
      <w:r w:rsidR="002B451D">
        <w:t>next</w:t>
      </w:r>
      <w:r w:rsidR="0054243B">
        <w:t xml:space="preserve"> section. </w:t>
      </w:r>
    </w:p>
    <w:p w:rsidR="00AE44B8" w:rsidRDefault="00AE44B8" w:rsidP="004545AF">
      <w:pPr>
        <w:spacing w:line="360" w:lineRule="auto"/>
      </w:pPr>
    </w:p>
    <w:p w:rsidR="00A775FB" w:rsidRDefault="00A775FB" w:rsidP="004545AF">
      <w:pPr>
        <w:spacing w:line="360" w:lineRule="auto"/>
        <w:rPr>
          <w:b/>
          <w:bCs/>
        </w:rPr>
      </w:pPr>
      <w:r w:rsidRPr="00A775FB">
        <w:rPr>
          <w:b/>
          <w:bCs/>
        </w:rPr>
        <w:t>Political Diplomat and Counsellor</w:t>
      </w:r>
    </w:p>
    <w:p w:rsidR="00A775FB" w:rsidRDefault="000A077E" w:rsidP="004545AF">
      <w:pPr>
        <w:spacing w:line="360" w:lineRule="auto"/>
        <w:rPr>
          <w:b/>
          <w:bCs/>
        </w:rPr>
      </w:pPr>
      <w:r>
        <w:rPr>
          <w:b/>
          <w:bCs/>
        </w:rPr>
        <w:tab/>
      </w:r>
    </w:p>
    <w:p w:rsidR="00BF7BCC" w:rsidRDefault="000A077E" w:rsidP="004545AF">
      <w:pPr>
        <w:spacing w:line="360" w:lineRule="auto"/>
      </w:pPr>
      <w:r>
        <w:rPr>
          <w:b/>
          <w:bCs/>
        </w:rPr>
        <w:tab/>
      </w:r>
      <w:r>
        <w:t>Space precludes a detailed analysis of Joan’s</w:t>
      </w:r>
      <w:r w:rsidR="000973D6">
        <w:t xml:space="preserve"> extensive</w:t>
      </w:r>
      <w:r>
        <w:t xml:space="preserve"> political and diplomatic career, hence only a </w:t>
      </w:r>
      <w:r w:rsidR="00B85832">
        <w:t>few</w:t>
      </w:r>
      <w:r w:rsidR="004D3011">
        <w:t xml:space="preserve"> </w:t>
      </w:r>
      <w:r>
        <w:t>key moments will be discussed</w:t>
      </w:r>
      <w:r w:rsidR="006D5916">
        <w:t xml:space="preserve"> to illustrate </w:t>
      </w:r>
      <w:r w:rsidR="00FD04F8">
        <w:t>her</w:t>
      </w:r>
      <w:r w:rsidR="006D5916">
        <w:t xml:space="preserve"> </w:t>
      </w:r>
      <w:r w:rsidR="00DC00F6">
        <w:t>political and royal authority</w:t>
      </w:r>
      <w:r>
        <w:t xml:space="preserve">. </w:t>
      </w:r>
      <w:r w:rsidR="00D60426">
        <w:t xml:space="preserve">Joan’s first official act as political emissary was recorded in the Welsh Chronicle </w:t>
      </w:r>
      <w:r w:rsidR="00D60426" w:rsidRPr="00D60426">
        <w:rPr>
          <w:i/>
          <w:iCs/>
        </w:rPr>
        <w:t xml:space="preserve">Brut y </w:t>
      </w:r>
      <w:proofErr w:type="spellStart"/>
      <w:r w:rsidR="00D60426" w:rsidRPr="00D60426">
        <w:rPr>
          <w:i/>
          <w:iCs/>
        </w:rPr>
        <w:t>Tywysogion</w:t>
      </w:r>
      <w:proofErr w:type="spellEnd"/>
      <w:r w:rsidR="00D60426">
        <w:rPr>
          <w:i/>
          <w:iCs/>
        </w:rPr>
        <w:t xml:space="preserve">, </w:t>
      </w:r>
      <w:r w:rsidR="00D60426" w:rsidRPr="00D60426">
        <w:t>or</w:t>
      </w:r>
      <w:r w:rsidR="00D60426">
        <w:rPr>
          <w:i/>
          <w:iCs/>
        </w:rPr>
        <w:t xml:space="preserve"> </w:t>
      </w:r>
      <w:r w:rsidR="00D60426" w:rsidRPr="00D60426">
        <w:t>Chronicle of the Princes</w:t>
      </w:r>
      <w:r w:rsidR="00D60426">
        <w:rPr>
          <w:i/>
          <w:iCs/>
        </w:rPr>
        <w:t>,</w:t>
      </w:r>
      <w:r w:rsidR="00AE5915">
        <w:rPr>
          <w:i/>
          <w:iCs/>
        </w:rPr>
        <w:t xml:space="preserve"> </w:t>
      </w:r>
      <w:r w:rsidR="00AE5915">
        <w:t>which is considered</w:t>
      </w:r>
      <w:r w:rsidR="00D60426">
        <w:rPr>
          <w:i/>
          <w:iCs/>
        </w:rPr>
        <w:t xml:space="preserve"> </w:t>
      </w:r>
      <w:r w:rsidR="00D60426">
        <w:t xml:space="preserve">one of the most important sources </w:t>
      </w:r>
      <w:r w:rsidR="00950D21">
        <w:t>about the pre-conquest history of Wales.</w:t>
      </w:r>
      <w:r w:rsidR="00950D21">
        <w:rPr>
          <w:rStyle w:val="FootnoteReference"/>
        </w:rPr>
        <w:footnoteReference w:id="59"/>
      </w:r>
      <w:r w:rsidR="00C1640F">
        <w:t xml:space="preserve"> By the summer of 1210, relations between King John and </w:t>
      </w:r>
      <w:proofErr w:type="spellStart"/>
      <w:r w:rsidR="00C1640F">
        <w:t>Llywelyn</w:t>
      </w:r>
      <w:proofErr w:type="spellEnd"/>
      <w:r w:rsidR="00C1640F">
        <w:t xml:space="preserve"> had significantly deteriorated. The </w:t>
      </w:r>
      <w:r w:rsidR="00C1640F" w:rsidRPr="00C1640F">
        <w:rPr>
          <w:i/>
          <w:iCs/>
        </w:rPr>
        <w:t>Brut</w:t>
      </w:r>
      <w:r w:rsidR="00C1640F">
        <w:t xml:space="preserve"> records that 1210 was the year when </w:t>
      </w:r>
      <w:proofErr w:type="spellStart"/>
      <w:r w:rsidR="00C1640F">
        <w:t>Llywelyn</w:t>
      </w:r>
      <w:proofErr w:type="spellEnd"/>
      <w:r w:rsidR="00C1640F">
        <w:t xml:space="preserve"> ‘made cruel attacks upon the English; and on that account king John became enraged, a</w:t>
      </w:r>
      <w:r w:rsidR="00B252CE">
        <w:t>nd</w:t>
      </w:r>
      <w:r w:rsidR="00C1640F">
        <w:t xml:space="preserve"> formed a design of entirely divesting </w:t>
      </w:r>
      <w:proofErr w:type="spellStart"/>
      <w:r w:rsidR="00C1640F">
        <w:t>Llywelyn</w:t>
      </w:r>
      <w:proofErr w:type="spellEnd"/>
      <w:r w:rsidR="00C1640F">
        <w:t xml:space="preserve"> of his dominion’.</w:t>
      </w:r>
      <w:r w:rsidR="00C1640F">
        <w:rPr>
          <w:rStyle w:val="FootnoteReference"/>
        </w:rPr>
        <w:footnoteReference w:id="60"/>
      </w:r>
      <w:r w:rsidR="00B252CE">
        <w:t xml:space="preserve"> To achieve </w:t>
      </w:r>
      <w:r w:rsidR="004C4BDF">
        <w:t>t</w:t>
      </w:r>
      <w:r w:rsidR="00B252CE">
        <w:t>his end, the following</w:t>
      </w:r>
      <w:r w:rsidR="008710F0">
        <w:t xml:space="preserve"> year</w:t>
      </w:r>
      <w:r w:rsidR="00B252CE">
        <w:t xml:space="preserve"> </w:t>
      </w:r>
      <w:r w:rsidR="008710F0">
        <w:t>the English king</w:t>
      </w:r>
      <w:r w:rsidR="00B252CE">
        <w:t xml:space="preserve"> led t</w:t>
      </w:r>
      <w:r w:rsidR="008710F0">
        <w:t>w</w:t>
      </w:r>
      <w:r w:rsidR="00B252CE">
        <w:t>o royal campaigns into</w:t>
      </w:r>
      <w:r w:rsidR="008800C5">
        <w:t xml:space="preserve"> north</w:t>
      </w:r>
      <w:r w:rsidR="00B252CE">
        <w:t xml:space="preserve"> Wales</w:t>
      </w:r>
      <w:r w:rsidR="008800C5">
        <w:t>. The second of these was ‘devastatingly successful’</w:t>
      </w:r>
      <w:r w:rsidR="00231BE0">
        <w:t xml:space="preserve"> and </w:t>
      </w:r>
      <w:r w:rsidR="008800C5">
        <w:t xml:space="preserve">compelled </w:t>
      </w:r>
      <w:proofErr w:type="spellStart"/>
      <w:r w:rsidR="00231BE0">
        <w:t>Llywelyn</w:t>
      </w:r>
      <w:proofErr w:type="spellEnd"/>
      <w:r w:rsidR="00231BE0">
        <w:t xml:space="preserve"> to capitulate.</w:t>
      </w:r>
      <w:r w:rsidR="008800C5">
        <w:rPr>
          <w:rStyle w:val="FootnoteReference"/>
        </w:rPr>
        <w:footnoteReference w:id="61"/>
      </w:r>
      <w:r w:rsidR="00231BE0">
        <w:t xml:space="preserve"> According to </w:t>
      </w:r>
      <w:r w:rsidR="004D3011">
        <w:t>the Chronicle of the Princes</w:t>
      </w:r>
      <w:r w:rsidR="00231BE0">
        <w:t xml:space="preserve">, </w:t>
      </w:r>
      <w:proofErr w:type="spellStart"/>
      <w:r w:rsidR="004D3011">
        <w:t>Llywelyn</w:t>
      </w:r>
      <w:proofErr w:type="spellEnd"/>
    </w:p>
    <w:p w:rsidR="00BF7BCC" w:rsidRDefault="00BF7BCC" w:rsidP="004545AF">
      <w:pPr>
        <w:spacing w:line="360" w:lineRule="auto"/>
      </w:pPr>
    </w:p>
    <w:p w:rsidR="00BF7BCC" w:rsidRDefault="00231BE0" w:rsidP="00BF7BCC">
      <w:pPr>
        <w:spacing w:line="360" w:lineRule="auto"/>
        <w:ind w:left="720"/>
      </w:pPr>
      <w:r>
        <w:t xml:space="preserve">being unable to </w:t>
      </w:r>
      <w:r w:rsidR="004D3011">
        <w:t>bear the cruelty of the king, by the advice of his liege men, sent his wife, who was daughter of the king, to the king, to make peace between him and the king, in any manner she might be able</w:t>
      </w:r>
      <w:r w:rsidR="00BF7BCC">
        <w:t>.</w:t>
      </w:r>
      <w:r>
        <w:rPr>
          <w:rStyle w:val="FootnoteReference"/>
        </w:rPr>
        <w:footnoteReference w:id="62"/>
      </w:r>
      <w:r w:rsidR="00AA7CF3">
        <w:t xml:space="preserve"> </w:t>
      </w:r>
    </w:p>
    <w:p w:rsidR="00BF7BCC" w:rsidRDefault="00BF7BCC" w:rsidP="004545AF">
      <w:pPr>
        <w:spacing w:line="360" w:lineRule="auto"/>
      </w:pPr>
    </w:p>
    <w:p w:rsidR="006F5C2A" w:rsidRDefault="00AA7CF3" w:rsidP="004545AF">
      <w:pPr>
        <w:spacing w:line="360" w:lineRule="auto"/>
      </w:pPr>
      <w:r>
        <w:t xml:space="preserve">Joan’s mission was successful, although the terms </w:t>
      </w:r>
      <w:r w:rsidR="008800C5">
        <w:t>f</w:t>
      </w:r>
      <w:r>
        <w:t xml:space="preserve">or peace were harsh. </w:t>
      </w:r>
      <w:r w:rsidR="008800C5">
        <w:t xml:space="preserve">In addition to recognising the king as overlord and paying a significant fine, Llywelyn was required to </w:t>
      </w:r>
      <w:r w:rsidR="0067094B">
        <w:t xml:space="preserve">deliver a number of noble hostages to </w:t>
      </w:r>
      <w:r w:rsidR="00565653">
        <w:t>John</w:t>
      </w:r>
      <w:r w:rsidR="0067094B">
        <w:t xml:space="preserve">, including his eldest son, </w:t>
      </w:r>
      <w:proofErr w:type="spellStart"/>
      <w:r w:rsidR="0067094B">
        <w:t>Gruffudd</w:t>
      </w:r>
      <w:proofErr w:type="spellEnd"/>
      <w:r w:rsidR="0067094B">
        <w:t>.</w:t>
      </w:r>
      <w:r w:rsidR="00667D34">
        <w:t xml:space="preserve"> </w:t>
      </w:r>
      <w:r w:rsidR="009458FF">
        <w:t xml:space="preserve">Messer believes Joan may have personally negotiated some of the terms and cites as evidence the clause that stipulated that </w:t>
      </w:r>
      <w:proofErr w:type="spellStart"/>
      <w:r w:rsidR="009458FF">
        <w:t>Llywelyn’s</w:t>
      </w:r>
      <w:proofErr w:type="spellEnd"/>
      <w:r w:rsidR="009458FF">
        <w:t xml:space="preserve"> lands would escheat to the </w:t>
      </w:r>
      <w:r w:rsidR="003645E6">
        <w:t xml:space="preserve">English </w:t>
      </w:r>
      <w:r w:rsidR="009458FF">
        <w:t>Crown</w:t>
      </w:r>
      <w:r w:rsidR="004255C4">
        <w:t>,</w:t>
      </w:r>
      <w:r w:rsidR="009458FF">
        <w:t xml:space="preserve"> if </w:t>
      </w:r>
      <w:r w:rsidR="00B07FA7">
        <w:t>he</w:t>
      </w:r>
      <w:r w:rsidR="009458FF">
        <w:t xml:space="preserve"> died </w:t>
      </w:r>
      <w:r w:rsidR="009458FF">
        <w:lastRenderedPageBreak/>
        <w:t>without a legitimate heir by Joan.</w:t>
      </w:r>
      <w:r w:rsidR="004255C4">
        <w:t xml:space="preserve"> While at first glance, this may seem</w:t>
      </w:r>
      <w:r w:rsidR="003E7396">
        <w:t xml:space="preserve"> wholly</w:t>
      </w:r>
      <w:r w:rsidR="004255C4">
        <w:t xml:space="preserve"> disadvantageous, it is possible that she counselled her husband to</w:t>
      </w:r>
      <w:r w:rsidR="003E7396">
        <w:t xml:space="preserve"> acquiesce</w:t>
      </w:r>
      <w:r w:rsidR="00C30688">
        <w:t>,</w:t>
      </w:r>
      <w:r w:rsidR="00646C26">
        <w:t xml:space="preserve"> </w:t>
      </w:r>
      <w:r w:rsidR="003E7396">
        <w:t xml:space="preserve">and </w:t>
      </w:r>
      <w:r w:rsidR="00C5451B">
        <w:t>overlook</w:t>
      </w:r>
      <w:r w:rsidR="004255C4">
        <w:t xml:space="preserve"> his first-born</w:t>
      </w:r>
      <w:r w:rsidR="003E7396">
        <w:t xml:space="preserve"> </w:t>
      </w:r>
      <w:r w:rsidR="004255C4">
        <w:t>son</w:t>
      </w:r>
      <w:r w:rsidR="00C5451B">
        <w:t>’s</w:t>
      </w:r>
      <w:r w:rsidR="004255C4">
        <w:t xml:space="preserve"> patrimony, in order to secure the future of her </w:t>
      </w:r>
      <w:r w:rsidR="00C5451B">
        <w:t xml:space="preserve">own </w:t>
      </w:r>
      <w:r w:rsidR="008E20A2">
        <w:t>yet unborn</w:t>
      </w:r>
      <w:r w:rsidR="00C5451B">
        <w:t xml:space="preserve"> son.</w:t>
      </w:r>
      <w:r w:rsidR="000A320B">
        <w:rPr>
          <w:rStyle w:val="FootnoteReference"/>
        </w:rPr>
        <w:footnoteReference w:id="63"/>
      </w:r>
      <w:r w:rsidR="00727A11">
        <w:t xml:space="preserve"> </w:t>
      </w:r>
      <w:r w:rsidR="00C82ECC">
        <w:t xml:space="preserve">What these events clearly indicate is that from the early years of their marriage, Joan was </w:t>
      </w:r>
      <w:r w:rsidR="00613CDA">
        <w:t>politically active</w:t>
      </w:r>
      <w:r w:rsidR="00C82ECC">
        <w:t xml:space="preserve"> and </w:t>
      </w:r>
      <w:r w:rsidR="004B33DB">
        <w:t xml:space="preserve">functioned as </w:t>
      </w:r>
      <w:proofErr w:type="spellStart"/>
      <w:r w:rsidR="004B33DB">
        <w:t>Llywelyn’s</w:t>
      </w:r>
      <w:proofErr w:type="spellEnd"/>
      <w:r w:rsidR="004B33DB">
        <w:t xml:space="preserve"> leading </w:t>
      </w:r>
      <w:r w:rsidR="00262DAB">
        <w:t>ambassador</w:t>
      </w:r>
      <w:r w:rsidR="004B33DB">
        <w:t>.</w:t>
      </w:r>
      <w:r w:rsidR="009478F6">
        <w:t xml:space="preserve"> </w:t>
      </w:r>
    </w:p>
    <w:p w:rsidR="00DF7346" w:rsidRDefault="006F5C2A" w:rsidP="004545AF">
      <w:pPr>
        <w:spacing w:line="360" w:lineRule="auto"/>
      </w:pPr>
      <w:r>
        <w:tab/>
      </w:r>
      <w:r w:rsidR="007E3D5F">
        <w:t xml:space="preserve">Joan’s aptitude for mediation was further demonstrated in </w:t>
      </w:r>
      <w:r w:rsidR="006107B9">
        <w:t xml:space="preserve">the year 1224 </w:t>
      </w:r>
      <w:r w:rsidR="007E3D5F">
        <w:t xml:space="preserve">when following another failed royal invasion of </w:t>
      </w:r>
      <w:proofErr w:type="spellStart"/>
      <w:r w:rsidR="00041190">
        <w:t>Llywelyn’s</w:t>
      </w:r>
      <w:proofErr w:type="spellEnd"/>
      <w:r w:rsidR="00041190">
        <w:t xml:space="preserve"> dominion</w:t>
      </w:r>
      <w:r w:rsidR="007E3D5F">
        <w:t>,</w:t>
      </w:r>
      <w:r w:rsidR="00041190">
        <w:t xml:space="preserve"> the ‘Lady of North </w:t>
      </w:r>
      <w:proofErr w:type="spellStart"/>
      <w:r w:rsidR="00041190">
        <w:t>Wales’</w:t>
      </w:r>
      <w:proofErr w:type="spellEnd"/>
      <w:r w:rsidR="00041190">
        <w:t xml:space="preserve"> was granted safe passage </w:t>
      </w:r>
      <w:r w:rsidR="007E3D5F">
        <w:t>to</w:t>
      </w:r>
      <w:r w:rsidR="00041190">
        <w:t xml:space="preserve"> travel to</w:t>
      </w:r>
      <w:r w:rsidR="007E3D5F">
        <w:t xml:space="preserve"> </w:t>
      </w:r>
      <w:r w:rsidR="00DE60B4">
        <w:t>Worcester</w:t>
      </w:r>
      <w:r w:rsidR="00041190">
        <w:t xml:space="preserve"> to meet with the king, who was by this time Joan’s teenage half-brother, Henry III.</w:t>
      </w:r>
      <w:r w:rsidR="00DE60B4">
        <w:t xml:space="preserve"> </w:t>
      </w:r>
      <w:r w:rsidR="00BB1306">
        <w:t>This meeting</w:t>
      </w:r>
      <w:r w:rsidR="00DE60B4">
        <w:t xml:space="preserve"> paved the way for another Anglo-Welsh peace conference, which took place at Shrewsbury in late September 1224.</w:t>
      </w:r>
      <w:r w:rsidR="00DE60B4">
        <w:rPr>
          <w:rStyle w:val="FootnoteReference"/>
        </w:rPr>
        <w:footnoteReference w:id="64"/>
      </w:r>
      <w:r w:rsidR="00BB1306">
        <w:t xml:space="preserve"> Joan’s diplomatic efforts were rewarded in February 1225, by the gift of the manor of Rothley in Leicestershire.</w:t>
      </w:r>
      <w:r w:rsidR="00BB1306">
        <w:rPr>
          <w:rStyle w:val="FootnoteReference"/>
        </w:rPr>
        <w:footnoteReference w:id="65"/>
      </w:r>
      <w:r w:rsidR="00BB1306">
        <w:t xml:space="preserve"> The following year,</w:t>
      </w:r>
      <w:r w:rsidR="00C62B20">
        <w:t xml:space="preserve"> the young king supported Joan’s bid for legitimisation, officially granted by Pope </w:t>
      </w:r>
      <w:proofErr w:type="spellStart"/>
      <w:r w:rsidR="00C62B20">
        <w:t>Honorious</w:t>
      </w:r>
      <w:proofErr w:type="spellEnd"/>
      <w:r w:rsidR="00C62B20">
        <w:t xml:space="preserve"> III in April 1226, and </w:t>
      </w:r>
      <w:r w:rsidR="00540FEE">
        <w:t>bestowed upon</w:t>
      </w:r>
      <w:r w:rsidR="00C62B20">
        <w:t xml:space="preserve"> h</w:t>
      </w:r>
      <w:r w:rsidR="00540FEE">
        <w:t>is sister</w:t>
      </w:r>
      <w:r w:rsidR="001A160B">
        <w:t xml:space="preserve"> the </w:t>
      </w:r>
      <w:r w:rsidR="00C62B20">
        <w:t>manor</w:t>
      </w:r>
      <w:r w:rsidR="001A160B">
        <w:t xml:space="preserve"> of </w:t>
      </w:r>
      <w:r w:rsidR="00C62B20">
        <w:t xml:space="preserve">Condover in Shropshire. </w:t>
      </w:r>
      <w:r w:rsidR="00C17C5B">
        <w:t>Amicable</w:t>
      </w:r>
      <w:r w:rsidR="00DF7346">
        <w:t xml:space="preserve"> relations, however, soon deteriorated and </w:t>
      </w:r>
      <w:r w:rsidR="00C17C5B">
        <w:t xml:space="preserve">in 1228, Joan travelled to England once more to parlay for peace. This mission was another success and Joan’s position as leading Welsh envoy and royal mother was </w:t>
      </w:r>
      <w:r w:rsidR="00754EF4">
        <w:t>affirmed</w:t>
      </w:r>
      <w:r w:rsidR="00C17C5B">
        <w:t xml:space="preserve"> in </w:t>
      </w:r>
      <w:r w:rsidR="00456DC6">
        <w:t xml:space="preserve">October 1228, when </w:t>
      </w:r>
      <w:r w:rsidR="00D8488C">
        <w:t>‘</w:t>
      </w:r>
      <w:r w:rsidR="00456DC6">
        <w:t xml:space="preserve">she </w:t>
      </w:r>
      <w:r w:rsidR="00754EF4">
        <w:t>witnessed</w:t>
      </w:r>
      <w:r w:rsidR="00456DC6">
        <w:t xml:space="preserve"> her son pay homage to the king at Westminster</w:t>
      </w:r>
      <w:r w:rsidR="00D8488C">
        <w:t>’</w:t>
      </w:r>
      <w:r w:rsidR="00456DC6">
        <w:t>.</w:t>
      </w:r>
      <w:r w:rsidR="00D8488C">
        <w:rPr>
          <w:rStyle w:val="FootnoteReference"/>
        </w:rPr>
        <w:footnoteReference w:id="66"/>
      </w:r>
      <w:r w:rsidR="00964256">
        <w:t xml:space="preserve"> </w:t>
      </w:r>
      <w:r w:rsidR="00403AA5">
        <w:t>It is worth mentioning that t</w:t>
      </w:r>
      <w:r w:rsidR="00964256">
        <w:t>here was, as Lloyd remark</w:t>
      </w:r>
      <w:r w:rsidR="003E62C7">
        <w:t>s</w:t>
      </w:r>
      <w:r w:rsidR="00964256">
        <w:t>, ‘a sudden suspension of her diplomatic activity’ in</w:t>
      </w:r>
      <w:r w:rsidR="00403AA5">
        <w:t xml:space="preserve"> 1230, </w:t>
      </w:r>
      <w:r w:rsidR="00F72A2E">
        <w:t xml:space="preserve">when she was briefly imprisoned after </w:t>
      </w:r>
      <w:r w:rsidR="007D1591">
        <w:t>allegedly engaging</w:t>
      </w:r>
      <w:r w:rsidR="00403AA5">
        <w:t xml:space="preserve"> in an affair with </w:t>
      </w:r>
      <w:r w:rsidR="005248DC">
        <w:t xml:space="preserve">William de </w:t>
      </w:r>
      <w:proofErr w:type="spellStart"/>
      <w:r w:rsidR="005248DC">
        <w:t>Braose</w:t>
      </w:r>
      <w:proofErr w:type="spellEnd"/>
      <w:r w:rsidR="00F72A2E">
        <w:t>.</w:t>
      </w:r>
      <w:r w:rsidR="00972C0C">
        <w:rPr>
          <w:rStyle w:val="FootnoteReference"/>
        </w:rPr>
        <w:footnoteReference w:id="67"/>
      </w:r>
      <w:r w:rsidR="007D1591">
        <w:t xml:space="preserve"> This famous incident, which </w:t>
      </w:r>
      <w:r w:rsidR="005248DC">
        <w:t>resul</w:t>
      </w:r>
      <w:r w:rsidR="007D1591">
        <w:t>ted</w:t>
      </w:r>
      <w:r w:rsidR="005248DC">
        <w:t xml:space="preserve"> in the English Marcher Lord’s execution</w:t>
      </w:r>
      <w:r w:rsidR="007D1591">
        <w:t xml:space="preserve">, will not be discussed here as it has been extensively covered </w:t>
      </w:r>
      <w:r w:rsidR="00716A76">
        <w:t>elsewhere</w:t>
      </w:r>
      <w:r w:rsidR="00242B94">
        <w:t>.</w:t>
      </w:r>
      <w:r w:rsidR="00046F17">
        <w:rPr>
          <w:rStyle w:val="FootnoteReference"/>
        </w:rPr>
        <w:footnoteReference w:id="68"/>
      </w:r>
      <w:r w:rsidR="004C7600">
        <w:t xml:space="preserve"> Suffice to say, </w:t>
      </w:r>
      <w:r w:rsidR="00DA1C1F">
        <w:t>the following year, Joan</w:t>
      </w:r>
      <w:r w:rsidR="004C7600">
        <w:t xml:space="preserve"> was reinstated in her position and</w:t>
      </w:r>
      <w:r w:rsidR="00DA1C1F">
        <w:t xml:space="preserve"> resumed her diplomatic duties.  </w:t>
      </w:r>
    </w:p>
    <w:p w:rsidR="00566828" w:rsidRDefault="003C541A" w:rsidP="000C530E">
      <w:pPr>
        <w:spacing w:line="360" w:lineRule="auto"/>
      </w:pPr>
      <w:r>
        <w:tab/>
      </w:r>
      <w:r w:rsidR="00FE4419">
        <w:t xml:space="preserve">It is </w:t>
      </w:r>
      <w:r w:rsidR="00BB6617">
        <w:t>important</w:t>
      </w:r>
      <w:r w:rsidR="00FE4419">
        <w:t xml:space="preserve"> to </w:t>
      </w:r>
      <w:r w:rsidR="008B77AC">
        <w:t>conclude</w:t>
      </w:r>
      <w:r w:rsidR="00FE4419">
        <w:t xml:space="preserve"> this discussion of Joan’s political life in the year 1232, </w:t>
      </w:r>
      <w:r w:rsidR="000C530E">
        <w:t xml:space="preserve">when the eruption of war </w:t>
      </w:r>
      <w:r w:rsidR="00566828">
        <w:t>necessitated several diplomatic missions to Shrewsbury</w:t>
      </w:r>
      <w:r w:rsidR="00FB115B">
        <w:t xml:space="preserve"> to re</w:t>
      </w:r>
      <w:r w:rsidR="009A2943">
        <w:t>-</w:t>
      </w:r>
      <w:r w:rsidR="009A2943">
        <w:lastRenderedPageBreak/>
        <w:t>e</w:t>
      </w:r>
      <w:r w:rsidR="00FB115B">
        <w:t>stablish peace</w:t>
      </w:r>
      <w:r w:rsidR="00566828">
        <w:t>. Messer suggests that it was during this period of renewed hostility that Joan penned her only surviving letter to Henry III</w:t>
      </w:r>
      <w:r w:rsidR="009A2943">
        <w:t>, which she contends is ‘</w:t>
      </w:r>
      <w:r w:rsidR="00566828" w:rsidRPr="00566828">
        <w:t>the greatest demonstration of her diplomatic capacity, use of her Welsh royal authority and the function of her royal office in its own right</w:t>
      </w:r>
      <w:r w:rsidR="00566828">
        <w:t>’</w:t>
      </w:r>
      <w:r w:rsidR="00566828" w:rsidRPr="00566828">
        <w:t>.</w:t>
      </w:r>
      <w:r w:rsidR="00D40B21">
        <w:rPr>
          <w:rStyle w:val="FootnoteReference"/>
        </w:rPr>
        <w:footnoteReference w:id="69"/>
      </w:r>
      <w:r w:rsidR="00D95BB2">
        <w:t xml:space="preserve"> </w:t>
      </w:r>
      <w:r w:rsidR="00BE6D2B">
        <w:t xml:space="preserve">She </w:t>
      </w:r>
      <w:r w:rsidR="00BB0B33">
        <w:t>writes to</w:t>
      </w:r>
      <w:r w:rsidR="00BE6D2B">
        <w:t xml:space="preserve"> her brother ‘that I am grieved beyond measure, that I can by no means express, that our enemies have succeeded in sowing discord between my husband and you’.</w:t>
      </w:r>
      <w:r w:rsidR="00D07DD1">
        <w:rPr>
          <w:rStyle w:val="FootnoteReference"/>
        </w:rPr>
        <w:footnoteReference w:id="70"/>
      </w:r>
      <w:r w:rsidR="00BE6D2B">
        <w:t xml:space="preserve"> She </w:t>
      </w:r>
      <w:r w:rsidR="00D07DD1">
        <w:t xml:space="preserve">goes on to entreat him ‘on bended knee and shedding tears’ to reconcile with </w:t>
      </w:r>
      <w:proofErr w:type="spellStart"/>
      <w:r w:rsidR="00D07DD1">
        <w:t>Llywelyn</w:t>
      </w:r>
      <w:proofErr w:type="spellEnd"/>
      <w:r w:rsidR="00D07DD1">
        <w:t xml:space="preserve"> and to trust in their shared messenger. </w:t>
      </w:r>
      <w:r w:rsidR="00D95BB2">
        <w:t>In her salutation she refers to Henry as ‘her most excellent lord and dearest brother’</w:t>
      </w:r>
      <w:r w:rsidR="00964256">
        <w:t xml:space="preserve"> </w:t>
      </w:r>
      <w:r w:rsidR="00D95BB2">
        <w:t>and identifies herself as ‘the Lady of Wales’</w:t>
      </w:r>
      <w:r w:rsidR="009F199B">
        <w:t xml:space="preserve">, </w:t>
      </w:r>
      <w:r w:rsidR="00BA4BBE">
        <w:t>a title she adopted in around 1230. Since the beginning of her marriage to the prince of Gwynedd, Joan navigated the personal and political realities of being the daughter, sister and wife of kings with aplomb</w:t>
      </w:r>
      <w:r w:rsidR="007556F9">
        <w:t xml:space="preserve">. This interweaving of </w:t>
      </w:r>
      <w:r w:rsidR="0018134E">
        <w:t xml:space="preserve">the </w:t>
      </w:r>
      <w:r w:rsidR="007556F9">
        <w:t xml:space="preserve">political and the personal is evident in this emotive letter, as </w:t>
      </w:r>
      <w:r w:rsidR="0018134E">
        <w:t xml:space="preserve">is her astute political mind. </w:t>
      </w:r>
    </w:p>
    <w:p w:rsidR="00CC7921" w:rsidRDefault="00CC7921" w:rsidP="000C530E">
      <w:pPr>
        <w:spacing w:line="360" w:lineRule="auto"/>
      </w:pPr>
    </w:p>
    <w:p w:rsidR="00CC7921" w:rsidRDefault="00D07B25" w:rsidP="000C530E">
      <w:pPr>
        <w:spacing w:line="360" w:lineRule="auto"/>
        <w:rPr>
          <w:b/>
          <w:bCs/>
        </w:rPr>
      </w:pPr>
      <w:r>
        <w:rPr>
          <w:b/>
          <w:bCs/>
        </w:rPr>
        <w:t>Conclusion</w:t>
      </w:r>
    </w:p>
    <w:p w:rsidR="00CC7921" w:rsidRDefault="00CC7921" w:rsidP="000C530E">
      <w:pPr>
        <w:spacing w:line="360" w:lineRule="auto"/>
        <w:rPr>
          <w:b/>
          <w:bCs/>
        </w:rPr>
      </w:pPr>
    </w:p>
    <w:p w:rsidR="00AD7267" w:rsidRDefault="00BC2750" w:rsidP="000C530E">
      <w:pPr>
        <w:spacing w:line="360" w:lineRule="auto"/>
      </w:pPr>
      <w:r>
        <w:t>The Welsh chronicles relate that in February 1237, Joan died at her home in Aber</w:t>
      </w:r>
      <w:r w:rsidR="00B03A3D">
        <w:t xml:space="preserve"> and was buried in </w:t>
      </w:r>
      <w:proofErr w:type="spellStart"/>
      <w:r w:rsidR="00B03A3D">
        <w:t>Llanfaes</w:t>
      </w:r>
      <w:proofErr w:type="spellEnd"/>
      <w:r w:rsidR="00B03A3D">
        <w:t xml:space="preserve"> on the island of </w:t>
      </w:r>
      <w:r w:rsidR="00B03A3D" w:rsidRPr="00B03A3D">
        <w:t>Anglesey</w:t>
      </w:r>
      <w:r>
        <w:t>.</w:t>
      </w:r>
      <w:r w:rsidR="0032720D">
        <w:rPr>
          <w:rStyle w:val="FootnoteReference"/>
        </w:rPr>
        <w:footnoteReference w:id="71"/>
      </w:r>
      <w:r>
        <w:t xml:space="preserve"> </w:t>
      </w:r>
      <w:proofErr w:type="spellStart"/>
      <w:r>
        <w:t>Llywelyn</w:t>
      </w:r>
      <w:proofErr w:type="spellEnd"/>
      <w:r>
        <w:t xml:space="preserve"> chose to honour </w:t>
      </w:r>
      <w:r w:rsidR="005C7ECE">
        <w:t>Joan’s memory</w:t>
      </w:r>
      <w:r w:rsidR="00B03A3D">
        <w:t xml:space="preserve"> by founding there a Franciscan friary. </w:t>
      </w:r>
      <w:r w:rsidR="00AD4654">
        <w:t xml:space="preserve">Not long after burying his wife, </w:t>
      </w:r>
      <w:proofErr w:type="spellStart"/>
      <w:r w:rsidR="00AD4654">
        <w:t>Llywelyn</w:t>
      </w:r>
      <w:proofErr w:type="spellEnd"/>
      <w:r w:rsidR="00AD4654">
        <w:t xml:space="preserve"> suffered a devastating stroke, perhaps triggered by the grief he felt at the loss of his greatest confidant and supporter.</w:t>
      </w:r>
      <w:r w:rsidR="009E140E">
        <w:rPr>
          <w:rStyle w:val="FootnoteReference"/>
        </w:rPr>
        <w:footnoteReference w:id="72"/>
      </w:r>
      <w:r w:rsidR="00AD4654">
        <w:t xml:space="preserve"> </w:t>
      </w:r>
      <w:r w:rsidR="00F10E31">
        <w:t>For more than three</w:t>
      </w:r>
      <w:r w:rsidR="00A159FC">
        <w:t xml:space="preserve"> </w:t>
      </w:r>
      <w:r w:rsidR="00F10E31">
        <w:t xml:space="preserve">decades, Joan </w:t>
      </w:r>
      <w:r w:rsidR="009D55C9">
        <w:t>nurtured relations between Gwynedd and the English Crown</w:t>
      </w:r>
      <w:r w:rsidR="00EC4FE2">
        <w:t>, halted several planned invasions of Wales</w:t>
      </w:r>
      <w:r w:rsidR="007A7929">
        <w:t>,</w:t>
      </w:r>
      <w:r w:rsidR="009D55C9">
        <w:t xml:space="preserve"> and tirelessly </w:t>
      </w:r>
      <w:r w:rsidR="001A3734">
        <w:t>worked</w:t>
      </w:r>
      <w:r w:rsidR="009D55C9">
        <w:t xml:space="preserve"> for peace.</w:t>
      </w:r>
      <w:r w:rsidR="00A156A0">
        <w:t xml:space="preserve"> Repeatedly, s</w:t>
      </w:r>
      <w:r w:rsidR="001D4B1D">
        <w:t xml:space="preserve">he demonstrated </w:t>
      </w:r>
      <w:r w:rsidR="009D55C9">
        <w:t xml:space="preserve">her deep loyalty to her marital homeland and </w:t>
      </w:r>
      <w:r w:rsidR="00A159FC">
        <w:t>used her sharp political skills to</w:t>
      </w:r>
      <w:r w:rsidR="00114048">
        <w:t xml:space="preserve"> exercise</w:t>
      </w:r>
      <w:r w:rsidR="00270C7E">
        <w:t xml:space="preserve"> real</w:t>
      </w:r>
      <w:r w:rsidR="00114048">
        <w:t xml:space="preserve"> power</w:t>
      </w:r>
      <w:r w:rsidR="00270C7E">
        <w:t>.</w:t>
      </w:r>
      <w:r w:rsidR="00114048">
        <w:t xml:space="preserve"> </w:t>
      </w:r>
      <w:r w:rsidR="00270C7E">
        <w:t>Joan</w:t>
      </w:r>
      <w:r w:rsidR="006A4156">
        <w:t xml:space="preserve"> was a highly successful and </w:t>
      </w:r>
      <w:r w:rsidR="00A156A0">
        <w:t>shrewd</w:t>
      </w:r>
      <w:r w:rsidR="006A4156">
        <w:t xml:space="preserve"> queen, who</w:t>
      </w:r>
      <w:r w:rsidR="00270C7E">
        <w:t xml:space="preserve"> offered </w:t>
      </w:r>
      <w:r w:rsidR="001A3734">
        <w:t>her husband</w:t>
      </w:r>
      <w:r w:rsidR="00270C7E">
        <w:t xml:space="preserve"> </w:t>
      </w:r>
      <w:r w:rsidR="006A4156">
        <w:t>indispensable</w:t>
      </w:r>
      <w:r w:rsidR="00270C7E">
        <w:t xml:space="preserve"> </w:t>
      </w:r>
      <w:r w:rsidR="00E02DCF">
        <w:t>support</w:t>
      </w:r>
      <w:r w:rsidR="006A4156">
        <w:t xml:space="preserve">. </w:t>
      </w:r>
      <w:r w:rsidR="007A7929">
        <w:t>It could be argued that it is</w:t>
      </w:r>
      <w:r w:rsidR="006A4156">
        <w:t xml:space="preserve"> thanks to Joan,</w:t>
      </w:r>
      <w:r w:rsidR="00645EB0">
        <w:t xml:space="preserve"> </w:t>
      </w:r>
      <w:proofErr w:type="spellStart"/>
      <w:r w:rsidR="00645EB0">
        <w:t>Llywelyn’s</w:t>
      </w:r>
      <w:proofErr w:type="spellEnd"/>
      <w:r w:rsidR="006A4156">
        <w:t xml:space="preserve"> peerless advocate and counsellor, that </w:t>
      </w:r>
      <w:r w:rsidR="00645EB0">
        <w:t>he</w:t>
      </w:r>
      <w:r w:rsidR="006A4156">
        <w:t xml:space="preserve"> managed to unite a large part of native Wales </w:t>
      </w:r>
      <w:r w:rsidR="00BE7330">
        <w:t>under his rule</w:t>
      </w:r>
      <w:r w:rsidR="007A7929">
        <w:t xml:space="preserve"> and maintain power</w:t>
      </w:r>
      <w:r w:rsidR="006A4156">
        <w:t xml:space="preserve">. </w:t>
      </w:r>
      <w:r w:rsidR="009D0932">
        <w:t>The appellation “the Great” was</w:t>
      </w:r>
      <w:r w:rsidR="007A7929">
        <w:t xml:space="preserve"> posthumously</w:t>
      </w:r>
      <w:r w:rsidR="009D0932">
        <w:t xml:space="preserve"> </w:t>
      </w:r>
      <w:r w:rsidR="007A7929">
        <w:t xml:space="preserve">bestowed on </w:t>
      </w:r>
      <w:proofErr w:type="spellStart"/>
      <w:r w:rsidR="007A7929">
        <w:t>Llywelyn</w:t>
      </w:r>
      <w:proofErr w:type="spellEnd"/>
      <w:r w:rsidR="007A7929">
        <w:t xml:space="preserve"> in recognition of his political success</w:t>
      </w:r>
      <w:r w:rsidR="000841D3">
        <w:t xml:space="preserve">. </w:t>
      </w:r>
      <w:r w:rsidR="000106C9">
        <w:t>Perhaps</w:t>
      </w:r>
      <w:r w:rsidR="00302352">
        <w:t xml:space="preserve"> </w:t>
      </w:r>
      <w:r w:rsidR="0000427E">
        <w:t xml:space="preserve">it is only just that the ‘Lady of </w:t>
      </w:r>
      <w:proofErr w:type="spellStart"/>
      <w:r w:rsidR="0000427E">
        <w:t>Wales’</w:t>
      </w:r>
      <w:proofErr w:type="spellEnd"/>
      <w:r w:rsidR="0000427E">
        <w:t xml:space="preserve"> </w:t>
      </w:r>
      <w:r w:rsidR="00713A84">
        <w:t>be similarly celebrated and remembered</w:t>
      </w:r>
      <w:r w:rsidR="0000427E">
        <w:t xml:space="preserve"> </w:t>
      </w:r>
      <w:r w:rsidR="00302352">
        <w:t xml:space="preserve">as </w:t>
      </w:r>
      <w:r w:rsidR="00973B68">
        <w:t>‘</w:t>
      </w:r>
      <w:r w:rsidR="00302352">
        <w:t>Joan the Great</w:t>
      </w:r>
      <w:r w:rsidR="00973B68">
        <w:t>’</w:t>
      </w:r>
      <w:r w:rsidR="00302352">
        <w:t xml:space="preserve">. </w:t>
      </w:r>
    </w:p>
    <w:p w:rsidR="000A430A" w:rsidRDefault="000A430A" w:rsidP="000C530E">
      <w:pPr>
        <w:spacing w:line="360" w:lineRule="auto"/>
      </w:pPr>
    </w:p>
    <w:p w:rsidR="000A430A" w:rsidRPr="000A430A" w:rsidRDefault="000A430A" w:rsidP="000C530E">
      <w:pPr>
        <w:spacing w:line="360" w:lineRule="auto"/>
        <w:rPr>
          <w:b/>
          <w:bCs/>
        </w:rPr>
      </w:pPr>
      <w:r w:rsidRPr="000A430A">
        <w:rPr>
          <w:b/>
          <w:bCs/>
        </w:rPr>
        <w:t>Bibliography</w:t>
      </w:r>
    </w:p>
    <w:p w:rsidR="00A65E23" w:rsidRDefault="00A65E23" w:rsidP="00A65E23">
      <w:pPr>
        <w:pStyle w:val="FootnoteText"/>
      </w:pPr>
    </w:p>
    <w:p w:rsidR="00A65E23" w:rsidRDefault="00A65E23" w:rsidP="00A65E23">
      <w:pPr>
        <w:pStyle w:val="FootnoteText"/>
      </w:pPr>
      <w:proofErr w:type="spellStart"/>
      <w:r>
        <w:t>Cambrensis</w:t>
      </w:r>
      <w:proofErr w:type="spellEnd"/>
      <w:r>
        <w:t xml:space="preserve">, </w:t>
      </w:r>
      <w:proofErr w:type="spellStart"/>
      <w:r>
        <w:t>Geraldus</w:t>
      </w:r>
      <w:proofErr w:type="spellEnd"/>
      <w:r>
        <w:t xml:space="preserve">, </w:t>
      </w:r>
      <w:r w:rsidRPr="00CB3A57">
        <w:rPr>
          <w:i/>
          <w:iCs/>
        </w:rPr>
        <w:t>The Description of Wales</w:t>
      </w:r>
      <w:r>
        <w:t>, the Project Gutenberg eBook (2015) &lt;</w:t>
      </w:r>
      <w:r w:rsidRPr="00CB3A57">
        <w:t xml:space="preserve"> </w:t>
      </w:r>
      <w:hyperlink r:id="rId6" w:history="1">
        <w:r w:rsidRPr="00A05AC7">
          <w:rPr>
            <w:rStyle w:val="Hyperlink"/>
          </w:rPr>
          <w:t>https://www.gutenberg.org/files/1092/1092-h/1092-h.htm</w:t>
        </w:r>
      </w:hyperlink>
      <w:r>
        <w:t>&gt; [accessed 28 April, 2026]</w:t>
      </w:r>
    </w:p>
    <w:p w:rsidR="00A65E23" w:rsidRDefault="00A65E23" w:rsidP="00A65E23">
      <w:pPr>
        <w:pStyle w:val="FootnoteText"/>
      </w:pPr>
    </w:p>
    <w:p w:rsidR="00A65E23" w:rsidRDefault="00A65E23" w:rsidP="00A65E23">
      <w:pPr>
        <w:pStyle w:val="FootnoteText"/>
      </w:pPr>
      <w:proofErr w:type="spellStart"/>
      <w:r>
        <w:t>Cengel</w:t>
      </w:r>
      <w:proofErr w:type="spellEnd"/>
      <w:r>
        <w:t>, Abigail, ‘Living Links: The Role of Marriage Between Welsh and Anglo-Norman Aristocratic Families in the Welsh Struggle for Autonomy’ (Honours thesis, Wittenberg University, 2012) &lt;</w:t>
      </w:r>
      <w:r w:rsidRPr="00393B47">
        <w:t xml:space="preserve"> </w:t>
      </w:r>
      <w:hyperlink r:id="rId7" w:history="1">
        <w:r w:rsidRPr="00A05AC7">
          <w:rPr>
            <w:rStyle w:val="Hyperlink"/>
          </w:rPr>
          <w:t>https://etd.ohiolink.edu/acprod/odb_etd/ws/send_file/send?accession=wuhonors1337875222&amp;disposition=inline</w:t>
        </w:r>
      </w:hyperlink>
      <w:r>
        <w:t>&gt; [accessed 27 April, 2026]</w:t>
      </w:r>
    </w:p>
    <w:p w:rsidR="00A65E23" w:rsidRDefault="00A65E23" w:rsidP="00A65E23">
      <w:pPr>
        <w:pStyle w:val="FootnoteText"/>
      </w:pPr>
    </w:p>
    <w:p w:rsidR="00A65E23" w:rsidRDefault="00A65E23" w:rsidP="00A65E23">
      <w:pPr>
        <w:pStyle w:val="FootnoteText"/>
      </w:pPr>
      <w:r>
        <w:t xml:space="preserve">David </w:t>
      </w:r>
      <w:proofErr w:type="spellStart"/>
      <w:r>
        <w:t>D’Avray</w:t>
      </w:r>
      <w:proofErr w:type="spellEnd"/>
      <w:r w:rsidRPr="00913693">
        <w:t xml:space="preserve">, </w:t>
      </w:r>
      <w:r w:rsidRPr="00913693">
        <w:rPr>
          <w:i/>
          <w:iCs/>
        </w:rPr>
        <w:t>Dissolving Royal Marriages: A Documentary History, 860–1600</w:t>
      </w:r>
      <w:r w:rsidRPr="00913693">
        <w:t> (Cambridge: Cambridge University Press, 2014)</w:t>
      </w:r>
    </w:p>
    <w:p w:rsidR="00A65E23" w:rsidRDefault="00A65E23" w:rsidP="00A65E23">
      <w:pPr>
        <w:pStyle w:val="FootnoteText"/>
      </w:pPr>
    </w:p>
    <w:p w:rsidR="00A65E23" w:rsidRDefault="00A65E23" w:rsidP="00A65E23">
      <w:pPr>
        <w:pStyle w:val="FootnoteText"/>
      </w:pPr>
      <w:r>
        <w:t xml:space="preserve">Davies, Robert Rees, </w:t>
      </w:r>
      <w:r w:rsidRPr="00C145B5">
        <w:rPr>
          <w:i/>
          <w:iCs/>
        </w:rPr>
        <w:t>The Age of Conquest, Wales 1063-1415</w:t>
      </w:r>
      <w:r>
        <w:rPr>
          <w:i/>
          <w:iCs/>
        </w:rPr>
        <w:t xml:space="preserve"> </w:t>
      </w:r>
      <w:r>
        <w:t>(Oxford University Press, 1987), &lt;</w:t>
      </w:r>
      <w:r w:rsidRPr="00C145B5">
        <w:t xml:space="preserve"> </w:t>
      </w:r>
      <w:hyperlink r:id="rId8" w:history="1">
        <w:r w:rsidRPr="00A05AC7">
          <w:rPr>
            <w:rStyle w:val="Hyperlink"/>
          </w:rPr>
          <w:t>https://archive.org/details/ageofconquestwal0000davi/page/212/mode/2up</w:t>
        </w:r>
      </w:hyperlink>
      <w:r>
        <w:t>&gt; [accessed 27 April, 2026]</w:t>
      </w:r>
    </w:p>
    <w:p w:rsidR="00A65E23" w:rsidRDefault="00A65E23" w:rsidP="00A65E23">
      <w:pPr>
        <w:pStyle w:val="FootnoteText"/>
      </w:pPr>
    </w:p>
    <w:p w:rsidR="00A65E23" w:rsidRDefault="00A65E23" w:rsidP="00A65E23">
      <w:pPr>
        <w:pStyle w:val="FootnoteText"/>
      </w:pPr>
      <w:r>
        <w:t xml:space="preserve">Edwards, T. M. Charles, ‘Nau </w:t>
      </w:r>
      <w:proofErr w:type="spellStart"/>
      <w:r>
        <w:t>Kynywedi</w:t>
      </w:r>
      <w:proofErr w:type="spellEnd"/>
      <w:r>
        <w:t xml:space="preserve"> </w:t>
      </w:r>
      <w:proofErr w:type="spellStart"/>
      <w:r>
        <w:t>Teithiauc</w:t>
      </w:r>
      <w:proofErr w:type="spellEnd"/>
      <w:r>
        <w:t xml:space="preserve">’, in </w:t>
      </w:r>
      <w:r w:rsidRPr="004D55FF">
        <w:rPr>
          <w:i/>
          <w:iCs/>
        </w:rPr>
        <w:t>The Welsh Law of Women</w:t>
      </w:r>
      <w:r>
        <w:t xml:space="preserve">, ed. by </w:t>
      </w:r>
      <w:proofErr w:type="spellStart"/>
      <w:r>
        <w:t>Dafydd</w:t>
      </w:r>
      <w:proofErr w:type="spellEnd"/>
      <w:r>
        <w:t xml:space="preserve"> Jenkins and </w:t>
      </w:r>
      <w:proofErr w:type="spellStart"/>
      <w:r>
        <w:t>Morfydd</w:t>
      </w:r>
      <w:proofErr w:type="spellEnd"/>
      <w:r>
        <w:t xml:space="preserve"> E. Owen, pp. 39-40.</w:t>
      </w:r>
    </w:p>
    <w:p w:rsidR="00A65E23" w:rsidRDefault="00A65E23" w:rsidP="00A65E23">
      <w:pPr>
        <w:pStyle w:val="FootnoteText"/>
      </w:pPr>
    </w:p>
    <w:p w:rsidR="00A65E23" w:rsidRDefault="00A65E23" w:rsidP="00A65E23">
      <w:pPr>
        <w:pStyle w:val="FootnoteText"/>
      </w:pPr>
      <w:r>
        <w:t>Gillingham, John, ‘J</w:t>
      </w:r>
      <w:r w:rsidRPr="00CF720A">
        <w:t>ohn (1167–1216), king of England, and lord of Ireland, duke of Normandy and of Aquitaine, and count of Anjou</w:t>
      </w:r>
      <w:r>
        <w:t xml:space="preserve">’, </w:t>
      </w:r>
      <w:r w:rsidRPr="004751FA">
        <w:rPr>
          <w:i/>
          <w:iCs/>
        </w:rPr>
        <w:t>Dictionary of Welsh Biography</w:t>
      </w:r>
      <w:r>
        <w:t>, 2021 &lt;</w:t>
      </w:r>
      <w:r w:rsidRPr="00CF720A">
        <w:rPr>
          <w:rFonts w:ascii="Open Sans" w:hAnsi="Open Sans" w:cs="Open Sans"/>
          <w:color w:val="2A2A2A"/>
          <w:sz w:val="24"/>
          <w:szCs w:val="24"/>
          <w:shd w:val="clear" w:color="auto" w:fill="F2F5F9"/>
        </w:rPr>
        <w:t xml:space="preserve"> </w:t>
      </w:r>
      <w:hyperlink r:id="rId9" w:history="1">
        <w:r w:rsidRPr="00A05AC7">
          <w:rPr>
            <w:rStyle w:val="Hyperlink"/>
          </w:rPr>
          <w:t>https://www.oxforddnb.com/view/10.1093/ref:odnb/9780198614128.001.0001/odnb-9780198614128-e-14841</w:t>
        </w:r>
      </w:hyperlink>
      <w:r>
        <w:t>&gt; [accessed 26 April, 2026]</w:t>
      </w:r>
    </w:p>
    <w:p w:rsidR="00A65E23" w:rsidRDefault="00A65E23" w:rsidP="00A65E23">
      <w:pPr>
        <w:pStyle w:val="FootnoteText"/>
      </w:pPr>
    </w:p>
    <w:p w:rsidR="00A65E23" w:rsidRDefault="00A65E23" w:rsidP="00A65E23">
      <w:pPr>
        <w:pStyle w:val="FootnoteText"/>
      </w:pPr>
      <w:r w:rsidRPr="005D142D">
        <w:t>Holden</w:t>
      </w:r>
      <w:r>
        <w:t>, Brock, W., ‘</w:t>
      </w:r>
      <w:r w:rsidRPr="005D142D">
        <w:t xml:space="preserve">King John, the </w:t>
      </w:r>
      <w:proofErr w:type="spellStart"/>
      <w:r w:rsidRPr="005D142D">
        <w:t>Braoses</w:t>
      </w:r>
      <w:proofErr w:type="spellEnd"/>
      <w:r w:rsidRPr="005D142D">
        <w:t>, and the Celtic Fringe, 1207-1216</w:t>
      </w:r>
      <w:r>
        <w:t>’,</w:t>
      </w:r>
      <w:r w:rsidRPr="005D142D">
        <w:t> </w:t>
      </w:r>
      <w:r w:rsidRPr="005D142D">
        <w:rPr>
          <w:i/>
          <w:iCs/>
        </w:rPr>
        <w:t>Albion: A Quarterly Journal Concerned with British Studies</w:t>
      </w:r>
      <w:r w:rsidRPr="005D142D">
        <w:t xml:space="preserve">, vol. 33, no. 1, </w:t>
      </w:r>
      <w:r>
        <w:t>(</w:t>
      </w:r>
      <w:r w:rsidRPr="005D142D">
        <w:t>2001</w:t>
      </w:r>
      <w:r>
        <w:t>)</w:t>
      </w:r>
      <w:r w:rsidRPr="005D142D">
        <w:t>, pp. 1–23</w:t>
      </w:r>
      <w:r>
        <w:t xml:space="preserve">, </w:t>
      </w:r>
      <w:r w:rsidRPr="005D142D">
        <w:rPr>
          <w:i/>
          <w:iCs/>
        </w:rPr>
        <w:t>JSTOR</w:t>
      </w:r>
      <w:r w:rsidRPr="005D142D">
        <w:t xml:space="preserve">, </w:t>
      </w:r>
      <w:hyperlink r:id="rId10" w:history="1">
        <w:r w:rsidRPr="00A05AC7">
          <w:rPr>
            <w:rStyle w:val="Hyperlink"/>
          </w:rPr>
          <w:t>https://doi.org/10.2307/4053044</w:t>
        </w:r>
      </w:hyperlink>
      <w:r>
        <w:t xml:space="preserve"> [a</w:t>
      </w:r>
      <w:r w:rsidRPr="005D142D">
        <w:t>ccessed 27 Apr</w:t>
      </w:r>
      <w:r>
        <w:t xml:space="preserve">il, </w:t>
      </w:r>
      <w:r w:rsidRPr="005D142D">
        <w:t>2026</w:t>
      </w:r>
      <w:r>
        <w:t>]</w:t>
      </w:r>
    </w:p>
    <w:p w:rsidR="00D11D4A" w:rsidRDefault="00D11D4A" w:rsidP="00A65E23">
      <w:pPr>
        <w:pStyle w:val="FootnoteText"/>
      </w:pPr>
    </w:p>
    <w:p w:rsidR="00D11D4A" w:rsidRDefault="00D11D4A" w:rsidP="00D11D4A">
      <w:pPr>
        <w:pStyle w:val="FootnoteText"/>
      </w:pPr>
      <w:proofErr w:type="spellStart"/>
      <w:r>
        <w:t>Ithel</w:t>
      </w:r>
      <w:proofErr w:type="spellEnd"/>
      <w:r>
        <w:t xml:space="preserve">, John Williams Ab, ed, </w:t>
      </w:r>
      <w:r w:rsidRPr="00C07C8E">
        <w:rPr>
          <w:i/>
          <w:iCs/>
        </w:rPr>
        <w:t>The Chronicle of the Princes</w:t>
      </w:r>
      <w:r>
        <w:t xml:space="preserve"> (London: Longman, Green, Longman, and Roberts, 1860) &lt;</w:t>
      </w:r>
      <w:r w:rsidRPr="00F86A82">
        <w:t xml:space="preserve"> </w:t>
      </w:r>
      <w:hyperlink r:id="rId11" w:history="1">
        <w:r w:rsidRPr="00A05AC7">
          <w:rPr>
            <w:rStyle w:val="Hyperlink"/>
          </w:rPr>
          <w:t>https://archive.org/details/brutytywysogiono00cara/page/324/mode/2up</w:t>
        </w:r>
      </w:hyperlink>
      <w:r>
        <w:t>&gt; [accessed 27 April, 2026]</w:t>
      </w:r>
    </w:p>
    <w:p w:rsidR="00A65E23" w:rsidRDefault="00A65E23" w:rsidP="00A65E23">
      <w:pPr>
        <w:pStyle w:val="FootnoteText"/>
      </w:pPr>
    </w:p>
    <w:p w:rsidR="00A65E23" w:rsidRDefault="00A65E23" w:rsidP="00A65E23">
      <w:pPr>
        <w:pStyle w:val="FootnoteText"/>
      </w:pPr>
      <w:r>
        <w:t>Johns, Susan M</w:t>
      </w:r>
      <w:r w:rsidRPr="00D2036D">
        <w:t>,</w:t>
      </w:r>
      <w:r>
        <w:t xml:space="preserve"> </w:t>
      </w:r>
      <w:r w:rsidRPr="00D2036D">
        <w:t xml:space="preserve">(2021). </w:t>
      </w:r>
      <w:r>
        <w:t>‘</w:t>
      </w:r>
      <w:r w:rsidRPr="00D2036D">
        <w:t>Queenship and narratives of power in Welsh medieval sources</w:t>
      </w:r>
      <w:r>
        <w:t>’,</w:t>
      </w:r>
      <w:r w:rsidRPr="00D2036D">
        <w:t> </w:t>
      </w:r>
      <w:r w:rsidRPr="00D2036D">
        <w:rPr>
          <w:i/>
          <w:iCs/>
        </w:rPr>
        <w:t>Women’s History Review</w:t>
      </w:r>
      <w:r w:rsidRPr="00D2036D">
        <w:t>, </w:t>
      </w:r>
      <w:r w:rsidRPr="00D2036D">
        <w:rPr>
          <w:i/>
          <w:iCs/>
        </w:rPr>
        <w:t>30</w:t>
      </w:r>
      <w:r w:rsidRPr="00D2036D">
        <w:t>(5),</w:t>
      </w:r>
      <w:r>
        <w:t xml:space="preserve"> (2021), pp.</w:t>
      </w:r>
      <w:r w:rsidRPr="00D2036D">
        <w:t xml:space="preserve"> 738–753</w:t>
      </w:r>
      <w:r>
        <w:t xml:space="preserve"> </w:t>
      </w:r>
      <w:hyperlink r:id="rId12" w:history="1">
        <w:r w:rsidRPr="00A05AC7">
          <w:rPr>
            <w:rStyle w:val="Hyperlink"/>
          </w:rPr>
          <w:t>https://doi.org/10.1080/09612025.2020.1827733</w:t>
        </w:r>
      </w:hyperlink>
      <w:r>
        <w:t xml:space="preserve"> [accessed 28 April, 2026]</w:t>
      </w:r>
    </w:p>
    <w:p w:rsidR="00A65E23" w:rsidRDefault="00A65E23" w:rsidP="00A65E23">
      <w:pPr>
        <w:pStyle w:val="FootnoteText"/>
      </w:pPr>
    </w:p>
    <w:p w:rsidR="00A65E23" w:rsidRDefault="00A65E23" w:rsidP="00A65E23">
      <w:pPr>
        <w:pStyle w:val="FootnoteText"/>
      </w:pPr>
      <w:r>
        <w:t xml:space="preserve">Johnson, Lizabeth, ‘Sex and the Single Welshwoman: Prostitution and Concubinage in Late Medieval Wales’, </w:t>
      </w:r>
      <w:r w:rsidRPr="00563AED">
        <w:rPr>
          <w:i/>
          <w:iCs/>
        </w:rPr>
        <w:t>Welsh History Review</w:t>
      </w:r>
      <w:r>
        <w:rPr>
          <w:i/>
          <w:iCs/>
        </w:rPr>
        <w:t xml:space="preserve">, </w:t>
      </w:r>
      <w:r>
        <w:t>2014, pp. 253-281 &lt;</w:t>
      </w:r>
      <w:r w:rsidRPr="00563AED">
        <w:t xml:space="preserve"> </w:t>
      </w:r>
      <w:hyperlink r:id="rId13" w:history="1">
        <w:r w:rsidRPr="00A05AC7">
          <w:rPr>
            <w:rStyle w:val="Hyperlink"/>
          </w:rPr>
          <w:t>https://www.academia.edu/68866988/Sex_and_the_Single_Welshwoman_Prostitution_and_Concubinage_in_Late_Medieval_Wales</w:t>
        </w:r>
      </w:hyperlink>
      <w:r>
        <w:t>&gt; [accessed 25 April, 2026]</w:t>
      </w:r>
    </w:p>
    <w:p w:rsidR="00D11D4A" w:rsidRDefault="00D11D4A" w:rsidP="00A65E23">
      <w:pPr>
        <w:pStyle w:val="FootnoteText"/>
      </w:pPr>
    </w:p>
    <w:p w:rsidR="00D11D4A" w:rsidRDefault="00D11D4A" w:rsidP="00D11D4A">
      <w:pPr>
        <w:pStyle w:val="FootnoteText"/>
      </w:pPr>
      <w:r>
        <w:t xml:space="preserve">Kersey, Shirley, ‘Medieval education of girls and women’, </w:t>
      </w:r>
      <w:r w:rsidRPr="00596295">
        <w:rPr>
          <w:i/>
          <w:iCs/>
        </w:rPr>
        <w:t>Educational Horizons</w:t>
      </w:r>
      <w:r>
        <w:t xml:space="preserve">, vol. 58, no. 4 (1980), pp. 188-192&lt; </w:t>
      </w:r>
      <w:hyperlink r:id="rId14" w:history="1">
        <w:r w:rsidRPr="00A05AC7">
          <w:rPr>
            <w:rStyle w:val="Hyperlink"/>
          </w:rPr>
          <w:t>http://www.jstor.org/stable/42924397</w:t>
        </w:r>
      </w:hyperlink>
      <w:r>
        <w:t xml:space="preserve"> &gt; [</w:t>
      </w:r>
      <w:r w:rsidRPr="00BF31BE">
        <w:t>Accessed 26 Apr</w:t>
      </w:r>
      <w:r>
        <w:t xml:space="preserve">il, </w:t>
      </w:r>
      <w:r w:rsidRPr="00BF31BE">
        <w:t>2026</w:t>
      </w:r>
      <w:r>
        <w:t>].</w:t>
      </w:r>
    </w:p>
    <w:p w:rsidR="00A65E23" w:rsidRDefault="00A65E23" w:rsidP="00A65E23">
      <w:pPr>
        <w:pStyle w:val="FootnoteText"/>
      </w:pPr>
    </w:p>
    <w:p w:rsidR="00A65E23" w:rsidRDefault="00A65E23" w:rsidP="00A65E23">
      <w:pPr>
        <w:pStyle w:val="FootnoteText"/>
      </w:pPr>
      <w:r>
        <w:t xml:space="preserve">Lloyd, John Edward, </w:t>
      </w:r>
      <w:r w:rsidRPr="00D7336E">
        <w:rPr>
          <w:i/>
          <w:iCs/>
        </w:rPr>
        <w:t>A History of Wales From the Earliest Times to the Edwardian Conquest</w:t>
      </w:r>
      <w:r>
        <w:t>, vol. 2 (Longmans, Green, and Co., 1912) &lt;</w:t>
      </w:r>
      <w:r w:rsidRPr="00F86A82">
        <w:t xml:space="preserve"> </w:t>
      </w:r>
      <w:hyperlink r:id="rId15" w:history="1">
        <w:r w:rsidRPr="00A05AC7">
          <w:rPr>
            <w:rStyle w:val="Hyperlink"/>
          </w:rPr>
          <w:t>https://archive.org/details/historyofwalesfr02lloyuoft/page/686/mode/2up</w:t>
        </w:r>
      </w:hyperlink>
      <w:r>
        <w:t>&gt; [accessed 30 April, 2026]</w:t>
      </w:r>
    </w:p>
    <w:p w:rsidR="00A65E23" w:rsidRDefault="00A65E23" w:rsidP="00A65E23">
      <w:pPr>
        <w:pStyle w:val="FootnoteText"/>
      </w:pPr>
    </w:p>
    <w:p w:rsidR="00A65E23" w:rsidRDefault="00A65E23" w:rsidP="00A65E23">
      <w:pPr>
        <w:pStyle w:val="FootnoteText"/>
      </w:pPr>
      <w:r w:rsidRPr="00C176E5">
        <w:t>Lloyd,</w:t>
      </w:r>
      <w:r>
        <w:t xml:space="preserve"> John Edward, ‘</w:t>
      </w:r>
      <w:r w:rsidRPr="00C176E5">
        <w:t>DAFYDD ab OWAIN GWYNEDD (died 1203), king of Gwynedd</w:t>
      </w:r>
      <w:r>
        <w:t>’</w:t>
      </w:r>
      <w:r w:rsidRPr="00C176E5">
        <w:t>. </w:t>
      </w:r>
      <w:r w:rsidRPr="00C176E5">
        <w:rPr>
          <w:i/>
          <w:iCs/>
        </w:rPr>
        <w:t>Dictionary of Welsh Biography</w:t>
      </w:r>
      <w:r>
        <w:rPr>
          <w:i/>
          <w:iCs/>
        </w:rPr>
        <w:t xml:space="preserve">, </w:t>
      </w:r>
      <w:r>
        <w:t xml:space="preserve">1959 </w:t>
      </w:r>
      <w:hyperlink r:id="rId16" w:history="1">
        <w:r w:rsidRPr="00A05AC7">
          <w:rPr>
            <w:rStyle w:val="Hyperlink"/>
          </w:rPr>
          <w:t>https://biography.wales/article/s-DAFY-ABO-1203</w:t>
        </w:r>
      </w:hyperlink>
      <w:r>
        <w:t xml:space="preserve"> [accessed 27 April, 2026]</w:t>
      </w:r>
    </w:p>
    <w:p w:rsidR="00D11D4A" w:rsidRDefault="00D11D4A" w:rsidP="00A65E23">
      <w:pPr>
        <w:pStyle w:val="FootnoteText"/>
      </w:pPr>
    </w:p>
    <w:p w:rsidR="00D11D4A" w:rsidRDefault="00D11D4A" w:rsidP="00D11D4A">
      <w:pPr>
        <w:pStyle w:val="FootnoteText"/>
      </w:pPr>
      <w:r>
        <w:t xml:space="preserve">Luard, Henry Richards, ed, vol. 1, </w:t>
      </w:r>
      <w:r w:rsidRPr="009A34AE">
        <w:rPr>
          <w:i/>
          <w:iCs/>
        </w:rPr>
        <w:t xml:space="preserve">Annales </w:t>
      </w:r>
      <w:proofErr w:type="spellStart"/>
      <w:r w:rsidRPr="009A34AE">
        <w:rPr>
          <w:i/>
          <w:iCs/>
        </w:rPr>
        <w:t>Monastici</w:t>
      </w:r>
      <w:proofErr w:type="spellEnd"/>
      <w:r>
        <w:t xml:space="preserve"> (London: Longman, Green, Longman, Roberts, and Green, 1864) &lt;</w:t>
      </w:r>
      <w:r w:rsidRPr="00D3018C">
        <w:t xml:space="preserve"> </w:t>
      </w:r>
      <w:hyperlink r:id="rId17" w:history="1">
        <w:r w:rsidRPr="00A05AC7">
          <w:rPr>
            <w:rStyle w:val="Hyperlink"/>
          </w:rPr>
          <w:t>https://archive.org/details/annalesmonastici01luar/page/100/mode/2up</w:t>
        </w:r>
      </w:hyperlink>
      <w:r>
        <w:t>&gt; [accessed 25 April, 2026]</w:t>
      </w:r>
    </w:p>
    <w:p w:rsidR="00A65E23" w:rsidRDefault="00A65E23" w:rsidP="00A65E23">
      <w:pPr>
        <w:pStyle w:val="FootnoteText"/>
      </w:pPr>
    </w:p>
    <w:p w:rsidR="00A65E23" w:rsidRDefault="00A65E23" w:rsidP="00A65E23">
      <w:pPr>
        <w:pStyle w:val="FootnoteText"/>
      </w:pPr>
      <w:r>
        <w:lastRenderedPageBreak/>
        <w:t xml:space="preserve">Messer, Danna R, ‘A model of Welsh queenship: Joan of England and the medieval court of Gwynedd’, </w:t>
      </w:r>
      <w:r w:rsidRPr="00017CD7">
        <w:rPr>
          <w:i/>
          <w:iCs/>
        </w:rPr>
        <w:t>Women’s History Review</w:t>
      </w:r>
      <w:r>
        <w:t>, 30:5, (2021), pp. 754-765 &lt;</w:t>
      </w:r>
      <w:r w:rsidRPr="00017CD7">
        <w:rPr>
          <w:rFonts w:ascii="Open Sans" w:hAnsi="Open Sans" w:cs="Open Sans"/>
          <w:color w:val="333333"/>
          <w:sz w:val="24"/>
          <w:szCs w:val="24"/>
          <w:shd w:val="clear" w:color="auto" w:fill="EAEAEA"/>
        </w:rPr>
        <w:t xml:space="preserve"> </w:t>
      </w:r>
      <w:hyperlink r:id="rId18" w:history="1">
        <w:r w:rsidRPr="00A05AC7">
          <w:rPr>
            <w:rStyle w:val="Hyperlink"/>
          </w:rPr>
          <w:t>https://doi.org/10.1080/09612025.2020.1827734</w:t>
        </w:r>
      </w:hyperlink>
      <w:r>
        <w:t xml:space="preserve">&gt; [accessed 28 April, 2026] </w:t>
      </w:r>
    </w:p>
    <w:p w:rsidR="00A65E23" w:rsidRDefault="00A65E23" w:rsidP="00A65E23">
      <w:pPr>
        <w:pStyle w:val="FootnoteText"/>
      </w:pPr>
    </w:p>
    <w:p w:rsidR="00A65E23" w:rsidRDefault="00A65E23" w:rsidP="00A65E23">
      <w:pPr>
        <w:pStyle w:val="FootnoteText"/>
      </w:pPr>
      <w:r>
        <w:t xml:space="preserve">Messer, Danna R, </w:t>
      </w:r>
      <w:r w:rsidRPr="00ED56FA">
        <w:rPr>
          <w:i/>
          <w:iCs/>
        </w:rPr>
        <w:t>Joan Lady of Wales: Power &amp; Politics of King John’s Daughter</w:t>
      </w:r>
      <w:r>
        <w:t xml:space="preserve"> (Pen and Sword History, 2021)</w:t>
      </w:r>
    </w:p>
    <w:p w:rsidR="00A65E23" w:rsidRDefault="00A65E23" w:rsidP="00A65E23">
      <w:pPr>
        <w:pStyle w:val="FootnoteText"/>
      </w:pPr>
    </w:p>
    <w:p w:rsidR="00A65E23" w:rsidRDefault="00A65E23" w:rsidP="00A65E23">
      <w:pPr>
        <w:pStyle w:val="FootnoteText"/>
      </w:pPr>
      <w:r>
        <w:t>Messer, Danna R, ‘</w:t>
      </w:r>
      <w:r w:rsidRPr="004751FA">
        <w:t>JOAN (SIWAN) (died 1237), princess and diplomat</w:t>
      </w:r>
      <w:r>
        <w:t xml:space="preserve">’, </w:t>
      </w:r>
      <w:r w:rsidRPr="004751FA">
        <w:rPr>
          <w:i/>
          <w:iCs/>
        </w:rPr>
        <w:t>Dictionary of Welsh Biography</w:t>
      </w:r>
      <w:r>
        <w:t xml:space="preserve">, 2018 </w:t>
      </w:r>
      <w:hyperlink r:id="rId19" w:history="1">
        <w:r w:rsidRPr="00A05AC7">
          <w:rPr>
            <w:rStyle w:val="Hyperlink"/>
          </w:rPr>
          <w:t>https://biography.wales/article/s12-JOAN-TYW-1237</w:t>
        </w:r>
      </w:hyperlink>
      <w:r>
        <w:t xml:space="preserve"> [accessed 24 April 2026]</w:t>
      </w:r>
    </w:p>
    <w:p w:rsidR="00A65E23" w:rsidRDefault="00A65E23" w:rsidP="00A65E23">
      <w:pPr>
        <w:pStyle w:val="FootnoteText"/>
      </w:pPr>
    </w:p>
    <w:p w:rsidR="00A65E23" w:rsidRDefault="00A65E23" w:rsidP="00A65E23">
      <w:pPr>
        <w:pStyle w:val="FootnoteText"/>
      </w:pPr>
      <w:r>
        <w:t xml:space="preserve">Norton, Elizabeth, </w:t>
      </w:r>
      <w:r w:rsidRPr="00660A80">
        <w:rPr>
          <w:i/>
          <w:iCs/>
        </w:rPr>
        <w:t>The Private Lives of the Queens of England</w:t>
      </w:r>
      <w:r>
        <w:t xml:space="preserve"> (Amberley Publishing, 2012)</w:t>
      </w:r>
    </w:p>
    <w:p w:rsidR="00A65E23" w:rsidRDefault="00A65E23" w:rsidP="00A65E23">
      <w:pPr>
        <w:pStyle w:val="FootnoteText"/>
      </w:pPr>
    </w:p>
    <w:p w:rsidR="00A65E23" w:rsidRDefault="00A65E23" w:rsidP="00A65E23">
      <w:pPr>
        <w:pStyle w:val="FootnoteText"/>
      </w:pPr>
      <w:r>
        <w:t xml:space="preserve">Power, Eileen, </w:t>
      </w:r>
      <w:r w:rsidRPr="00EF037F">
        <w:rPr>
          <w:i/>
          <w:iCs/>
        </w:rPr>
        <w:t>Medieval Women</w:t>
      </w:r>
      <w:r>
        <w:t xml:space="preserve"> (Cambridge University Press, 1975) &lt;</w:t>
      </w:r>
      <w:r w:rsidRPr="00F86A82">
        <w:t xml:space="preserve"> </w:t>
      </w:r>
      <w:hyperlink r:id="rId20" w:history="1">
        <w:r w:rsidRPr="00A05AC7">
          <w:rPr>
            <w:rStyle w:val="Hyperlink"/>
          </w:rPr>
          <w:t>https://archive.org/details/medievalwomen0000powe/page/82/mode/2up</w:t>
        </w:r>
      </w:hyperlink>
      <w:r>
        <w:t>&gt; [accessed 27 April, 2026]</w:t>
      </w:r>
    </w:p>
    <w:p w:rsidR="00A65E23" w:rsidRDefault="00A65E23" w:rsidP="00A65E23">
      <w:pPr>
        <w:pStyle w:val="FootnoteText"/>
      </w:pPr>
    </w:p>
    <w:p w:rsidR="00A65E23" w:rsidRDefault="00A65E23" w:rsidP="00A65E23">
      <w:pPr>
        <w:pStyle w:val="FootnoteText"/>
      </w:pPr>
      <w:r>
        <w:t xml:space="preserve">Pryce, Huw, ‘Anglo-Welsh Agreements, 1201-77’, in </w:t>
      </w:r>
      <w:r w:rsidRPr="0031262E">
        <w:rPr>
          <w:i/>
          <w:iCs/>
        </w:rPr>
        <w:t>Wales and the Welsh in the Middle Ages</w:t>
      </w:r>
      <w:r>
        <w:t xml:space="preserve">, </w:t>
      </w:r>
      <w:r w:rsidRPr="0031262E">
        <w:t>ed</w:t>
      </w:r>
      <w:r>
        <w:t>.</w:t>
      </w:r>
      <w:r w:rsidRPr="0031262E">
        <w:t xml:space="preserve"> by R. A. Griffiths and P. R. Schofield</w:t>
      </w:r>
      <w:r>
        <w:t xml:space="preserve"> (University of Wales Press, 2011), pp.1-19, </w:t>
      </w:r>
      <w:r w:rsidRPr="0031262E">
        <w:rPr>
          <w:i/>
          <w:iCs/>
        </w:rPr>
        <w:t>JSTOR</w:t>
      </w:r>
      <w:r w:rsidRPr="0031262E">
        <w:t xml:space="preserve">, </w:t>
      </w:r>
      <w:hyperlink r:id="rId21" w:history="1">
        <w:r w:rsidRPr="00A05AC7">
          <w:rPr>
            <w:rStyle w:val="Hyperlink"/>
          </w:rPr>
          <w:t>http://www.jstor.org.uwtsd.idm.oclc.org/stable/j.ctt9qhbqt.8</w:t>
        </w:r>
      </w:hyperlink>
      <w:r>
        <w:t xml:space="preserve"> </w:t>
      </w:r>
      <w:r w:rsidRPr="0031262E">
        <w:t xml:space="preserve"> </w:t>
      </w:r>
      <w:r>
        <w:t>[a</w:t>
      </w:r>
      <w:r w:rsidRPr="0031262E">
        <w:t>ccessed 27 Apr</w:t>
      </w:r>
      <w:r>
        <w:t>il,</w:t>
      </w:r>
      <w:r w:rsidRPr="0031262E">
        <w:t xml:space="preserve"> 2026</w:t>
      </w:r>
      <w:r>
        <w:t>]</w:t>
      </w:r>
    </w:p>
    <w:p w:rsidR="00AD6AB8" w:rsidRDefault="00AD6AB8" w:rsidP="00A65E23">
      <w:pPr>
        <w:pStyle w:val="FootnoteText"/>
      </w:pPr>
    </w:p>
    <w:p w:rsidR="00AD6AB8" w:rsidRDefault="00AD6AB8" w:rsidP="00AD6AB8">
      <w:pPr>
        <w:pStyle w:val="FootnoteText"/>
      </w:pPr>
      <w:r>
        <w:t>Pryce, Huw, ed</w:t>
      </w:r>
      <w:r w:rsidR="00D11D4A">
        <w:t>,</w:t>
      </w:r>
      <w:r>
        <w:t xml:space="preserve"> </w:t>
      </w:r>
      <w:r w:rsidRPr="00AD6AB8">
        <w:rPr>
          <w:i/>
          <w:iCs/>
        </w:rPr>
        <w:t>The Acts of Welsh Rulers, 1120-1283</w:t>
      </w:r>
      <w:r>
        <w:t xml:space="preserve"> (Cardiff University of Wales Press, 2005) &lt;</w:t>
      </w:r>
      <w:r w:rsidRPr="007F421C">
        <w:t xml:space="preserve"> </w:t>
      </w:r>
      <w:hyperlink r:id="rId22" w:history="1">
        <w:r w:rsidRPr="00A05AC7">
          <w:rPr>
            <w:rStyle w:val="Hyperlink"/>
          </w:rPr>
          <w:t>https://archive.org/details/actsofwelshruler0000unse/page/n5/mode/2up</w:t>
        </w:r>
      </w:hyperlink>
      <w:r>
        <w:t xml:space="preserve">&gt; [accessed 28 April, 2026] </w:t>
      </w:r>
    </w:p>
    <w:p w:rsidR="00A65E23" w:rsidRDefault="00A65E23" w:rsidP="00A65E23">
      <w:pPr>
        <w:pStyle w:val="FootnoteText"/>
      </w:pPr>
    </w:p>
    <w:p w:rsidR="00A65E23" w:rsidRDefault="00A65E23" w:rsidP="00A65E23">
      <w:pPr>
        <w:pStyle w:val="FootnoteText"/>
      </w:pPr>
      <w:r>
        <w:t xml:space="preserve">Richards, </w:t>
      </w:r>
      <w:proofErr w:type="spellStart"/>
      <w:r>
        <w:t>Gwenyth</w:t>
      </w:r>
      <w:proofErr w:type="spellEnd"/>
      <w:r>
        <w:t xml:space="preserve">, ‘Medieval Welsh Noblewomen: The Case of Margaret Bromfield’, </w:t>
      </w:r>
      <w:r w:rsidRPr="00372169">
        <w:rPr>
          <w:i/>
          <w:iCs/>
        </w:rPr>
        <w:t>Eras Journal</w:t>
      </w:r>
      <w:r>
        <w:t>, edition three (2002) &lt;</w:t>
      </w:r>
      <w:r w:rsidRPr="00172684">
        <w:t xml:space="preserve"> </w:t>
      </w:r>
      <w:hyperlink r:id="rId23" w:history="1">
        <w:r w:rsidRPr="00A05AC7">
          <w:rPr>
            <w:rStyle w:val="Hyperlink"/>
          </w:rPr>
          <w:t>https://www.monash.edu/arts/philosophical-historical-indigenous-studies/eras/past-editions/edition-three-2002-june/1297-2</w:t>
        </w:r>
      </w:hyperlink>
      <w:r>
        <w:t>&gt; [accessed 24 April]</w:t>
      </w:r>
    </w:p>
    <w:p w:rsidR="00A65E23" w:rsidRDefault="00A65E23" w:rsidP="00A65E23">
      <w:pPr>
        <w:pStyle w:val="FootnoteText"/>
      </w:pPr>
    </w:p>
    <w:p w:rsidR="00A65E23" w:rsidRDefault="00A65E23" w:rsidP="00A65E23">
      <w:pPr>
        <w:pStyle w:val="FootnoteText"/>
      </w:pPr>
      <w:r w:rsidRPr="00565FDC">
        <w:t>Richards</w:t>
      </w:r>
      <w:r>
        <w:t xml:space="preserve">, </w:t>
      </w:r>
      <w:proofErr w:type="spellStart"/>
      <w:r>
        <w:t>Gwenyth</w:t>
      </w:r>
      <w:proofErr w:type="spellEnd"/>
      <w:r>
        <w:t>,</w:t>
      </w:r>
      <w:r w:rsidRPr="00565FDC">
        <w:t xml:space="preserve"> 'Negotiating Behind the Scenes: </w:t>
      </w:r>
      <w:proofErr w:type="spellStart"/>
      <w:r w:rsidRPr="00565FDC">
        <w:t>Senana</w:t>
      </w:r>
      <w:proofErr w:type="spellEnd"/>
      <w:r w:rsidRPr="00565FDC">
        <w:t xml:space="preserve"> </w:t>
      </w:r>
      <w:proofErr w:type="spellStart"/>
      <w:r w:rsidRPr="00565FDC">
        <w:t>Ferch</w:t>
      </w:r>
      <w:proofErr w:type="spellEnd"/>
      <w:r w:rsidRPr="00565FDC">
        <w:t xml:space="preserve"> Caradog' in </w:t>
      </w:r>
      <w:r w:rsidRPr="00565FDC">
        <w:rPr>
          <w:i/>
          <w:iCs/>
        </w:rPr>
        <w:t>Welsh Noblewomen in the Thirteenth Century</w:t>
      </w:r>
      <w:r w:rsidRPr="00565FDC">
        <w:t xml:space="preserve"> (Lampeter: Edwin </w:t>
      </w:r>
      <w:proofErr w:type="spellStart"/>
      <w:r w:rsidRPr="00565FDC">
        <w:t>Mellen</w:t>
      </w:r>
      <w:proofErr w:type="spellEnd"/>
      <w:r w:rsidRPr="00565FDC">
        <w:t xml:space="preserve"> Press, 2009), pp. 23</w:t>
      </w:r>
      <w:r>
        <w:t xml:space="preserve">-42. </w:t>
      </w:r>
    </w:p>
    <w:p w:rsidR="00A65E23" w:rsidRDefault="00A65E23" w:rsidP="00A65E23">
      <w:pPr>
        <w:pStyle w:val="FootnoteText"/>
      </w:pPr>
    </w:p>
    <w:p w:rsidR="00A65E23" w:rsidRDefault="00A65E23" w:rsidP="00A65E23">
      <w:pPr>
        <w:pStyle w:val="FootnoteText"/>
      </w:pPr>
      <w:r>
        <w:t>Smith</w:t>
      </w:r>
      <w:r w:rsidRPr="00C176E5">
        <w:t>,</w:t>
      </w:r>
      <w:r>
        <w:t xml:space="preserve"> J. B, ‘</w:t>
      </w:r>
      <w:proofErr w:type="spellStart"/>
      <w:r w:rsidRPr="00BA584C">
        <w:t>Dafydd</w:t>
      </w:r>
      <w:proofErr w:type="spellEnd"/>
      <w:r w:rsidRPr="00BA584C">
        <w:t> </w:t>
      </w:r>
      <w:r w:rsidRPr="00BA584C">
        <w:rPr>
          <w:i/>
          <w:iCs/>
        </w:rPr>
        <w:t>ap</w:t>
      </w:r>
      <w:r w:rsidRPr="00BA584C">
        <w:t> </w:t>
      </w:r>
      <w:proofErr w:type="spellStart"/>
      <w:r w:rsidRPr="00BA584C">
        <w:t>Llywelyn</w:t>
      </w:r>
      <w:proofErr w:type="spellEnd"/>
      <w:r w:rsidRPr="00BA584C">
        <w:t>’</w:t>
      </w:r>
      <w:r>
        <w:t>,</w:t>
      </w:r>
      <w:r w:rsidRPr="00C176E5">
        <w:t> </w:t>
      </w:r>
      <w:r>
        <w:t xml:space="preserve">Oxford </w:t>
      </w:r>
      <w:r w:rsidRPr="00C176E5">
        <w:rPr>
          <w:i/>
          <w:iCs/>
        </w:rPr>
        <w:t xml:space="preserve">Dictionary of </w:t>
      </w:r>
      <w:r>
        <w:rPr>
          <w:i/>
          <w:iCs/>
        </w:rPr>
        <w:t>National</w:t>
      </w:r>
      <w:r w:rsidRPr="00C176E5">
        <w:rPr>
          <w:i/>
          <w:iCs/>
        </w:rPr>
        <w:t xml:space="preserve"> Biography</w:t>
      </w:r>
      <w:r>
        <w:rPr>
          <w:i/>
          <w:iCs/>
        </w:rPr>
        <w:t xml:space="preserve">, </w:t>
      </w:r>
      <w:r>
        <w:t>2023 &lt;</w:t>
      </w:r>
      <w:r w:rsidRPr="00DC7F92">
        <w:rPr>
          <w:sz w:val="24"/>
          <w:szCs w:val="24"/>
        </w:rPr>
        <w:t xml:space="preserve"> </w:t>
      </w:r>
      <w:hyperlink r:id="rId24" w:history="1">
        <w:r w:rsidRPr="00DC7F92">
          <w:rPr>
            <w:rStyle w:val="Hyperlink"/>
          </w:rPr>
          <w:t>https://doi.org/10.1093/ref:odnb/7323</w:t>
        </w:r>
      </w:hyperlink>
      <w:r>
        <w:t>&gt; [accessed 29 April, 2026]</w:t>
      </w:r>
    </w:p>
    <w:p w:rsidR="00A65E23" w:rsidRDefault="00A65E23" w:rsidP="00A65E23">
      <w:pPr>
        <w:pStyle w:val="FootnoteText"/>
      </w:pPr>
    </w:p>
    <w:p w:rsidR="00A65E23" w:rsidRDefault="00A65E23" w:rsidP="00A65E23">
      <w:pPr>
        <w:pStyle w:val="FootnoteText"/>
      </w:pPr>
      <w:r>
        <w:t xml:space="preserve">Smith, </w:t>
      </w:r>
      <w:proofErr w:type="spellStart"/>
      <w:r>
        <w:t>Llinos</w:t>
      </w:r>
      <w:proofErr w:type="spellEnd"/>
      <w:r>
        <w:t xml:space="preserve"> Beverley, ‘On the Hospitality of the Welsh: A comparative View’, in </w:t>
      </w:r>
      <w:r w:rsidRPr="0076324E">
        <w:rPr>
          <w:i/>
          <w:iCs/>
        </w:rPr>
        <w:t>Power and Identity in the Middle Ages: Essays in Memory of Rees Davies</w:t>
      </w:r>
      <w:r>
        <w:t>, ed. by Huw Pryce and John Watts (Oxford Academic, 2011), pp. 181-194 &lt;</w:t>
      </w:r>
      <w:r w:rsidRPr="0076324E">
        <w:rPr>
          <w:sz w:val="24"/>
          <w:szCs w:val="24"/>
        </w:rPr>
        <w:t xml:space="preserve"> </w:t>
      </w:r>
      <w:hyperlink r:id="rId25" w:history="1">
        <w:r w:rsidRPr="0076324E">
          <w:rPr>
            <w:rStyle w:val="Hyperlink"/>
          </w:rPr>
          <w:t>https://doi.org/10.1093/acprof:oso/9780199285464.003.0014</w:t>
        </w:r>
      </w:hyperlink>
      <w:r>
        <w:t>&gt; [accessed 28 April, 2026]</w:t>
      </w:r>
    </w:p>
    <w:p w:rsidR="00305BCE" w:rsidRDefault="00305BCE" w:rsidP="00A65E23">
      <w:pPr>
        <w:pStyle w:val="FootnoteText"/>
      </w:pPr>
    </w:p>
    <w:p w:rsidR="00305BCE" w:rsidRDefault="00305BCE" w:rsidP="00305BCE">
      <w:pPr>
        <w:pStyle w:val="FootnoteText"/>
      </w:pPr>
      <w:r>
        <w:t xml:space="preserve">Thomas Stapleton, ed. vol. 2, </w:t>
      </w:r>
      <w:proofErr w:type="spellStart"/>
      <w:r>
        <w:t>Magni</w:t>
      </w:r>
      <w:proofErr w:type="spellEnd"/>
      <w:r>
        <w:t xml:space="preserve"> </w:t>
      </w:r>
      <w:proofErr w:type="spellStart"/>
      <w:r>
        <w:t>Rotuli</w:t>
      </w:r>
      <w:proofErr w:type="spellEnd"/>
      <w:r>
        <w:t xml:space="preserve"> </w:t>
      </w:r>
      <w:proofErr w:type="spellStart"/>
      <w:r>
        <w:t>Scaccarii</w:t>
      </w:r>
      <w:proofErr w:type="spellEnd"/>
      <w:r>
        <w:t xml:space="preserve"> </w:t>
      </w:r>
      <w:proofErr w:type="spellStart"/>
      <w:r>
        <w:t>Normanniae</w:t>
      </w:r>
      <w:proofErr w:type="spellEnd"/>
      <w:r>
        <w:t xml:space="preserve"> sub </w:t>
      </w:r>
      <w:proofErr w:type="spellStart"/>
      <w:r>
        <w:t>Regibus</w:t>
      </w:r>
      <w:proofErr w:type="spellEnd"/>
      <w:r>
        <w:t xml:space="preserve"> </w:t>
      </w:r>
      <w:proofErr w:type="spellStart"/>
      <w:r>
        <w:t>Angliae</w:t>
      </w:r>
      <w:proofErr w:type="spellEnd"/>
      <w:r>
        <w:t xml:space="preserve"> (</w:t>
      </w:r>
      <w:r w:rsidRPr="00A07151">
        <w:t>Society of Antiquaries of London</w:t>
      </w:r>
      <w:r>
        <w:t>, 1844), &lt;</w:t>
      </w:r>
      <w:r w:rsidRPr="00A07151">
        <w:t xml:space="preserve"> </w:t>
      </w:r>
      <w:hyperlink r:id="rId26" w:history="1">
        <w:r w:rsidRPr="00A05AC7">
          <w:rPr>
            <w:rStyle w:val="Hyperlink"/>
          </w:rPr>
          <w:t>https://play.google.com/books/reader?id=FbRDAAAAYAAJ&amp;pg=GBS.PA568&amp;hl=en</w:t>
        </w:r>
      </w:hyperlink>
      <w:r>
        <w:t>&gt; [accessed 26 April, 2026]</w:t>
      </w:r>
    </w:p>
    <w:p w:rsidR="00A65E23" w:rsidRDefault="00A65E23" w:rsidP="00A65E23">
      <w:pPr>
        <w:pStyle w:val="FootnoteText"/>
      </w:pPr>
    </w:p>
    <w:p w:rsidR="00A65E23" w:rsidRDefault="00A65E23" w:rsidP="00A65E23">
      <w:pPr>
        <w:pStyle w:val="FootnoteText"/>
      </w:pPr>
      <w:r>
        <w:t>The Mortimer History Society, ‘The Welsh Marcher Lordships’ &lt;</w:t>
      </w:r>
      <w:r w:rsidRPr="003631A4">
        <w:t xml:space="preserve"> </w:t>
      </w:r>
      <w:hyperlink r:id="rId27" w:history="1">
        <w:r w:rsidRPr="00A05AC7">
          <w:rPr>
            <w:rStyle w:val="Hyperlink"/>
          </w:rPr>
          <w:t>https://mortimerhistorysociety.org.uk/marcher-lordships</w:t>
        </w:r>
      </w:hyperlink>
      <w:r>
        <w:t>&gt; [accessed 27 April, 2026].</w:t>
      </w:r>
    </w:p>
    <w:p w:rsidR="00A65E23" w:rsidRDefault="00A65E23" w:rsidP="00A65E23">
      <w:pPr>
        <w:pStyle w:val="FootnoteText"/>
      </w:pPr>
    </w:p>
    <w:p w:rsidR="00A65E23" w:rsidRDefault="00A65E23" w:rsidP="00A65E23">
      <w:pPr>
        <w:pStyle w:val="FootnoteText"/>
      </w:pPr>
      <w:r>
        <w:t>The Museum of Oxford, ‘Empress Matilda: Lady of the English’, &lt;</w:t>
      </w:r>
      <w:r w:rsidRPr="00E0584F">
        <w:t xml:space="preserve"> </w:t>
      </w:r>
      <w:hyperlink r:id="rId28" w:history="1">
        <w:r w:rsidRPr="00A05AC7">
          <w:rPr>
            <w:rStyle w:val="Hyperlink"/>
          </w:rPr>
          <w:t>https://museumofoxford.org/empress-matilda-lady-of-the-english</w:t>
        </w:r>
      </w:hyperlink>
      <w:r>
        <w:t>&gt; [accessed 24 April 2026]</w:t>
      </w:r>
    </w:p>
    <w:p w:rsidR="00A65E23" w:rsidRDefault="00A65E23" w:rsidP="00A65E23">
      <w:pPr>
        <w:pStyle w:val="FootnoteText"/>
      </w:pPr>
    </w:p>
    <w:p w:rsidR="00A65E23" w:rsidRDefault="00A65E23" w:rsidP="00A65E23">
      <w:pPr>
        <w:pStyle w:val="FootnoteText"/>
      </w:pPr>
      <w:r>
        <w:t>The National Library of Wales, ‘Chronicle of the Princes’ &lt;</w:t>
      </w:r>
      <w:r w:rsidRPr="00950D21">
        <w:t xml:space="preserve"> </w:t>
      </w:r>
      <w:hyperlink r:id="rId29" w:history="1">
        <w:r w:rsidRPr="00A05AC7">
          <w:rPr>
            <w:rStyle w:val="Hyperlink"/>
          </w:rPr>
          <w:t>https://www.library.wales/discover-learn/digital-exhibitions/manuscripts/the-middle-ages/chronicle-of-the-princes</w:t>
        </w:r>
      </w:hyperlink>
      <w:r>
        <w:t xml:space="preserve">&gt; [accessed 30 April, 2026] </w:t>
      </w:r>
    </w:p>
    <w:p w:rsidR="00A65E23" w:rsidRDefault="00A65E23" w:rsidP="00A65E23">
      <w:pPr>
        <w:pStyle w:val="FootnoteText"/>
      </w:pPr>
    </w:p>
    <w:p w:rsidR="00A65E23" w:rsidRDefault="00A65E23" w:rsidP="00A65E23">
      <w:pPr>
        <w:pStyle w:val="FootnoteText"/>
      </w:pPr>
      <w:r>
        <w:t>Thomas, Elizabeth, ‘We Have Nothing More Valuable in our Treasury: Royal Marriage in England, 1154-1272’ (doctoral thesis, University of St Andrews, 2010) &lt;</w:t>
      </w:r>
      <w:r w:rsidRPr="004168D1">
        <w:t xml:space="preserve"> </w:t>
      </w:r>
      <w:hyperlink r:id="rId30" w:history="1">
        <w:r w:rsidRPr="00A05AC7">
          <w:rPr>
            <w:rStyle w:val="Hyperlink"/>
          </w:rPr>
          <w:t>https://research-repository.st-andrews.ac.uk/bitstream/handle/10023/2001/ElizabethThomasPhDThesis.pdf?sequence=3&amp;isAllowed=y</w:t>
        </w:r>
      </w:hyperlink>
      <w:r>
        <w:t xml:space="preserve">&gt; </w:t>
      </w:r>
      <w:r w:rsidRPr="004168D1">
        <w:t xml:space="preserve"> </w:t>
      </w:r>
      <w:r>
        <w:t xml:space="preserve">[accessed 27 April, 2026] abstract. </w:t>
      </w:r>
    </w:p>
    <w:p w:rsidR="00A65E23" w:rsidRDefault="00A65E23" w:rsidP="00A65E23">
      <w:pPr>
        <w:pStyle w:val="FootnoteText"/>
      </w:pPr>
    </w:p>
    <w:p w:rsidR="00054735" w:rsidRPr="00FD0175" w:rsidRDefault="00A65E23" w:rsidP="00054735">
      <w:pPr>
        <w:pStyle w:val="FootnoteText"/>
      </w:pPr>
      <w:r>
        <w:t>Willoughby, Caroline, ‘</w:t>
      </w:r>
      <w:r w:rsidRPr="001E6953">
        <w:t xml:space="preserve">The execution of William de </w:t>
      </w:r>
      <w:proofErr w:type="spellStart"/>
      <w:r w:rsidRPr="001E6953">
        <w:t>Braose</w:t>
      </w:r>
      <w:proofErr w:type="spellEnd"/>
      <w:r w:rsidRPr="001E6953">
        <w:t xml:space="preserve"> in 1230 and how it illuminates the thirteenth century Welsh political dynamic</w:t>
      </w:r>
      <w:r>
        <w:t>’ (dissertation, The Open University, 2019) &lt;</w:t>
      </w:r>
      <w:r w:rsidRPr="001E6953">
        <w:t xml:space="preserve"> </w:t>
      </w:r>
      <w:hyperlink r:id="rId31" w:history="1">
        <w:r w:rsidRPr="00A05AC7">
          <w:rPr>
            <w:rStyle w:val="Hyperlink"/>
          </w:rPr>
          <w:t>https://oro.open.ac.uk/62651/2/WILLOUGHBY_A329_RVOR.pdf</w:t>
        </w:r>
      </w:hyperlink>
      <w:r>
        <w:t>&gt; [accessed 30 April, 2026</w:t>
      </w:r>
      <w:r w:rsidR="00054735">
        <w:t>]</w:t>
      </w:r>
    </w:p>
    <w:sectPr w:rsidR="00054735" w:rsidRPr="00FD01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12D5F" w:rsidRDefault="00112D5F" w:rsidP="00565FDC">
      <w:r>
        <w:separator/>
      </w:r>
    </w:p>
  </w:endnote>
  <w:endnote w:type="continuationSeparator" w:id="0">
    <w:p w:rsidR="00112D5F" w:rsidRDefault="00112D5F" w:rsidP="00565F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12D5F" w:rsidRDefault="00112D5F" w:rsidP="00565FDC">
      <w:r>
        <w:separator/>
      </w:r>
    </w:p>
  </w:footnote>
  <w:footnote w:type="continuationSeparator" w:id="0">
    <w:p w:rsidR="00112D5F" w:rsidRDefault="00112D5F" w:rsidP="00565FDC">
      <w:r>
        <w:continuationSeparator/>
      </w:r>
    </w:p>
  </w:footnote>
  <w:footnote w:id="1">
    <w:p w:rsidR="00565FDC" w:rsidRDefault="00565FDC">
      <w:pPr>
        <w:pStyle w:val="FootnoteText"/>
      </w:pPr>
      <w:r>
        <w:rPr>
          <w:rStyle w:val="FootnoteReference"/>
        </w:rPr>
        <w:footnoteRef/>
      </w:r>
      <w:r>
        <w:t xml:space="preserve"> </w:t>
      </w:r>
      <w:proofErr w:type="spellStart"/>
      <w:r>
        <w:t>Gwenyth</w:t>
      </w:r>
      <w:proofErr w:type="spellEnd"/>
      <w:r>
        <w:t xml:space="preserve"> </w:t>
      </w:r>
      <w:r w:rsidRPr="00565FDC">
        <w:t>Richards</w:t>
      </w:r>
      <w:r>
        <w:t>,</w:t>
      </w:r>
      <w:r w:rsidRPr="00565FDC">
        <w:t xml:space="preserve"> 'Negotiating Behind the Scenes: </w:t>
      </w:r>
      <w:proofErr w:type="spellStart"/>
      <w:r w:rsidRPr="00565FDC">
        <w:t>Senana</w:t>
      </w:r>
      <w:proofErr w:type="spellEnd"/>
      <w:r w:rsidRPr="00565FDC">
        <w:t xml:space="preserve"> </w:t>
      </w:r>
      <w:proofErr w:type="spellStart"/>
      <w:r w:rsidRPr="00565FDC">
        <w:t>Ferch</w:t>
      </w:r>
      <w:proofErr w:type="spellEnd"/>
      <w:r w:rsidRPr="00565FDC">
        <w:t xml:space="preserve"> Caradog' in </w:t>
      </w:r>
      <w:r w:rsidRPr="00565FDC">
        <w:rPr>
          <w:i/>
          <w:iCs/>
        </w:rPr>
        <w:t>Welsh Noblewomen in the Thirteenth Century</w:t>
      </w:r>
      <w:r w:rsidRPr="00565FDC">
        <w:t xml:space="preserve"> (Lampeter: Edwin </w:t>
      </w:r>
      <w:proofErr w:type="spellStart"/>
      <w:r w:rsidRPr="00565FDC">
        <w:t>Mellen</w:t>
      </w:r>
      <w:proofErr w:type="spellEnd"/>
      <w:r w:rsidRPr="00565FDC">
        <w:t xml:space="preserve"> Press, 2009), pp. 23</w:t>
      </w:r>
      <w:r>
        <w:t>-42</w:t>
      </w:r>
      <w:r w:rsidR="00907D63">
        <w:t xml:space="preserve"> (p. 24).</w:t>
      </w:r>
    </w:p>
  </w:footnote>
  <w:footnote w:id="2">
    <w:p w:rsidR="0033199E" w:rsidRDefault="0033199E">
      <w:pPr>
        <w:pStyle w:val="FootnoteText"/>
      </w:pPr>
      <w:r>
        <w:rPr>
          <w:rStyle w:val="FootnoteReference"/>
        </w:rPr>
        <w:footnoteRef/>
      </w:r>
      <w:r>
        <w:t xml:space="preserve"> </w:t>
      </w:r>
      <w:proofErr w:type="spellStart"/>
      <w:r w:rsidR="00372169">
        <w:t>Gwenyth</w:t>
      </w:r>
      <w:proofErr w:type="spellEnd"/>
      <w:r w:rsidR="00372169">
        <w:t xml:space="preserve"> Richards, ‘Medieval Welsh Noblewomen: The Case of Margaret Bromfield’, </w:t>
      </w:r>
      <w:r w:rsidR="00372169" w:rsidRPr="00372169">
        <w:rPr>
          <w:i/>
          <w:iCs/>
        </w:rPr>
        <w:t>Eras Journal</w:t>
      </w:r>
      <w:r w:rsidR="00372169">
        <w:t>,</w:t>
      </w:r>
      <w:r w:rsidR="00172684">
        <w:t xml:space="preserve"> edition three</w:t>
      </w:r>
      <w:r w:rsidR="00372169">
        <w:t xml:space="preserve"> </w:t>
      </w:r>
      <w:r w:rsidR="00172684">
        <w:t>(2002) &lt;</w:t>
      </w:r>
      <w:r w:rsidR="00172684" w:rsidRPr="00172684">
        <w:t xml:space="preserve"> </w:t>
      </w:r>
      <w:hyperlink r:id="rId1" w:history="1">
        <w:r w:rsidR="00172684" w:rsidRPr="00A05AC7">
          <w:rPr>
            <w:rStyle w:val="Hyperlink"/>
          </w:rPr>
          <w:t>https://www.monash.edu/arts/philosophical-historical-indigenous-studies/eras/past-editions/edition-three-2002-june/1297-2</w:t>
        </w:r>
      </w:hyperlink>
      <w:r w:rsidR="00172684">
        <w:t xml:space="preserve">&gt; [accessed 24 April]. </w:t>
      </w:r>
    </w:p>
  </w:footnote>
  <w:footnote w:id="3">
    <w:p w:rsidR="005B04AB" w:rsidRDefault="005B04AB">
      <w:pPr>
        <w:pStyle w:val="FootnoteText"/>
      </w:pPr>
      <w:r>
        <w:rPr>
          <w:rStyle w:val="FootnoteReference"/>
        </w:rPr>
        <w:footnoteRef/>
      </w:r>
      <w:r>
        <w:t xml:space="preserve"> Danna R. Messer, ‘</w:t>
      </w:r>
      <w:r w:rsidRPr="004751FA">
        <w:t>JOAN (SIWAN) (died 1237), princess and diplomat</w:t>
      </w:r>
      <w:r>
        <w:t xml:space="preserve">’, </w:t>
      </w:r>
      <w:r w:rsidRPr="004751FA">
        <w:rPr>
          <w:i/>
          <w:iCs/>
        </w:rPr>
        <w:t>Dictionary of Welsh Biography</w:t>
      </w:r>
      <w:r>
        <w:t xml:space="preserve">, 2018 </w:t>
      </w:r>
      <w:hyperlink r:id="rId2" w:history="1">
        <w:r w:rsidRPr="00A05AC7">
          <w:rPr>
            <w:rStyle w:val="Hyperlink"/>
          </w:rPr>
          <w:t>https://biography.wales/article/s12-JOAN-TYW-1237</w:t>
        </w:r>
      </w:hyperlink>
      <w:r>
        <w:t xml:space="preserve"> [accessed 24 April 2026].</w:t>
      </w:r>
    </w:p>
  </w:footnote>
  <w:footnote w:id="4">
    <w:p w:rsidR="00986CC5" w:rsidRDefault="00986CC5">
      <w:pPr>
        <w:pStyle w:val="FootnoteText"/>
      </w:pPr>
      <w:r>
        <w:rPr>
          <w:rStyle w:val="FootnoteReference"/>
        </w:rPr>
        <w:footnoteRef/>
      </w:r>
      <w:r>
        <w:t xml:space="preserve"> Elizabeth Norton, </w:t>
      </w:r>
      <w:r w:rsidR="00660A80" w:rsidRPr="00660A80">
        <w:rPr>
          <w:i/>
          <w:iCs/>
        </w:rPr>
        <w:t>The Private Lives of the Queens of England</w:t>
      </w:r>
      <w:r w:rsidR="00660A80">
        <w:t xml:space="preserve"> (Amberley Publishing, 2012), pp. 71-79.</w:t>
      </w:r>
    </w:p>
  </w:footnote>
  <w:footnote w:id="5">
    <w:p w:rsidR="00343D97" w:rsidRDefault="00343D97">
      <w:pPr>
        <w:pStyle w:val="FootnoteText"/>
      </w:pPr>
      <w:r>
        <w:rPr>
          <w:rStyle w:val="FootnoteReference"/>
        </w:rPr>
        <w:footnoteRef/>
      </w:r>
      <w:r>
        <w:t xml:space="preserve"> </w:t>
      </w:r>
      <w:r w:rsidR="00E0584F">
        <w:t>The Museum of Oxford, ‘Empress Matilda: Lady of the English’, &lt;</w:t>
      </w:r>
      <w:r w:rsidR="00E0584F" w:rsidRPr="00E0584F">
        <w:t xml:space="preserve"> </w:t>
      </w:r>
      <w:hyperlink r:id="rId3" w:history="1">
        <w:r w:rsidR="00E0584F" w:rsidRPr="00A05AC7">
          <w:rPr>
            <w:rStyle w:val="Hyperlink"/>
          </w:rPr>
          <w:t>https://museumofoxford.org/empress-matilda-lady-of-the-english</w:t>
        </w:r>
      </w:hyperlink>
      <w:r w:rsidR="00E0584F">
        <w:t>&gt; [accessed 24 April 2026].</w:t>
      </w:r>
    </w:p>
  </w:footnote>
  <w:footnote w:id="6">
    <w:p w:rsidR="004751FA" w:rsidRDefault="004751FA">
      <w:pPr>
        <w:pStyle w:val="FootnoteText"/>
      </w:pPr>
      <w:r>
        <w:rPr>
          <w:rStyle w:val="FootnoteReference"/>
        </w:rPr>
        <w:footnoteRef/>
      </w:r>
      <w:r>
        <w:t xml:space="preserve"> Danna R. Messer, ‘</w:t>
      </w:r>
      <w:r w:rsidRPr="004751FA">
        <w:t>JOAN (SIWAN) (died 1237), princess and diplomat</w:t>
      </w:r>
      <w:r>
        <w:t xml:space="preserve">’, </w:t>
      </w:r>
      <w:r w:rsidRPr="004751FA">
        <w:rPr>
          <w:i/>
          <w:iCs/>
        </w:rPr>
        <w:t>Dictionary of Welsh Biography</w:t>
      </w:r>
      <w:r>
        <w:t xml:space="preserve">, 2018 </w:t>
      </w:r>
      <w:hyperlink r:id="rId4" w:history="1">
        <w:r w:rsidR="00D21C14" w:rsidRPr="00A05AC7">
          <w:rPr>
            <w:rStyle w:val="Hyperlink"/>
          </w:rPr>
          <w:t>https://biography.wales/article/s12-JOAN-TYW-1237</w:t>
        </w:r>
      </w:hyperlink>
      <w:r w:rsidR="00D21C14">
        <w:t xml:space="preserve"> [accessed 24 April 2026]</w:t>
      </w:r>
      <w:r w:rsidR="000C2987">
        <w:t>.</w:t>
      </w:r>
    </w:p>
  </w:footnote>
  <w:footnote w:id="7">
    <w:p w:rsidR="00D7336E" w:rsidRDefault="00D7336E">
      <w:pPr>
        <w:pStyle w:val="FootnoteText"/>
      </w:pPr>
      <w:r>
        <w:rPr>
          <w:rStyle w:val="FootnoteReference"/>
        </w:rPr>
        <w:footnoteRef/>
      </w:r>
      <w:r>
        <w:t xml:space="preserve"> John Edward Lloyd, </w:t>
      </w:r>
      <w:r w:rsidRPr="00D7336E">
        <w:rPr>
          <w:i/>
          <w:iCs/>
        </w:rPr>
        <w:t>A History of Wales From the Earliest Times to the Edwardian Conquest</w:t>
      </w:r>
      <w:r>
        <w:t>, vol. 2 (Longmans, Green, and Co., 1912), p. 685</w:t>
      </w:r>
      <w:r w:rsidR="00C35683">
        <w:t xml:space="preserve"> &lt;</w:t>
      </w:r>
      <w:r w:rsidR="00C35683" w:rsidRPr="00C35683">
        <w:t xml:space="preserve"> </w:t>
      </w:r>
      <w:hyperlink r:id="rId5" w:history="1">
        <w:r w:rsidR="00C35683" w:rsidRPr="00A05AC7">
          <w:rPr>
            <w:rStyle w:val="Hyperlink"/>
          </w:rPr>
          <w:t>https://archive.org/details/historyofwalesfr02lloyuoft/page/686/mode/2up</w:t>
        </w:r>
      </w:hyperlink>
      <w:r w:rsidR="00C35683">
        <w:t>&gt; [accessed 30 April, 2026]</w:t>
      </w:r>
    </w:p>
  </w:footnote>
  <w:footnote w:id="8">
    <w:p w:rsidR="00ED56FA" w:rsidRDefault="00ED56FA">
      <w:pPr>
        <w:pStyle w:val="FootnoteText"/>
      </w:pPr>
      <w:r>
        <w:rPr>
          <w:rStyle w:val="FootnoteReference"/>
        </w:rPr>
        <w:footnoteRef/>
      </w:r>
      <w:r>
        <w:t xml:space="preserve"> Danna R. Messer, </w:t>
      </w:r>
      <w:r w:rsidRPr="00ED56FA">
        <w:rPr>
          <w:i/>
          <w:iCs/>
        </w:rPr>
        <w:t>Joan Lady of Wales: Power &amp; Politics of King John’s Daughter</w:t>
      </w:r>
      <w:r>
        <w:t xml:space="preserve"> (Pen and Sword History, 2021), p. xiii.</w:t>
      </w:r>
    </w:p>
  </w:footnote>
  <w:footnote w:id="9">
    <w:p w:rsidR="00C11E2F" w:rsidRDefault="00C11E2F">
      <w:pPr>
        <w:pStyle w:val="FootnoteText"/>
      </w:pPr>
      <w:r>
        <w:rPr>
          <w:rStyle w:val="FootnoteReference"/>
        </w:rPr>
        <w:footnoteRef/>
      </w:r>
      <w:r>
        <w:t xml:space="preserve"> Messer, </w:t>
      </w:r>
      <w:r w:rsidRPr="00ED56FA">
        <w:rPr>
          <w:i/>
          <w:iCs/>
        </w:rPr>
        <w:t>Joan Lady of Wales</w:t>
      </w:r>
      <w:r>
        <w:rPr>
          <w:i/>
          <w:iCs/>
        </w:rPr>
        <w:t xml:space="preserve">, </w:t>
      </w:r>
      <w:r w:rsidRPr="00C11E2F">
        <w:t>p. 2</w:t>
      </w:r>
      <w:r>
        <w:rPr>
          <w:i/>
          <w:iCs/>
        </w:rPr>
        <w:t>.</w:t>
      </w:r>
    </w:p>
  </w:footnote>
  <w:footnote w:id="10">
    <w:p w:rsidR="009A34AE" w:rsidRDefault="009A34AE">
      <w:pPr>
        <w:pStyle w:val="FootnoteText"/>
      </w:pPr>
      <w:r>
        <w:rPr>
          <w:rStyle w:val="FootnoteReference"/>
        </w:rPr>
        <w:footnoteRef/>
      </w:r>
      <w:r>
        <w:t xml:space="preserve"> </w:t>
      </w:r>
      <w:r w:rsidRPr="009A34AE">
        <w:rPr>
          <w:i/>
          <w:iCs/>
        </w:rPr>
        <w:t xml:space="preserve">Annales </w:t>
      </w:r>
      <w:proofErr w:type="spellStart"/>
      <w:r w:rsidRPr="009A34AE">
        <w:rPr>
          <w:i/>
          <w:iCs/>
        </w:rPr>
        <w:t>Monastici</w:t>
      </w:r>
      <w:proofErr w:type="spellEnd"/>
      <w:r>
        <w:rPr>
          <w:i/>
          <w:iCs/>
        </w:rPr>
        <w:t xml:space="preserve">, </w:t>
      </w:r>
      <w:r w:rsidRPr="009A34AE">
        <w:t>ed. by</w:t>
      </w:r>
      <w:r>
        <w:rPr>
          <w:i/>
          <w:iCs/>
        </w:rPr>
        <w:t xml:space="preserve"> </w:t>
      </w:r>
      <w:r>
        <w:t xml:space="preserve">Henry Richards Luard, vol. 1 (London: Longman, Green, Longman, Roberts, and Green, 1864), p. 101. </w:t>
      </w:r>
      <w:r w:rsidR="00D3018C">
        <w:t>&lt;</w:t>
      </w:r>
      <w:r w:rsidR="00D3018C" w:rsidRPr="00D3018C">
        <w:t xml:space="preserve"> </w:t>
      </w:r>
      <w:hyperlink r:id="rId6" w:history="1">
        <w:r w:rsidR="00D3018C" w:rsidRPr="00A05AC7">
          <w:rPr>
            <w:rStyle w:val="Hyperlink"/>
          </w:rPr>
          <w:t>https://archive.org/details/annalesmonastici01luar/page/100/mode/2up</w:t>
        </w:r>
      </w:hyperlink>
      <w:r w:rsidR="00D3018C">
        <w:t>&gt; [accessed 25 April, 2026]</w:t>
      </w:r>
    </w:p>
  </w:footnote>
  <w:footnote w:id="11">
    <w:p w:rsidR="00AF0F44" w:rsidRDefault="00AF0F44">
      <w:pPr>
        <w:pStyle w:val="FootnoteText"/>
      </w:pPr>
      <w:r>
        <w:rPr>
          <w:rStyle w:val="FootnoteReference"/>
        </w:rPr>
        <w:footnoteRef/>
      </w:r>
      <w:r>
        <w:t xml:space="preserve"> Messer, </w:t>
      </w:r>
      <w:r w:rsidRPr="00ED56FA">
        <w:rPr>
          <w:i/>
          <w:iCs/>
        </w:rPr>
        <w:t>Joan Lady of Wales</w:t>
      </w:r>
      <w:r>
        <w:rPr>
          <w:i/>
          <w:iCs/>
        </w:rPr>
        <w:t xml:space="preserve">, </w:t>
      </w:r>
      <w:r w:rsidRPr="00C11E2F">
        <w:t xml:space="preserve">p. </w:t>
      </w:r>
      <w:r>
        <w:t>4</w:t>
      </w:r>
      <w:r>
        <w:rPr>
          <w:i/>
          <w:iCs/>
        </w:rPr>
        <w:t>.</w:t>
      </w:r>
    </w:p>
  </w:footnote>
  <w:footnote w:id="12">
    <w:p w:rsidR="00C47E9F" w:rsidRDefault="00C47E9F">
      <w:pPr>
        <w:pStyle w:val="FootnoteText"/>
      </w:pPr>
      <w:r>
        <w:rPr>
          <w:rStyle w:val="FootnoteReference"/>
        </w:rPr>
        <w:footnoteRef/>
      </w:r>
      <w:r>
        <w:t xml:space="preserve"> </w:t>
      </w:r>
      <w:r w:rsidR="00A71C5D">
        <w:rPr>
          <w:i/>
          <w:iCs/>
        </w:rPr>
        <w:t>i</w:t>
      </w:r>
      <w:r w:rsidR="00A71C5D" w:rsidRPr="00A71C5D">
        <w:rPr>
          <w:i/>
          <w:iCs/>
        </w:rPr>
        <w:t>bid</w:t>
      </w:r>
      <w:r w:rsidR="00A71C5D">
        <w:t>.</w:t>
      </w:r>
      <w:r>
        <w:rPr>
          <w:i/>
          <w:iCs/>
        </w:rPr>
        <w:t xml:space="preserve">, </w:t>
      </w:r>
      <w:r w:rsidRPr="00C11E2F">
        <w:t xml:space="preserve">p. </w:t>
      </w:r>
      <w:r>
        <w:t>4</w:t>
      </w:r>
      <w:r>
        <w:rPr>
          <w:i/>
          <w:iCs/>
        </w:rPr>
        <w:t>.</w:t>
      </w:r>
    </w:p>
  </w:footnote>
  <w:footnote w:id="13">
    <w:p w:rsidR="00127FCF" w:rsidRDefault="00127FCF">
      <w:pPr>
        <w:pStyle w:val="FootnoteText"/>
      </w:pPr>
      <w:r>
        <w:rPr>
          <w:rStyle w:val="FootnoteReference"/>
        </w:rPr>
        <w:footnoteRef/>
      </w:r>
      <w:r>
        <w:t xml:space="preserve"> </w:t>
      </w:r>
      <w:r w:rsidR="008B42E4">
        <w:t xml:space="preserve">Lizabeth Johnson, ‘Sex and the Single Welshwoman: Prostitution and Concubinage in Late Medieval Wales’, </w:t>
      </w:r>
      <w:r w:rsidR="008B42E4" w:rsidRPr="00563AED">
        <w:rPr>
          <w:i/>
          <w:iCs/>
        </w:rPr>
        <w:t>Welsh History Review</w:t>
      </w:r>
      <w:r w:rsidR="008B42E4">
        <w:rPr>
          <w:i/>
          <w:iCs/>
        </w:rPr>
        <w:t xml:space="preserve">, </w:t>
      </w:r>
      <w:r w:rsidR="008B42E4">
        <w:t>2014, pp. 253-281 (pp. 253, 280) &lt;</w:t>
      </w:r>
      <w:r w:rsidR="008B42E4" w:rsidRPr="00563AED">
        <w:t xml:space="preserve"> </w:t>
      </w:r>
      <w:hyperlink r:id="rId7" w:history="1">
        <w:r w:rsidR="008B42E4" w:rsidRPr="00A05AC7">
          <w:rPr>
            <w:rStyle w:val="Hyperlink"/>
          </w:rPr>
          <w:t>https://www.academia.edu/68866988/Sex_and_the_Single_Welshwoman_Prostitution_and_Concubinage_in_Late_Medieval_Wales</w:t>
        </w:r>
      </w:hyperlink>
      <w:r w:rsidR="008B42E4">
        <w:t>&gt; [accessed 25 April, 2026</w:t>
      </w:r>
      <w:r w:rsidR="007D27F2">
        <w:t>]</w:t>
      </w:r>
    </w:p>
  </w:footnote>
  <w:footnote w:id="14">
    <w:p w:rsidR="0078011C" w:rsidRDefault="0078011C">
      <w:pPr>
        <w:pStyle w:val="FootnoteText"/>
      </w:pPr>
      <w:r>
        <w:rPr>
          <w:rStyle w:val="FootnoteReference"/>
        </w:rPr>
        <w:footnoteRef/>
      </w:r>
      <w:r>
        <w:t xml:space="preserve"> Messer, </w:t>
      </w:r>
      <w:r w:rsidRPr="00ED56FA">
        <w:rPr>
          <w:i/>
          <w:iCs/>
        </w:rPr>
        <w:t>Joan Lady of Wales</w:t>
      </w:r>
      <w:r>
        <w:rPr>
          <w:i/>
          <w:iCs/>
        </w:rPr>
        <w:t xml:space="preserve">, </w:t>
      </w:r>
      <w:r w:rsidRPr="00C11E2F">
        <w:t xml:space="preserve">p. </w:t>
      </w:r>
      <w:r>
        <w:t>5.</w:t>
      </w:r>
    </w:p>
  </w:footnote>
  <w:footnote w:id="15">
    <w:p w:rsidR="00ED54C9" w:rsidRDefault="00ED54C9">
      <w:pPr>
        <w:pStyle w:val="FootnoteText"/>
      </w:pPr>
      <w:r>
        <w:rPr>
          <w:rStyle w:val="FootnoteReference"/>
        </w:rPr>
        <w:footnoteRef/>
      </w:r>
      <w:r>
        <w:t xml:space="preserve"> T. M. Charles Edwards, ‘Nau </w:t>
      </w:r>
      <w:proofErr w:type="spellStart"/>
      <w:r>
        <w:t>Kynywedi</w:t>
      </w:r>
      <w:proofErr w:type="spellEnd"/>
      <w:r>
        <w:t xml:space="preserve"> </w:t>
      </w:r>
      <w:proofErr w:type="spellStart"/>
      <w:r>
        <w:t>Teithiauc</w:t>
      </w:r>
      <w:proofErr w:type="spellEnd"/>
      <w:r>
        <w:t xml:space="preserve">’, in </w:t>
      </w:r>
      <w:r w:rsidRPr="004D55FF">
        <w:rPr>
          <w:i/>
          <w:iCs/>
        </w:rPr>
        <w:t>The Welsh Law of Women</w:t>
      </w:r>
      <w:r>
        <w:t xml:space="preserve">, ed. by </w:t>
      </w:r>
      <w:proofErr w:type="spellStart"/>
      <w:r>
        <w:t>Dafydd</w:t>
      </w:r>
      <w:proofErr w:type="spellEnd"/>
      <w:r>
        <w:t xml:space="preserve"> Jenkins and </w:t>
      </w:r>
      <w:proofErr w:type="spellStart"/>
      <w:r>
        <w:t>Morfydd</w:t>
      </w:r>
      <w:proofErr w:type="spellEnd"/>
      <w:r>
        <w:t xml:space="preserve"> E. Owen, pp. 39-40.</w:t>
      </w:r>
    </w:p>
  </w:footnote>
  <w:footnote w:id="16">
    <w:p w:rsidR="00B607ED" w:rsidRDefault="00B607ED">
      <w:pPr>
        <w:pStyle w:val="FootnoteText"/>
      </w:pPr>
      <w:r>
        <w:rPr>
          <w:rStyle w:val="FootnoteReference"/>
        </w:rPr>
        <w:footnoteRef/>
      </w:r>
      <w:r>
        <w:t xml:space="preserve"> Messer, </w:t>
      </w:r>
      <w:r w:rsidRPr="00ED56FA">
        <w:rPr>
          <w:i/>
          <w:iCs/>
        </w:rPr>
        <w:t>Joan Lady of Wales</w:t>
      </w:r>
      <w:r>
        <w:rPr>
          <w:i/>
          <w:iCs/>
        </w:rPr>
        <w:t xml:space="preserve">, </w:t>
      </w:r>
      <w:r w:rsidRPr="00C11E2F">
        <w:t xml:space="preserve">p. </w:t>
      </w:r>
      <w:r>
        <w:t>9.</w:t>
      </w:r>
    </w:p>
  </w:footnote>
  <w:footnote w:id="17">
    <w:p w:rsidR="009F7673" w:rsidRDefault="009F7673">
      <w:pPr>
        <w:pStyle w:val="FootnoteText"/>
      </w:pPr>
      <w:r>
        <w:rPr>
          <w:rStyle w:val="FootnoteReference"/>
        </w:rPr>
        <w:footnoteRef/>
      </w:r>
      <w:r>
        <w:t xml:space="preserve"> </w:t>
      </w:r>
      <w:r w:rsidR="0062413B" w:rsidRPr="0062413B">
        <w:rPr>
          <w:i/>
          <w:iCs/>
        </w:rPr>
        <w:t>ibid</w:t>
      </w:r>
      <w:r w:rsidR="0062413B">
        <w:t>.</w:t>
      </w:r>
      <w:r>
        <w:rPr>
          <w:i/>
          <w:iCs/>
        </w:rPr>
        <w:t xml:space="preserve">, </w:t>
      </w:r>
      <w:r w:rsidRPr="00C11E2F">
        <w:t>p</w:t>
      </w:r>
      <w:r>
        <w:t>p. 9-16.</w:t>
      </w:r>
    </w:p>
  </w:footnote>
  <w:footnote w:id="18">
    <w:p w:rsidR="00EC735C" w:rsidRDefault="00EC735C">
      <w:pPr>
        <w:pStyle w:val="FootnoteText"/>
      </w:pPr>
      <w:r>
        <w:rPr>
          <w:rStyle w:val="FootnoteReference"/>
        </w:rPr>
        <w:footnoteRef/>
      </w:r>
      <w:r>
        <w:t xml:space="preserve"> </w:t>
      </w:r>
      <w:r w:rsidR="0062413B" w:rsidRPr="0062413B">
        <w:rPr>
          <w:i/>
          <w:iCs/>
        </w:rPr>
        <w:t>ibid</w:t>
      </w:r>
      <w:r>
        <w:rPr>
          <w:i/>
          <w:iCs/>
        </w:rPr>
        <w:t xml:space="preserve">, </w:t>
      </w:r>
      <w:r w:rsidRPr="00C11E2F">
        <w:t>p</w:t>
      </w:r>
      <w:r>
        <w:t>. 13.</w:t>
      </w:r>
    </w:p>
  </w:footnote>
  <w:footnote w:id="19">
    <w:p w:rsidR="00CF720A" w:rsidRDefault="00CF720A">
      <w:pPr>
        <w:pStyle w:val="FootnoteText"/>
      </w:pPr>
      <w:r>
        <w:rPr>
          <w:rStyle w:val="FootnoteReference"/>
        </w:rPr>
        <w:footnoteRef/>
      </w:r>
      <w:r>
        <w:t xml:space="preserve"> John Gillingham, ‘J</w:t>
      </w:r>
      <w:r w:rsidRPr="00CF720A">
        <w:t>ohn (1167–1216), king of England, and lord of Ireland, duke of Normandy and of Aquitaine, and count of Anjou</w:t>
      </w:r>
      <w:r>
        <w:t xml:space="preserve">’, </w:t>
      </w:r>
      <w:r w:rsidRPr="004751FA">
        <w:rPr>
          <w:i/>
          <w:iCs/>
        </w:rPr>
        <w:t>Dictionary of Welsh Biography</w:t>
      </w:r>
      <w:r>
        <w:t>, 2021 &lt;</w:t>
      </w:r>
      <w:r w:rsidRPr="00CF720A">
        <w:rPr>
          <w:rFonts w:ascii="Open Sans" w:hAnsi="Open Sans" w:cs="Open Sans"/>
          <w:color w:val="2A2A2A"/>
          <w:sz w:val="24"/>
          <w:szCs w:val="24"/>
          <w:shd w:val="clear" w:color="auto" w:fill="F2F5F9"/>
        </w:rPr>
        <w:t xml:space="preserve"> </w:t>
      </w:r>
      <w:hyperlink r:id="rId8" w:history="1">
        <w:r w:rsidRPr="00A05AC7">
          <w:rPr>
            <w:rStyle w:val="Hyperlink"/>
          </w:rPr>
          <w:t>https://www.oxforddnb.com/view/10.1093/ref:odnb/9780198614128.001.0001/odnb-9780198614128-e-14841</w:t>
        </w:r>
      </w:hyperlink>
      <w:r>
        <w:t xml:space="preserve">&gt; [accessed 26 April, 2026]; Messer, </w:t>
      </w:r>
      <w:r w:rsidRPr="00CF720A">
        <w:rPr>
          <w:i/>
          <w:iCs/>
        </w:rPr>
        <w:t>Joan Lady of Wales</w:t>
      </w:r>
      <w:r>
        <w:t>, p. 10.</w:t>
      </w:r>
    </w:p>
  </w:footnote>
  <w:footnote w:id="20">
    <w:p w:rsidR="00A07151" w:rsidRDefault="00A07151">
      <w:pPr>
        <w:pStyle w:val="FootnoteText"/>
      </w:pPr>
      <w:r>
        <w:rPr>
          <w:rStyle w:val="FootnoteReference"/>
        </w:rPr>
        <w:footnoteRef/>
      </w:r>
      <w:r>
        <w:t xml:space="preserve"> </w:t>
      </w:r>
      <w:proofErr w:type="spellStart"/>
      <w:r>
        <w:t>Magni</w:t>
      </w:r>
      <w:proofErr w:type="spellEnd"/>
      <w:r>
        <w:t xml:space="preserve"> </w:t>
      </w:r>
      <w:proofErr w:type="spellStart"/>
      <w:r>
        <w:t>Rotuli</w:t>
      </w:r>
      <w:proofErr w:type="spellEnd"/>
      <w:r>
        <w:t xml:space="preserve"> </w:t>
      </w:r>
      <w:proofErr w:type="spellStart"/>
      <w:r>
        <w:t>Scaccarii</w:t>
      </w:r>
      <w:proofErr w:type="spellEnd"/>
      <w:r>
        <w:t xml:space="preserve"> </w:t>
      </w:r>
      <w:proofErr w:type="spellStart"/>
      <w:r>
        <w:t>Normanniae</w:t>
      </w:r>
      <w:proofErr w:type="spellEnd"/>
      <w:r>
        <w:t xml:space="preserve"> sub </w:t>
      </w:r>
      <w:proofErr w:type="spellStart"/>
      <w:r>
        <w:t>Regibus</w:t>
      </w:r>
      <w:proofErr w:type="spellEnd"/>
      <w:r>
        <w:t xml:space="preserve"> </w:t>
      </w:r>
      <w:proofErr w:type="spellStart"/>
      <w:r>
        <w:t>Angliae</w:t>
      </w:r>
      <w:proofErr w:type="spellEnd"/>
      <w:r>
        <w:t>, ed. by Thomas Stapleton, vol. 2 (</w:t>
      </w:r>
      <w:r w:rsidRPr="00A07151">
        <w:t>Society of Antiquaries of London</w:t>
      </w:r>
      <w:r>
        <w:t>, 1844), p. 569 &lt;</w:t>
      </w:r>
      <w:r w:rsidRPr="00A07151">
        <w:t xml:space="preserve"> </w:t>
      </w:r>
      <w:hyperlink r:id="rId9" w:history="1">
        <w:r w:rsidRPr="00A05AC7">
          <w:rPr>
            <w:rStyle w:val="Hyperlink"/>
          </w:rPr>
          <w:t>https://play.google.com/books/reader?id=FbRDAAAAYAAJ&amp;pg=GBS.PA568&amp;hl=en</w:t>
        </w:r>
      </w:hyperlink>
      <w:r>
        <w:t>&gt; [accessed 26 April, 2026]</w:t>
      </w:r>
      <w:r w:rsidR="003E123F">
        <w:t xml:space="preserve">; Messer, </w:t>
      </w:r>
      <w:r w:rsidR="003E123F" w:rsidRPr="003E123F">
        <w:rPr>
          <w:i/>
          <w:iCs/>
        </w:rPr>
        <w:t>Joan Lady of Wales</w:t>
      </w:r>
      <w:r w:rsidR="003E123F">
        <w:t xml:space="preserve">, p. 41. </w:t>
      </w:r>
    </w:p>
  </w:footnote>
  <w:footnote w:id="21">
    <w:p w:rsidR="005442B5" w:rsidRDefault="005442B5">
      <w:pPr>
        <w:pStyle w:val="FootnoteText"/>
      </w:pPr>
      <w:r>
        <w:rPr>
          <w:rStyle w:val="FootnoteReference"/>
        </w:rPr>
        <w:footnoteRef/>
      </w:r>
      <w:r>
        <w:t xml:space="preserve"> Messer, </w:t>
      </w:r>
      <w:r w:rsidRPr="005442B5">
        <w:rPr>
          <w:i/>
          <w:iCs/>
        </w:rPr>
        <w:t>Joan Lady of Wales</w:t>
      </w:r>
      <w:r>
        <w:t>, p. 42.</w:t>
      </w:r>
    </w:p>
  </w:footnote>
  <w:footnote w:id="22">
    <w:p w:rsidR="00EF037F" w:rsidRDefault="00EF037F">
      <w:pPr>
        <w:pStyle w:val="FootnoteText"/>
      </w:pPr>
      <w:r>
        <w:rPr>
          <w:rStyle w:val="FootnoteReference"/>
        </w:rPr>
        <w:footnoteRef/>
      </w:r>
      <w:r>
        <w:t xml:space="preserve"> Eileen Power, </w:t>
      </w:r>
      <w:r w:rsidRPr="00EF037F">
        <w:rPr>
          <w:i/>
          <w:iCs/>
        </w:rPr>
        <w:t>Medieval Women</w:t>
      </w:r>
      <w:r>
        <w:t xml:space="preserve"> (Cambridge University Press, 1975), p. 76</w:t>
      </w:r>
      <w:r w:rsidR="00515410">
        <w:t xml:space="preserve"> &lt;</w:t>
      </w:r>
      <w:r w:rsidR="00515410" w:rsidRPr="00515410">
        <w:t xml:space="preserve"> </w:t>
      </w:r>
      <w:hyperlink r:id="rId10" w:history="1">
        <w:r w:rsidR="00515410" w:rsidRPr="00A05AC7">
          <w:rPr>
            <w:rStyle w:val="Hyperlink"/>
          </w:rPr>
          <w:t>https://archive.org/details/medievalwomen0000powe/page/82/mode/2up</w:t>
        </w:r>
      </w:hyperlink>
      <w:r w:rsidR="00515410">
        <w:t>&gt; [accessed 2</w:t>
      </w:r>
      <w:r w:rsidR="00A83541">
        <w:t>6</w:t>
      </w:r>
      <w:r w:rsidR="00515410">
        <w:t xml:space="preserve"> April, 2026]</w:t>
      </w:r>
      <w:r w:rsidR="00A83541">
        <w:t>.</w:t>
      </w:r>
    </w:p>
  </w:footnote>
  <w:footnote w:id="23">
    <w:p w:rsidR="00596295" w:rsidRDefault="00596295">
      <w:pPr>
        <w:pStyle w:val="FootnoteText"/>
      </w:pPr>
      <w:r>
        <w:rPr>
          <w:rStyle w:val="FootnoteReference"/>
        </w:rPr>
        <w:footnoteRef/>
      </w:r>
      <w:r>
        <w:t xml:space="preserve"> Shirley Kersey, ‘Medieval education of girls and women’, </w:t>
      </w:r>
      <w:r w:rsidRPr="00596295">
        <w:rPr>
          <w:i/>
          <w:iCs/>
        </w:rPr>
        <w:t>Educational Horizons</w:t>
      </w:r>
      <w:r>
        <w:t>, vol. 58, no. 4 (1980)</w:t>
      </w:r>
      <w:r w:rsidR="00BF31BE">
        <w:t xml:space="preserve">, pp. 188-192 (p. 188) </w:t>
      </w:r>
      <w:hyperlink r:id="rId11" w:history="1">
        <w:r w:rsidR="00BF31BE" w:rsidRPr="00A05AC7">
          <w:rPr>
            <w:rStyle w:val="Hyperlink"/>
          </w:rPr>
          <w:t>http://www.jstor.org/stable/42924397</w:t>
        </w:r>
      </w:hyperlink>
      <w:r w:rsidR="00BF31BE">
        <w:t xml:space="preserve"> [</w:t>
      </w:r>
      <w:r w:rsidR="007661C4">
        <w:t>a</w:t>
      </w:r>
      <w:r w:rsidR="00BF31BE" w:rsidRPr="00BF31BE">
        <w:t>ccessed 26 Apr</w:t>
      </w:r>
      <w:r w:rsidR="00BF31BE">
        <w:t xml:space="preserve">il, </w:t>
      </w:r>
      <w:r w:rsidR="00BF31BE" w:rsidRPr="00BF31BE">
        <w:t>2026</w:t>
      </w:r>
      <w:r w:rsidR="00BF31BE">
        <w:t>].</w:t>
      </w:r>
    </w:p>
  </w:footnote>
  <w:footnote w:id="24">
    <w:p w:rsidR="00913693" w:rsidRDefault="00913693">
      <w:pPr>
        <w:pStyle w:val="FootnoteText"/>
      </w:pPr>
      <w:r>
        <w:rPr>
          <w:rStyle w:val="FootnoteReference"/>
        </w:rPr>
        <w:footnoteRef/>
      </w:r>
      <w:r>
        <w:t xml:space="preserve"> David </w:t>
      </w:r>
      <w:proofErr w:type="spellStart"/>
      <w:r>
        <w:t>D’Avray</w:t>
      </w:r>
      <w:proofErr w:type="spellEnd"/>
      <w:r w:rsidRPr="00913693">
        <w:t xml:space="preserve">, </w:t>
      </w:r>
      <w:r w:rsidRPr="00913693">
        <w:rPr>
          <w:i/>
          <w:iCs/>
        </w:rPr>
        <w:t>Dissolving Royal Marriages: A Documentary History, 860–1600</w:t>
      </w:r>
      <w:r w:rsidRPr="00913693">
        <w:t> (Cambridge: Cambridge University Press, 2014), p</w:t>
      </w:r>
      <w:r w:rsidR="00947593">
        <w:t>. 53</w:t>
      </w:r>
      <w:r w:rsidR="003E7452">
        <w:t>; John Gillingham, ‘J</w:t>
      </w:r>
      <w:r w:rsidR="003E7452" w:rsidRPr="00CF720A">
        <w:t>ohn (1167–1216), king of England, and lord of Ireland, duke of Normandy and of Aquitaine, and count of Anjou</w:t>
      </w:r>
      <w:r w:rsidR="003E7452">
        <w:t xml:space="preserve">’. </w:t>
      </w:r>
    </w:p>
  </w:footnote>
  <w:footnote w:id="25">
    <w:p w:rsidR="00BC6412" w:rsidRDefault="00BC6412">
      <w:pPr>
        <w:pStyle w:val="FootnoteText"/>
      </w:pPr>
      <w:r>
        <w:rPr>
          <w:rStyle w:val="FootnoteReference"/>
        </w:rPr>
        <w:footnoteRef/>
      </w:r>
      <w:r>
        <w:t xml:space="preserve"> Power, </w:t>
      </w:r>
      <w:r w:rsidRPr="00EF037F">
        <w:rPr>
          <w:i/>
          <w:iCs/>
        </w:rPr>
        <w:t>Medieval Women</w:t>
      </w:r>
      <w:r>
        <w:t>, p. 77.</w:t>
      </w:r>
    </w:p>
  </w:footnote>
  <w:footnote w:id="26">
    <w:p w:rsidR="001622F4" w:rsidRDefault="001622F4">
      <w:pPr>
        <w:pStyle w:val="FootnoteText"/>
      </w:pPr>
      <w:r>
        <w:rPr>
          <w:rStyle w:val="FootnoteReference"/>
        </w:rPr>
        <w:footnoteRef/>
      </w:r>
      <w:r>
        <w:t xml:space="preserve"> Messer, </w:t>
      </w:r>
      <w:r w:rsidRPr="005442B5">
        <w:rPr>
          <w:i/>
          <w:iCs/>
        </w:rPr>
        <w:t>Joan Lady of Wales</w:t>
      </w:r>
      <w:r>
        <w:t>, p. 43.</w:t>
      </w:r>
    </w:p>
  </w:footnote>
  <w:footnote w:id="27">
    <w:p w:rsidR="00ED733F" w:rsidRDefault="00ED733F">
      <w:pPr>
        <w:pStyle w:val="FootnoteText"/>
      </w:pPr>
      <w:r>
        <w:rPr>
          <w:rStyle w:val="FootnoteReference"/>
        </w:rPr>
        <w:footnoteRef/>
      </w:r>
      <w:r>
        <w:t xml:space="preserve"> Elizabeth Thomas, </w:t>
      </w:r>
      <w:r w:rsidR="004168D1">
        <w:t>‘</w:t>
      </w:r>
      <w:r>
        <w:t>We Have Nothing More Valuable in our Treasury: Royal Marriage in England, 1154-1272’ (doctoral thesis, University of St Andrews, 2010) &lt;</w:t>
      </w:r>
      <w:r w:rsidR="004168D1" w:rsidRPr="004168D1">
        <w:t xml:space="preserve"> </w:t>
      </w:r>
      <w:hyperlink r:id="rId12" w:history="1">
        <w:r w:rsidR="004168D1" w:rsidRPr="00A05AC7">
          <w:rPr>
            <w:rStyle w:val="Hyperlink"/>
          </w:rPr>
          <w:t>https://research-repository.st-andrews.ac.uk/bitstream/handle/10023/2001/ElizabethThomasPhDThesis.pdf?sequence=3&amp;isAllowed=y</w:t>
        </w:r>
      </w:hyperlink>
      <w:r w:rsidR="004168D1">
        <w:t xml:space="preserve">&gt; </w:t>
      </w:r>
      <w:r w:rsidR="004168D1" w:rsidRPr="004168D1">
        <w:t xml:space="preserve"> </w:t>
      </w:r>
      <w:r>
        <w:t>[accessed 27 April, 2026]</w:t>
      </w:r>
      <w:r w:rsidR="00F767FD">
        <w:t xml:space="preserve"> abstract. </w:t>
      </w:r>
    </w:p>
  </w:footnote>
  <w:footnote w:id="28">
    <w:p w:rsidR="00C05A19" w:rsidRDefault="00C05A19">
      <w:pPr>
        <w:pStyle w:val="FootnoteText"/>
      </w:pPr>
      <w:r>
        <w:rPr>
          <w:rStyle w:val="FootnoteReference"/>
        </w:rPr>
        <w:footnoteRef/>
      </w:r>
      <w:r>
        <w:t xml:space="preserve"> Thomas, ‘We Have Nothing More Valuable in our Treasury: Royal Marriage in England, 1154-1272’, p. 64. </w:t>
      </w:r>
    </w:p>
  </w:footnote>
  <w:footnote w:id="29">
    <w:p w:rsidR="00C176E5" w:rsidRDefault="00C176E5">
      <w:pPr>
        <w:pStyle w:val="FootnoteText"/>
      </w:pPr>
      <w:r>
        <w:rPr>
          <w:rStyle w:val="FootnoteReference"/>
        </w:rPr>
        <w:footnoteRef/>
      </w:r>
      <w:r>
        <w:t xml:space="preserve"> John Edward </w:t>
      </w:r>
      <w:r w:rsidRPr="00C176E5">
        <w:t>Lloyd,</w:t>
      </w:r>
      <w:r>
        <w:t xml:space="preserve"> ‘</w:t>
      </w:r>
      <w:r w:rsidRPr="00C176E5">
        <w:t>DAFYDD ab OWAIN GWYNEDD (died 1203), king of Gwynedd</w:t>
      </w:r>
      <w:r>
        <w:t>’</w:t>
      </w:r>
      <w:r w:rsidRPr="00C176E5">
        <w:t>. </w:t>
      </w:r>
      <w:r w:rsidRPr="00C176E5">
        <w:rPr>
          <w:i/>
          <w:iCs/>
        </w:rPr>
        <w:t>Dictionary of Welsh Biography</w:t>
      </w:r>
      <w:r w:rsidR="00537A9C">
        <w:rPr>
          <w:i/>
          <w:iCs/>
        </w:rPr>
        <w:t xml:space="preserve">, </w:t>
      </w:r>
      <w:r w:rsidR="00537A9C">
        <w:t>1959</w:t>
      </w:r>
      <w:r>
        <w:t xml:space="preserve"> </w:t>
      </w:r>
      <w:hyperlink r:id="rId13" w:history="1">
        <w:r w:rsidRPr="00A05AC7">
          <w:rPr>
            <w:rStyle w:val="Hyperlink"/>
          </w:rPr>
          <w:t>https://biography.wales/article/s-DAFY-ABO-1203</w:t>
        </w:r>
      </w:hyperlink>
      <w:r>
        <w:t xml:space="preserve"> [accessed 27 April, 2026]</w:t>
      </w:r>
    </w:p>
  </w:footnote>
  <w:footnote w:id="30">
    <w:p w:rsidR="00393B47" w:rsidRDefault="00393B47">
      <w:pPr>
        <w:pStyle w:val="FootnoteText"/>
      </w:pPr>
      <w:r>
        <w:rPr>
          <w:rStyle w:val="FootnoteReference"/>
        </w:rPr>
        <w:footnoteRef/>
      </w:r>
      <w:r>
        <w:t xml:space="preserve"> Abigail </w:t>
      </w:r>
      <w:proofErr w:type="spellStart"/>
      <w:r>
        <w:t>Cengel</w:t>
      </w:r>
      <w:proofErr w:type="spellEnd"/>
      <w:r>
        <w:t>, ‘Living Links: The Role of Marriage Between Welsh and Anglo-Norman Aristocratic Families in the Welsh Struggle for Autonomy’ (Honours thesis, Wittenberg University, 2012) &lt;</w:t>
      </w:r>
      <w:r w:rsidRPr="00393B47">
        <w:t xml:space="preserve"> </w:t>
      </w:r>
      <w:hyperlink r:id="rId14" w:history="1">
        <w:r w:rsidRPr="00A05AC7">
          <w:rPr>
            <w:rStyle w:val="Hyperlink"/>
          </w:rPr>
          <w:t>https://etd.ohiolink.edu/acprod/odb_etd/ws/send_file/send?accession=wuhonors1337875222&amp;disposition=inline</w:t>
        </w:r>
      </w:hyperlink>
      <w:r>
        <w:t>&gt; [accessed 27 April, 2026</w:t>
      </w:r>
      <w:r w:rsidR="00FE5752">
        <w:t>], pp. 38-39.</w:t>
      </w:r>
    </w:p>
  </w:footnote>
  <w:footnote w:id="31">
    <w:p w:rsidR="00E648BA" w:rsidRDefault="00E648BA">
      <w:pPr>
        <w:pStyle w:val="FootnoteText"/>
      </w:pPr>
      <w:r>
        <w:rPr>
          <w:rStyle w:val="FootnoteReference"/>
        </w:rPr>
        <w:footnoteRef/>
      </w:r>
      <w:r>
        <w:t xml:space="preserve"> Messer, </w:t>
      </w:r>
      <w:r w:rsidRPr="005442B5">
        <w:rPr>
          <w:i/>
          <w:iCs/>
        </w:rPr>
        <w:t>Joan Lady of Wales</w:t>
      </w:r>
      <w:r>
        <w:t>, p</w:t>
      </w:r>
      <w:r w:rsidR="007A38DF">
        <w:t>p</w:t>
      </w:r>
      <w:r>
        <w:t xml:space="preserve">. </w:t>
      </w:r>
      <w:r w:rsidR="007A38DF">
        <w:t xml:space="preserve">92, </w:t>
      </w:r>
      <w:r>
        <w:t xml:space="preserve">102. </w:t>
      </w:r>
    </w:p>
  </w:footnote>
  <w:footnote w:id="32">
    <w:p w:rsidR="00C145B5" w:rsidRDefault="00C145B5">
      <w:pPr>
        <w:pStyle w:val="FootnoteText"/>
      </w:pPr>
      <w:r>
        <w:rPr>
          <w:rStyle w:val="FootnoteReference"/>
        </w:rPr>
        <w:footnoteRef/>
      </w:r>
      <w:r>
        <w:t xml:space="preserve"> Robert Rees Davies, </w:t>
      </w:r>
      <w:r w:rsidRPr="00C145B5">
        <w:rPr>
          <w:i/>
          <w:iCs/>
        </w:rPr>
        <w:t>The Age of Conquest, Wales 1063-1415</w:t>
      </w:r>
      <w:r>
        <w:rPr>
          <w:i/>
          <w:iCs/>
        </w:rPr>
        <w:t xml:space="preserve"> </w:t>
      </w:r>
      <w:r>
        <w:t>(Oxford University Press, 1987), p. 213 &lt;</w:t>
      </w:r>
      <w:r w:rsidRPr="00C145B5">
        <w:t xml:space="preserve"> </w:t>
      </w:r>
      <w:hyperlink r:id="rId15" w:history="1">
        <w:r w:rsidRPr="00A05AC7">
          <w:rPr>
            <w:rStyle w:val="Hyperlink"/>
          </w:rPr>
          <w:t>https://archive.org/details/ageofconquestwal0000davi/page/212/mode/2up</w:t>
        </w:r>
      </w:hyperlink>
      <w:r>
        <w:t>&gt; [accessed 27 April, 2026]</w:t>
      </w:r>
    </w:p>
  </w:footnote>
  <w:footnote w:id="33">
    <w:p w:rsidR="00037A78" w:rsidRPr="00037A78" w:rsidRDefault="00037A78">
      <w:pPr>
        <w:pStyle w:val="FootnoteText"/>
      </w:pPr>
      <w:r>
        <w:rPr>
          <w:rStyle w:val="FootnoteReference"/>
        </w:rPr>
        <w:footnoteRef/>
      </w:r>
      <w:r>
        <w:t xml:space="preserve"> Davies, </w:t>
      </w:r>
      <w:r w:rsidRPr="00C145B5">
        <w:rPr>
          <w:i/>
          <w:iCs/>
        </w:rPr>
        <w:t>The Age of Conquest, Wales 1063-1415</w:t>
      </w:r>
      <w:r>
        <w:rPr>
          <w:i/>
          <w:iCs/>
        </w:rPr>
        <w:t xml:space="preserve">, p. </w:t>
      </w:r>
      <w:r>
        <w:t xml:space="preserve">213. </w:t>
      </w:r>
    </w:p>
  </w:footnote>
  <w:footnote w:id="34">
    <w:p w:rsidR="009669D8" w:rsidRDefault="009669D8">
      <w:pPr>
        <w:pStyle w:val="FootnoteText"/>
      </w:pPr>
      <w:r>
        <w:rPr>
          <w:rStyle w:val="FootnoteReference"/>
        </w:rPr>
        <w:footnoteRef/>
      </w:r>
      <w:r>
        <w:t xml:space="preserve"> Messer, </w:t>
      </w:r>
      <w:r w:rsidRPr="005442B5">
        <w:rPr>
          <w:i/>
          <w:iCs/>
        </w:rPr>
        <w:t>Joan Lady of Wales</w:t>
      </w:r>
      <w:r>
        <w:t>, p. 33.</w:t>
      </w:r>
    </w:p>
  </w:footnote>
  <w:footnote w:id="35">
    <w:p w:rsidR="00683205" w:rsidRDefault="00683205" w:rsidP="00683205">
      <w:pPr>
        <w:pStyle w:val="FootnoteText"/>
      </w:pPr>
      <w:r>
        <w:rPr>
          <w:rStyle w:val="FootnoteReference"/>
        </w:rPr>
        <w:footnoteRef/>
      </w:r>
      <w:r>
        <w:t xml:space="preserve"> Davies, </w:t>
      </w:r>
      <w:r w:rsidRPr="00C145B5">
        <w:rPr>
          <w:i/>
          <w:iCs/>
        </w:rPr>
        <w:t>The Age of Conquest, Wales 1063-1415</w:t>
      </w:r>
      <w:r>
        <w:rPr>
          <w:i/>
          <w:iCs/>
        </w:rPr>
        <w:t xml:space="preserve">, p. </w:t>
      </w:r>
      <w:r>
        <w:t>213.</w:t>
      </w:r>
    </w:p>
  </w:footnote>
  <w:footnote w:id="36">
    <w:p w:rsidR="003631A4" w:rsidRDefault="003631A4">
      <w:pPr>
        <w:pStyle w:val="FootnoteText"/>
      </w:pPr>
      <w:r>
        <w:rPr>
          <w:rStyle w:val="FootnoteReference"/>
        </w:rPr>
        <w:footnoteRef/>
      </w:r>
      <w:r>
        <w:t xml:space="preserve"> The Mortimer History Society, ‘The Welsh Marcher Lordships’ &lt;</w:t>
      </w:r>
      <w:r w:rsidRPr="003631A4">
        <w:t xml:space="preserve"> </w:t>
      </w:r>
      <w:hyperlink r:id="rId16" w:history="1">
        <w:r w:rsidRPr="00A05AC7">
          <w:rPr>
            <w:rStyle w:val="Hyperlink"/>
          </w:rPr>
          <w:t>https://mortimerhistorysociety.org.uk/marcher-lordships</w:t>
        </w:r>
      </w:hyperlink>
      <w:r>
        <w:t>&gt; [accessed 27 April, 2026]</w:t>
      </w:r>
      <w:r w:rsidR="00024C21">
        <w:t>.</w:t>
      </w:r>
    </w:p>
  </w:footnote>
  <w:footnote w:id="37">
    <w:p w:rsidR="005D142D" w:rsidRDefault="005D142D">
      <w:pPr>
        <w:pStyle w:val="FootnoteText"/>
      </w:pPr>
      <w:r>
        <w:rPr>
          <w:rStyle w:val="FootnoteReference"/>
        </w:rPr>
        <w:footnoteRef/>
      </w:r>
      <w:r>
        <w:t xml:space="preserve"> Messer, </w:t>
      </w:r>
      <w:r w:rsidRPr="005442B5">
        <w:rPr>
          <w:i/>
          <w:iCs/>
        </w:rPr>
        <w:t>Joan Lady of Wales</w:t>
      </w:r>
      <w:r>
        <w:t xml:space="preserve">, p. 40; </w:t>
      </w:r>
      <w:r w:rsidRPr="005D142D">
        <w:t>Brock W. Holden.</w:t>
      </w:r>
      <w:r w:rsidR="00236709">
        <w:t xml:space="preserve"> ‘</w:t>
      </w:r>
      <w:r w:rsidRPr="005D142D">
        <w:t xml:space="preserve">King John, the </w:t>
      </w:r>
      <w:proofErr w:type="spellStart"/>
      <w:r w:rsidRPr="005D142D">
        <w:t>Braoses</w:t>
      </w:r>
      <w:proofErr w:type="spellEnd"/>
      <w:r w:rsidRPr="005D142D">
        <w:t>, and the Celtic Fringe, 1207-1216</w:t>
      </w:r>
      <w:r w:rsidR="00236709">
        <w:t>’,</w:t>
      </w:r>
      <w:r w:rsidRPr="005D142D">
        <w:t> </w:t>
      </w:r>
      <w:r w:rsidRPr="005D142D">
        <w:rPr>
          <w:i/>
          <w:iCs/>
        </w:rPr>
        <w:t>Albion: A Quarterly Journal Concerned with British Studies</w:t>
      </w:r>
      <w:r w:rsidRPr="005D142D">
        <w:t xml:space="preserve">, vol. 33, no. 1, </w:t>
      </w:r>
      <w:r w:rsidR="00236709">
        <w:t>(</w:t>
      </w:r>
      <w:r w:rsidRPr="005D142D">
        <w:t>2001</w:t>
      </w:r>
      <w:r w:rsidR="00236709">
        <w:t>)</w:t>
      </w:r>
      <w:r w:rsidRPr="005D142D">
        <w:t>, pp. 1–23</w:t>
      </w:r>
      <w:r w:rsidR="006D2D35">
        <w:t>, (p. 3),</w:t>
      </w:r>
      <w:r w:rsidRPr="005D142D">
        <w:t> </w:t>
      </w:r>
      <w:r w:rsidRPr="005D142D">
        <w:rPr>
          <w:i/>
          <w:iCs/>
        </w:rPr>
        <w:t>JSTOR</w:t>
      </w:r>
      <w:r w:rsidRPr="005D142D">
        <w:t xml:space="preserve">, </w:t>
      </w:r>
      <w:hyperlink r:id="rId17" w:history="1">
        <w:r w:rsidR="00236709" w:rsidRPr="00A05AC7">
          <w:rPr>
            <w:rStyle w:val="Hyperlink"/>
          </w:rPr>
          <w:t>https://doi.org/10.2307/4053044</w:t>
        </w:r>
      </w:hyperlink>
      <w:r w:rsidR="00236709">
        <w:t xml:space="preserve"> [a</w:t>
      </w:r>
      <w:r w:rsidRPr="005D142D">
        <w:t>ccessed 27 Apr</w:t>
      </w:r>
      <w:r w:rsidR="00236709">
        <w:t xml:space="preserve">il, </w:t>
      </w:r>
      <w:r w:rsidRPr="005D142D">
        <w:t>2026</w:t>
      </w:r>
      <w:r w:rsidR="00236709">
        <w:t>].</w:t>
      </w:r>
    </w:p>
  </w:footnote>
  <w:footnote w:id="38">
    <w:p w:rsidR="0031262E" w:rsidRDefault="0031262E">
      <w:pPr>
        <w:pStyle w:val="FootnoteText"/>
      </w:pPr>
      <w:r>
        <w:rPr>
          <w:rStyle w:val="FootnoteReference"/>
        </w:rPr>
        <w:footnoteRef/>
      </w:r>
      <w:r>
        <w:t xml:space="preserve"> Huw Pryce, ‘Anglo-Welsh Agreements, 1201-77’, in </w:t>
      </w:r>
      <w:r w:rsidRPr="0031262E">
        <w:rPr>
          <w:i/>
          <w:iCs/>
        </w:rPr>
        <w:t>Wales and the Welsh in the Middle Ages</w:t>
      </w:r>
      <w:r>
        <w:t xml:space="preserve">, </w:t>
      </w:r>
      <w:r w:rsidRPr="0031262E">
        <w:t>ed</w:t>
      </w:r>
      <w:r>
        <w:t>.</w:t>
      </w:r>
      <w:r w:rsidRPr="0031262E">
        <w:t xml:space="preserve"> by R. A. Griffiths and P. R. Schofield</w:t>
      </w:r>
      <w:r>
        <w:t xml:space="preserve"> (University of Wales Press, 2011), pp.1-19 (p. 3) </w:t>
      </w:r>
      <w:r w:rsidRPr="0031262E">
        <w:rPr>
          <w:i/>
          <w:iCs/>
        </w:rPr>
        <w:t>JSTOR</w:t>
      </w:r>
      <w:r w:rsidRPr="0031262E">
        <w:t xml:space="preserve">, </w:t>
      </w:r>
      <w:hyperlink r:id="rId18" w:history="1">
        <w:r w:rsidRPr="00A05AC7">
          <w:rPr>
            <w:rStyle w:val="Hyperlink"/>
          </w:rPr>
          <w:t>http://www.jstor.org.uwtsd.idm.oclc.org/stable/j.ctt9qhbqt.8</w:t>
        </w:r>
      </w:hyperlink>
      <w:r>
        <w:t xml:space="preserve"> </w:t>
      </w:r>
      <w:r w:rsidRPr="0031262E">
        <w:t xml:space="preserve"> </w:t>
      </w:r>
      <w:r>
        <w:t>[a</w:t>
      </w:r>
      <w:r w:rsidRPr="0031262E">
        <w:t>ccessed 27 Apr</w:t>
      </w:r>
      <w:r>
        <w:t>il,</w:t>
      </w:r>
      <w:r w:rsidRPr="0031262E">
        <w:t xml:space="preserve"> 2026</w:t>
      </w:r>
      <w:r>
        <w:t>]</w:t>
      </w:r>
    </w:p>
  </w:footnote>
  <w:footnote w:id="39">
    <w:p w:rsidR="008A1497" w:rsidRDefault="008A1497">
      <w:pPr>
        <w:pStyle w:val="FootnoteText"/>
      </w:pPr>
      <w:r>
        <w:rPr>
          <w:rStyle w:val="FootnoteReference"/>
        </w:rPr>
        <w:footnoteRef/>
      </w:r>
      <w:r>
        <w:t xml:space="preserve"> The Acts of Welsh Rulers, 1120-1283, ed. by Huw Pryce (Cardiff University of Wales Press, 2005), pp. 371-372</w:t>
      </w:r>
      <w:r w:rsidR="007F421C">
        <w:t xml:space="preserve"> &lt;</w:t>
      </w:r>
      <w:r w:rsidR="007F421C" w:rsidRPr="007F421C">
        <w:t xml:space="preserve"> </w:t>
      </w:r>
      <w:hyperlink r:id="rId19" w:history="1">
        <w:r w:rsidR="007F421C" w:rsidRPr="00A05AC7">
          <w:rPr>
            <w:rStyle w:val="Hyperlink"/>
          </w:rPr>
          <w:t>https://archive.org/details/actsofwelshruler0000unse/page/n5/mode/2up</w:t>
        </w:r>
      </w:hyperlink>
      <w:r w:rsidR="007F421C">
        <w:t>&gt; [accessed 28 April, 2026]</w:t>
      </w:r>
      <w:r>
        <w:t xml:space="preserve"> </w:t>
      </w:r>
    </w:p>
  </w:footnote>
  <w:footnote w:id="40">
    <w:p w:rsidR="00AC0E24" w:rsidRDefault="00AC0E24">
      <w:pPr>
        <w:pStyle w:val="FootnoteText"/>
      </w:pPr>
      <w:r>
        <w:rPr>
          <w:rStyle w:val="FootnoteReference"/>
        </w:rPr>
        <w:footnoteRef/>
      </w:r>
      <w:r>
        <w:t xml:space="preserve"> Pryce, ‘Anglo-Welsh Agreements, 1201-77’, p. </w:t>
      </w:r>
      <w:r w:rsidR="003376C9">
        <w:t xml:space="preserve">8. </w:t>
      </w:r>
    </w:p>
  </w:footnote>
  <w:footnote w:id="41">
    <w:p w:rsidR="00004D3E" w:rsidRDefault="00004D3E">
      <w:pPr>
        <w:pStyle w:val="FootnoteText"/>
      </w:pPr>
      <w:r>
        <w:rPr>
          <w:rStyle w:val="FootnoteReference"/>
        </w:rPr>
        <w:footnoteRef/>
      </w:r>
      <w:r>
        <w:t xml:space="preserve"> Messer, </w:t>
      </w:r>
      <w:r w:rsidRPr="005442B5">
        <w:rPr>
          <w:i/>
          <w:iCs/>
        </w:rPr>
        <w:t>Joan Lady of Wales</w:t>
      </w:r>
      <w:r>
        <w:t>, pp. 45-47.</w:t>
      </w:r>
    </w:p>
  </w:footnote>
  <w:footnote w:id="42">
    <w:p w:rsidR="00C319AF" w:rsidRDefault="00C319AF">
      <w:pPr>
        <w:pStyle w:val="FootnoteText"/>
      </w:pPr>
      <w:r>
        <w:rPr>
          <w:rStyle w:val="FootnoteReference"/>
        </w:rPr>
        <w:footnoteRef/>
      </w:r>
      <w:r>
        <w:t xml:space="preserve"> </w:t>
      </w:r>
      <w:r w:rsidR="00FF3B96" w:rsidRPr="00FF3B96">
        <w:rPr>
          <w:i/>
          <w:iCs/>
        </w:rPr>
        <w:t>ibid</w:t>
      </w:r>
      <w:r w:rsidR="00FF3B96">
        <w:t>.</w:t>
      </w:r>
      <w:r>
        <w:t>, p. 47.</w:t>
      </w:r>
    </w:p>
  </w:footnote>
  <w:footnote w:id="43">
    <w:p w:rsidR="00F735B3" w:rsidRDefault="00F735B3">
      <w:pPr>
        <w:pStyle w:val="FootnoteText"/>
      </w:pPr>
      <w:r>
        <w:rPr>
          <w:rStyle w:val="FootnoteReference"/>
        </w:rPr>
        <w:footnoteRef/>
      </w:r>
      <w:r>
        <w:t xml:space="preserve"> Messer, </w:t>
      </w:r>
      <w:r w:rsidRPr="005442B5">
        <w:rPr>
          <w:i/>
          <w:iCs/>
        </w:rPr>
        <w:t>Joan Lady of Wales</w:t>
      </w:r>
      <w:r>
        <w:t>, p. 52.</w:t>
      </w:r>
    </w:p>
  </w:footnote>
  <w:footnote w:id="44">
    <w:p w:rsidR="00DE18CA" w:rsidRDefault="00DE18CA">
      <w:pPr>
        <w:pStyle w:val="FootnoteText"/>
      </w:pPr>
      <w:r>
        <w:rPr>
          <w:rStyle w:val="FootnoteReference"/>
        </w:rPr>
        <w:footnoteRef/>
      </w:r>
      <w:r>
        <w:t xml:space="preserve"> </w:t>
      </w:r>
      <w:r w:rsidR="00FF3B96" w:rsidRPr="00FF3B96">
        <w:rPr>
          <w:i/>
          <w:iCs/>
        </w:rPr>
        <w:t>ibid</w:t>
      </w:r>
      <w:r>
        <w:t>, p. xii.</w:t>
      </w:r>
    </w:p>
  </w:footnote>
  <w:footnote w:id="45">
    <w:p w:rsidR="00A1668E" w:rsidRDefault="00A1668E">
      <w:pPr>
        <w:pStyle w:val="FootnoteText"/>
      </w:pPr>
      <w:r>
        <w:rPr>
          <w:rStyle w:val="FootnoteReference"/>
        </w:rPr>
        <w:footnoteRef/>
      </w:r>
      <w:r>
        <w:t xml:space="preserve"> Danna R. Messer, ‘A model of Welsh queenship: Joan of England and the medieval court of Gwynedd’, </w:t>
      </w:r>
      <w:r w:rsidR="00017CD7" w:rsidRPr="00017CD7">
        <w:rPr>
          <w:i/>
          <w:iCs/>
        </w:rPr>
        <w:t>Women’s History Review</w:t>
      </w:r>
      <w:r w:rsidR="00017CD7">
        <w:t>, 30:5, (2021), pp. 754-765, (pp.</w:t>
      </w:r>
      <w:r w:rsidR="00C75480">
        <w:t xml:space="preserve"> 757,</w:t>
      </w:r>
      <w:r w:rsidR="00017CD7">
        <w:t xml:space="preserve"> 759) &lt;</w:t>
      </w:r>
      <w:r w:rsidR="00017CD7" w:rsidRPr="00017CD7">
        <w:rPr>
          <w:rFonts w:ascii="Open Sans" w:hAnsi="Open Sans" w:cs="Open Sans"/>
          <w:color w:val="333333"/>
          <w:sz w:val="24"/>
          <w:szCs w:val="24"/>
          <w:shd w:val="clear" w:color="auto" w:fill="EAEAEA"/>
        </w:rPr>
        <w:t xml:space="preserve"> </w:t>
      </w:r>
      <w:hyperlink r:id="rId20" w:history="1">
        <w:r w:rsidR="00017CD7" w:rsidRPr="00A05AC7">
          <w:rPr>
            <w:rStyle w:val="Hyperlink"/>
          </w:rPr>
          <w:t>https://doi.org/10.1080/09612025.2020.1827734</w:t>
        </w:r>
      </w:hyperlink>
      <w:r w:rsidR="00017CD7">
        <w:t xml:space="preserve">&gt; [accessed 28 April, 2026] </w:t>
      </w:r>
    </w:p>
  </w:footnote>
  <w:footnote w:id="46">
    <w:p w:rsidR="0076324E" w:rsidRDefault="0076324E">
      <w:pPr>
        <w:pStyle w:val="FootnoteText"/>
      </w:pPr>
      <w:r>
        <w:rPr>
          <w:rStyle w:val="FootnoteReference"/>
        </w:rPr>
        <w:footnoteRef/>
      </w:r>
      <w:r>
        <w:t xml:space="preserve"> </w:t>
      </w:r>
      <w:proofErr w:type="spellStart"/>
      <w:r>
        <w:t>Llinos</w:t>
      </w:r>
      <w:proofErr w:type="spellEnd"/>
      <w:r>
        <w:t xml:space="preserve"> Beverley Smith, ‘On the Hospitality of the Welsh: A comparative View’, in </w:t>
      </w:r>
      <w:r w:rsidRPr="0076324E">
        <w:rPr>
          <w:i/>
          <w:iCs/>
        </w:rPr>
        <w:t>Power and Identity in the Middle Ages: Essays in Memory of Rees Davies</w:t>
      </w:r>
      <w:r>
        <w:t>, ed. by Huw Pryce and John Watts (Oxford Academic, 2011), pp. 181-194</w:t>
      </w:r>
      <w:r w:rsidR="005B4157">
        <w:t xml:space="preserve"> (p. 183)</w:t>
      </w:r>
      <w:r>
        <w:t xml:space="preserve"> &lt;</w:t>
      </w:r>
      <w:r w:rsidRPr="0076324E">
        <w:rPr>
          <w:sz w:val="24"/>
          <w:szCs w:val="24"/>
        </w:rPr>
        <w:t xml:space="preserve"> </w:t>
      </w:r>
      <w:hyperlink r:id="rId21" w:history="1">
        <w:r w:rsidRPr="0076324E">
          <w:rPr>
            <w:rStyle w:val="Hyperlink"/>
          </w:rPr>
          <w:t>https://doi.org/10.1093/acprof:oso/9780199285464.003.0014</w:t>
        </w:r>
      </w:hyperlink>
      <w:r>
        <w:t>&gt; [accessed 28 April, 2026]</w:t>
      </w:r>
      <w:r w:rsidR="005B4157">
        <w:t>.</w:t>
      </w:r>
    </w:p>
  </w:footnote>
  <w:footnote w:id="47">
    <w:p w:rsidR="00360369" w:rsidRDefault="00360369">
      <w:pPr>
        <w:pStyle w:val="FootnoteText"/>
      </w:pPr>
      <w:r>
        <w:rPr>
          <w:rStyle w:val="FootnoteReference"/>
        </w:rPr>
        <w:footnoteRef/>
      </w:r>
      <w:r>
        <w:t xml:space="preserve"> </w:t>
      </w:r>
      <w:proofErr w:type="spellStart"/>
      <w:r>
        <w:t>Llinos</w:t>
      </w:r>
      <w:proofErr w:type="spellEnd"/>
      <w:r>
        <w:t xml:space="preserve"> Beverley Smith, ‘On the Hospitality of the Welsh: A comparative View’, in </w:t>
      </w:r>
      <w:r w:rsidRPr="0076324E">
        <w:rPr>
          <w:i/>
          <w:iCs/>
        </w:rPr>
        <w:t>Power and Identity in the Middle Ages: Essays in Memory of Rees Davies</w:t>
      </w:r>
      <w:r>
        <w:t xml:space="preserve">, ed. by Huw Pryce and John Watts, pp. 184-185. </w:t>
      </w:r>
    </w:p>
  </w:footnote>
  <w:footnote w:id="48">
    <w:p w:rsidR="00CB3A57" w:rsidRDefault="00CB3A57">
      <w:pPr>
        <w:pStyle w:val="FootnoteText"/>
      </w:pPr>
      <w:r>
        <w:rPr>
          <w:rStyle w:val="FootnoteReference"/>
        </w:rPr>
        <w:footnoteRef/>
      </w:r>
      <w:r>
        <w:t xml:space="preserve"> </w:t>
      </w:r>
      <w:proofErr w:type="spellStart"/>
      <w:r>
        <w:t>Geraldus</w:t>
      </w:r>
      <w:proofErr w:type="spellEnd"/>
      <w:r>
        <w:t xml:space="preserve"> </w:t>
      </w:r>
      <w:proofErr w:type="spellStart"/>
      <w:r>
        <w:t>Cambrensis</w:t>
      </w:r>
      <w:proofErr w:type="spellEnd"/>
      <w:r>
        <w:t xml:space="preserve">, </w:t>
      </w:r>
      <w:r w:rsidRPr="00CB3A57">
        <w:rPr>
          <w:i/>
          <w:iCs/>
        </w:rPr>
        <w:t>The Description of Wales</w:t>
      </w:r>
      <w:r>
        <w:t>, the Project Gutenberg eBook (2015), pp. 169-170 &lt;</w:t>
      </w:r>
      <w:r w:rsidRPr="00CB3A57">
        <w:t xml:space="preserve"> </w:t>
      </w:r>
      <w:hyperlink r:id="rId22" w:history="1">
        <w:r w:rsidRPr="00A05AC7">
          <w:rPr>
            <w:rStyle w:val="Hyperlink"/>
          </w:rPr>
          <w:t>https://www.gutenberg.org/files/1092/1092-h/1092-h.htm</w:t>
        </w:r>
      </w:hyperlink>
      <w:r>
        <w:t>&gt; [accessed 28 April, 2026].</w:t>
      </w:r>
    </w:p>
  </w:footnote>
  <w:footnote w:id="49">
    <w:p w:rsidR="0086425B" w:rsidRDefault="0086425B">
      <w:pPr>
        <w:pStyle w:val="FootnoteText"/>
      </w:pPr>
      <w:r>
        <w:rPr>
          <w:rStyle w:val="FootnoteReference"/>
        </w:rPr>
        <w:footnoteRef/>
      </w:r>
      <w:r>
        <w:t xml:space="preserve"> Messer, </w:t>
      </w:r>
      <w:r w:rsidRPr="005442B5">
        <w:rPr>
          <w:i/>
          <w:iCs/>
        </w:rPr>
        <w:t>Joan Lady of Wales</w:t>
      </w:r>
      <w:r>
        <w:t>, p. 48.</w:t>
      </w:r>
    </w:p>
  </w:footnote>
  <w:footnote w:id="50">
    <w:p w:rsidR="00D2036D" w:rsidRDefault="00D2036D">
      <w:pPr>
        <w:pStyle w:val="FootnoteText"/>
      </w:pPr>
      <w:r>
        <w:rPr>
          <w:rStyle w:val="FootnoteReference"/>
        </w:rPr>
        <w:footnoteRef/>
      </w:r>
      <w:r>
        <w:t xml:space="preserve"> Susan M. </w:t>
      </w:r>
      <w:r w:rsidRPr="00D2036D">
        <w:t>Johns,</w:t>
      </w:r>
      <w:r>
        <w:t xml:space="preserve"> </w:t>
      </w:r>
      <w:r w:rsidRPr="00D2036D">
        <w:t xml:space="preserve">(2021). </w:t>
      </w:r>
      <w:r>
        <w:t>‘</w:t>
      </w:r>
      <w:r w:rsidRPr="00D2036D">
        <w:t>Queenship and narratives of power in Welsh medieval sources</w:t>
      </w:r>
      <w:r>
        <w:t>’,</w:t>
      </w:r>
      <w:r w:rsidRPr="00D2036D">
        <w:t> </w:t>
      </w:r>
      <w:r w:rsidRPr="00D2036D">
        <w:rPr>
          <w:i/>
          <w:iCs/>
        </w:rPr>
        <w:t>Women’s History Review</w:t>
      </w:r>
      <w:r w:rsidRPr="00D2036D">
        <w:t>, </w:t>
      </w:r>
      <w:r w:rsidRPr="00D2036D">
        <w:rPr>
          <w:i/>
          <w:iCs/>
        </w:rPr>
        <w:t>30</w:t>
      </w:r>
      <w:r w:rsidRPr="00D2036D">
        <w:t>(5),</w:t>
      </w:r>
      <w:r>
        <w:t xml:space="preserve"> (2021),</w:t>
      </w:r>
      <w:r w:rsidR="0016064E">
        <w:t xml:space="preserve"> pp.</w:t>
      </w:r>
      <w:r w:rsidRPr="00D2036D">
        <w:t xml:space="preserve"> 738–753</w:t>
      </w:r>
      <w:r w:rsidR="0016064E">
        <w:t xml:space="preserve"> </w:t>
      </w:r>
      <w:hyperlink r:id="rId23" w:history="1">
        <w:r w:rsidR="0016064E" w:rsidRPr="00A05AC7">
          <w:rPr>
            <w:rStyle w:val="Hyperlink"/>
          </w:rPr>
          <w:t>https://doi.org/10.1080/09612025.2020.1827733</w:t>
        </w:r>
      </w:hyperlink>
      <w:r w:rsidR="0016064E">
        <w:t xml:space="preserve"> [accessed 2</w:t>
      </w:r>
      <w:r w:rsidR="00325B33">
        <w:t>8</w:t>
      </w:r>
      <w:r w:rsidR="0016064E">
        <w:t xml:space="preserve"> April, 2026]</w:t>
      </w:r>
      <w:r w:rsidR="00325B33">
        <w:t>.</w:t>
      </w:r>
    </w:p>
  </w:footnote>
  <w:footnote w:id="51">
    <w:p w:rsidR="00F5153E" w:rsidRDefault="00F5153E">
      <w:pPr>
        <w:pStyle w:val="FootnoteText"/>
      </w:pPr>
      <w:r>
        <w:rPr>
          <w:rStyle w:val="FootnoteReference"/>
        </w:rPr>
        <w:footnoteRef/>
      </w:r>
      <w:r>
        <w:t xml:space="preserve"> Johns, ‘</w:t>
      </w:r>
      <w:r w:rsidRPr="00D2036D">
        <w:t>Queenship and narratives of power in Welsh medieval sources</w:t>
      </w:r>
      <w:r>
        <w:t xml:space="preserve">’, p. 744. </w:t>
      </w:r>
    </w:p>
  </w:footnote>
  <w:footnote w:id="52">
    <w:p w:rsidR="000403DF" w:rsidRDefault="000403DF">
      <w:pPr>
        <w:pStyle w:val="FootnoteText"/>
      </w:pPr>
      <w:r>
        <w:rPr>
          <w:rStyle w:val="FootnoteReference"/>
        </w:rPr>
        <w:footnoteRef/>
      </w:r>
      <w:r>
        <w:t xml:space="preserve"> Messer, </w:t>
      </w:r>
      <w:r w:rsidRPr="005442B5">
        <w:rPr>
          <w:i/>
          <w:iCs/>
        </w:rPr>
        <w:t>Joan Lady of Wales</w:t>
      </w:r>
      <w:r>
        <w:t>, p. 49.</w:t>
      </w:r>
    </w:p>
  </w:footnote>
  <w:footnote w:id="53">
    <w:p w:rsidR="00EE2A38" w:rsidRDefault="00EE2A38">
      <w:pPr>
        <w:pStyle w:val="FootnoteText"/>
      </w:pPr>
      <w:r>
        <w:rPr>
          <w:rStyle w:val="FootnoteReference"/>
        </w:rPr>
        <w:footnoteRef/>
      </w:r>
      <w:r>
        <w:t xml:space="preserve"> </w:t>
      </w:r>
      <w:r w:rsidR="000B1504" w:rsidRPr="00FF3B96">
        <w:rPr>
          <w:i/>
          <w:iCs/>
        </w:rPr>
        <w:t>ibid</w:t>
      </w:r>
      <w:r>
        <w:t>, p. 48.</w:t>
      </w:r>
    </w:p>
  </w:footnote>
  <w:footnote w:id="54">
    <w:p w:rsidR="00744DAC" w:rsidRDefault="00744DAC">
      <w:pPr>
        <w:pStyle w:val="FootnoteText"/>
      </w:pPr>
      <w:r>
        <w:rPr>
          <w:rStyle w:val="FootnoteReference"/>
        </w:rPr>
        <w:footnoteRef/>
      </w:r>
      <w:r>
        <w:t xml:space="preserve"> Johns, ‘</w:t>
      </w:r>
      <w:r w:rsidRPr="00D2036D">
        <w:t>Queenship and narratives of power in Welsh medieval sources</w:t>
      </w:r>
      <w:r>
        <w:t>’, p. 747.</w:t>
      </w:r>
    </w:p>
  </w:footnote>
  <w:footnote w:id="55">
    <w:p w:rsidR="00EC002E" w:rsidRDefault="00EC002E">
      <w:pPr>
        <w:pStyle w:val="FootnoteText"/>
      </w:pPr>
      <w:r>
        <w:rPr>
          <w:rStyle w:val="FootnoteReference"/>
        </w:rPr>
        <w:footnoteRef/>
      </w:r>
      <w:r>
        <w:t xml:space="preserve"> </w:t>
      </w:r>
      <w:r w:rsidR="000B1504" w:rsidRPr="00FF3B96">
        <w:rPr>
          <w:i/>
          <w:iCs/>
        </w:rPr>
        <w:t>ibid</w:t>
      </w:r>
      <w:r>
        <w:t>, p</w:t>
      </w:r>
      <w:r w:rsidR="003370B8">
        <w:t>p</w:t>
      </w:r>
      <w:r>
        <w:t>. 747-748.</w:t>
      </w:r>
    </w:p>
  </w:footnote>
  <w:footnote w:id="56">
    <w:p w:rsidR="003370B8" w:rsidRDefault="003370B8">
      <w:pPr>
        <w:pStyle w:val="FootnoteText"/>
      </w:pPr>
      <w:r>
        <w:rPr>
          <w:rStyle w:val="FootnoteReference"/>
        </w:rPr>
        <w:footnoteRef/>
      </w:r>
      <w:r>
        <w:t xml:space="preserve"> </w:t>
      </w:r>
      <w:r w:rsidR="000B1504" w:rsidRPr="00FF3B96">
        <w:rPr>
          <w:i/>
          <w:iCs/>
        </w:rPr>
        <w:t>ibid</w:t>
      </w:r>
      <w:r>
        <w:t>, p. 748.</w:t>
      </w:r>
    </w:p>
  </w:footnote>
  <w:footnote w:id="57">
    <w:p w:rsidR="000040A5" w:rsidRDefault="000040A5">
      <w:pPr>
        <w:pStyle w:val="FootnoteText"/>
      </w:pPr>
      <w:r>
        <w:rPr>
          <w:rStyle w:val="FootnoteReference"/>
        </w:rPr>
        <w:footnoteRef/>
      </w:r>
      <w:r>
        <w:t xml:space="preserve"> Messer, </w:t>
      </w:r>
      <w:r w:rsidRPr="005442B5">
        <w:rPr>
          <w:i/>
          <w:iCs/>
        </w:rPr>
        <w:t>Joan Lady of Wales</w:t>
      </w:r>
      <w:r>
        <w:t>, pp. 55-56.</w:t>
      </w:r>
    </w:p>
  </w:footnote>
  <w:footnote w:id="58">
    <w:p w:rsidR="00BA584C" w:rsidRDefault="00BA584C">
      <w:pPr>
        <w:pStyle w:val="FootnoteText"/>
      </w:pPr>
      <w:r>
        <w:rPr>
          <w:rStyle w:val="FootnoteReference"/>
        </w:rPr>
        <w:footnoteRef/>
      </w:r>
      <w:r>
        <w:t xml:space="preserve"> J. B. Smith</w:t>
      </w:r>
      <w:r w:rsidRPr="00C176E5">
        <w:t>,</w:t>
      </w:r>
      <w:r>
        <w:t xml:space="preserve"> ‘</w:t>
      </w:r>
      <w:proofErr w:type="spellStart"/>
      <w:r w:rsidRPr="00BA584C">
        <w:t>Dafydd</w:t>
      </w:r>
      <w:proofErr w:type="spellEnd"/>
      <w:r w:rsidRPr="00BA584C">
        <w:t> </w:t>
      </w:r>
      <w:r w:rsidRPr="00BA584C">
        <w:rPr>
          <w:i/>
          <w:iCs/>
        </w:rPr>
        <w:t>ap</w:t>
      </w:r>
      <w:r w:rsidRPr="00BA584C">
        <w:t> </w:t>
      </w:r>
      <w:proofErr w:type="spellStart"/>
      <w:r w:rsidRPr="00BA584C">
        <w:t>Llywelyn</w:t>
      </w:r>
      <w:proofErr w:type="spellEnd"/>
      <w:r w:rsidRPr="00BA584C">
        <w:t>’</w:t>
      </w:r>
      <w:r>
        <w:t>,</w:t>
      </w:r>
      <w:r w:rsidRPr="00C176E5">
        <w:t> </w:t>
      </w:r>
      <w:r>
        <w:t xml:space="preserve">Oxford </w:t>
      </w:r>
      <w:r w:rsidRPr="00C176E5">
        <w:rPr>
          <w:i/>
          <w:iCs/>
        </w:rPr>
        <w:t xml:space="preserve">Dictionary of </w:t>
      </w:r>
      <w:r>
        <w:rPr>
          <w:i/>
          <w:iCs/>
        </w:rPr>
        <w:t>National</w:t>
      </w:r>
      <w:r w:rsidRPr="00C176E5">
        <w:rPr>
          <w:i/>
          <w:iCs/>
        </w:rPr>
        <w:t xml:space="preserve"> Biography</w:t>
      </w:r>
      <w:r>
        <w:rPr>
          <w:i/>
          <w:iCs/>
        </w:rPr>
        <w:t xml:space="preserve">, </w:t>
      </w:r>
      <w:r w:rsidR="00DC7F92">
        <w:t>2023</w:t>
      </w:r>
      <w:r>
        <w:t xml:space="preserve"> </w:t>
      </w:r>
      <w:r w:rsidR="00DC7F92">
        <w:t>&lt;</w:t>
      </w:r>
      <w:r w:rsidR="00DC7F92" w:rsidRPr="00DC7F92">
        <w:rPr>
          <w:sz w:val="24"/>
          <w:szCs w:val="24"/>
        </w:rPr>
        <w:t xml:space="preserve"> </w:t>
      </w:r>
      <w:hyperlink r:id="rId24" w:history="1">
        <w:r w:rsidR="00DC7F92" w:rsidRPr="00DC7F92">
          <w:rPr>
            <w:rStyle w:val="Hyperlink"/>
          </w:rPr>
          <w:t>https://doi.org/10.1093/ref:odnb/7323</w:t>
        </w:r>
      </w:hyperlink>
      <w:r w:rsidR="00DC7F92">
        <w:t xml:space="preserve">&gt; </w:t>
      </w:r>
      <w:r>
        <w:t>[accessed 2</w:t>
      </w:r>
      <w:r w:rsidR="00DC7F92">
        <w:t>9</w:t>
      </w:r>
      <w:r>
        <w:t xml:space="preserve"> April, 2026]</w:t>
      </w:r>
    </w:p>
  </w:footnote>
  <w:footnote w:id="59">
    <w:p w:rsidR="00950D21" w:rsidRDefault="00950D21">
      <w:pPr>
        <w:pStyle w:val="FootnoteText"/>
      </w:pPr>
      <w:r>
        <w:rPr>
          <w:rStyle w:val="FootnoteReference"/>
        </w:rPr>
        <w:footnoteRef/>
      </w:r>
      <w:r>
        <w:t xml:space="preserve"> </w:t>
      </w:r>
      <w:r w:rsidR="006E268F">
        <w:t xml:space="preserve">Messer, </w:t>
      </w:r>
      <w:r w:rsidR="006E268F" w:rsidRPr="005442B5">
        <w:rPr>
          <w:i/>
          <w:iCs/>
        </w:rPr>
        <w:t>Joan Lady of Wales</w:t>
      </w:r>
      <w:r w:rsidR="006E268F">
        <w:t xml:space="preserve">, p. 63; </w:t>
      </w:r>
      <w:r>
        <w:t>The National Library of Wales, ‘Chronicle of the Princes’ &lt;</w:t>
      </w:r>
      <w:r w:rsidRPr="00950D21">
        <w:t xml:space="preserve"> </w:t>
      </w:r>
      <w:hyperlink r:id="rId25" w:history="1">
        <w:r w:rsidRPr="00A05AC7">
          <w:rPr>
            <w:rStyle w:val="Hyperlink"/>
          </w:rPr>
          <w:t>https://www.library.wales/discover-learn/digital-exhibitions/manuscripts/the-middle-ages/chronicle-of-the-princes</w:t>
        </w:r>
      </w:hyperlink>
      <w:r>
        <w:t>&gt; [accessed 30 April, 2026] (para. 2 of 7).</w:t>
      </w:r>
    </w:p>
  </w:footnote>
  <w:footnote w:id="60">
    <w:p w:rsidR="00C1640F" w:rsidRDefault="00C1640F">
      <w:pPr>
        <w:pStyle w:val="FootnoteText"/>
      </w:pPr>
      <w:r>
        <w:rPr>
          <w:rStyle w:val="FootnoteReference"/>
        </w:rPr>
        <w:footnoteRef/>
      </w:r>
      <w:r>
        <w:t xml:space="preserve"> </w:t>
      </w:r>
      <w:r w:rsidR="007866AA" w:rsidRPr="00C07C8E">
        <w:rPr>
          <w:i/>
          <w:iCs/>
        </w:rPr>
        <w:t>The Chronicle of the Princes</w:t>
      </w:r>
      <w:r w:rsidR="007866AA">
        <w:t xml:space="preserve">, ed. by John Williams Ab </w:t>
      </w:r>
      <w:proofErr w:type="spellStart"/>
      <w:r w:rsidR="007866AA">
        <w:t>Ithel</w:t>
      </w:r>
      <w:proofErr w:type="spellEnd"/>
      <w:r w:rsidR="007866AA">
        <w:t xml:space="preserve"> (London: Longman, Green, Longman, and Roberts, 1860), p. </w:t>
      </w:r>
      <w:r w:rsidR="00C07C8E">
        <w:t xml:space="preserve">267. </w:t>
      </w:r>
    </w:p>
  </w:footnote>
  <w:footnote w:id="61">
    <w:p w:rsidR="008800C5" w:rsidRDefault="008800C5">
      <w:pPr>
        <w:pStyle w:val="FootnoteText"/>
      </w:pPr>
      <w:r>
        <w:rPr>
          <w:rStyle w:val="FootnoteReference"/>
        </w:rPr>
        <w:footnoteRef/>
      </w:r>
      <w:r>
        <w:t xml:space="preserve"> Davies, </w:t>
      </w:r>
      <w:r w:rsidRPr="00C145B5">
        <w:rPr>
          <w:i/>
          <w:iCs/>
        </w:rPr>
        <w:t>The Age of Conquest, Wales 1063-1415</w:t>
      </w:r>
      <w:r>
        <w:rPr>
          <w:i/>
          <w:iCs/>
        </w:rPr>
        <w:t xml:space="preserve">, </w:t>
      </w:r>
      <w:r>
        <w:t xml:space="preserve">p. 241. </w:t>
      </w:r>
    </w:p>
  </w:footnote>
  <w:footnote w:id="62">
    <w:p w:rsidR="00231BE0" w:rsidRDefault="00231BE0">
      <w:pPr>
        <w:pStyle w:val="FootnoteText"/>
      </w:pPr>
      <w:r>
        <w:rPr>
          <w:rStyle w:val="FootnoteReference"/>
        </w:rPr>
        <w:footnoteRef/>
      </w:r>
      <w:r>
        <w:t xml:space="preserve"> </w:t>
      </w:r>
      <w:r w:rsidR="004D3011" w:rsidRPr="00C07C8E">
        <w:rPr>
          <w:i/>
          <w:iCs/>
        </w:rPr>
        <w:t>The Chronicle of the Princes</w:t>
      </w:r>
      <w:r w:rsidR="004D3011">
        <w:t xml:space="preserve">, ed. by John Williams Ab </w:t>
      </w:r>
      <w:proofErr w:type="spellStart"/>
      <w:r w:rsidR="004D3011">
        <w:t>Ithel</w:t>
      </w:r>
      <w:proofErr w:type="spellEnd"/>
      <w:r w:rsidR="004D3011">
        <w:t xml:space="preserve">, p. 269. </w:t>
      </w:r>
    </w:p>
  </w:footnote>
  <w:footnote w:id="63">
    <w:p w:rsidR="000A320B" w:rsidRDefault="000A320B">
      <w:pPr>
        <w:pStyle w:val="FootnoteText"/>
      </w:pPr>
      <w:r>
        <w:rPr>
          <w:rStyle w:val="FootnoteReference"/>
        </w:rPr>
        <w:footnoteRef/>
      </w:r>
      <w:r>
        <w:t xml:space="preserve"> Messer, </w:t>
      </w:r>
      <w:r w:rsidRPr="005442B5">
        <w:rPr>
          <w:i/>
          <w:iCs/>
        </w:rPr>
        <w:t>Joan Lady of Wales</w:t>
      </w:r>
      <w:r>
        <w:t xml:space="preserve">, p. 65. </w:t>
      </w:r>
    </w:p>
  </w:footnote>
  <w:footnote w:id="64">
    <w:p w:rsidR="00DE60B4" w:rsidRDefault="00DE60B4">
      <w:pPr>
        <w:pStyle w:val="FootnoteText"/>
      </w:pPr>
      <w:r>
        <w:rPr>
          <w:rStyle w:val="FootnoteReference"/>
        </w:rPr>
        <w:footnoteRef/>
      </w:r>
      <w:r>
        <w:t xml:space="preserve"> John Edward Lloyd, </w:t>
      </w:r>
      <w:r w:rsidRPr="00D7336E">
        <w:rPr>
          <w:i/>
          <w:iCs/>
        </w:rPr>
        <w:t>A History of Wales From the Earliest Times to the Edwardian Conquest</w:t>
      </w:r>
      <w:r>
        <w:t>, vol. 2 (Longmans, Green, and Co., 1912), p. 665.</w:t>
      </w:r>
    </w:p>
  </w:footnote>
  <w:footnote w:id="65">
    <w:p w:rsidR="00BB1306" w:rsidRDefault="00BB1306">
      <w:pPr>
        <w:pStyle w:val="FootnoteText"/>
      </w:pPr>
      <w:r>
        <w:rPr>
          <w:rStyle w:val="FootnoteReference"/>
        </w:rPr>
        <w:footnoteRef/>
      </w:r>
      <w:r>
        <w:t xml:space="preserve"> </w:t>
      </w:r>
      <w:r w:rsidR="000B1504">
        <w:rPr>
          <w:i/>
          <w:iCs/>
        </w:rPr>
        <w:t>i</w:t>
      </w:r>
      <w:r w:rsidR="000B1504" w:rsidRPr="00FF3B96">
        <w:rPr>
          <w:i/>
          <w:iCs/>
        </w:rPr>
        <w:t>bid</w:t>
      </w:r>
      <w:r w:rsidR="000B1504">
        <w:t xml:space="preserve">., </w:t>
      </w:r>
      <w:r>
        <w:t>p. 665.</w:t>
      </w:r>
    </w:p>
  </w:footnote>
  <w:footnote w:id="66">
    <w:p w:rsidR="00D8488C" w:rsidRDefault="00D8488C">
      <w:pPr>
        <w:pStyle w:val="FootnoteText"/>
      </w:pPr>
      <w:r>
        <w:rPr>
          <w:rStyle w:val="FootnoteReference"/>
        </w:rPr>
        <w:footnoteRef/>
      </w:r>
      <w:r>
        <w:t xml:space="preserve"> Danna R. Messer, ‘</w:t>
      </w:r>
      <w:r w:rsidRPr="004751FA">
        <w:t>JOAN (SIWAN) (died 1237), princess and diplomat</w:t>
      </w:r>
      <w:r>
        <w:t xml:space="preserve">’, </w:t>
      </w:r>
      <w:r w:rsidRPr="004751FA">
        <w:rPr>
          <w:i/>
          <w:iCs/>
        </w:rPr>
        <w:t>Dictionary of Welsh Biography</w:t>
      </w:r>
      <w:r>
        <w:t xml:space="preserve">, 2018 </w:t>
      </w:r>
      <w:hyperlink r:id="rId26" w:history="1">
        <w:r w:rsidRPr="00A05AC7">
          <w:rPr>
            <w:rStyle w:val="Hyperlink"/>
          </w:rPr>
          <w:t>https://biography.wales/article/s12-JOAN-TYW-1237</w:t>
        </w:r>
      </w:hyperlink>
      <w:r>
        <w:t xml:space="preserve"> [accessed 24 April 2026].</w:t>
      </w:r>
    </w:p>
  </w:footnote>
  <w:footnote w:id="67">
    <w:p w:rsidR="00972C0C" w:rsidRDefault="00972C0C">
      <w:pPr>
        <w:pStyle w:val="FootnoteText"/>
      </w:pPr>
      <w:r>
        <w:rPr>
          <w:rStyle w:val="FootnoteReference"/>
        </w:rPr>
        <w:footnoteRef/>
      </w:r>
      <w:r>
        <w:t xml:space="preserve"> Lloyd, </w:t>
      </w:r>
      <w:r w:rsidRPr="00D7336E">
        <w:rPr>
          <w:i/>
          <w:iCs/>
        </w:rPr>
        <w:t>A History of Wales From the Earliest Times to the Edwardian Conquest</w:t>
      </w:r>
      <w:r>
        <w:t>, p. 685.</w:t>
      </w:r>
    </w:p>
  </w:footnote>
  <w:footnote w:id="68">
    <w:p w:rsidR="00046F17" w:rsidRDefault="00046F17">
      <w:pPr>
        <w:pStyle w:val="FootnoteText"/>
      </w:pPr>
      <w:r>
        <w:rPr>
          <w:rStyle w:val="FootnoteReference"/>
        </w:rPr>
        <w:footnoteRef/>
      </w:r>
      <w:r>
        <w:t xml:space="preserve"> Messer, </w:t>
      </w:r>
      <w:r w:rsidRPr="005442B5">
        <w:rPr>
          <w:i/>
          <w:iCs/>
        </w:rPr>
        <w:t>Joan Lady of Wales</w:t>
      </w:r>
      <w:r>
        <w:t>, pp. 135-145</w:t>
      </w:r>
      <w:r w:rsidR="001E6953">
        <w:t>; Caroline Willoughby, ‘</w:t>
      </w:r>
      <w:r w:rsidR="001E6953" w:rsidRPr="001E6953">
        <w:t xml:space="preserve">The execution of William de </w:t>
      </w:r>
      <w:proofErr w:type="spellStart"/>
      <w:r w:rsidR="001E6953" w:rsidRPr="001E6953">
        <w:t>Braose</w:t>
      </w:r>
      <w:proofErr w:type="spellEnd"/>
      <w:r w:rsidR="001E6953" w:rsidRPr="001E6953">
        <w:t xml:space="preserve"> in 1230 and how it illuminates the thirteenth century Welsh political dynamic</w:t>
      </w:r>
      <w:r w:rsidR="001E6953">
        <w:t>’ (dissertation, The Open University, 2019) &lt;</w:t>
      </w:r>
      <w:r w:rsidR="001E6953" w:rsidRPr="001E6953">
        <w:t xml:space="preserve"> </w:t>
      </w:r>
      <w:hyperlink r:id="rId27" w:history="1">
        <w:r w:rsidR="001E6953" w:rsidRPr="00A05AC7">
          <w:rPr>
            <w:rStyle w:val="Hyperlink"/>
          </w:rPr>
          <w:t>https://oro.open.ac.uk/62651/2/WILLOUGHBY_A329_RVOR.pdf</w:t>
        </w:r>
      </w:hyperlink>
      <w:r w:rsidR="001E6953">
        <w:t>&gt; [accessed 30 April, 2026].</w:t>
      </w:r>
    </w:p>
  </w:footnote>
  <w:footnote w:id="69">
    <w:p w:rsidR="00D40B21" w:rsidRDefault="00D40B21">
      <w:pPr>
        <w:pStyle w:val="FootnoteText"/>
      </w:pPr>
      <w:r>
        <w:rPr>
          <w:rStyle w:val="FootnoteReference"/>
        </w:rPr>
        <w:footnoteRef/>
      </w:r>
      <w:r>
        <w:t xml:space="preserve"> Danna R. Messer, ‘</w:t>
      </w:r>
      <w:r w:rsidRPr="004751FA">
        <w:t>JOAN (SIWAN) (died 1237), princess and diplomat</w:t>
      </w:r>
      <w:r>
        <w:t xml:space="preserve">’, </w:t>
      </w:r>
      <w:r w:rsidRPr="004751FA">
        <w:rPr>
          <w:i/>
          <w:iCs/>
        </w:rPr>
        <w:t>Dictionary of Welsh Biography</w:t>
      </w:r>
      <w:r>
        <w:t xml:space="preserve">, 2018 </w:t>
      </w:r>
      <w:hyperlink r:id="rId28" w:history="1">
        <w:r w:rsidRPr="00A05AC7">
          <w:rPr>
            <w:rStyle w:val="Hyperlink"/>
          </w:rPr>
          <w:t>https://biography.wales/article/s12-JOAN-TYW-1237</w:t>
        </w:r>
      </w:hyperlink>
      <w:r>
        <w:t xml:space="preserve"> [accessed 24 April 2026].</w:t>
      </w:r>
    </w:p>
  </w:footnote>
  <w:footnote w:id="70">
    <w:p w:rsidR="00D07DD1" w:rsidRDefault="00D07DD1">
      <w:pPr>
        <w:pStyle w:val="FootnoteText"/>
      </w:pPr>
      <w:r>
        <w:rPr>
          <w:rStyle w:val="FootnoteReference"/>
        </w:rPr>
        <w:footnoteRef/>
      </w:r>
      <w:r>
        <w:t xml:space="preserve"> Messer, </w:t>
      </w:r>
      <w:r w:rsidRPr="005442B5">
        <w:rPr>
          <w:i/>
          <w:iCs/>
        </w:rPr>
        <w:t>Joan Lady of Wales</w:t>
      </w:r>
      <w:r>
        <w:t>, pp. 169-170.</w:t>
      </w:r>
    </w:p>
  </w:footnote>
  <w:footnote w:id="71">
    <w:p w:rsidR="0032720D" w:rsidRDefault="0032720D">
      <w:pPr>
        <w:pStyle w:val="FootnoteText"/>
      </w:pPr>
      <w:r>
        <w:rPr>
          <w:rStyle w:val="FootnoteReference"/>
        </w:rPr>
        <w:footnoteRef/>
      </w:r>
      <w:r>
        <w:t xml:space="preserve"> </w:t>
      </w:r>
      <w:r w:rsidRPr="00C07C8E">
        <w:rPr>
          <w:i/>
          <w:iCs/>
        </w:rPr>
        <w:t>The Chronicle of the Princes</w:t>
      </w:r>
      <w:r>
        <w:t xml:space="preserve">, ed. by John Williams Ab </w:t>
      </w:r>
      <w:proofErr w:type="spellStart"/>
      <w:r>
        <w:t>Ithel</w:t>
      </w:r>
      <w:proofErr w:type="spellEnd"/>
      <w:r>
        <w:t xml:space="preserve">, pp. 325-327. </w:t>
      </w:r>
    </w:p>
  </w:footnote>
  <w:footnote w:id="72">
    <w:p w:rsidR="009E140E" w:rsidRDefault="009E140E">
      <w:pPr>
        <w:pStyle w:val="FootnoteText"/>
      </w:pPr>
      <w:r>
        <w:rPr>
          <w:rStyle w:val="FootnoteReference"/>
        </w:rPr>
        <w:footnoteRef/>
      </w:r>
      <w:r>
        <w:t xml:space="preserve"> Messer, </w:t>
      </w:r>
      <w:r w:rsidRPr="005442B5">
        <w:rPr>
          <w:i/>
          <w:iCs/>
        </w:rPr>
        <w:t>Joan Lady of Wales</w:t>
      </w:r>
      <w:r>
        <w:t>, p. 183.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B98"/>
    <w:rsid w:val="000040A5"/>
    <w:rsid w:val="0000427E"/>
    <w:rsid w:val="00004D3E"/>
    <w:rsid w:val="000106C9"/>
    <w:rsid w:val="00014A9E"/>
    <w:rsid w:val="00015D78"/>
    <w:rsid w:val="0001711E"/>
    <w:rsid w:val="00017493"/>
    <w:rsid w:val="00017CD7"/>
    <w:rsid w:val="00020131"/>
    <w:rsid w:val="00024C21"/>
    <w:rsid w:val="00035272"/>
    <w:rsid w:val="00035778"/>
    <w:rsid w:val="00037A78"/>
    <w:rsid w:val="000403DF"/>
    <w:rsid w:val="00041190"/>
    <w:rsid w:val="00046025"/>
    <w:rsid w:val="00046F17"/>
    <w:rsid w:val="00054735"/>
    <w:rsid w:val="000634C5"/>
    <w:rsid w:val="00064EA3"/>
    <w:rsid w:val="000661D5"/>
    <w:rsid w:val="00066FC3"/>
    <w:rsid w:val="000832B4"/>
    <w:rsid w:val="000841D3"/>
    <w:rsid w:val="00091C58"/>
    <w:rsid w:val="00092F51"/>
    <w:rsid w:val="000941B1"/>
    <w:rsid w:val="0009490B"/>
    <w:rsid w:val="000973D6"/>
    <w:rsid w:val="000A077E"/>
    <w:rsid w:val="000A320B"/>
    <w:rsid w:val="000A430A"/>
    <w:rsid w:val="000A64DE"/>
    <w:rsid w:val="000B1504"/>
    <w:rsid w:val="000B60B8"/>
    <w:rsid w:val="000B7FFC"/>
    <w:rsid w:val="000C187B"/>
    <w:rsid w:val="000C2987"/>
    <w:rsid w:val="000C34BF"/>
    <w:rsid w:val="000C4733"/>
    <w:rsid w:val="000C530E"/>
    <w:rsid w:val="000C58BF"/>
    <w:rsid w:val="000C5CE3"/>
    <w:rsid w:val="000E1A50"/>
    <w:rsid w:val="000F1A92"/>
    <w:rsid w:val="000F2350"/>
    <w:rsid w:val="001016E4"/>
    <w:rsid w:val="00102535"/>
    <w:rsid w:val="00105936"/>
    <w:rsid w:val="00112D5F"/>
    <w:rsid w:val="0011357B"/>
    <w:rsid w:val="00114048"/>
    <w:rsid w:val="001156DD"/>
    <w:rsid w:val="0012570A"/>
    <w:rsid w:val="00125D2E"/>
    <w:rsid w:val="0012688B"/>
    <w:rsid w:val="00127FCF"/>
    <w:rsid w:val="001302E2"/>
    <w:rsid w:val="00133F3E"/>
    <w:rsid w:val="001346A4"/>
    <w:rsid w:val="0013518A"/>
    <w:rsid w:val="00141BC4"/>
    <w:rsid w:val="00157B77"/>
    <w:rsid w:val="0016064E"/>
    <w:rsid w:val="001622F4"/>
    <w:rsid w:val="00172684"/>
    <w:rsid w:val="0018134E"/>
    <w:rsid w:val="001915C1"/>
    <w:rsid w:val="00194CE0"/>
    <w:rsid w:val="00195DD2"/>
    <w:rsid w:val="00195E51"/>
    <w:rsid w:val="001A160B"/>
    <w:rsid w:val="001A3132"/>
    <w:rsid w:val="001A3734"/>
    <w:rsid w:val="001A7B90"/>
    <w:rsid w:val="001B1229"/>
    <w:rsid w:val="001B36A7"/>
    <w:rsid w:val="001C1C9C"/>
    <w:rsid w:val="001C6F53"/>
    <w:rsid w:val="001D4B1D"/>
    <w:rsid w:val="001D790E"/>
    <w:rsid w:val="001E323C"/>
    <w:rsid w:val="001E4077"/>
    <w:rsid w:val="001E499F"/>
    <w:rsid w:val="001E6953"/>
    <w:rsid w:val="001F0E0A"/>
    <w:rsid w:val="001F4935"/>
    <w:rsid w:val="001F5E8C"/>
    <w:rsid w:val="00202ADB"/>
    <w:rsid w:val="00212171"/>
    <w:rsid w:val="00214954"/>
    <w:rsid w:val="002206C0"/>
    <w:rsid w:val="00220964"/>
    <w:rsid w:val="00220B50"/>
    <w:rsid w:val="002228AD"/>
    <w:rsid w:val="00225542"/>
    <w:rsid w:val="00230C3A"/>
    <w:rsid w:val="00231BE0"/>
    <w:rsid w:val="00233B8D"/>
    <w:rsid w:val="00233E9D"/>
    <w:rsid w:val="0023464A"/>
    <w:rsid w:val="00236709"/>
    <w:rsid w:val="0024164E"/>
    <w:rsid w:val="00242B94"/>
    <w:rsid w:val="0024655D"/>
    <w:rsid w:val="002479E8"/>
    <w:rsid w:val="00247BD9"/>
    <w:rsid w:val="00254AE1"/>
    <w:rsid w:val="00260AE0"/>
    <w:rsid w:val="002615EC"/>
    <w:rsid w:val="00262DAB"/>
    <w:rsid w:val="00264A49"/>
    <w:rsid w:val="00267DAD"/>
    <w:rsid w:val="00270C7E"/>
    <w:rsid w:val="00275AE1"/>
    <w:rsid w:val="00284E72"/>
    <w:rsid w:val="002908A7"/>
    <w:rsid w:val="00296F04"/>
    <w:rsid w:val="002A1633"/>
    <w:rsid w:val="002B350F"/>
    <w:rsid w:val="002B451D"/>
    <w:rsid w:val="002C3026"/>
    <w:rsid w:val="002C6E34"/>
    <w:rsid w:val="002D1801"/>
    <w:rsid w:val="002D4E13"/>
    <w:rsid w:val="002E0443"/>
    <w:rsid w:val="002F5AC7"/>
    <w:rsid w:val="002F5D62"/>
    <w:rsid w:val="002F6E65"/>
    <w:rsid w:val="002F75A5"/>
    <w:rsid w:val="00302352"/>
    <w:rsid w:val="00304005"/>
    <w:rsid w:val="00305BCE"/>
    <w:rsid w:val="0031262E"/>
    <w:rsid w:val="003154E5"/>
    <w:rsid w:val="00315A77"/>
    <w:rsid w:val="00316C6E"/>
    <w:rsid w:val="00322595"/>
    <w:rsid w:val="003239EE"/>
    <w:rsid w:val="00323B65"/>
    <w:rsid w:val="00325B33"/>
    <w:rsid w:val="00326A0D"/>
    <w:rsid w:val="0032720D"/>
    <w:rsid w:val="0032738B"/>
    <w:rsid w:val="0033199E"/>
    <w:rsid w:val="00332821"/>
    <w:rsid w:val="003370B8"/>
    <w:rsid w:val="003376C9"/>
    <w:rsid w:val="00341F42"/>
    <w:rsid w:val="00343D97"/>
    <w:rsid w:val="00353645"/>
    <w:rsid w:val="00360369"/>
    <w:rsid w:val="003631A4"/>
    <w:rsid w:val="0036442D"/>
    <w:rsid w:val="003645E6"/>
    <w:rsid w:val="00366F73"/>
    <w:rsid w:val="00372169"/>
    <w:rsid w:val="00382473"/>
    <w:rsid w:val="003866A2"/>
    <w:rsid w:val="00392F60"/>
    <w:rsid w:val="00393B47"/>
    <w:rsid w:val="00393F89"/>
    <w:rsid w:val="00396AA8"/>
    <w:rsid w:val="003A1C52"/>
    <w:rsid w:val="003A3A69"/>
    <w:rsid w:val="003A584F"/>
    <w:rsid w:val="003A608C"/>
    <w:rsid w:val="003B2E64"/>
    <w:rsid w:val="003B353F"/>
    <w:rsid w:val="003B38EF"/>
    <w:rsid w:val="003C4D63"/>
    <w:rsid w:val="003C541A"/>
    <w:rsid w:val="003D14AF"/>
    <w:rsid w:val="003D1AEC"/>
    <w:rsid w:val="003D4F6F"/>
    <w:rsid w:val="003D5DA7"/>
    <w:rsid w:val="003E123F"/>
    <w:rsid w:val="003E4EB7"/>
    <w:rsid w:val="003E62C7"/>
    <w:rsid w:val="003E7396"/>
    <w:rsid w:val="003E7452"/>
    <w:rsid w:val="003F3403"/>
    <w:rsid w:val="00400182"/>
    <w:rsid w:val="00403685"/>
    <w:rsid w:val="00403AA5"/>
    <w:rsid w:val="00403BF6"/>
    <w:rsid w:val="00410066"/>
    <w:rsid w:val="004113FE"/>
    <w:rsid w:val="0041213E"/>
    <w:rsid w:val="00412975"/>
    <w:rsid w:val="00412A5A"/>
    <w:rsid w:val="00413E92"/>
    <w:rsid w:val="00415740"/>
    <w:rsid w:val="004168D1"/>
    <w:rsid w:val="00416A6B"/>
    <w:rsid w:val="0042238A"/>
    <w:rsid w:val="0042297D"/>
    <w:rsid w:val="004255C4"/>
    <w:rsid w:val="00426E44"/>
    <w:rsid w:val="0043006F"/>
    <w:rsid w:val="00435638"/>
    <w:rsid w:val="00436308"/>
    <w:rsid w:val="00442200"/>
    <w:rsid w:val="00453552"/>
    <w:rsid w:val="004545AF"/>
    <w:rsid w:val="00456DC6"/>
    <w:rsid w:val="00461C02"/>
    <w:rsid w:val="0046644A"/>
    <w:rsid w:val="00473C96"/>
    <w:rsid w:val="00474AA4"/>
    <w:rsid w:val="004751FA"/>
    <w:rsid w:val="0047589A"/>
    <w:rsid w:val="00476C8C"/>
    <w:rsid w:val="00482283"/>
    <w:rsid w:val="00485012"/>
    <w:rsid w:val="004855DE"/>
    <w:rsid w:val="00495E96"/>
    <w:rsid w:val="004A52F5"/>
    <w:rsid w:val="004A5FFA"/>
    <w:rsid w:val="004B16AB"/>
    <w:rsid w:val="004B33DB"/>
    <w:rsid w:val="004B4FAF"/>
    <w:rsid w:val="004B68ED"/>
    <w:rsid w:val="004C1582"/>
    <w:rsid w:val="004C1930"/>
    <w:rsid w:val="004C1D36"/>
    <w:rsid w:val="004C4BDF"/>
    <w:rsid w:val="004C5EE0"/>
    <w:rsid w:val="004C62DD"/>
    <w:rsid w:val="004C7600"/>
    <w:rsid w:val="004D288E"/>
    <w:rsid w:val="004D3011"/>
    <w:rsid w:val="004D6750"/>
    <w:rsid w:val="004D7278"/>
    <w:rsid w:val="004E289E"/>
    <w:rsid w:val="004E293F"/>
    <w:rsid w:val="004E6036"/>
    <w:rsid w:val="004E785F"/>
    <w:rsid w:val="004F5B8B"/>
    <w:rsid w:val="00501F38"/>
    <w:rsid w:val="00504339"/>
    <w:rsid w:val="005057CC"/>
    <w:rsid w:val="0050779B"/>
    <w:rsid w:val="0051109D"/>
    <w:rsid w:val="00515410"/>
    <w:rsid w:val="005248DC"/>
    <w:rsid w:val="00530FEE"/>
    <w:rsid w:val="00531447"/>
    <w:rsid w:val="00536D62"/>
    <w:rsid w:val="00536F56"/>
    <w:rsid w:val="00537A9C"/>
    <w:rsid w:val="00537E77"/>
    <w:rsid w:val="00540FEE"/>
    <w:rsid w:val="0054243B"/>
    <w:rsid w:val="005442B5"/>
    <w:rsid w:val="00544581"/>
    <w:rsid w:val="005558F8"/>
    <w:rsid w:val="00562F03"/>
    <w:rsid w:val="00563AED"/>
    <w:rsid w:val="00565653"/>
    <w:rsid w:val="00565FDC"/>
    <w:rsid w:val="00566828"/>
    <w:rsid w:val="00567452"/>
    <w:rsid w:val="00573072"/>
    <w:rsid w:val="00581405"/>
    <w:rsid w:val="005850DB"/>
    <w:rsid w:val="00585509"/>
    <w:rsid w:val="005870A9"/>
    <w:rsid w:val="0059028B"/>
    <w:rsid w:val="005940BB"/>
    <w:rsid w:val="00596295"/>
    <w:rsid w:val="005A0669"/>
    <w:rsid w:val="005B04AB"/>
    <w:rsid w:val="005B1178"/>
    <w:rsid w:val="005B2D7D"/>
    <w:rsid w:val="005B4157"/>
    <w:rsid w:val="005C075C"/>
    <w:rsid w:val="005C7ECE"/>
    <w:rsid w:val="005D142D"/>
    <w:rsid w:val="005D54D9"/>
    <w:rsid w:val="005E15DA"/>
    <w:rsid w:val="005E1ECB"/>
    <w:rsid w:val="005E4717"/>
    <w:rsid w:val="005E52F4"/>
    <w:rsid w:val="005E5CC9"/>
    <w:rsid w:val="005F03A1"/>
    <w:rsid w:val="005F66C0"/>
    <w:rsid w:val="00604D6C"/>
    <w:rsid w:val="00605D03"/>
    <w:rsid w:val="006107B9"/>
    <w:rsid w:val="00612371"/>
    <w:rsid w:val="00612BCD"/>
    <w:rsid w:val="00613CDA"/>
    <w:rsid w:val="00617377"/>
    <w:rsid w:val="00621165"/>
    <w:rsid w:val="0062413B"/>
    <w:rsid w:val="00630837"/>
    <w:rsid w:val="006338C2"/>
    <w:rsid w:val="0063493B"/>
    <w:rsid w:val="006367EF"/>
    <w:rsid w:val="006418C4"/>
    <w:rsid w:val="00645EB0"/>
    <w:rsid w:val="00646C26"/>
    <w:rsid w:val="00651460"/>
    <w:rsid w:val="00653090"/>
    <w:rsid w:val="00660A80"/>
    <w:rsid w:val="0066102C"/>
    <w:rsid w:val="00667672"/>
    <w:rsid w:val="00667D34"/>
    <w:rsid w:val="0067094B"/>
    <w:rsid w:val="00683205"/>
    <w:rsid w:val="00686470"/>
    <w:rsid w:val="00686703"/>
    <w:rsid w:val="006915B5"/>
    <w:rsid w:val="00693681"/>
    <w:rsid w:val="006951DB"/>
    <w:rsid w:val="006972EC"/>
    <w:rsid w:val="006A0C57"/>
    <w:rsid w:val="006A4156"/>
    <w:rsid w:val="006C291E"/>
    <w:rsid w:val="006D26C2"/>
    <w:rsid w:val="006D2D35"/>
    <w:rsid w:val="006D4511"/>
    <w:rsid w:val="006D4F8B"/>
    <w:rsid w:val="006D5916"/>
    <w:rsid w:val="006E1360"/>
    <w:rsid w:val="006E268F"/>
    <w:rsid w:val="006E2E47"/>
    <w:rsid w:val="006F1FC2"/>
    <w:rsid w:val="006F4483"/>
    <w:rsid w:val="006F57C1"/>
    <w:rsid w:val="006F5C2A"/>
    <w:rsid w:val="006F70B9"/>
    <w:rsid w:val="006F7B66"/>
    <w:rsid w:val="00701103"/>
    <w:rsid w:val="0070304E"/>
    <w:rsid w:val="00713A84"/>
    <w:rsid w:val="00716A76"/>
    <w:rsid w:val="0072158A"/>
    <w:rsid w:val="00727A11"/>
    <w:rsid w:val="007337C6"/>
    <w:rsid w:val="00743F97"/>
    <w:rsid w:val="00744DAC"/>
    <w:rsid w:val="00747B5A"/>
    <w:rsid w:val="00750429"/>
    <w:rsid w:val="00754EF4"/>
    <w:rsid w:val="007556F9"/>
    <w:rsid w:val="007603C2"/>
    <w:rsid w:val="00761B2F"/>
    <w:rsid w:val="0076324E"/>
    <w:rsid w:val="007661C4"/>
    <w:rsid w:val="007751C3"/>
    <w:rsid w:val="007765DC"/>
    <w:rsid w:val="00776B7E"/>
    <w:rsid w:val="0078011C"/>
    <w:rsid w:val="0078059A"/>
    <w:rsid w:val="00786672"/>
    <w:rsid w:val="007866AA"/>
    <w:rsid w:val="0079239E"/>
    <w:rsid w:val="007944B4"/>
    <w:rsid w:val="007956F7"/>
    <w:rsid w:val="00796FC7"/>
    <w:rsid w:val="007A2AD9"/>
    <w:rsid w:val="007A38DF"/>
    <w:rsid w:val="007A621D"/>
    <w:rsid w:val="007A7929"/>
    <w:rsid w:val="007B1300"/>
    <w:rsid w:val="007B5503"/>
    <w:rsid w:val="007C14E6"/>
    <w:rsid w:val="007D1591"/>
    <w:rsid w:val="007D27F2"/>
    <w:rsid w:val="007D4130"/>
    <w:rsid w:val="007E24BA"/>
    <w:rsid w:val="007E3D5F"/>
    <w:rsid w:val="007E6B21"/>
    <w:rsid w:val="007F20D9"/>
    <w:rsid w:val="007F3DFD"/>
    <w:rsid w:val="007F421C"/>
    <w:rsid w:val="0081404F"/>
    <w:rsid w:val="00816D9E"/>
    <w:rsid w:val="008178F9"/>
    <w:rsid w:val="00817FB3"/>
    <w:rsid w:val="008212D0"/>
    <w:rsid w:val="00821A23"/>
    <w:rsid w:val="00841993"/>
    <w:rsid w:val="00847D31"/>
    <w:rsid w:val="00851AD5"/>
    <w:rsid w:val="008612B0"/>
    <w:rsid w:val="008632C4"/>
    <w:rsid w:val="008640AE"/>
    <w:rsid w:val="0086425B"/>
    <w:rsid w:val="00864B6A"/>
    <w:rsid w:val="00866FB5"/>
    <w:rsid w:val="00867203"/>
    <w:rsid w:val="008710F0"/>
    <w:rsid w:val="00872D4D"/>
    <w:rsid w:val="00875E02"/>
    <w:rsid w:val="008800C5"/>
    <w:rsid w:val="00880D86"/>
    <w:rsid w:val="0088367C"/>
    <w:rsid w:val="00883FB6"/>
    <w:rsid w:val="00893130"/>
    <w:rsid w:val="008934A2"/>
    <w:rsid w:val="00896D2B"/>
    <w:rsid w:val="00897CFB"/>
    <w:rsid w:val="008A1497"/>
    <w:rsid w:val="008A2047"/>
    <w:rsid w:val="008A7069"/>
    <w:rsid w:val="008B42E4"/>
    <w:rsid w:val="008B528A"/>
    <w:rsid w:val="008B53A1"/>
    <w:rsid w:val="008B77AC"/>
    <w:rsid w:val="008C0B72"/>
    <w:rsid w:val="008D10E9"/>
    <w:rsid w:val="008D3EF8"/>
    <w:rsid w:val="008D6E65"/>
    <w:rsid w:val="008D781F"/>
    <w:rsid w:val="008E026B"/>
    <w:rsid w:val="008E034C"/>
    <w:rsid w:val="008E20A2"/>
    <w:rsid w:val="008E4AE6"/>
    <w:rsid w:val="008E5A06"/>
    <w:rsid w:val="008F27AF"/>
    <w:rsid w:val="008F337F"/>
    <w:rsid w:val="008F734A"/>
    <w:rsid w:val="00907D63"/>
    <w:rsid w:val="00913693"/>
    <w:rsid w:val="009458FF"/>
    <w:rsid w:val="00947593"/>
    <w:rsid w:val="009478F6"/>
    <w:rsid w:val="00950D21"/>
    <w:rsid w:val="009615E8"/>
    <w:rsid w:val="00964256"/>
    <w:rsid w:val="009669D8"/>
    <w:rsid w:val="00972C0C"/>
    <w:rsid w:val="00973B68"/>
    <w:rsid w:val="00973F13"/>
    <w:rsid w:val="0097407A"/>
    <w:rsid w:val="00976C13"/>
    <w:rsid w:val="0098202D"/>
    <w:rsid w:val="00984D14"/>
    <w:rsid w:val="0098670D"/>
    <w:rsid w:val="00986CC5"/>
    <w:rsid w:val="009A2943"/>
    <w:rsid w:val="009A34AE"/>
    <w:rsid w:val="009B03B3"/>
    <w:rsid w:val="009B150C"/>
    <w:rsid w:val="009B40DE"/>
    <w:rsid w:val="009B67C0"/>
    <w:rsid w:val="009B7F77"/>
    <w:rsid w:val="009C4EC6"/>
    <w:rsid w:val="009C7243"/>
    <w:rsid w:val="009D0932"/>
    <w:rsid w:val="009D46A6"/>
    <w:rsid w:val="009D5460"/>
    <w:rsid w:val="009D54A6"/>
    <w:rsid w:val="009D55C9"/>
    <w:rsid w:val="009E140E"/>
    <w:rsid w:val="009E3D0F"/>
    <w:rsid w:val="009F199B"/>
    <w:rsid w:val="009F7673"/>
    <w:rsid w:val="00A041CF"/>
    <w:rsid w:val="00A07151"/>
    <w:rsid w:val="00A1298B"/>
    <w:rsid w:val="00A13455"/>
    <w:rsid w:val="00A156A0"/>
    <w:rsid w:val="00A159FC"/>
    <w:rsid w:val="00A1668E"/>
    <w:rsid w:val="00A23462"/>
    <w:rsid w:val="00A23B69"/>
    <w:rsid w:val="00A31878"/>
    <w:rsid w:val="00A36BC6"/>
    <w:rsid w:val="00A4068C"/>
    <w:rsid w:val="00A575F1"/>
    <w:rsid w:val="00A62B16"/>
    <w:rsid w:val="00A65E23"/>
    <w:rsid w:val="00A66E7F"/>
    <w:rsid w:val="00A67050"/>
    <w:rsid w:val="00A7049A"/>
    <w:rsid w:val="00A70661"/>
    <w:rsid w:val="00A70924"/>
    <w:rsid w:val="00A71C5D"/>
    <w:rsid w:val="00A71DB1"/>
    <w:rsid w:val="00A73DB4"/>
    <w:rsid w:val="00A74BEF"/>
    <w:rsid w:val="00A775FB"/>
    <w:rsid w:val="00A83541"/>
    <w:rsid w:val="00A860A8"/>
    <w:rsid w:val="00A86DDE"/>
    <w:rsid w:val="00A97AD0"/>
    <w:rsid w:val="00AA33C4"/>
    <w:rsid w:val="00AA7329"/>
    <w:rsid w:val="00AA7CF3"/>
    <w:rsid w:val="00AC082D"/>
    <w:rsid w:val="00AC0E24"/>
    <w:rsid w:val="00AC18DA"/>
    <w:rsid w:val="00AC49E9"/>
    <w:rsid w:val="00AC6B98"/>
    <w:rsid w:val="00AD02E8"/>
    <w:rsid w:val="00AD23D6"/>
    <w:rsid w:val="00AD3A71"/>
    <w:rsid w:val="00AD3C95"/>
    <w:rsid w:val="00AD4654"/>
    <w:rsid w:val="00AD6AB8"/>
    <w:rsid w:val="00AD7267"/>
    <w:rsid w:val="00AE442A"/>
    <w:rsid w:val="00AE44B8"/>
    <w:rsid w:val="00AE5915"/>
    <w:rsid w:val="00AF0F44"/>
    <w:rsid w:val="00AF5F20"/>
    <w:rsid w:val="00B03A3D"/>
    <w:rsid w:val="00B07FA7"/>
    <w:rsid w:val="00B101FB"/>
    <w:rsid w:val="00B117C9"/>
    <w:rsid w:val="00B1375F"/>
    <w:rsid w:val="00B14060"/>
    <w:rsid w:val="00B16EB2"/>
    <w:rsid w:val="00B252CE"/>
    <w:rsid w:val="00B26E8C"/>
    <w:rsid w:val="00B274AC"/>
    <w:rsid w:val="00B27708"/>
    <w:rsid w:val="00B3316A"/>
    <w:rsid w:val="00B52D2B"/>
    <w:rsid w:val="00B53B11"/>
    <w:rsid w:val="00B56AF6"/>
    <w:rsid w:val="00B578DB"/>
    <w:rsid w:val="00B607ED"/>
    <w:rsid w:val="00B60DFD"/>
    <w:rsid w:val="00B61D18"/>
    <w:rsid w:val="00B635AB"/>
    <w:rsid w:val="00B65C24"/>
    <w:rsid w:val="00B7093A"/>
    <w:rsid w:val="00B71280"/>
    <w:rsid w:val="00B732FF"/>
    <w:rsid w:val="00B7703F"/>
    <w:rsid w:val="00B77100"/>
    <w:rsid w:val="00B85832"/>
    <w:rsid w:val="00B86E41"/>
    <w:rsid w:val="00BA0798"/>
    <w:rsid w:val="00BA4BBE"/>
    <w:rsid w:val="00BA584C"/>
    <w:rsid w:val="00BA59BB"/>
    <w:rsid w:val="00BB064F"/>
    <w:rsid w:val="00BB0B33"/>
    <w:rsid w:val="00BB1306"/>
    <w:rsid w:val="00BB6617"/>
    <w:rsid w:val="00BC2750"/>
    <w:rsid w:val="00BC544D"/>
    <w:rsid w:val="00BC6412"/>
    <w:rsid w:val="00BC7041"/>
    <w:rsid w:val="00BD02AE"/>
    <w:rsid w:val="00BE461D"/>
    <w:rsid w:val="00BE560D"/>
    <w:rsid w:val="00BE6D2B"/>
    <w:rsid w:val="00BE7330"/>
    <w:rsid w:val="00BF31BE"/>
    <w:rsid w:val="00BF3DC4"/>
    <w:rsid w:val="00BF4726"/>
    <w:rsid w:val="00BF64C3"/>
    <w:rsid w:val="00BF6623"/>
    <w:rsid w:val="00BF7BCC"/>
    <w:rsid w:val="00C020C0"/>
    <w:rsid w:val="00C02B73"/>
    <w:rsid w:val="00C05A19"/>
    <w:rsid w:val="00C07C8E"/>
    <w:rsid w:val="00C11E2F"/>
    <w:rsid w:val="00C13C31"/>
    <w:rsid w:val="00C145B5"/>
    <w:rsid w:val="00C1493D"/>
    <w:rsid w:val="00C157C1"/>
    <w:rsid w:val="00C1640F"/>
    <w:rsid w:val="00C176E5"/>
    <w:rsid w:val="00C17C5B"/>
    <w:rsid w:val="00C232CE"/>
    <w:rsid w:val="00C2469B"/>
    <w:rsid w:val="00C30688"/>
    <w:rsid w:val="00C319AF"/>
    <w:rsid w:val="00C35683"/>
    <w:rsid w:val="00C40DC1"/>
    <w:rsid w:val="00C4552C"/>
    <w:rsid w:val="00C47E9F"/>
    <w:rsid w:val="00C5451B"/>
    <w:rsid w:val="00C56433"/>
    <w:rsid w:val="00C622C5"/>
    <w:rsid w:val="00C62850"/>
    <w:rsid w:val="00C62B20"/>
    <w:rsid w:val="00C642C7"/>
    <w:rsid w:val="00C65719"/>
    <w:rsid w:val="00C75480"/>
    <w:rsid w:val="00C82ECC"/>
    <w:rsid w:val="00CA1CAF"/>
    <w:rsid w:val="00CA5042"/>
    <w:rsid w:val="00CB17CB"/>
    <w:rsid w:val="00CB3A57"/>
    <w:rsid w:val="00CB4950"/>
    <w:rsid w:val="00CB7DD8"/>
    <w:rsid w:val="00CC7921"/>
    <w:rsid w:val="00CC7A61"/>
    <w:rsid w:val="00CD0EAA"/>
    <w:rsid w:val="00CD2F07"/>
    <w:rsid w:val="00CD5D1F"/>
    <w:rsid w:val="00CD7788"/>
    <w:rsid w:val="00CE152C"/>
    <w:rsid w:val="00CE3095"/>
    <w:rsid w:val="00CF258A"/>
    <w:rsid w:val="00CF455F"/>
    <w:rsid w:val="00CF720A"/>
    <w:rsid w:val="00D04613"/>
    <w:rsid w:val="00D05350"/>
    <w:rsid w:val="00D066C9"/>
    <w:rsid w:val="00D0787E"/>
    <w:rsid w:val="00D07B25"/>
    <w:rsid w:val="00D07DD1"/>
    <w:rsid w:val="00D1019C"/>
    <w:rsid w:val="00D11D4A"/>
    <w:rsid w:val="00D17011"/>
    <w:rsid w:val="00D2036D"/>
    <w:rsid w:val="00D21C14"/>
    <w:rsid w:val="00D241C8"/>
    <w:rsid w:val="00D25DCD"/>
    <w:rsid w:val="00D3018C"/>
    <w:rsid w:val="00D31A1E"/>
    <w:rsid w:val="00D33557"/>
    <w:rsid w:val="00D35DA3"/>
    <w:rsid w:val="00D40B21"/>
    <w:rsid w:val="00D47245"/>
    <w:rsid w:val="00D50CAE"/>
    <w:rsid w:val="00D53CA4"/>
    <w:rsid w:val="00D54829"/>
    <w:rsid w:val="00D55B11"/>
    <w:rsid w:val="00D60426"/>
    <w:rsid w:val="00D63D03"/>
    <w:rsid w:val="00D66E09"/>
    <w:rsid w:val="00D7048F"/>
    <w:rsid w:val="00D7336E"/>
    <w:rsid w:val="00D7338B"/>
    <w:rsid w:val="00D74476"/>
    <w:rsid w:val="00D77596"/>
    <w:rsid w:val="00D8488C"/>
    <w:rsid w:val="00D902B7"/>
    <w:rsid w:val="00D94515"/>
    <w:rsid w:val="00D94C5D"/>
    <w:rsid w:val="00D95BB2"/>
    <w:rsid w:val="00DA1C1F"/>
    <w:rsid w:val="00DA53F1"/>
    <w:rsid w:val="00DA7A7A"/>
    <w:rsid w:val="00DB11F2"/>
    <w:rsid w:val="00DB1EB2"/>
    <w:rsid w:val="00DB3ADB"/>
    <w:rsid w:val="00DC00F6"/>
    <w:rsid w:val="00DC7912"/>
    <w:rsid w:val="00DC7F92"/>
    <w:rsid w:val="00DE18CA"/>
    <w:rsid w:val="00DE60B4"/>
    <w:rsid w:val="00DF3149"/>
    <w:rsid w:val="00DF40C9"/>
    <w:rsid w:val="00DF4B97"/>
    <w:rsid w:val="00DF5E45"/>
    <w:rsid w:val="00DF7346"/>
    <w:rsid w:val="00E0033C"/>
    <w:rsid w:val="00E02DCF"/>
    <w:rsid w:val="00E047FC"/>
    <w:rsid w:val="00E0584F"/>
    <w:rsid w:val="00E05D4F"/>
    <w:rsid w:val="00E10543"/>
    <w:rsid w:val="00E118E3"/>
    <w:rsid w:val="00E1349E"/>
    <w:rsid w:val="00E16222"/>
    <w:rsid w:val="00E251B4"/>
    <w:rsid w:val="00E26F9D"/>
    <w:rsid w:val="00E302EB"/>
    <w:rsid w:val="00E32B98"/>
    <w:rsid w:val="00E407C4"/>
    <w:rsid w:val="00E439AF"/>
    <w:rsid w:val="00E478CB"/>
    <w:rsid w:val="00E54F4A"/>
    <w:rsid w:val="00E62D14"/>
    <w:rsid w:val="00E648BA"/>
    <w:rsid w:val="00E6723A"/>
    <w:rsid w:val="00E704EF"/>
    <w:rsid w:val="00E75987"/>
    <w:rsid w:val="00E81D79"/>
    <w:rsid w:val="00E81F9D"/>
    <w:rsid w:val="00E8446C"/>
    <w:rsid w:val="00E855BB"/>
    <w:rsid w:val="00E960B2"/>
    <w:rsid w:val="00EA06D9"/>
    <w:rsid w:val="00EA0ABB"/>
    <w:rsid w:val="00EA1BF4"/>
    <w:rsid w:val="00EA3918"/>
    <w:rsid w:val="00EA69B1"/>
    <w:rsid w:val="00EC002E"/>
    <w:rsid w:val="00EC112C"/>
    <w:rsid w:val="00EC4FE2"/>
    <w:rsid w:val="00EC735C"/>
    <w:rsid w:val="00ED516C"/>
    <w:rsid w:val="00ED54C9"/>
    <w:rsid w:val="00ED56FA"/>
    <w:rsid w:val="00ED733F"/>
    <w:rsid w:val="00EE2A38"/>
    <w:rsid w:val="00EE54F9"/>
    <w:rsid w:val="00EF037F"/>
    <w:rsid w:val="00F013A1"/>
    <w:rsid w:val="00F1091D"/>
    <w:rsid w:val="00F10E31"/>
    <w:rsid w:val="00F116DA"/>
    <w:rsid w:val="00F2056A"/>
    <w:rsid w:val="00F25BF3"/>
    <w:rsid w:val="00F30357"/>
    <w:rsid w:val="00F30DB2"/>
    <w:rsid w:val="00F47EDE"/>
    <w:rsid w:val="00F5153E"/>
    <w:rsid w:val="00F51BA5"/>
    <w:rsid w:val="00F53EF4"/>
    <w:rsid w:val="00F559C7"/>
    <w:rsid w:val="00F60078"/>
    <w:rsid w:val="00F7045D"/>
    <w:rsid w:val="00F72A2E"/>
    <w:rsid w:val="00F735B3"/>
    <w:rsid w:val="00F73CCE"/>
    <w:rsid w:val="00F7598E"/>
    <w:rsid w:val="00F767FD"/>
    <w:rsid w:val="00F87ACE"/>
    <w:rsid w:val="00F9197F"/>
    <w:rsid w:val="00FA03F6"/>
    <w:rsid w:val="00FA19AF"/>
    <w:rsid w:val="00FB115B"/>
    <w:rsid w:val="00FB382A"/>
    <w:rsid w:val="00FC0B83"/>
    <w:rsid w:val="00FC0D9F"/>
    <w:rsid w:val="00FC6291"/>
    <w:rsid w:val="00FC7631"/>
    <w:rsid w:val="00FD0175"/>
    <w:rsid w:val="00FD04F8"/>
    <w:rsid w:val="00FD7419"/>
    <w:rsid w:val="00FE4419"/>
    <w:rsid w:val="00FE5752"/>
    <w:rsid w:val="00FE7B2B"/>
    <w:rsid w:val="00FF3B96"/>
    <w:rsid w:val="00FF68EB"/>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2F77995"/>
  <w15:chartTrackingRefBased/>
  <w15:docId w15:val="{897070F6-017E-9247-AAD1-42296D6D3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B98"/>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65FDC"/>
    <w:rPr>
      <w:sz w:val="20"/>
      <w:szCs w:val="20"/>
    </w:rPr>
  </w:style>
  <w:style w:type="character" w:customStyle="1" w:styleId="FootnoteTextChar">
    <w:name w:val="Footnote Text Char"/>
    <w:basedOn w:val="DefaultParagraphFont"/>
    <w:link w:val="FootnoteText"/>
    <w:uiPriority w:val="99"/>
    <w:rsid w:val="00565FDC"/>
    <w:rPr>
      <w:kern w:val="2"/>
      <w:sz w:val="20"/>
      <w:szCs w:val="20"/>
      <w14:ligatures w14:val="standardContextual"/>
    </w:rPr>
  </w:style>
  <w:style w:type="character" w:styleId="FootnoteReference">
    <w:name w:val="footnote reference"/>
    <w:basedOn w:val="DefaultParagraphFont"/>
    <w:uiPriority w:val="99"/>
    <w:semiHidden/>
    <w:unhideWhenUsed/>
    <w:rsid w:val="00565FDC"/>
    <w:rPr>
      <w:vertAlign w:val="superscript"/>
    </w:rPr>
  </w:style>
  <w:style w:type="character" w:styleId="Hyperlink">
    <w:name w:val="Hyperlink"/>
    <w:basedOn w:val="DefaultParagraphFont"/>
    <w:uiPriority w:val="99"/>
    <w:unhideWhenUsed/>
    <w:rsid w:val="00172684"/>
    <w:rPr>
      <w:color w:val="0563C1" w:themeColor="hyperlink"/>
      <w:u w:val="single"/>
    </w:rPr>
  </w:style>
  <w:style w:type="character" w:styleId="UnresolvedMention">
    <w:name w:val="Unresolved Mention"/>
    <w:basedOn w:val="DefaultParagraphFont"/>
    <w:uiPriority w:val="99"/>
    <w:semiHidden/>
    <w:unhideWhenUsed/>
    <w:rsid w:val="00172684"/>
    <w:rPr>
      <w:color w:val="605E5C"/>
      <w:shd w:val="clear" w:color="auto" w:fill="E1DFDD"/>
    </w:rPr>
  </w:style>
  <w:style w:type="character" w:styleId="FollowedHyperlink">
    <w:name w:val="FollowedHyperlink"/>
    <w:basedOn w:val="DefaultParagraphFont"/>
    <w:uiPriority w:val="99"/>
    <w:semiHidden/>
    <w:unhideWhenUsed/>
    <w:rsid w:val="00F013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538924">
      <w:bodyDiv w:val="1"/>
      <w:marLeft w:val="0"/>
      <w:marRight w:val="0"/>
      <w:marTop w:val="0"/>
      <w:marBottom w:val="0"/>
      <w:divBdr>
        <w:top w:val="none" w:sz="0" w:space="0" w:color="auto"/>
        <w:left w:val="none" w:sz="0" w:space="0" w:color="auto"/>
        <w:bottom w:val="none" w:sz="0" w:space="0" w:color="auto"/>
        <w:right w:val="none" w:sz="0" w:space="0" w:color="auto"/>
      </w:divBdr>
    </w:div>
    <w:div w:id="306714898">
      <w:bodyDiv w:val="1"/>
      <w:marLeft w:val="0"/>
      <w:marRight w:val="0"/>
      <w:marTop w:val="0"/>
      <w:marBottom w:val="0"/>
      <w:divBdr>
        <w:top w:val="none" w:sz="0" w:space="0" w:color="auto"/>
        <w:left w:val="none" w:sz="0" w:space="0" w:color="auto"/>
        <w:bottom w:val="none" w:sz="0" w:space="0" w:color="auto"/>
        <w:right w:val="none" w:sz="0" w:space="0" w:color="auto"/>
      </w:divBdr>
    </w:div>
    <w:div w:id="492139203">
      <w:bodyDiv w:val="1"/>
      <w:marLeft w:val="0"/>
      <w:marRight w:val="0"/>
      <w:marTop w:val="0"/>
      <w:marBottom w:val="0"/>
      <w:divBdr>
        <w:top w:val="none" w:sz="0" w:space="0" w:color="auto"/>
        <w:left w:val="none" w:sz="0" w:space="0" w:color="auto"/>
        <w:bottom w:val="none" w:sz="0" w:space="0" w:color="auto"/>
        <w:right w:val="none" w:sz="0" w:space="0" w:color="auto"/>
      </w:divBdr>
      <w:divsChild>
        <w:div w:id="338584360">
          <w:marLeft w:val="0"/>
          <w:marRight w:val="0"/>
          <w:marTop w:val="0"/>
          <w:marBottom w:val="0"/>
          <w:divBdr>
            <w:top w:val="none" w:sz="0" w:space="0" w:color="auto"/>
            <w:left w:val="none" w:sz="0" w:space="0" w:color="auto"/>
            <w:bottom w:val="none" w:sz="0" w:space="0" w:color="auto"/>
            <w:right w:val="none" w:sz="0" w:space="0" w:color="auto"/>
          </w:divBdr>
          <w:divsChild>
            <w:div w:id="225458964">
              <w:marLeft w:val="0"/>
              <w:marRight w:val="0"/>
              <w:marTop w:val="0"/>
              <w:marBottom w:val="0"/>
              <w:divBdr>
                <w:top w:val="none" w:sz="0" w:space="0" w:color="auto"/>
                <w:left w:val="none" w:sz="0" w:space="0" w:color="auto"/>
                <w:bottom w:val="none" w:sz="0" w:space="0" w:color="auto"/>
                <w:right w:val="none" w:sz="0" w:space="0" w:color="auto"/>
              </w:divBdr>
              <w:divsChild>
                <w:div w:id="939604759">
                  <w:marLeft w:val="0"/>
                  <w:marRight w:val="0"/>
                  <w:marTop w:val="0"/>
                  <w:marBottom w:val="0"/>
                  <w:divBdr>
                    <w:top w:val="none" w:sz="0" w:space="0" w:color="auto"/>
                    <w:left w:val="none" w:sz="0" w:space="0" w:color="auto"/>
                    <w:bottom w:val="none" w:sz="0" w:space="0" w:color="auto"/>
                    <w:right w:val="none" w:sz="0" w:space="0" w:color="auto"/>
                  </w:divBdr>
                  <w:divsChild>
                    <w:div w:id="69180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970046">
      <w:bodyDiv w:val="1"/>
      <w:marLeft w:val="0"/>
      <w:marRight w:val="0"/>
      <w:marTop w:val="0"/>
      <w:marBottom w:val="0"/>
      <w:divBdr>
        <w:top w:val="none" w:sz="0" w:space="0" w:color="auto"/>
        <w:left w:val="none" w:sz="0" w:space="0" w:color="auto"/>
        <w:bottom w:val="none" w:sz="0" w:space="0" w:color="auto"/>
        <w:right w:val="none" w:sz="0" w:space="0" w:color="auto"/>
      </w:divBdr>
    </w:div>
    <w:div w:id="791751815">
      <w:bodyDiv w:val="1"/>
      <w:marLeft w:val="0"/>
      <w:marRight w:val="0"/>
      <w:marTop w:val="0"/>
      <w:marBottom w:val="0"/>
      <w:divBdr>
        <w:top w:val="none" w:sz="0" w:space="0" w:color="auto"/>
        <w:left w:val="none" w:sz="0" w:space="0" w:color="auto"/>
        <w:bottom w:val="none" w:sz="0" w:space="0" w:color="auto"/>
        <w:right w:val="none" w:sz="0" w:space="0" w:color="auto"/>
      </w:divBdr>
      <w:divsChild>
        <w:div w:id="270211685">
          <w:marLeft w:val="0"/>
          <w:marRight w:val="0"/>
          <w:marTop w:val="0"/>
          <w:marBottom w:val="0"/>
          <w:divBdr>
            <w:top w:val="none" w:sz="0" w:space="0" w:color="auto"/>
            <w:left w:val="none" w:sz="0" w:space="0" w:color="auto"/>
            <w:bottom w:val="none" w:sz="0" w:space="0" w:color="auto"/>
            <w:right w:val="none" w:sz="0" w:space="0" w:color="auto"/>
          </w:divBdr>
          <w:divsChild>
            <w:div w:id="1007711297">
              <w:marLeft w:val="0"/>
              <w:marRight w:val="0"/>
              <w:marTop w:val="0"/>
              <w:marBottom w:val="0"/>
              <w:divBdr>
                <w:top w:val="none" w:sz="0" w:space="0" w:color="auto"/>
                <w:left w:val="none" w:sz="0" w:space="0" w:color="auto"/>
                <w:bottom w:val="none" w:sz="0" w:space="0" w:color="auto"/>
                <w:right w:val="none" w:sz="0" w:space="0" w:color="auto"/>
              </w:divBdr>
              <w:divsChild>
                <w:div w:id="1771777629">
                  <w:marLeft w:val="0"/>
                  <w:marRight w:val="0"/>
                  <w:marTop w:val="0"/>
                  <w:marBottom w:val="0"/>
                  <w:divBdr>
                    <w:top w:val="none" w:sz="0" w:space="0" w:color="auto"/>
                    <w:left w:val="none" w:sz="0" w:space="0" w:color="auto"/>
                    <w:bottom w:val="none" w:sz="0" w:space="0" w:color="auto"/>
                    <w:right w:val="none" w:sz="0" w:space="0" w:color="auto"/>
                  </w:divBdr>
                  <w:divsChild>
                    <w:div w:id="200489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106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68866988/Sex_and_the_Single_Welshwoman_Prostitution_and_Concubinage_in_Late_Medieval_Wales" TargetMode="External"/><Relationship Id="rId18" Type="http://schemas.openxmlformats.org/officeDocument/2006/relationships/hyperlink" Target="https://doi.org/10.1080/09612025.2020.1827734" TargetMode="External"/><Relationship Id="rId26" Type="http://schemas.openxmlformats.org/officeDocument/2006/relationships/hyperlink" Target="https://play.google.com/books/reader?id=FbRDAAAAYAAJ&amp;pg=GBS.PA568&amp;hl=en" TargetMode="External"/><Relationship Id="rId3" Type="http://schemas.openxmlformats.org/officeDocument/2006/relationships/webSettings" Target="webSettings.xml"/><Relationship Id="rId21" Type="http://schemas.openxmlformats.org/officeDocument/2006/relationships/hyperlink" Target="http://www.jstor.org.uwtsd.idm.oclc.org/stable/j.ctt9qhbqt.8" TargetMode="External"/><Relationship Id="rId7" Type="http://schemas.openxmlformats.org/officeDocument/2006/relationships/hyperlink" Target="https://etd.ohiolink.edu/acprod/odb_etd/ws/send_file/send?accession=wuhonors1337875222&amp;disposition=inline" TargetMode="External"/><Relationship Id="rId12" Type="http://schemas.openxmlformats.org/officeDocument/2006/relationships/hyperlink" Target="https://doi.org/10.1080/09612025.2020.1827733" TargetMode="External"/><Relationship Id="rId17" Type="http://schemas.openxmlformats.org/officeDocument/2006/relationships/hyperlink" Target="https://archive.org/details/annalesmonastici01luar/page/100/mode/2up" TargetMode="External"/><Relationship Id="rId25" Type="http://schemas.openxmlformats.org/officeDocument/2006/relationships/hyperlink" Target="https://doi.org/10.1093/acprof:oso/9780199285464.003.0014"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biography.wales/article/s-DAFY-ABO-1203" TargetMode="External"/><Relationship Id="rId20" Type="http://schemas.openxmlformats.org/officeDocument/2006/relationships/hyperlink" Target="https://archive.org/details/medievalwomen0000powe/page/82/mode/2up" TargetMode="External"/><Relationship Id="rId29" Type="http://schemas.openxmlformats.org/officeDocument/2006/relationships/hyperlink" Target="https://www.library.wales/discover-learn/digital-exhibitions/manuscripts/the-middle-ages/chronicle-of-the-princes" TargetMode="External"/><Relationship Id="rId1" Type="http://schemas.openxmlformats.org/officeDocument/2006/relationships/styles" Target="styles.xml"/><Relationship Id="rId6" Type="http://schemas.openxmlformats.org/officeDocument/2006/relationships/hyperlink" Target="https://www.gutenberg.org/files/1092/1092-h/1092-h.htm" TargetMode="External"/><Relationship Id="rId11" Type="http://schemas.openxmlformats.org/officeDocument/2006/relationships/hyperlink" Target="https://archive.org/details/brutytywysogiono00cara/page/324/mode/2up" TargetMode="External"/><Relationship Id="rId24" Type="http://schemas.openxmlformats.org/officeDocument/2006/relationships/hyperlink" Target="https://doi.org/10.1093/ref:odnb/7323"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archive.org/details/historyofwalesfr02lloyuoft/page/686/mode/2up" TargetMode="External"/><Relationship Id="rId23" Type="http://schemas.openxmlformats.org/officeDocument/2006/relationships/hyperlink" Target="https://www.monash.edu/arts/philosophical-historical-indigenous-studies/eras/past-editions/edition-three-2002-june/1297-2" TargetMode="External"/><Relationship Id="rId28" Type="http://schemas.openxmlformats.org/officeDocument/2006/relationships/hyperlink" Target="https://museumofoxford.org/empress-matilda-lady-of-the-english" TargetMode="External"/><Relationship Id="rId10" Type="http://schemas.openxmlformats.org/officeDocument/2006/relationships/hyperlink" Target="https://doi.org/10.2307/4053044" TargetMode="External"/><Relationship Id="rId19" Type="http://schemas.openxmlformats.org/officeDocument/2006/relationships/hyperlink" Target="https://biography.wales/article/s12-JOAN-TYW-1237" TargetMode="External"/><Relationship Id="rId31" Type="http://schemas.openxmlformats.org/officeDocument/2006/relationships/hyperlink" Target="https://oro.open.ac.uk/62651/2/WILLOUGHBY_A329_RVOR.pdf" TargetMode="External"/><Relationship Id="rId4" Type="http://schemas.openxmlformats.org/officeDocument/2006/relationships/footnotes" Target="footnotes.xml"/><Relationship Id="rId9" Type="http://schemas.openxmlformats.org/officeDocument/2006/relationships/hyperlink" Target="https://www.oxforddnb.com/view/10.1093/ref:odnb/9780198614128.001.0001/odnb-9780198614128-e-14841" TargetMode="External"/><Relationship Id="rId14" Type="http://schemas.openxmlformats.org/officeDocument/2006/relationships/hyperlink" Target="http://www.jstor.org/stable/42924397" TargetMode="External"/><Relationship Id="rId22" Type="http://schemas.openxmlformats.org/officeDocument/2006/relationships/hyperlink" Target="https://archive.org/details/actsofwelshruler0000unse/page/n5/mode/2up" TargetMode="External"/><Relationship Id="rId27" Type="http://schemas.openxmlformats.org/officeDocument/2006/relationships/hyperlink" Target="https://mortimerhistorysociety.org.uk/marcher-lordships" TargetMode="External"/><Relationship Id="rId30" Type="http://schemas.openxmlformats.org/officeDocument/2006/relationships/hyperlink" Target="https://research-repository.st-andrews.ac.uk/bitstream/handle/10023/2001/ElizabethThomasPhDThesis.pdf?sequence=3&amp;isAllowed=y" TargetMode="External"/><Relationship Id="rId8" Type="http://schemas.openxmlformats.org/officeDocument/2006/relationships/hyperlink" Target="https://archive.org/details/ageofconquestwal0000davi/page/212/mode/2up"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oxforddnb.com/view/10.1093/ref:odnb/9780198614128.001.0001/odnb-9780198614128-e-14841" TargetMode="External"/><Relationship Id="rId13" Type="http://schemas.openxmlformats.org/officeDocument/2006/relationships/hyperlink" Target="https://biography.wales/article/s-DAFY-ABO-1203" TargetMode="External"/><Relationship Id="rId18" Type="http://schemas.openxmlformats.org/officeDocument/2006/relationships/hyperlink" Target="http://www.jstor.org.uwtsd.idm.oclc.org/stable/j.ctt9qhbqt.8" TargetMode="External"/><Relationship Id="rId26" Type="http://schemas.openxmlformats.org/officeDocument/2006/relationships/hyperlink" Target="https://biography.wales/article/s12-JOAN-TYW-1237" TargetMode="External"/><Relationship Id="rId3" Type="http://schemas.openxmlformats.org/officeDocument/2006/relationships/hyperlink" Target="https://museumofoxford.org/empress-matilda-lady-of-the-english" TargetMode="External"/><Relationship Id="rId21" Type="http://schemas.openxmlformats.org/officeDocument/2006/relationships/hyperlink" Target="https://doi.org/10.1093/acprof:oso/9780199285464.003.0014" TargetMode="External"/><Relationship Id="rId7" Type="http://schemas.openxmlformats.org/officeDocument/2006/relationships/hyperlink" Target="https://www.academia.edu/68866988/Sex_and_the_Single_Welshwoman_Prostitution_and_Concubinage_in_Late_Medieval_Wales" TargetMode="External"/><Relationship Id="rId12" Type="http://schemas.openxmlformats.org/officeDocument/2006/relationships/hyperlink" Target="https://research-repository.st-andrews.ac.uk/bitstream/handle/10023/2001/ElizabethThomasPhDThesis.pdf?sequence=3&amp;isAllowed=y" TargetMode="External"/><Relationship Id="rId17" Type="http://schemas.openxmlformats.org/officeDocument/2006/relationships/hyperlink" Target="https://doi.org/10.2307/4053044" TargetMode="External"/><Relationship Id="rId25" Type="http://schemas.openxmlformats.org/officeDocument/2006/relationships/hyperlink" Target="https://www.library.wales/discover-learn/digital-exhibitions/manuscripts/the-middle-ages/chronicle-of-the-princes" TargetMode="External"/><Relationship Id="rId2" Type="http://schemas.openxmlformats.org/officeDocument/2006/relationships/hyperlink" Target="https://biography.wales/article/s12-JOAN-TYW-1237" TargetMode="External"/><Relationship Id="rId16" Type="http://schemas.openxmlformats.org/officeDocument/2006/relationships/hyperlink" Target="https://mortimerhistorysociety.org.uk/marcher-lordships" TargetMode="External"/><Relationship Id="rId20" Type="http://schemas.openxmlformats.org/officeDocument/2006/relationships/hyperlink" Target="https://doi.org/10.1080/09612025.2020.1827734" TargetMode="External"/><Relationship Id="rId1" Type="http://schemas.openxmlformats.org/officeDocument/2006/relationships/hyperlink" Target="https://www.monash.edu/arts/philosophical-historical-indigenous-studies/eras/past-editions/edition-three-2002-june/1297-2" TargetMode="External"/><Relationship Id="rId6" Type="http://schemas.openxmlformats.org/officeDocument/2006/relationships/hyperlink" Target="https://archive.org/details/annalesmonastici01luar/page/100/mode/2up" TargetMode="External"/><Relationship Id="rId11" Type="http://schemas.openxmlformats.org/officeDocument/2006/relationships/hyperlink" Target="http://www.jstor.org/stable/42924397" TargetMode="External"/><Relationship Id="rId24" Type="http://schemas.openxmlformats.org/officeDocument/2006/relationships/hyperlink" Target="https://doi.org/10.1093/ref:odnb/7323" TargetMode="External"/><Relationship Id="rId5" Type="http://schemas.openxmlformats.org/officeDocument/2006/relationships/hyperlink" Target="https://archive.org/details/historyofwalesfr02lloyuoft/page/686/mode/2up" TargetMode="External"/><Relationship Id="rId15" Type="http://schemas.openxmlformats.org/officeDocument/2006/relationships/hyperlink" Target="https://archive.org/details/ageofconquestwal0000davi/page/212/mode/2up" TargetMode="External"/><Relationship Id="rId23" Type="http://schemas.openxmlformats.org/officeDocument/2006/relationships/hyperlink" Target="https://doi.org/10.1080/09612025.2020.1827733" TargetMode="External"/><Relationship Id="rId28" Type="http://schemas.openxmlformats.org/officeDocument/2006/relationships/hyperlink" Target="https://biography.wales/article/s12-JOAN-TYW-1237" TargetMode="External"/><Relationship Id="rId10" Type="http://schemas.openxmlformats.org/officeDocument/2006/relationships/hyperlink" Target="https://archive.org/details/medievalwomen0000powe/page/82/mode/2up" TargetMode="External"/><Relationship Id="rId19" Type="http://schemas.openxmlformats.org/officeDocument/2006/relationships/hyperlink" Target="https://archive.org/details/actsofwelshruler0000unse/page/n5/mode/2up" TargetMode="External"/><Relationship Id="rId4" Type="http://schemas.openxmlformats.org/officeDocument/2006/relationships/hyperlink" Target="https://biography.wales/article/s12-JOAN-TYW-1237" TargetMode="External"/><Relationship Id="rId9" Type="http://schemas.openxmlformats.org/officeDocument/2006/relationships/hyperlink" Target="https://play.google.com/books/reader?id=FbRDAAAAYAAJ&amp;pg=GBS.PA568&amp;hl=en" TargetMode="External"/><Relationship Id="rId14" Type="http://schemas.openxmlformats.org/officeDocument/2006/relationships/hyperlink" Target="https://etd.ohiolink.edu/acprod/odb_etd/ws/send_file/send?accession=wuhonors1337875222&amp;disposition=inline" TargetMode="External"/><Relationship Id="rId22" Type="http://schemas.openxmlformats.org/officeDocument/2006/relationships/hyperlink" Target="https://www.gutenberg.org/files/1092/1092-h/1092-h.htm" TargetMode="External"/><Relationship Id="rId27" Type="http://schemas.openxmlformats.org/officeDocument/2006/relationships/hyperlink" Target="https://oro.open.ac.uk/62651/2/WILLOUGHBY_A329_RV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2044</TotalTime>
  <Pages>16</Pages>
  <Words>5818</Words>
  <Characters>30780</Characters>
  <Application>Microsoft Office Word</Application>
  <DocSecurity>0</DocSecurity>
  <Lines>459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735</cp:revision>
  <dcterms:created xsi:type="dcterms:W3CDTF">2026-04-20T23:22:00Z</dcterms:created>
  <dcterms:modified xsi:type="dcterms:W3CDTF">2026-05-02T02:56:00Z</dcterms:modified>
</cp:coreProperties>
</file>