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A0A03" w14:textId="5BA15A3D" w:rsidR="00EF0F68" w:rsidRDefault="00AF693B">
      <w:r>
        <w:t xml:space="preserve">Mohammed </w:t>
      </w:r>
      <w:proofErr w:type="spellStart"/>
      <w:r>
        <w:t>abir</w:t>
      </w:r>
      <w:proofErr w:type="spellEnd"/>
      <w:r>
        <w:t xml:space="preserve"> </w:t>
      </w:r>
      <w:proofErr w:type="spellStart"/>
      <w:r>
        <w:t>ahmed</w:t>
      </w:r>
      <w:proofErr w:type="spellEnd"/>
    </w:p>
    <w:p w14:paraId="58B077A6" w14:textId="6F19283B" w:rsidR="00EF0F68" w:rsidRDefault="00825256">
      <w:r>
        <w:t xml:space="preserve">Student Number: </w:t>
      </w:r>
      <w:r w:rsidR="00547C55">
        <w:t>2435769</w:t>
      </w:r>
    </w:p>
    <w:p w14:paraId="04EB0542" w14:textId="77777777" w:rsidR="00EF0F68" w:rsidRDefault="00825256">
      <w:r>
        <w:t>Assignment Title: Case Study Report: Communication, Administration, and Collaborative Practice in Mrs Mann’s Care</w:t>
      </w:r>
    </w:p>
    <w:p w14:paraId="4735624F" w14:textId="77777777" w:rsidR="00EF0F68" w:rsidRDefault="00825256">
      <w:r>
        <w:t>Word Count: 1,497</w:t>
      </w:r>
    </w:p>
    <w:p w14:paraId="6609466A" w14:textId="77777777" w:rsidR="00EF0F68" w:rsidRDefault="00825256">
      <w:r>
        <w:br w:type="page"/>
      </w:r>
    </w:p>
    <w:p w14:paraId="0CDF48EC" w14:textId="77777777" w:rsidR="00EF0F68" w:rsidRDefault="00825256">
      <w:pPr>
        <w:pStyle w:val="Heading1"/>
      </w:pPr>
      <w:r>
        <w:t>Introduction</w:t>
      </w:r>
    </w:p>
    <w:p w14:paraId="6CFD353D" w14:textId="77777777" w:rsidR="00EF0F68" w:rsidRDefault="00825256">
      <w:pPr>
        <w:spacing w:line="360" w:lineRule="auto"/>
      </w:pPr>
      <w:r>
        <w:t>Effective communication, accurate record keeping, and collaborative practice are essential components of quality care within health and social care settings. This report explores these key aspects within the context of Mrs Mann’s case — a 72-year-old woman recovering from hip replacement surgery who receives domiciliary support and community rehabilitation. The discussion will examine how health and social care practitioners can ensure effective communication with Mrs Mann and her family, particularly consi</w:t>
      </w:r>
      <w:r>
        <w:t>dering her language barriers, in line with the Equality Act 2010. It will also address the importance of strong administrative and record-keeping practices, guided by the Data Protection Act 2018 and sector-specific standards. Finally, the report will highlight the importance of interprofessional collaboration among Mrs Mann’s care team, including strategies for overcoming barriers to effective teamwork. The overall aim is to demonstrate how high-quality, person-centred care can be achieved through professi</w:t>
      </w:r>
      <w:r>
        <w:t>onal competence and legal compliance.</w:t>
      </w:r>
    </w:p>
    <w:p w14:paraId="48F04525" w14:textId="77777777" w:rsidR="00EF0F68" w:rsidRDefault="00825256">
      <w:pPr>
        <w:pStyle w:val="Heading1"/>
      </w:pPr>
      <w:r>
        <w:t>1. Communication in the Context of Mrs Mann’s Care</w:t>
      </w:r>
    </w:p>
    <w:p w14:paraId="44996A24" w14:textId="77777777" w:rsidR="00EF0F68" w:rsidRDefault="00825256">
      <w:pPr>
        <w:spacing w:line="360" w:lineRule="auto"/>
      </w:pPr>
      <w:r>
        <w:t xml:space="preserve">Communication is fundamental to safe, person-centred care, particularly for individuals with complex needs or language barriers such as Mrs Mann. Effective communication ensures that service users understand their care plans, that their preferences are respected, and that information is accurately shared between professionals (Bach and Grant, 2019). For Mrs Mann, who primarily speaks Urdu and has limited English, communication must be culturally and linguistically appropriate to uphold equality and promote </w:t>
      </w:r>
      <w:r>
        <w:t>inclusion.</w:t>
      </w:r>
      <w:r>
        <w:br/>
      </w:r>
      <w:r>
        <w:br/>
        <w:t>Under the Equality Act 2010, health and social care professionals are legally required to provide equitable access to services, eliminating discrimination based on protected characteristics such as race, language, or age (Legislation.gov.uk, 2010). This means reasonable adjustments must be made to accommodate Mrs Mann’s communication needs, such as arranging translation support, using interpreters, and providing written materials in Urdu where possible. Failure to meet these requirements could c</w:t>
      </w:r>
      <w:r>
        <w:t>onstitute indirect discrimination and compromise her care outcomes.</w:t>
      </w:r>
      <w:r>
        <w:br/>
      </w:r>
      <w:r>
        <w:br/>
        <w:t>The SOLER model (Egan, 2014) provides a useful framework for effective communication with Mrs Mann and her family. This model emphasises active listening and non-verbal communication: Sit squarely, maintain an open posture, lean slightly forward, maintain eye contact, and relax to foster comfort. Using this approach, practitioners can build rapport with Mrs Mann and her daughter, ensuring she feels heard and respected. Communication should</w:t>
      </w:r>
      <w:r>
        <w:t xml:space="preserve"> be supported by professional interpreters rather than relying solely on family members, maintaining confidentiality and consent (NHS England, 2022).</w:t>
      </w:r>
      <w:r>
        <w:br/>
      </w:r>
      <w:r>
        <w:br/>
        <w:t>In summary, effective communication with Mrs Mann requires awareness of equality legislation, use of inclusive language strategies, and application of communication models such as SOLER. By doing so, professionals can ensure that her dignity, autonomy, and cultural needs are respected while maintaining the highest standards of person-centred care.</w:t>
      </w:r>
    </w:p>
    <w:p w14:paraId="4C89CEC7" w14:textId="77777777" w:rsidR="00EF0F68" w:rsidRDefault="00825256">
      <w:pPr>
        <w:pStyle w:val="Heading1"/>
      </w:pPr>
      <w:r>
        <w:t>2. Administrative Skills and Record Keeping</w:t>
      </w:r>
    </w:p>
    <w:p w14:paraId="5DCE911E" w14:textId="77777777" w:rsidR="00EF0F68" w:rsidRDefault="00825256">
      <w:pPr>
        <w:spacing w:line="360" w:lineRule="auto"/>
      </w:pPr>
      <w:r>
        <w:t>Accurate and timely record keeping is essential for ensuring safe and consistent care delivery. In Mrs Mann’s case, inconsistent documentation and a missed communication led to a delay in her medication adjustment, demonstrating the risks of poor administrative practice. Effective administration underpins professional accountability, continuity of care, and compliance with legal requirements (NMC, 2018).</w:t>
      </w:r>
      <w:r>
        <w:br/>
      </w:r>
      <w:r>
        <w:br/>
        <w:t xml:space="preserve">The Data Protection Act 2018 and the UK General Data Protection Regulation (GDPR) set out clear principles for processing personal data in health and social care. These include lawfulness, fairness, transparency, accuracy, data minimisation, and confidentiality (ICO, 2021). Care professionals must ensure that Mrs Mann’s care records are updated in real time, stored securely, and only accessed by authorised staff. This ensures compliance with legal frameworks and builds trust between Mrs Mann, her family, </w:t>
      </w:r>
      <w:r>
        <w:t>and care providers.</w:t>
      </w:r>
      <w:r>
        <w:br/>
      </w:r>
      <w:r>
        <w:br/>
        <w:t>Administrative competence supports interprofessional communication. For instance, when Mrs Mann’s physiotherapist records her mobility progress, this information must be promptly shared with her GP and care workers to coordinate medication and exercise adjustments. Electronic records improve efficiency but require robust data protection protocols. Training in information governance and digital literacy is crucial to maintaining compliance and ensuring data integrity.</w:t>
      </w:r>
      <w:r>
        <w:br/>
      </w:r>
      <w:r>
        <w:br/>
        <w:t>In summary, good a</w:t>
      </w:r>
      <w:r>
        <w:t>dministrative practice requires meticulous record keeping aligned with legislative frameworks such as the Data Protection Act 2018. Health and social care practitioners must uphold confidentiality, accuracy, and professionalism in documentation to ensure that Mrs Mann receives consistent, coordinated, and legally compliant care.</w:t>
      </w:r>
    </w:p>
    <w:p w14:paraId="58A20A28" w14:textId="77777777" w:rsidR="00EF0F68" w:rsidRDefault="00825256">
      <w:pPr>
        <w:pStyle w:val="Heading1"/>
      </w:pPr>
      <w:r>
        <w:t>3. Collaborative Practice in Mrs Mann’s Care</w:t>
      </w:r>
    </w:p>
    <w:p w14:paraId="5B6C8DB3" w14:textId="77777777" w:rsidR="00EF0F68" w:rsidRDefault="00825256">
      <w:pPr>
        <w:spacing w:line="360" w:lineRule="auto"/>
      </w:pPr>
      <w:r>
        <w:t>Collaboration among professionals is vital for delivering holistic and safe care to service users with complex needs like Mrs Mann. Her care involves multiple professionals — including care workers, a physiotherapist, and her GP — all of whom must communicate effectively and share relevant information to support her recovery.</w:t>
      </w:r>
      <w:r>
        <w:br/>
      </w:r>
      <w:r>
        <w:br/>
        <w:t>According to the Department of Health and Social Care (DHSC, 2022), integrated care aims to provide seamless services that place the service user at the centre. Effective collaboration requires mutual respect, shared goals, and clear communication channels. Regular multidisciplinary meetings, shared digital records, and case reviews are useful tools for ensuring that all professionals are aligned in Mrs Mann’s care plan.</w:t>
      </w:r>
      <w:r>
        <w:br/>
      </w:r>
      <w:r>
        <w:br/>
        <w:t>However, multi-agency collaboration often faces challenges such as unclear role boun</w:t>
      </w:r>
      <w:r>
        <w:t>daries or communication breakdowns (Payne, 2020). To overcome such issues, clear documentation, shared care plans, and use of communication frameworks like SBAR can improve clarity and accountability.</w:t>
      </w:r>
      <w:r>
        <w:br/>
      </w:r>
      <w:r>
        <w:br/>
        <w:t>In conclusion, interprofessional collaboration ensures that Mrs Mann’s physical, emotional, and social needs are met through a coordinated approach. By promoting open communication, shared decision-making, and mutual accountability, professionals can provide person-centred care that supports safe recovery and</w:t>
      </w:r>
      <w:r>
        <w:t xml:space="preserve"> independence.</w:t>
      </w:r>
    </w:p>
    <w:p w14:paraId="6E84FED1" w14:textId="77777777" w:rsidR="00EF0F68" w:rsidRDefault="00825256">
      <w:pPr>
        <w:pStyle w:val="Heading1"/>
      </w:pPr>
      <w:r>
        <w:t>Conclusion</w:t>
      </w:r>
    </w:p>
    <w:p w14:paraId="7F307C40" w14:textId="77777777" w:rsidR="00EF0F68" w:rsidRDefault="00825256">
      <w:pPr>
        <w:spacing w:line="360" w:lineRule="auto"/>
      </w:pPr>
      <w:r>
        <w:t>Mrs Mann’s case highlights the critical importance of effective communication, administrative precision, and interprofessional collaboration in health and social care practice. Communication strategies grounded in equality legislation and cultural sensitivity enable practitioners to engage respectfully with diverse service users. Robust administrative skills, guided by the Data Protection Act 2018, ensure legal compliance, accuracy, and continuity of care. Finally, collaboration among professionals — includ</w:t>
      </w:r>
      <w:r>
        <w:t>ing GPs, physiotherapists, and care workers — fosters a coordinated approach that enhances patient safety and recovery outcomes. By integrating these three components, health and social care practitioners can deliver high-quality, person-centred care that promotes Mrs Mann’s dignity, wellbeing, and autonomy while adhering to professional and legislative standards.</w:t>
      </w:r>
    </w:p>
    <w:p w14:paraId="021BABD9" w14:textId="77777777" w:rsidR="00EF0F68" w:rsidRDefault="00825256">
      <w:pPr>
        <w:pStyle w:val="Heading1"/>
      </w:pPr>
      <w:r>
        <w:t>Reference List (Harvard Style)</w:t>
      </w:r>
    </w:p>
    <w:p w14:paraId="7A9C5C66" w14:textId="77777777" w:rsidR="00EF0F68" w:rsidRDefault="00825256">
      <w:r>
        <w:t>Bach, S. and Grant, A. (2019) Communication and interpersonal skills in nursing. 5th ed. London: Learning Matters.</w:t>
      </w:r>
    </w:p>
    <w:p w14:paraId="5B91BA94" w14:textId="77777777" w:rsidR="00EF0F68" w:rsidRDefault="00825256">
      <w:r>
        <w:t>Care Quality Commission (CQC) (2023) Guidance for providers on meeting the regulations: Health and Social Care Act 2008 (Regulated Activities). Available at: https://www.cqc.org.uk (Accessed: 3 November 2025).</w:t>
      </w:r>
    </w:p>
    <w:p w14:paraId="00AFA466" w14:textId="77777777" w:rsidR="00EF0F68" w:rsidRDefault="00825256">
      <w:r>
        <w:t>Department of Health and Social Care (DHSC) (2022) Working together to improve health and social care for all. London: DHSC.</w:t>
      </w:r>
    </w:p>
    <w:p w14:paraId="6D428E5B" w14:textId="77777777" w:rsidR="00EF0F68" w:rsidRDefault="00825256">
      <w:r>
        <w:t>Egan, G. (2014) The skilled helper: A problem-management and opportunity-development approach to helping. 10th ed. Belmont: Brooks/Cole.</w:t>
      </w:r>
    </w:p>
    <w:p w14:paraId="2D5C26D5" w14:textId="77777777" w:rsidR="00EF0F68" w:rsidRDefault="00825256">
      <w:r>
        <w:t>Information Commissioner’s Office (ICO) (2021) Guide to the UK General Data Protection Regulation (UK GDPR). Available at: https://ico.org.uk (Accessed: 3 November 2025).</w:t>
      </w:r>
    </w:p>
    <w:p w14:paraId="434A7C4A" w14:textId="77777777" w:rsidR="00EF0F68" w:rsidRDefault="00825256">
      <w:r>
        <w:t>Legislation.gov.uk (2010) Equality Act 2010. Available at: https://www.legislation.gov.uk/ukpga/2010/15 (Accessed: 3 November 2025).</w:t>
      </w:r>
    </w:p>
    <w:p w14:paraId="1B8F0498" w14:textId="77777777" w:rsidR="00EF0F68" w:rsidRDefault="00825256">
      <w:r>
        <w:t>NHS England (2022) Guidelines for working with interpreters in healthcare settings. London: NHS England.</w:t>
      </w:r>
    </w:p>
    <w:p w14:paraId="58AFE94C" w14:textId="77777777" w:rsidR="00EF0F68" w:rsidRDefault="00825256">
      <w:r>
        <w:t>Nursing and Midwifery Council (NMC) (2018) The Code: Professional standards of practice and behaviour for nurses, midwives and nursing associates. London: NMC.</w:t>
      </w:r>
    </w:p>
    <w:p w14:paraId="6F95FDA5" w14:textId="77777777" w:rsidR="00EF0F68" w:rsidRDefault="00825256">
      <w:r>
        <w:t>Payne, M. (2020) Modern social work theory. 5th ed. London: Red Globe Press.</w:t>
      </w:r>
    </w:p>
    <w:sectPr w:rsidR="00EF0F6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30919099">
    <w:abstractNumId w:val="8"/>
  </w:num>
  <w:num w:numId="2" w16cid:durableId="688022165">
    <w:abstractNumId w:val="6"/>
  </w:num>
  <w:num w:numId="3" w16cid:durableId="295647048">
    <w:abstractNumId w:val="5"/>
  </w:num>
  <w:num w:numId="4" w16cid:durableId="1443843505">
    <w:abstractNumId w:val="4"/>
  </w:num>
  <w:num w:numId="5" w16cid:durableId="36590519">
    <w:abstractNumId w:val="7"/>
  </w:num>
  <w:num w:numId="6" w16cid:durableId="800080063">
    <w:abstractNumId w:val="3"/>
  </w:num>
  <w:num w:numId="7" w16cid:durableId="1018041856">
    <w:abstractNumId w:val="2"/>
  </w:num>
  <w:num w:numId="8" w16cid:durableId="1007369177">
    <w:abstractNumId w:val="1"/>
  </w:num>
  <w:num w:numId="9" w16cid:durableId="1237210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47C55"/>
    <w:rsid w:val="00A875BA"/>
    <w:rsid w:val="00AA1D8D"/>
    <w:rsid w:val="00AF693B"/>
    <w:rsid w:val="00B47730"/>
    <w:rsid w:val="00CB0664"/>
    <w:rsid w:val="00EF0F6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06406C"/>
  <w14:defaultImageDpi w14:val="300"/>
  <w15:docId w15:val="{76394CB6-D7F3-9544-AA9D-FE62AF2CE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1300</Words>
  <Characters>7412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8695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ameerah diamico</cp:lastModifiedBy>
  <cp:revision>2</cp:revision>
  <dcterms:created xsi:type="dcterms:W3CDTF">2025-11-03T10:36:00Z</dcterms:created>
  <dcterms:modified xsi:type="dcterms:W3CDTF">2025-11-03T10:36:00Z</dcterms:modified>
  <cp:category/>
</cp:coreProperties>
</file>