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A754A" w14:textId="33AD96D2" w:rsidR="00B01BF2" w:rsidRDefault="00804692">
      <w:pPr>
        <w:rPr>
          <w:b/>
          <w:bCs/>
          <w:u w:val="single"/>
        </w:rPr>
      </w:pPr>
      <w:bookmarkStart w:id="0" w:name="_Hlk38367791"/>
      <w:r>
        <w:rPr>
          <w:b/>
          <w:bCs/>
          <w:u w:val="single"/>
        </w:rPr>
        <w:t>Gender Roles in Children</w:t>
      </w:r>
      <w:r w:rsidR="00360726">
        <w:rPr>
          <w:b/>
          <w:bCs/>
          <w:u w:val="single"/>
        </w:rPr>
        <w:t xml:space="preserve"> – Opening Blog Post</w:t>
      </w:r>
    </w:p>
    <w:bookmarkEnd w:id="0"/>
    <w:p w14:paraId="7A4EA2D9" w14:textId="4313EE2E" w:rsidR="00804692" w:rsidRDefault="00804692">
      <w:r>
        <w:t xml:space="preserve">A </w:t>
      </w:r>
      <w:proofErr w:type="gramStart"/>
      <w:r>
        <w:t>particular topic</w:t>
      </w:r>
      <w:proofErr w:type="gramEnd"/>
      <w:r>
        <w:t xml:space="preserve"> I have always found interesting is the idea of gender roles and how children perceive them. At what age do they become aware of gender roles? How much of their actions, such as the way they play and communicate are determined by gender? Are observable differences between boys and girls a result of natural instincts or from imitating parents and other influences? In this </w:t>
      </w:r>
      <w:r w:rsidR="00360726">
        <w:t xml:space="preserve">series of </w:t>
      </w:r>
      <w:proofErr w:type="gramStart"/>
      <w:r w:rsidR="00360726">
        <w:t>blogs</w:t>
      </w:r>
      <w:proofErr w:type="gramEnd"/>
      <w:r>
        <w:t xml:space="preserve"> I will address the</w:t>
      </w:r>
      <w:bookmarkStart w:id="1" w:name="_GoBack"/>
      <w:bookmarkEnd w:id="1"/>
      <w:r>
        <w:t>se questions and any further questions which may present themselves.</w:t>
      </w:r>
    </w:p>
    <w:p w14:paraId="2C018A33" w14:textId="66358560" w:rsidR="00804692" w:rsidRDefault="00151EAB">
      <w:r>
        <w:t>During my undergraduate course, I attended multiple placements in primary school classrooms.</w:t>
      </w:r>
      <w:r w:rsidR="007147F3">
        <w:t xml:space="preserve"> One of these was spend observing how children behaved in the reception class for an assignment about classroom management. I noted many different points about how the children played.</w:t>
      </w:r>
      <w:r>
        <w:t xml:space="preserve"> Even from the young age of four, children in the reception class generally tended to play with toys which are stereotypically described as being “boy toys” or “girl toys” depending on their gender. I remember noticing how a group of girls always chose to draw and colour quietly in the mornings, and on the rare occasion a boy would join them he would finish his drawing quickly and move on. There was a Wendy house in the classroom and during my time on placement I didn’t observe a single boy playing there. </w:t>
      </w:r>
      <w:proofErr w:type="gramStart"/>
      <w:r>
        <w:t>The majority of</w:t>
      </w:r>
      <w:proofErr w:type="gramEnd"/>
      <w:r>
        <w:t xml:space="preserve"> the boys spent their playtime playing with the Lego and the trainset on the carpet, making a lot of noise, many of them throwing the toys around and often getting into trouble with the teacher for being rowdy. There were a couple of boys and girls who differed from the crowd, one or two girls enjoyed playing with the trainset while one of the boys tended to hover around the classroom playing with </w:t>
      </w:r>
      <w:r w:rsidR="007147F3">
        <w:t xml:space="preserve">everything for about two minutes at a time. These children mostly played alone. </w:t>
      </w:r>
    </w:p>
    <w:p w14:paraId="2E4AA697" w14:textId="5F56B19E" w:rsidR="007147F3" w:rsidRDefault="007147F3">
      <w:r>
        <w:t xml:space="preserve">I became very interested in the idea of gender roles and how much children are aware of them after this. I was surprised at how </w:t>
      </w:r>
      <w:proofErr w:type="gramStart"/>
      <w:r>
        <w:t>the majority of</w:t>
      </w:r>
      <w:proofErr w:type="gramEnd"/>
      <w:r>
        <w:t xml:space="preserve"> the children played with their own gender and played with stereotypically gendered toys. I had previously been under the impression that children so young had little concept of gender. So why did they? Was it just a coincidence? Had they already been influenced by the adults in their lives? Or could it simply be natural instincts? Maybe </w:t>
      </w:r>
      <w:proofErr w:type="gramStart"/>
      <w:r>
        <w:t>the majority of</w:t>
      </w:r>
      <w:proofErr w:type="gramEnd"/>
      <w:r>
        <w:t xml:space="preserve"> us are born as stereotypical boys or girls</w:t>
      </w:r>
      <w:r w:rsidR="00360726">
        <w:t>, with a few differing from the norm. I couldn’t be satisfied with this. I had to learn more.</w:t>
      </w:r>
    </w:p>
    <w:p w14:paraId="1BE8E446" w14:textId="7D9A97D2" w:rsidR="007353AA" w:rsidRDefault="007353AA"/>
    <w:p w14:paraId="2EBF49E7" w14:textId="77777777" w:rsidR="007353AA" w:rsidRDefault="007353AA">
      <w:r>
        <w:br w:type="page"/>
      </w:r>
    </w:p>
    <w:p w14:paraId="711CA06B" w14:textId="75CAAEC0" w:rsidR="007353AA" w:rsidRDefault="007353AA" w:rsidP="007353AA">
      <w:pPr>
        <w:rPr>
          <w:b/>
          <w:bCs/>
          <w:u w:val="single"/>
        </w:rPr>
      </w:pPr>
      <w:r>
        <w:rPr>
          <w:b/>
          <w:bCs/>
          <w:u w:val="single"/>
        </w:rPr>
        <w:lastRenderedPageBreak/>
        <w:t>Gender Roles in Children – 2</w:t>
      </w:r>
      <w:r w:rsidRPr="007353AA">
        <w:rPr>
          <w:b/>
          <w:bCs/>
          <w:u w:val="single"/>
          <w:vertAlign w:val="superscript"/>
        </w:rPr>
        <w:t>nd</w:t>
      </w:r>
      <w:r>
        <w:rPr>
          <w:b/>
          <w:bCs/>
          <w:u w:val="single"/>
        </w:rPr>
        <w:t xml:space="preserve"> Blog Post</w:t>
      </w:r>
    </w:p>
    <w:p w14:paraId="7B9EFBA6" w14:textId="17527C4F" w:rsidR="007353AA" w:rsidRDefault="007353AA" w:rsidP="007353AA">
      <w:r>
        <w:t>In the previous post</w:t>
      </w:r>
      <w:r w:rsidR="00FD52C4">
        <w:t xml:space="preserve"> I described my own observations regarding how children play in the reception class and how much of their play is determined </w:t>
      </w:r>
      <w:r w:rsidR="00945DA5">
        <w:t>by gender stereotypes. I am not, however, an expert on child psychology</w:t>
      </w:r>
      <w:r w:rsidR="00CA74FE">
        <w:t xml:space="preserve"> or the science behind gender roles, so we will take a further look at observations professional</w:t>
      </w:r>
      <w:r w:rsidR="0077351A">
        <w:t xml:space="preserve">s have made in the past and recently. </w:t>
      </w:r>
    </w:p>
    <w:p w14:paraId="4B587A73" w14:textId="5C3069DF" w:rsidR="00220B93" w:rsidRDefault="0018735D" w:rsidP="007353AA">
      <w:r>
        <w:t xml:space="preserve">Moyles (1994) noted that amongst the children he observed, boys tended to engage in more </w:t>
      </w:r>
      <w:r w:rsidR="00471A35">
        <w:t>of what he described as “exercise play”</w:t>
      </w:r>
      <w:r w:rsidR="006E68A9">
        <w:t>. This is essentially play which involves physical activity</w:t>
      </w:r>
      <w:r w:rsidR="00746DBF">
        <w:t xml:space="preserve">, vigorous levels of </w:t>
      </w:r>
      <w:r w:rsidR="00495773">
        <w:t xml:space="preserve">gross locomotor </w:t>
      </w:r>
      <w:r w:rsidR="00746DBF">
        <w:t>movement</w:t>
      </w:r>
      <w:r w:rsidR="00495773">
        <w:t xml:space="preserve">. </w:t>
      </w:r>
      <w:r w:rsidR="00BC78DF" w:rsidRPr="00BC78DF">
        <w:t>It is worth noting that as this observation was carried out in over fifteen years ago, changes in the classroom environment would be evident by today</w:t>
      </w:r>
      <w:r w:rsidR="00EC6B2A">
        <w:t xml:space="preserve"> with the possibility of children engaging in more screen-based activities. </w:t>
      </w:r>
      <w:r w:rsidR="00BC78DF">
        <w:t xml:space="preserve">However, this is </w:t>
      </w:r>
      <w:proofErr w:type="gramStart"/>
      <w:r w:rsidR="00BC78DF">
        <w:t>similar to</w:t>
      </w:r>
      <w:proofErr w:type="gramEnd"/>
      <w:r w:rsidR="00BC78DF">
        <w:t xml:space="preserve"> my own recent observation,</w:t>
      </w:r>
      <w:r w:rsidR="00495773">
        <w:t xml:space="preserve"> where I noticed a large group of boys </w:t>
      </w:r>
      <w:r w:rsidR="00ED22A1">
        <w:t xml:space="preserve">would play so vigorously with the Lego that they would </w:t>
      </w:r>
      <w:r w:rsidR="00744100">
        <w:t xml:space="preserve">receive warnings from their teacher. </w:t>
      </w:r>
    </w:p>
    <w:p w14:paraId="4172D6AC" w14:textId="6F4FBF1D" w:rsidR="005C6857" w:rsidRDefault="005C6857" w:rsidP="007353AA">
      <w:r>
        <w:t xml:space="preserve">One rather interesting observation by Broadhead (2004) </w:t>
      </w:r>
      <w:r w:rsidR="00EC6B2A">
        <w:t>w</w:t>
      </w:r>
      <w:r w:rsidR="00083E90">
        <w:t xml:space="preserve">as carried out by observing girls playing with </w:t>
      </w:r>
      <w:r w:rsidR="00D150D1">
        <w:t xml:space="preserve">a water tray. </w:t>
      </w:r>
      <w:r w:rsidR="00967F81">
        <w:t xml:space="preserve">The three girls began playing by imaging a perfume shop, where they would fill bottles with water and sell these “bottles of perfume” to each other. </w:t>
      </w:r>
      <w:r w:rsidR="00CD15CE">
        <w:t xml:space="preserve">At this point it would appear the girls were playing a stereotypical girl’s game. </w:t>
      </w:r>
      <w:r w:rsidR="00FE2677">
        <w:t>However, they then changed the game to pretend the water was blood</w:t>
      </w:r>
      <w:r w:rsidR="00DF4BAA">
        <w:t xml:space="preserve">, splashing it on themselves and </w:t>
      </w:r>
      <w:r w:rsidR="00B02988">
        <w:t xml:space="preserve">saying they were bleeding. The game had suddenly become rather </w:t>
      </w:r>
      <w:r w:rsidR="006C5356">
        <w:t xml:space="preserve">different, </w:t>
      </w:r>
      <w:r w:rsidR="00881FAC">
        <w:t>and as stereotypes would suggest, more like boy’s play. Despite this, when a boy then came over to the water tray a</w:t>
      </w:r>
      <w:r w:rsidR="00487683">
        <w:t xml:space="preserve">nd attempted to join with their game, the girls refused. </w:t>
      </w:r>
    </w:p>
    <w:p w14:paraId="7AB49A91" w14:textId="7C1604E4" w:rsidR="00360726" w:rsidRDefault="00487683">
      <w:r>
        <w:t xml:space="preserve">Broadhead (2010) carried out further observations six years later, which are also interesting to analyse. </w:t>
      </w:r>
      <w:r w:rsidR="00F9409C">
        <w:t xml:space="preserve">A group of boys and girls </w:t>
      </w:r>
      <w:r w:rsidR="00503545">
        <w:t xml:space="preserve">of four and five years old </w:t>
      </w:r>
      <w:r w:rsidR="00F9409C">
        <w:t xml:space="preserve">were all playing </w:t>
      </w:r>
      <w:r w:rsidR="00DB18B3">
        <w:t xml:space="preserve">an </w:t>
      </w:r>
      <w:r w:rsidR="000D11EB">
        <w:t>imagination-based</w:t>
      </w:r>
      <w:r w:rsidR="00DB18B3">
        <w:t xml:space="preserve"> game </w:t>
      </w:r>
      <w:r w:rsidR="00F9409C">
        <w:t>together</w:t>
      </w:r>
      <w:r w:rsidR="00DB18B3">
        <w:t xml:space="preserve">. </w:t>
      </w:r>
      <w:r w:rsidR="000D11EB">
        <w:t>They were role-playing generic day-to-day life</w:t>
      </w:r>
      <w:r w:rsidR="00FD18CB">
        <w:t>, enjoying each other’s company. In contrast to the previously mentioned observation, the girls and boys were perfectly happy to play together</w:t>
      </w:r>
      <w:r w:rsidR="00E56451">
        <w:t xml:space="preserve">, suggesting that some children will </w:t>
      </w:r>
      <w:r w:rsidR="003B70F9">
        <w:t xml:space="preserve">play with children outside their own gender while others will avoid this. </w:t>
      </w:r>
      <w:proofErr w:type="gramStart"/>
      <w:r w:rsidR="003B70F9">
        <w:t>Despite the fact that</w:t>
      </w:r>
      <w:proofErr w:type="gramEnd"/>
      <w:r w:rsidR="003B70F9">
        <w:t xml:space="preserve"> the boys and girls were playing together, </w:t>
      </w:r>
      <w:r w:rsidR="00067F79">
        <w:t xml:space="preserve">Broadhead (2010) did notice gender stereotypes being portrayed in their play. As they were role-playing day-to-day life, it appeared they were imitating adults in their lives as </w:t>
      </w:r>
      <w:r w:rsidR="00080CE7">
        <w:t xml:space="preserve">some of the girls were </w:t>
      </w:r>
      <w:proofErr w:type="gramStart"/>
      <w:r w:rsidR="00080CE7">
        <w:t>pretending</w:t>
      </w:r>
      <w:proofErr w:type="gramEnd"/>
      <w:r w:rsidR="00080CE7">
        <w:t xml:space="preserve"> they were looking after babies whilst the boys were role-playing leaving the house to go to work. </w:t>
      </w:r>
      <w:r w:rsidR="00503545">
        <w:t xml:space="preserve">Even from such an early age, children are often aware of </w:t>
      </w:r>
      <w:r w:rsidR="00937AD2">
        <w:t xml:space="preserve">stereotypical gender roles even if they may be too young to understand. </w:t>
      </w:r>
    </w:p>
    <w:p w14:paraId="73C69A9B" w14:textId="0BAA5C21" w:rsidR="006D0770" w:rsidRDefault="008A554B">
      <w:r>
        <w:t xml:space="preserve">The children involved in this observation appears to be aware of </w:t>
      </w:r>
      <w:r w:rsidR="00DD7415">
        <w:t xml:space="preserve">societal expectations of gender, however, </w:t>
      </w:r>
      <w:r w:rsidR="0070517A">
        <w:t xml:space="preserve">Sammons (2013) </w:t>
      </w:r>
      <w:r w:rsidR="00C3200C">
        <w:t xml:space="preserve">claims that </w:t>
      </w:r>
      <w:r w:rsidR="008976A9">
        <w:t xml:space="preserve">children do not become aware or acknowledge </w:t>
      </w:r>
      <w:r w:rsidR="00D619E0">
        <w:t xml:space="preserve">differences between genders (aside from external features) until the age of seven. </w:t>
      </w:r>
      <w:r w:rsidR="00976044">
        <w:t xml:space="preserve">He claims that as children develop and mature, they </w:t>
      </w:r>
      <w:r w:rsidR="008B2527">
        <w:t>make connections between gender and actions</w:t>
      </w:r>
      <w:r w:rsidR="00B31DC4">
        <w:t xml:space="preserve"> and consciously or subconsciously</w:t>
      </w:r>
      <w:r w:rsidR="00A7500B">
        <w:t xml:space="preserve"> separate male and female and n</w:t>
      </w:r>
      <w:r w:rsidR="00896BBB">
        <w:t>otice differences. If this is true, it would suggest that the children involved in Broadhead’s 2010 observation</w:t>
      </w:r>
      <w:r w:rsidR="000B0E8A">
        <w:t xml:space="preserve"> were acting purely out of instinct, potentially imitating their parents without being aware</w:t>
      </w:r>
      <w:r w:rsidR="00DD0534">
        <w:t xml:space="preserve"> that this was the case. </w:t>
      </w:r>
      <w:r w:rsidR="00554D35">
        <w:t xml:space="preserve">Furthermore, </w:t>
      </w:r>
      <w:proofErr w:type="spellStart"/>
      <w:r w:rsidR="007C7B3F">
        <w:t>Paechter</w:t>
      </w:r>
      <w:proofErr w:type="spellEnd"/>
      <w:r w:rsidR="007C7B3F">
        <w:t xml:space="preserve"> (2007) </w:t>
      </w:r>
      <w:r w:rsidR="00350E71">
        <w:t xml:space="preserve">believes that differences between </w:t>
      </w:r>
      <w:r w:rsidR="000B5CB9">
        <w:t>boys and girls become increasingly more evident as they age</w:t>
      </w:r>
      <w:r w:rsidR="00F31147">
        <w:t xml:space="preserve">, </w:t>
      </w:r>
      <w:r w:rsidR="00A81FEA">
        <w:t xml:space="preserve">with expectations of masculinity and femininity constantly changing and developing. </w:t>
      </w:r>
    </w:p>
    <w:p w14:paraId="219D13A4" w14:textId="3E582074" w:rsidR="002A61FA" w:rsidRDefault="002A61FA">
      <w:r>
        <w:t xml:space="preserve">Perhaps the question of ‘when do children become aware of gender roles’ </w:t>
      </w:r>
      <w:r w:rsidR="009E61EF">
        <w:t xml:space="preserve">is not one with a specific answer. It appears </w:t>
      </w:r>
      <w:r w:rsidR="002347A7">
        <w:t>to be a gradual process, with children noticing differences in societal expectations and behaving accordingly over time</w:t>
      </w:r>
      <w:r w:rsidR="00C463BD">
        <w:t xml:space="preserve">. Furthermore, societal expectations of gender are not constant. </w:t>
      </w:r>
      <w:r w:rsidR="004C5086">
        <w:t>Originally, blue was the traditional colour for girls and pink was for boys, these are now reversed.</w:t>
      </w:r>
      <w:r w:rsidR="00F01C85">
        <w:t xml:space="preserve"> </w:t>
      </w:r>
      <w:r w:rsidR="00C03BCD">
        <w:lastRenderedPageBreak/>
        <w:t xml:space="preserve">Women were expected to </w:t>
      </w:r>
      <w:r w:rsidR="00F01C85">
        <w:t>not work</w:t>
      </w:r>
      <w:r w:rsidR="0012426D">
        <w:t xml:space="preserve"> but rather stay at home and raise children, but in time it has become more and more common for women to earn a living and by </w:t>
      </w:r>
      <w:r w:rsidR="000F0B97">
        <w:t>the 21</w:t>
      </w:r>
      <w:r w:rsidR="000F0B97" w:rsidRPr="000F0B97">
        <w:rPr>
          <w:vertAlign w:val="superscript"/>
        </w:rPr>
        <w:t>st</w:t>
      </w:r>
      <w:r w:rsidR="000F0B97">
        <w:t xml:space="preserve"> Century</w:t>
      </w:r>
      <w:r w:rsidR="005F6577">
        <w:t>, it is more unusual for a woman to not be working</w:t>
      </w:r>
      <w:r w:rsidR="00935F5E">
        <w:t xml:space="preserve"> than to be employed (</w:t>
      </w:r>
      <w:r w:rsidR="00687938">
        <w:t xml:space="preserve">Scott, </w:t>
      </w:r>
      <w:r w:rsidR="000F0B97">
        <w:t>2003)</w:t>
      </w:r>
      <w:r w:rsidR="00687938">
        <w:t xml:space="preserve">. </w:t>
      </w:r>
    </w:p>
    <w:p w14:paraId="55E1CA26" w14:textId="441F4F5F" w:rsidR="00FD01DA" w:rsidRDefault="003441C1">
      <w:r>
        <w:t xml:space="preserve">In the concluding post, we will discuss some natural and environmental factors affecting how boys and girls behave </w:t>
      </w:r>
      <w:r w:rsidR="007A7E92">
        <w:t xml:space="preserve">to determine potential reasons why they may play and behave differently. </w:t>
      </w:r>
    </w:p>
    <w:p w14:paraId="6E2D2D59" w14:textId="56319AC7" w:rsidR="0000044B" w:rsidRDefault="0000044B"/>
    <w:p w14:paraId="480BB06A" w14:textId="037BB079" w:rsidR="0000044B" w:rsidRDefault="0000044B"/>
    <w:p w14:paraId="3B2DBCE4" w14:textId="64B453BD" w:rsidR="0000044B" w:rsidRDefault="0000044B"/>
    <w:p w14:paraId="74FD5C7D" w14:textId="36D217A7" w:rsidR="0000044B" w:rsidRDefault="0000044B"/>
    <w:p w14:paraId="34E23F67" w14:textId="66A7352C" w:rsidR="0000044B" w:rsidRDefault="0000044B"/>
    <w:p w14:paraId="37AFC242" w14:textId="6CBC3FAE" w:rsidR="0000044B" w:rsidRDefault="0000044B"/>
    <w:p w14:paraId="0CE3F106" w14:textId="1FA21B91" w:rsidR="0000044B" w:rsidRDefault="0000044B"/>
    <w:p w14:paraId="29085FD8" w14:textId="4151B6F6" w:rsidR="0000044B" w:rsidRDefault="0000044B"/>
    <w:p w14:paraId="76E4DEDE" w14:textId="4546F33E" w:rsidR="0000044B" w:rsidRDefault="0000044B"/>
    <w:p w14:paraId="4DEE7075" w14:textId="4F5D17AA" w:rsidR="0000044B" w:rsidRDefault="0000044B"/>
    <w:p w14:paraId="4161A275" w14:textId="59A24A34" w:rsidR="0000044B" w:rsidRDefault="0000044B"/>
    <w:p w14:paraId="420595B7" w14:textId="6B4D6BBD" w:rsidR="0000044B" w:rsidRDefault="0000044B"/>
    <w:p w14:paraId="142B1ED5" w14:textId="554A9DE1" w:rsidR="0000044B" w:rsidRDefault="0000044B"/>
    <w:p w14:paraId="2A97AC0A" w14:textId="17AFB34F" w:rsidR="0000044B" w:rsidRDefault="0000044B"/>
    <w:p w14:paraId="4A7E8F9A" w14:textId="7457DFBC" w:rsidR="0000044B" w:rsidRDefault="0000044B"/>
    <w:p w14:paraId="6A2F1280" w14:textId="2AE5A539" w:rsidR="0000044B" w:rsidRDefault="0000044B"/>
    <w:p w14:paraId="470044B0" w14:textId="7057EAA0" w:rsidR="0000044B" w:rsidRDefault="0000044B"/>
    <w:p w14:paraId="77D10265" w14:textId="2855C9B7" w:rsidR="0000044B" w:rsidRDefault="0000044B"/>
    <w:p w14:paraId="7E28300B" w14:textId="66C80989" w:rsidR="0000044B" w:rsidRDefault="0000044B"/>
    <w:p w14:paraId="2322AA35" w14:textId="03E87A24" w:rsidR="0000044B" w:rsidRDefault="0000044B"/>
    <w:p w14:paraId="08A2641D" w14:textId="58E76661" w:rsidR="0000044B" w:rsidRDefault="0000044B"/>
    <w:p w14:paraId="404F79C5" w14:textId="43FF4EF0" w:rsidR="0000044B" w:rsidRDefault="0000044B"/>
    <w:p w14:paraId="348414E5" w14:textId="4A226883" w:rsidR="0000044B" w:rsidRDefault="0000044B"/>
    <w:p w14:paraId="251042D5" w14:textId="7BE0A5AA" w:rsidR="0000044B" w:rsidRDefault="0000044B"/>
    <w:p w14:paraId="7440651D" w14:textId="6573FB33" w:rsidR="0000044B" w:rsidRDefault="0000044B"/>
    <w:p w14:paraId="4587E87F" w14:textId="23747F2A" w:rsidR="0000044B" w:rsidRDefault="0000044B"/>
    <w:p w14:paraId="0EF865E1" w14:textId="77777777" w:rsidR="00340311" w:rsidRDefault="00340311">
      <w:pPr>
        <w:rPr>
          <w:b/>
          <w:bCs/>
          <w:u w:val="single"/>
        </w:rPr>
      </w:pPr>
    </w:p>
    <w:p w14:paraId="473F3F55" w14:textId="647F9EB5" w:rsidR="0000044B" w:rsidRDefault="0000044B">
      <w:pPr>
        <w:rPr>
          <w:b/>
          <w:bCs/>
          <w:u w:val="single"/>
        </w:rPr>
      </w:pPr>
      <w:r>
        <w:rPr>
          <w:b/>
          <w:bCs/>
          <w:u w:val="single"/>
        </w:rPr>
        <w:lastRenderedPageBreak/>
        <w:t>Gender Roles in Children – 3</w:t>
      </w:r>
      <w:r w:rsidRPr="0000044B">
        <w:rPr>
          <w:b/>
          <w:bCs/>
          <w:u w:val="single"/>
          <w:vertAlign w:val="superscript"/>
        </w:rPr>
        <w:t>rd</w:t>
      </w:r>
      <w:r>
        <w:rPr>
          <w:b/>
          <w:bCs/>
          <w:u w:val="single"/>
        </w:rPr>
        <w:t xml:space="preserve"> Blog Post</w:t>
      </w:r>
    </w:p>
    <w:p w14:paraId="3E09A7A5" w14:textId="3D916A2C" w:rsidR="001E502B" w:rsidRDefault="001E502B">
      <w:r>
        <w:t xml:space="preserve">There </w:t>
      </w:r>
      <w:r w:rsidR="003F1789">
        <w:t>is</w:t>
      </w:r>
      <w:r>
        <w:t xml:space="preserve"> theory to suggest that </w:t>
      </w:r>
      <w:r w:rsidR="00181DDA">
        <w:t xml:space="preserve">differences in behaviour between boys and girls of a very young age could be due to natural instincts. </w:t>
      </w:r>
      <w:r w:rsidR="00136E34">
        <w:t xml:space="preserve">An experiment was carried out in </w:t>
      </w:r>
      <w:r w:rsidR="00442B47">
        <w:t xml:space="preserve">2008, where </w:t>
      </w:r>
      <w:r w:rsidR="001032F1">
        <w:t xml:space="preserve">male and female monkeys were given a choice of toys to play with. </w:t>
      </w:r>
      <w:r w:rsidR="00E05C17">
        <w:t xml:space="preserve">The male monkeys </w:t>
      </w:r>
      <w:r w:rsidR="00781335">
        <w:t xml:space="preserve">played with </w:t>
      </w:r>
      <w:r w:rsidR="00CB6DAC">
        <w:t>toy vehicles and</w:t>
      </w:r>
      <w:r w:rsidR="00E53510">
        <w:t xml:space="preserve"> balls (</w:t>
      </w:r>
      <w:r w:rsidR="005500AE">
        <w:t xml:space="preserve">toys which are stereotypically associated with boys) and the female monkeys played with </w:t>
      </w:r>
      <w:r w:rsidR="00EF48D0">
        <w:t xml:space="preserve">cooking toys, pots and pans and </w:t>
      </w:r>
      <w:r w:rsidR="00A478F6">
        <w:t xml:space="preserve">with baby dolls (toys which are stereotypically associated with girls). While they tended to </w:t>
      </w:r>
      <w:r w:rsidR="00EB424F">
        <w:t>look at the cooking toys and gently knock them together, t</w:t>
      </w:r>
      <w:r w:rsidR="00A478F6">
        <w:t>hey played with the dolls in a similar way that</w:t>
      </w:r>
      <w:r w:rsidR="00EB424F">
        <w:t xml:space="preserve"> young children do, by </w:t>
      </w:r>
      <w:r w:rsidR="0092292B">
        <w:t>hugging them and carrying them gently</w:t>
      </w:r>
      <w:r w:rsidR="00DD1EA0">
        <w:t xml:space="preserve"> (</w:t>
      </w:r>
      <w:r w:rsidR="00D34AD5">
        <w:t xml:space="preserve">Kanazawa, 2008). </w:t>
      </w:r>
      <w:r w:rsidR="008F2DB8">
        <w:t xml:space="preserve">In some ways, the results of this experiment are not entirely </w:t>
      </w:r>
      <w:proofErr w:type="gramStart"/>
      <w:r w:rsidR="008F2DB8">
        <w:t>surprising</w:t>
      </w:r>
      <w:proofErr w:type="gramEnd"/>
      <w:r w:rsidR="008F2DB8">
        <w:t xml:space="preserve"> and science does seem to explain</w:t>
      </w:r>
      <w:r w:rsidR="00253062">
        <w:t xml:space="preserve"> these natural instincts, particularly with the female monkeys playing with dolls. </w:t>
      </w:r>
      <w:r w:rsidR="00744FCA">
        <w:t xml:space="preserve">With </w:t>
      </w:r>
      <w:r w:rsidR="004762DF">
        <w:t>chimpanzees</w:t>
      </w:r>
      <w:r w:rsidR="00744FCA">
        <w:t xml:space="preserve"> being the closest living relatives to humans</w:t>
      </w:r>
      <w:r w:rsidR="004762DF">
        <w:t xml:space="preserve">, </w:t>
      </w:r>
      <w:r w:rsidR="0011349E">
        <w:t xml:space="preserve">other primates also share </w:t>
      </w:r>
      <w:r w:rsidR="00AC69B9">
        <w:t xml:space="preserve">similar moral tendencies, in particular </w:t>
      </w:r>
      <w:r w:rsidR="003D2EF9">
        <w:t xml:space="preserve">females having </w:t>
      </w:r>
      <w:r w:rsidR="00AC69B9">
        <w:t>maternal insti</w:t>
      </w:r>
      <w:r w:rsidR="003D2EF9">
        <w:t xml:space="preserve">nct and infant </w:t>
      </w:r>
      <w:r w:rsidR="00E63DFF">
        <w:t>attachment</w:t>
      </w:r>
      <w:r w:rsidR="00C06C8F">
        <w:t xml:space="preserve"> (de Waal &amp; </w:t>
      </w:r>
      <w:proofErr w:type="spellStart"/>
      <w:r w:rsidR="00C06C8F">
        <w:t>Sherblom</w:t>
      </w:r>
      <w:proofErr w:type="spellEnd"/>
      <w:r w:rsidR="00C06C8F">
        <w:t xml:space="preserve">, </w:t>
      </w:r>
      <w:proofErr w:type="gramStart"/>
      <w:r w:rsidR="00C06C8F">
        <w:t>2018</w:t>
      </w:r>
      <w:r w:rsidR="00A00F60">
        <w:t>;Lents</w:t>
      </w:r>
      <w:proofErr w:type="gramEnd"/>
      <w:r w:rsidR="00A00F60">
        <w:t>, 2016</w:t>
      </w:r>
      <w:r w:rsidR="00C06C8F">
        <w:t xml:space="preserve">). </w:t>
      </w:r>
      <w:r w:rsidR="00305F97">
        <w:t xml:space="preserve">If it is generally accepted that </w:t>
      </w:r>
      <w:r w:rsidR="006B03A6">
        <w:t xml:space="preserve">female animals </w:t>
      </w:r>
      <w:r w:rsidR="00E05FF9">
        <w:t xml:space="preserve">naturally have maternal instincts, it shouldn’t be too surprising that young girls also show </w:t>
      </w:r>
      <w:r w:rsidR="001B6605">
        <w:t xml:space="preserve">this by often choosing to play with dolls. </w:t>
      </w:r>
    </w:p>
    <w:p w14:paraId="5B7626C4" w14:textId="3D7F7D38" w:rsidR="001B6605" w:rsidRDefault="001B6605">
      <w:r>
        <w:t xml:space="preserve">An aspect of this which is more difficult to understand is the reason why the female monkeys chose to play with </w:t>
      </w:r>
      <w:r w:rsidR="008D6936">
        <w:t>toy cooking utensils.</w:t>
      </w:r>
      <w:r w:rsidR="008B5C7F">
        <w:t xml:space="preserve"> It seems unlikely that monkeys </w:t>
      </w:r>
      <w:proofErr w:type="gramStart"/>
      <w:r w:rsidR="008B5C7F">
        <w:t>have an understanding of</w:t>
      </w:r>
      <w:proofErr w:type="gramEnd"/>
      <w:r w:rsidR="008B5C7F">
        <w:t xml:space="preserve"> what cooking utensils are, and they certainly don’t cook. </w:t>
      </w:r>
      <w:r w:rsidR="001651AA">
        <w:t xml:space="preserve">Even if they did understand </w:t>
      </w:r>
      <w:r w:rsidR="00CB6466">
        <w:t>they were associated with food, male and female monkeys</w:t>
      </w:r>
      <w:r w:rsidR="00764471">
        <w:t xml:space="preserve"> both </w:t>
      </w:r>
      <w:r w:rsidR="006919BC">
        <w:t>search for and gather food (</w:t>
      </w:r>
      <w:r w:rsidR="00C60D3A">
        <w:t xml:space="preserve">Jackson, 2002). </w:t>
      </w:r>
    </w:p>
    <w:p w14:paraId="5EF3B425" w14:textId="3285AA53" w:rsidR="00D93635" w:rsidRDefault="00D93635">
      <w:r>
        <w:t xml:space="preserve">Kanazawa (2008) has a theory for why the male monkeys chose to play with toy vehicles. </w:t>
      </w:r>
      <w:r w:rsidR="00D944F0">
        <w:t>Male m</w:t>
      </w:r>
      <w:r w:rsidR="00C319DC">
        <w:t>onkeys</w:t>
      </w:r>
      <w:r w:rsidR="00D944F0">
        <w:t>, like many other animals,</w:t>
      </w:r>
      <w:r w:rsidR="00C319DC">
        <w:t xml:space="preserve"> have a </w:t>
      </w:r>
      <w:r w:rsidR="00D944F0">
        <w:t xml:space="preserve">natural protective instinct. </w:t>
      </w:r>
      <w:r w:rsidR="00425FAE">
        <w:t xml:space="preserve">The monkeys which likely have </w:t>
      </w:r>
      <w:r w:rsidR="00BB47A2">
        <w:t>seen real vehicles and associated them with danger</w:t>
      </w:r>
      <w:r w:rsidR="00EE7410">
        <w:t xml:space="preserve">, </w:t>
      </w:r>
      <w:r w:rsidR="00E02AAE">
        <w:t xml:space="preserve">play with the toys out of curiosity for a learning opportunity. </w:t>
      </w:r>
    </w:p>
    <w:p w14:paraId="673994AA" w14:textId="43E9748D" w:rsidR="006428B4" w:rsidRDefault="006428B4"/>
    <w:p w14:paraId="6E2925CD" w14:textId="194E4608" w:rsidR="004D5E3E" w:rsidRDefault="004D5E3E">
      <w:r>
        <w:t>One</w:t>
      </w:r>
      <w:r w:rsidR="00451C4F">
        <w:t xml:space="preserve"> of the reasons I have focused heavily on how children play in this blog is that playing is a common</w:t>
      </w:r>
      <w:r w:rsidR="00720AB4">
        <w:t xml:space="preserve">, natural activity that children often engage with </w:t>
      </w:r>
      <w:r w:rsidR="00060C8D">
        <w:t>by making their own choices and to explore their interests without</w:t>
      </w:r>
      <w:r w:rsidR="00134F64">
        <w:t xml:space="preserve"> being guided. This is an ideal opportunity to observe how children think and feel about their environment </w:t>
      </w:r>
      <w:r w:rsidR="00230FD3">
        <w:t xml:space="preserve">in a natural way. Another reason, however, is due to the link between play and learning. </w:t>
      </w:r>
      <w:r w:rsidR="001150CA">
        <w:t xml:space="preserve">Children, especially very young children, </w:t>
      </w:r>
      <w:r w:rsidR="004665DF">
        <w:t xml:space="preserve">do </w:t>
      </w:r>
      <w:proofErr w:type="gramStart"/>
      <w:r w:rsidR="004665DF">
        <w:t>the majority of</w:t>
      </w:r>
      <w:proofErr w:type="gramEnd"/>
      <w:r w:rsidR="004665DF">
        <w:t xml:space="preserve"> their learning through play, by exploring the environment, </w:t>
      </w:r>
      <w:r w:rsidR="00BA4B03">
        <w:t xml:space="preserve">how the world works, </w:t>
      </w:r>
      <w:r w:rsidR="004665DF">
        <w:t>their abilities</w:t>
      </w:r>
      <w:r w:rsidR="00BA4B03">
        <w:t xml:space="preserve"> and social skills by playing with others</w:t>
      </w:r>
      <w:r w:rsidR="00ED6F49">
        <w:t xml:space="preserve"> (Bruce, 2011). </w:t>
      </w:r>
      <w:r w:rsidR="00B956FD">
        <w:t xml:space="preserve">In the Welsh school curriculum, the importance of play is </w:t>
      </w:r>
      <w:r w:rsidR="001906F0">
        <w:t xml:space="preserve">stated continuously, particularly in the younger years. In the Foundation Phase curriculum, </w:t>
      </w:r>
      <w:r w:rsidR="00C319D3">
        <w:t>there is reference to the use of play for learning</w:t>
      </w:r>
      <w:r w:rsidR="00867918">
        <w:t xml:space="preserve"> in all seven of the areas for learning</w:t>
      </w:r>
      <w:r w:rsidR="007755B5">
        <w:t xml:space="preserve"> (each of the areas for learning </w:t>
      </w:r>
      <w:r w:rsidR="00954983">
        <w:t xml:space="preserve">focusing on a specific skill). </w:t>
      </w:r>
      <w:r w:rsidR="00CC222C">
        <w:t xml:space="preserve">The Foundation Phase curriculum states </w:t>
      </w:r>
      <w:r w:rsidR="006C7A0A">
        <w:t xml:space="preserve">that the children in the classroom should </w:t>
      </w:r>
      <w:r w:rsidR="006C7A0A" w:rsidRPr="006C7A0A">
        <w:t>"be involved in different types of play and a range of planned activities, including those that are child-initiated."</w:t>
      </w:r>
      <w:r w:rsidR="006C7A0A">
        <w:t xml:space="preserve"> (</w:t>
      </w:r>
      <w:r w:rsidR="002A35F6" w:rsidRPr="002A35F6">
        <w:t xml:space="preserve">Welsh Government, </w:t>
      </w:r>
      <w:proofErr w:type="gramStart"/>
      <w:r w:rsidR="002A35F6" w:rsidRPr="002A35F6">
        <w:t>2015;</w:t>
      </w:r>
      <w:r w:rsidR="002A35F6">
        <w:t>p.</w:t>
      </w:r>
      <w:proofErr w:type="gramEnd"/>
      <w:r w:rsidR="002A35F6" w:rsidRPr="002A35F6">
        <w:t>47</w:t>
      </w:r>
      <w:r w:rsidR="002A35F6">
        <w:t xml:space="preserve">). </w:t>
      </w:r>
    </w:p>
    <w:p w14:paraId="6AE1622B" w14:textId="4B605502" w:rsidR="00023432" w:rsidRPr="0000044B" w:rsidRDefault="00023432">
      <w:r>
        <w:t>With there being a strong link between play and learning (with many aspects of play</w:t>
      </w:r>
      <w:r w:rsidR="00FA1D1C">
        <w:t xml:space="preserve"> being a direct learning opportunity) could there also be a link between how children play and how children learn? In our case, when boys and girls appear to generally be playing in different manners, could they also be learning differently too? </w:t>
      </w:r>
      <w:r w:rsidR="008B1EB4">
        <w:t>There does appear to be a difference in achievement between boys and girls</w:t>
      </w:r>
      <w:r w:rsidR="006C7C0B">
        <w:t xml:space="preserve"> </w:t>
      </w:r>
      <w:proofErr w:type="gramStart"/>
      <w:r w:rsidR="006C7C0B">
        <w:t>later on</w:t>
      </w:r>
      <w:proofErr w:type="gramEnd"/>
      <w:r w:rsidR="006C7C0B">
        <w:t xml:space="preserve"> in their education. </w:t>
      </w:r>
      <w:r w:rsidR="0091102A">
        <w:t xml:space="preserve">By the end of Year 6 in Primary School, </w:t>
      </w:r>
      <w:r w:rsidR="00B37405">
        <w:t xml:space="preserve">girls generally outperform boys in the three areas of </w:t>
      </w:r>
      <w:r w:rsidR="005319C2">
        <w:t>reading, writing and spelling</w:t>
      </w:r>
      <w:r w:rsidR="002332FA">
        <w:t xml:space="preserve"> whil</w:t>
      </w:r>
      <w:r w:rsidR="00573905">
        <w:t xml:space="preserve">st results in science and mathematics tend to be about equal for boys and girls. </w:t>
      </w:r>
      <w:r w:rsidR="001D614C">
        <w:t xml:space="preserve">In secondary school, girls tend to continue to </w:t>
      </w:r>
      <w:r w:rsidR="00041DDA">
        <w:t>outperform</w:t>
      </w:r>
      <w:r w:rsidR="001D614C">
        <w:t xml:space="preserve"> boys in language skills, whilst boys </w:t>
      </w:r>
      <w:r w:rsidR="00041DDA">
        <w:t xml:space="preserve">outperform girls in science and mathematics, but by a smaller </w:t>
      </w:r>
      <w:r w:rsidR="00041DDA">
        <w:lastRenderedPageBreak/>
        <w:t>margin.</w:t>
      </w:r>
      <w:r w:rsidR="00171148">
        <w:t xml:space="preserve"> (Grigg, 2015). </w:t>
      </w:r>
      <w:r w:rsidR="00146A46">
        <w:t>It is not entirely clear</w:t>
      </w:r>
      <w:r w:rsidR="00624744">
        <w:t xml:space="preserve"> what the reasons are for this. Could it be a natural tendency for girls to</w:t>
      </w:r>
      <w:r w:rsidR="000D4B2E">
        <w:t xml:space="preserve"> retain information about language and for boys to retain information about scientific? Or could there be a link between the way they used to play</w:t>
      </w:r>
      <w:r w:rsidR="009B0CDF">
        <w:t xml:space="preserve"> as young children?</w:t>
      </w:r>
    </w:p>
    <w:p w14:paraId="2FCE7781" w14:textId="2364413D" w:rsidR="000B5053" w:rsidRDefault="000B5053"/>
    <w:p w14:paraId="28BB6D34" w14:textId="77777777" w:rsidR="00CF599F" w:rsidRDefault="00E92214">
      <w:r>
        <w:t xml:space="preserve">We have discussed the possible natural </w:t>
      </w:r>
      <w:r w:rsidR="0087474E">
        <w:t xml:space="preserve">reasons for girls and boys to play differently, but what about the possible environment reasons? </w:t>
      </w:r>
      <w:r w:rsidR="00F935AC">
        <w:t xml:space="preserve">Home influences and parental expectations could </w:t>
      </w:r>
      <w:proofErr w:type="gramStart"/>
      <w:r w:rsidR="00F935AC">
        <w:t>have an effect on</w:t>
      </w:r>
      <w:proofErr w:type="gramEnd"/>
      <w:r w:rsidR="00F935AC">
        <w:t xml:space="preserve"> the way children choose to behave. An example of this may be a father </w:t>
      </w:r>
      <w:r w:rsidR="003278CD">
        <w:t>encouraging his son to share his interests simply because he is a boy, and the same case with a mother and her daughter</w:t>
      </w:r>
      <w:r w:rsidR="00967936">
        <w:t xml:space="preserve"> (Grigg, 2015). It is often rather common for parents to expect their children of the same gender to behave </w:t>
      </w:r>
      <w:r w:rsidR="0075214F">
        <w:t xml:space="preserve">like them, often due to the concept of them “seeing themselves in their children” </w:t>
      </w:r>
      <w:r w:rsidR="00973ECD">
        <w:t xml:space="preserve">(Burr, 1998). </w:t>
      </w:r>
      <w:r w:rsidR="00D70E02">
        <w:t>Hypothetically, a father may</w:t>
      </w:r>
      <w:r w:rsidR="00552692">
        <w:t xml:space="preserve"> play football with his son, take him to football matches and buy him merchandise from a very young age. Therefore, the boy </w:t>
      </w:r>
      <w:r w:rsidR="00CD00C3">
        <w:t>develops an interest in football and plays it with his friends</w:t>
      </w:r>
      <w:r w:rsidR="00B91D91">
        <w:t>,</w:t>
      </w:r>
      <w:r w:rsidR="00CD00C3">
        <w:t xml:space="preserve"> who are boys</w:t>
      </w:r>
      <w:r w:rsidR="00B91D91">
        <w:t>,</w:t>
      </w:r>
      <w:r w:rsidR="00CD00C3">
        <w:t xml:space="preserve"> in school as he is </w:t>
      </w:r>
      <w:r w:rsidR="00B91D91">
        <w:t xml:space="preserve">raised to believe that “football is for boys”. </w:t>
      </w:r>
      <w:r w:rsidR="00E946E4">
        <w:t>His friends then</w:t>
      </w:r>
      <w:r w:rsidR="00C80D65">
        <w:t xml:space="preserve"> also develop an interest in football, and in the future then encourage their own sons to enjoy football and the trend continues. </w:t>
      </w:r>
    </w:p>
    <w:p w14:paraId="2C8E640B" w14:textId="2C50DD2E" w:rsidR="00CF599F" w:rsidRDefault="00A27557">
      <w:r>
        <w:t xml:space="preserve">Building on this theory, </w:t>
      </w:r>
      <w:r w:rsidR="00BE70FA">
        <w:t>the difference between the way boys and girls play</w:t>
      </w:r>
      <w:r>
        <w:t xml:space="preserve"> may be</w:t>
      </w:r>
      <w:r w:rsidR="00BE70FA">
        <w:t xml:space="preserve"> </w:t>
      </w:r>
      <w:r w:rsidR="0016610B">
        <w:t xml:space="preserve">due to a developing sense of identity and being part of a community. Even from the young age of 4 and 5, children become part of the “community” of their </w:t>
      </w:r>
      <w:r>
        <w:t>peers in the classroom. As such, they become aware of how they present themselves and how they are perceived by others</w:t>
      </w:r>
      <w:r w:rsidR="00EB003C">
        <w:t>. Different children will develop this sense of identity at different stages</w:t>
      </w:r>
      <w:r w:rsidR="000F7A22">
        <w:t>, and some children may develop this to various degrees (</w:t>
      </w:r>
      <w:proofErr w:type="spellStart"/>
      <w:r w:rsidR="00D27477">
        <w:t>Paechter</w:t>
      </w:r>
      <w:proofErr w:type="spellEnd"/>
      <w:r w:rsidR="00D27477">
        <w:t xml:space="preserve">, </w:t>
      </w:r>
      <w:r w:rsidR="00A675AD">
        <w:t>2007). As they observe the world around them, observing their parents, siblings, cousins, teachers</w:t>
      </w:r>
      <w:r w:rsidR="00CD0FE6">
        <w:t xml:space="preserve"> and other children, they become aware of the differences in the ways males and females behave. </w:t>
      </w:r>
      <w:r w:rsidR="001766D3">
        <w:t xml:space="preserve">According to the </w:t>
      </w:r>
      <w:r w:rsidR="00393F36">
        <w:t xml:space="preserve">‘gender schema theory’ even from the age of two, children </w:t>
      </w:r>
      <w:proofErr w:type="gramStart"/>
      <w:r w:rsidR="00393F36">
        <w:t>are able to</w:t>
      </w:r>
      <w:proofErr w:type="gramEnd"/>
      <w:r w:rsidR="00393F36">
        <w:t xml:space="preserve"> identify males and females from exterior appearance</w:t>
      </w:r>
      <w:r w:rsidR="00594599">
        <w:t>, and by observing others they begin to associate certain behaviours</w:t>
      </w:r>
      <w:r w:rsidR="002B6AC3">
        <w:t xml:space="preserve">, objects and activities with gender. </w:t>
      </w:r>
      <w:r w:rsidR="00812BED">
        <w:t>(</w:t>
      </w:r>
      <w:r w:rsidR="00722B16">
        <w:t xml:space="preserve">Sammons, 2013). </w:t>
      </w:r>
      <w:r w:rsidR="002B6AC3">
        <w:t>The theory states that children</w:t>
      </w:r>
      <w:r w:rsidR="0074432D">
        <w:t xml:space="preserve"> become aware of their own gender and attempt to </w:t>
      </w:r>
      <w:r w:rsidR="006E09A3">
        <w:t xml:space="preserve">conform with the way they believe they should according to their gender. </w:t>
      </w:r>
      <w:r w:rsidR="002B6AC3">
        <w:t xml:space="preserve"> </w:t>
      </w:r>
    </w:p>
    <w:p w14:paraId="582795FA" w14:textId="2298FCCE" w:rsidR="00E92214" w:rsidRDefault="00C80CA7">
      <w:r w:rsidRPr="00C80CA7">
        <w:t xml:space="preserve">Were the children I observed </w:t>
      </w:r>
      <w:r>
        <w:t xml:space="preserve">simply </w:t>
      </w:r>
      <w:r w:rsidR="00DE4A57">
        <w:t xml:space="preserve">playing with the toys they simply enjoyed the most? </w:t>
      </w:r>
      <w:r w:rsidR="008633A8">
        <w:t xml:space="preserve">Had their choices been influences by society? Or would they simply playing </w:t>
      </w:r>
      <w:r w:rsidR="006B42E1">
        <w:t xml:space="preserve">with </w:t>
      </w:r>
      <w:r w:rsidR="008633A8">
        <w:t>the toys they</w:t>
      </w:r>
      <w:r w:rsidR="006B42E1">
        <w:t xml:space="preserve"> felt they should be due to their gender in fear of being rejected if they played with something else? </w:t>
      </w:r>
      <w:r w:rsidR="00164087">
        <w:t>If th</w:t>
      </w:r>
      <w:r w:rsidR="00CF599F">
        <w:t>ese</w:t>
      </w:r>
      <w:r w:rsidR="00164087">
        <w:t xml:space="preserve"> theor</w:t>
      </w:r>
      <w:r w:rsidR="00CF599F">
        <w:t>ies</w:t>
      </w:r>
      <w:r w:rsidR="00164087">
        <w:t xml:space="preserve"> </w:t>
      </w:r>
      <w:r w:rsidR="00CF599F">
        <w:t xml:space="preserve">are </w:t>
      </w:r>
      <w:r w:rsidR="00164087">
        <w:t>true, it suggests that many of the differences in the ways boys and girls play is due to the expectations of society as a whole</w:t>
      </w:r>
      <w:r w:rsidR="00CF599F">
        <w:t xml:space="preserve">. If societal expectations change, the way boys and girls play will also change. </w:t>
      </w:r>
    </w:p>
    <w:p w14:paraId="7BB17AEC" w14:textId="62C5B062" w:rsidR="000B5053" w:rsidRDefault="000B5053"/>
    <w:p w14:paraId="550C9B28" w14:textId="5FA93B86" w:rsidR="000B5053" w:rsidRDefault="000B5053"/>
    <w:p w14:paraId="7A5D7664" w14:textId="6E93DE0D" w:rsidR="000B5053" w:rsidRDefault="000B5053"/>
    <w:p w14:paraId="7BD5B2B3" w14:textId="77777777" w:rsidR="00245C2E" w:rsidRDefault="00245C2E">
      <w:pPr>
        <w:rPr>
          <w:b/>
          <w:bCs/>
          <w:u w:val="single"/>
        </w:rPr>
      </w:pPr>
    </w:p>
    <w:p w14:paraId="2D7CC47E" w14:textId="77777777" w:rsidR="00245C2E" w:rsidRDefault="00245C2E">
      <w:pPr>
        <w:rPr>
          <w:b/>
          <w:bCs/>
          <w:u w:val="single"/>
        </w:rPr>
      </w:pPr>
    </w:p>
    <w:p w14:paraId="38346CF2" w14:textId="77777777" w:rsidR="00245C2E" w:rsidRDefault="00245C2E">
      <w:pPr>
        <w:rPr>
          <w:b/>
          <w:bCs/>
          <w:u w:val="single"/>
        </w:rPr>
      </w:pPr>
    </w:p>
    <w:p w14:paraId="2CE10D8F" w14:textId="77777777" w:rsidR="00245C2E" w:rsidRDefault="00245C2E">
      <w:pPr>
        <w:rPr>
          <w:b/>
          <w:bCs/>
          <w:u w:val="single"/>
        </w:rPr>
      </w:pPr>
    </w:p>
    <w:p w14:paraId="1EFFEA66" w14:textId="77777777" w:rsidR="00245C2E" w:rsidRDefault="00245C2E">
      <w:pPr>
        <w:rPr>
          <w:b/>
          <w:bCs/>
          <w:u w:val="single"/>
        </w:rPr>
      </w:pPr>
    </w:p>
    <w:p w14:paraId="39BA7F26" w14:textId="50D1E30A" w:rsidR="000B5053" w:rsidRDefault="000B5053">
      <w:pPr>
        <w:rPr>
          <w:b/>
          <w:bCs/>
          <w:u w:val="single"/>
        </w:rPr>
      </w:pPr>
      <w:r>
        <w:rPr>
          <w:b/>
          <w:bCs/>
          <w:u w:val="single"/>
        </w:rPr>
        <w:lastRenderedPageBreak/>
        <w:t>References</w:t>
      </w:r>
    </w:p>
    <w:p w14:paraId="56CDB589" w14:textId="64A71444" w:rsidR="009E5954" w:rsidRDefault="009E5954" w:rsidP="009E5954">
      <w:pPr>
        <w:autoSpaceDE w:val="0"/>
        <w:autoSpaceDN w:val="0"/>
        <w:adjustRightInd w:val="0"/>
        <w:spacing w:after="200" w:line="276" w:lineRule="auto"/>
        <w:rPr>
          <w:rFonts w:ascii="Calibri" w:hAnsi="Calibri" w:cs="Calibri"/>
          <w:lang w:val="en"/>
        </w:rPr>
      </w:pPr>
      <w:r>
        <w:rPr>
          <w:rFonts w:ascii="Calibri" w:hAnsi="Calibri" w:cs="Calibri"/>
          <w:lang w:val="en"/>
        </w:rPr>
        <w:t xml:space="preserve">Broadhead, P. (2004) </w:t>
      </w:r>
      <w:r>
        <w:rPr>
          <w:rFonts w:ascii="Calibri" w:hAnsi="Calibri" w:cs="Calibri"/>
          <w:i/>
          <w:iCs/>
          <w:lang w:val="en"/>
        </w:rPr>
        <w:t xml:space="preserve">Early years play and learning: developing social skills and cooperation. </w:t>
      </w:r>
      <w:r>
        <w:rPr>
          <w:rFonts w:ascii="Calibri" w:hAnsi="Calibri" w:cs="Calibri"/>
          <w:lang w:val="en"/>
        </w:rPr>
        <w:t>London: Routledge Falmer</w:t>
      </w:r>
      <w:r w:rsidR="00EE74EB">
        <w:rPr>
          <w:rFonts w:ascii="Calibri" w:hAnsi="Calibri" w:cs="Calibri"/>
          <w:lang w:val="en"/>
        </w:rPr>
        <w:t>.</w:t>
      </w:r>
    </w:p>
    <w:p w14:paraId="2CBA3E69" w14:textId="77777777" w:rsidR="009E5954" w:rsidRDefault="009E5954" w:rsidP="009E5954">
      <w:pPr>
        <w:autoSpaceDE w:val="0"/>
        <w:autoSpaceDN w:val="0"/>
        <w:adjustRightInd w:val="0"/>
        <w:spacing w:after="200" w:line="276" w:lineRule="auto"/>
        <w:rPr>
          <w:rFonts w:ascii="Calibri" w:hAnsi="Calibri" w:cs="Calibri"/>
          <w:lang w:val="en"/>
        </w:rPr>
      </w:pPr>
    </w:p>
    <w:p w14:paraId="7FF8FC5C" w14:textId="3303C364" w:rsidR="009E5954" w:rsidRDefault="009E5954" w:rsidP="009E5954">
      <w:pPr>
        <w:autoSpaceDE w:val="0"/>
        <w:autoSpaceDN w:val="0"/>
        <w:adjustRightInd w:val="0"/>
        <w:spacing w:after="200" w:line="276" w:lineRule="auto"/>
        <w:rPr>
          <w:rFonts w:ascii="Calibri" w:hAnsi="Calibri" w:cs="Calibri"/>
          <w:lang w:val="en"/>
        </w:rPr>
      </w:pPr>
      <w:r>
        <w:rPr>
          <w:rFonts w:ascii="Calibri" w:hAnsi="Calibri" w:cs="Calibri"/>
          <w:lang w:val="en"/>
        </w:rPr>
        <w:t xml:space="preserve">Broadhead, P. (2010) </w:t>
      </w:r>
      <w:r>
        <w:rPr>
          <w:rFonts w:ascii="Calibri" w:hAnsi="Calibri" w:cs="Calibri"/>
          <w:i/>
          <w:iCs/>
          <w:lang w:val="en"/>
        </w:rPr>
        <w:t xml:space="preserve">Play and learning in the early years from research to practice. </w:t>
      </w:r>
      <w:r>
        <w:rPr>
          <w:rFonts w:ascii="Calibri" w:hAnsi="Calibri" w:cs="Calibri"/>
          <w:lang w:val="en"/>
        </w:rPr>
        <w:t>London: SAGE</w:t>
      </w:r>
      <w:r w:rsidR="00EE74EB">
        <w:rPr>
          <w:rFonts w:ascii="Calibri" w:hAnsi="Calibri" w:cs="Calibri"/>
          <w:lang w:val="en"/>
        </w:rPr>
        <w:t>.</w:t>
      </w:r>
    </w:p>
    <w:p w14:paraId="326B91BF" w14:textId="63C30BA0" w:rsidR="007A5E1D" w:rsidRDefault="007A5E1D" w:rsidP="009E5954">
      <w:pPr>
        <w:autoSpaceDE w:val="0"/>
        <w:autoSpaceDN w:val="0"/>
        <w:adjustRightInd w:val="0"/>
        <w:spacing w:after="200" w:line="276" w:lineRule="auto"/>
        <w:rPr>
          <w:rFonts w:ascii="Calibri" w:hAnsi="Calibri" w:cs="Calibri"/>
          <w:lang w:val="en"/>
        </w:rPr>
      </w:pPr>
    </w:p>
    <w:p w14:paraId="4CA1DEA7" w14:textId="17431527" w:rsidR="007A5E1D" w:rsidRDefault="007A5E1D" w:rsidP="009E5954">
      <w:pPr>
        <w:autoSpaceDE w:val="0"/>
        <w:autoSpaceDN w:val="0"/>
        <w:adjustRightInd w:val="0"/>
        <w:spacing w:after="200" w:line="276" w:lineRule="auto"/>
        <w:rPr>
          <w:rFonts w:ascii="Calibri" w:hAnsi="Calibri" w:cs="Calibri"/>
          <w:lang w:val="en"/>
        </w:rPr>
      </w:pPr>
      <w:r>
        <w:rPr>
          <w:rFonts w:ascii="Calibri" w:hAnsi="Calibri" w:cs="Calibri"/>
          <w:lang w:val="en"/>
        </w:rPr>
        <w:t>Bruce, T. (</w:t>
      </w:r>
      <w:r w:rsidR="00381406">
        <w:rPr>
          <w:rFonts w:ascii="Calibri" w:hAnsi="Calibri" w:cs="Calibri"/>
          <w:lang w:val="en"/>
        </w:rPr>
        <w:t xml:space="preserve">2011) </w:t>
      </w:r>
      <w:r w:rsidR="00381406">
        <w:rPr>
          <w:rFonts w:ascii="Calibri" w:hAnsi="Calibri" w:cs="Calibri"/>
          <w:i/>
          <w:iCs/>
          <w:lang w:val="en"/>
        </w:rPr>
        <w:t xml:space="preserve">Learning Through Play: For Babies, Toddlers and Young Children. </w:t>
      </w:r>
      <w:r w:rsidR="00C25064">
        <w:rPr>
          <w:rFonts w:ascii="Calibri" w:hAnsi="Calibri" w:cs="Calibri"/>
          <w:lang w:val="en"/>
        </w:rPr>
        <w:t>Oxon: Hodder Education.</w:t>
      </w:r>
    </w:p>
    <w:p w14:paraId="038F295A" w14:textId="26320D4E" w:rsidR="00245C2E" w:rsidRDefault="00245C2E" w:rsidP="009E5954">
      <w:pPr>
        <w:autoSpaceDE w:val="0"/>
        <w:autoSpaceDN w:val="0"/>
        <w:adjustRightInd w:val="0"/>
        <w:spacing w:after="200" w:line="276" w:lineRule="auto"/>
        <w:rPr>
          <w:rFonts w:ascii="Calibri" w:hAnsi="Calibri" w:cs="Calibri"/>
          <w:lang w:val="en"/>
        </w:rPr>
      </w:pPr>
    </w:p>
    <w:p w14:paraId="6935383C" w14:textId="7E640DAA" w:rsidR="00245C2E" w:rsidRPr="00245C2E" w:rsidRDefault="00245C2E" w:rsidP="009E5954">
      <w:pPr>
        <w:autoSpaceDE w:val="0"/>
        <w:autoSpaceDN w:val="0"/>
        <w:adjustRightInd w:val="0"/>
        <w:spacing w:after="200" w:line="276" w:lineRule="auto"/>
        <w:rPr>
          <w:rFonts w:ascii="Calibri" w:hAnsi="Calibri" w:cs="Calibri"/>
          <w:lang w:val="en"/>
        </w:rPr>
      </w:pPr>
      <w:r>
        <w:rPr>
          <w:rFonts w:ascii="Calibri" w:hAnsi="Calibri" w:cs="Calibri"/>
          <w:lang w:val="en"/>
        </w:rPr>
        <w:t xml:space="preserve">Burr, V. (1998) </w:t>
      </w:r>
      <w:r>
        <w:rPr>
          <w:rFonts w:ascii="Calibri" w:hAnsi="Calibri" w:cs="Calibri"/>
          <w:i/>
          <w:iCs/>
          <w:lang w:val="en"/>
        </w:rPr>
        <w:t xml:space="preserve">Gender and Social Psychology. </w:t>
      </w:r>
      <w:r>
        <w:rPr>
          <w:rFonts w:ascii="Calibri" w:hAnsi="Calibri" w:cs="Calibri"/>
          <w:lang w:val="en"/>
        </w:rPr>
        <w:t xml:space="preserve">London: Routledge. </w:t>
      </w:r>
    </w:p>
    <w:p w14:paraId="19BB6556" w14:textId="452B5BE0" w:rsidR="005E3B6C" w:rsidRDefault="005E3B6C" w:rsidP="009E5954">
      <w:pPr>
        <w:autoSpaceDE w:val="0"/>
        <w:autoSpaceDN w:val="0"/>
        <w:adjustRightInd w:val="0"/>
        <w:spacing w:after="200" w:line="276" w:lineRule="auto"/>
        <w:rPr>
          <w:rFonts w:ascii="Calibri" w:hAnsi="Calibri" w:cs="Calibri"/>
          <w:lang w:val="en"/>
        </w:rPr>
      </w:pPr>
    </w:p>
    <w:p w14:paraId="2B706CBA" w14:textId="5588A7E2" w:rsidR="005E3B6C" w:rsidRDefault="005E3B6C" w:rsidP="009E5954">
      <w:pPr>
        <w:autoSpaceDE w:val="0"/>
        <w:autoSpaceDN w:val="0"/>
        <w:adjustRightInd w:val="0"/>
        <w:spacing w:after="200" w:line="276" w:lineRule="auto"/>
        <w:rPr>
          <w:rFonts w:ascii="Calibri" w:hAnsi="Calibri" w:cs="Calibri"/>
          <w:lang w:val="en"/>
        </w:rPr>
      </w:pPr>
      <w:r>
        <w:rPr>
          <w:rFonts w:ascii="Calibri" w:hAnsi="Calibri" w:cs="Calibri"/>
          <w:lang w:val="en"/>
        </w:rPr>
        <w:t xml:space="preserve">De Waal, F. &amp; </w:t>
      </w:r>
      <w:proofErr w:type="spellStart"/>
      <w:r>
        <w:rPr>
          <w:rFonts w:ascii="Calibri" w:hAnsi="Calibri" w:cs="Calibri"/>
          <w:lang w:val="en"/>
        </w:rPr>
        <w:t>Sherblom</w:t>
      </w:r>
      <w:proofErr w:type="spellEnd"/>
      <w:r>
        <w:rPr>
          <w:rFonts w:ascii="Calibri" w:hAnsi="Calibri" w:cs="Calibri"/>
          <w:lang w:val="en"/>
        </w:rPr>
        <w:t xml:space="preserve">, S.A. (2018) </w:t>
      </w:r>
      <w:r w:rsidR="001F0184">
        <w:rPr>
          <w:rFonts w:ascii="Calibri" w:hAnsi="Calibri" w:cs="Calibri"/>
          <w:lang w:val="en"/>
        </w:rPr>
        <w:t>‘</w:t>
      </w:r>
      <w:r w:rsidR="001F0184" w:rsidRPr="001F0184">
        <w:rPr>
          <w:rFonts w:ascii="Calibri" w:hAnsi="Calibri" w:cs="Calibri"/>
          <w:lang w:val="en"/>
        </w:rPr>
        <w:t>Bottom-up morality: The basis of human morality in our primate nature</w:t>
      </w:r>
      <w:r w:rsidR="001F0184">
        <w:rPr>
          <w:rFonts w:ascii="Calibri" w:hAnsi="Calibri" w:cs="Calibri"/>
          <w:lang w:val="en"/>
        </w:rPr>
        <w:t xml:space="preserve">’ </w:t>
      </w:r>
      <w:r w:rsidR="0082035C" w:rsidRPr="0082035C">
        <w:rPr>
          <w:rFonts w:ascii="Calibri" w:hAnsi="Calibri" w:cs="Calibri"/>
          <w:i/>
          <w:iCs/>
          <w:lang w:val="en"/>
        </w:rPr>
        <w:t>Journal of Moral Education</w:t>
      </w:r>
      <w:r w:rsidR="0082035C" w:rsidRPr="0082035C">
        <w:rPr>
          <w:rFonts w:ascii="Calibri" w:hAnsi="Calibri" w:cs="Calibri"/>
          <w:lang w:val="en"/>
        </w:rPr>
        <w:t>, Jun 2018, Vol.47(2), pp.248-258</w:t>
      </w:r>
    </w:p>
    <w:p w14:paraId="769D6110" w14:textId="0EA1AC76" w:rsidR="000313C8" w:rsidRDefault="000313C8" w:rsidP="009E5954">
      <w:pPr>
        <w:autoSpaceDE w:val="0"/>
        <w:autoSpaceDN w:val="0"/>
        <w:adjustRightInd w:val="0"/>
        <w:spacing w:after="200" w:line="276" w:lineRule="auto"/>
        <w:rPr>
          <w:rFonts w:ascii="Calibri" w:hAnsi="Calibri" w:cs="Calibri"/>
          <w:lang w:val="en"/>
        </w:rPr>
      </w:pPr>
    </w:p>
    <w:p w14:paraId="6B61D1E7" w14:textId="6CCEEE74" w:rsidR="000313C8" w:rsidRDefault="000313C8" w:rsidP="009E5954">
      <w:pPr>
        <w:autoSpaceDE w:val="0"/>
        <w:autoSpaceDN w:val="0"/>
        <w:adjustRightInd w:val="0"/>
        <w:spacing w:after="200" w:line="276" w:lineRule="auto"/>
        <w:rPr>
          <w:rFonts w:ascii="Calibri" w:hAnsi="Calibri" w:cs="Calibri"/>
          <w:lang w:val="en"/>
        </w:rPr>
      </w:pPr>
      <w:r w:rsidRPr="000313C8">
        <w:rPr>
          <w:rFonts w:ascii="Calibri" w:hAnsi="Calibri" w:cs="Calibri"/>
          <w:lang w:val="en"/>
        </w:rPr>
        <w:t xml:space="preserve">Grigg, R. (2010) </w:t>
      </w:r>
      <w:r w:rsidRPr="000313C8">
        <w:rPr>
          <w:rFonts w:ascii="Calibri" w:hAnsi="Calibri" w:cs="Calibri"/>
          <w:i/>
          <w:iCs/>
          <w:lang w:val="en"/>
        </w:rPr>
        <w:t xml:space="preserve">Becoming an Outstanding Primary School Teacher. </w:t>
      </w:r>
      <w:r w:rsidRPr="000313C8">
        <w:rPr>
          <w:rFonts w:ascii="Calibri" w:hAnsi="Calibri" w:cs="Calibri"/>
          <w:lang w:val="en"/>
        </w:rPr>
        <w:t>Essex: Pearson Education Limited</w:t>
      </w:r>
    </w:p>
    <w:p w14:paraId="570D16C7" w14:textId="2C2FA783" w:rsidR="00CF33FA" w:rsidRDefault="00CF33FA" w:rsidP="009E5954">
      <w:pPr>
        <w:autoSpaceDE w:val="0"/>
        <w:autoSpaceDN w:val="0"/>
        <w:adjustRightInd w:val="0"/>
        <w:spacing w:after="200" w:line="276" w:lineRule="auto"/>
        <w:rPr>
          <w:rFonts w:ascii="Calibri" w:hAnsi="Calibri" w:cs="Calibri"/>
          <w:lang w:val="en"/>
        </w:rPr>
      </w:pPr>
    </w:p>
    <w:p w14:paraId="3B3A108D" w14:textId="45BE5D08" w:rsidR="00CF33FA" w:rsidRPr="00CF33FA" w:rsidRDefault="00CF33FA" w:rsidP="009E5954">
      <w:pPr>
        <w:autoSpaceDE w:val="0"/>
        <w:autoSpaceDN w:val="0"/>
        <w:adjustRightInd w:val="0"/>
        <w:spacing w:after="200" w:line="276" w:lineRule="auto"/>
        <w:rPr>
          <w:rFonts w:ascii="Calibri" w:hAnsi="Calibri" w:cs="Calibri"/>
          <w:lang w:val="en"/>
        </w:rPr>
      </w:pPr>
      <w:r>
        <w:rPr>
          <w:rFonts w:ascii="Calibri" w:hAnsi="Calibri" w:cs="Calibri"/>
          <w:lang w:val="en"/>
        </w:rPr>
        <w:t xml:space="preserve">Jackson, T. (2002) </w:t>
      </w:r>
      <w:r>
        <w:rPr>
          <w:rFonts w:ascii="Calibri" w:hAnsi="Calibri" w:cs="Calibri"/>
          <w:i/>
          <w:iCs/>
          <w:lang w:val="en"/>
        </w:rPr>
        <w:t xml:space="preserve">Monkeys. </w:t>
      </w:r>
      <w:r w:rsidR="007A5E1D">
        <w:rPr>
          <w:rFonts w:ascii="Calibri" w:hAnsi="Calibri" w:cs="Calibri"/>
          <w:lang w:val="en"/>
        </w:rPr>
        <w:t xml:space="preserve">London: Hermes House. </w:t>
      </w:r>
    </w:p>
    <w:p w14:paraId="162640DE" w14:textId="5493544C" w:rsidR="003440E8" w:rsidRDefault="003440E8" w:rsidP="009E5954">
      <w:pPr>
        <w:autoSpaceDE w:val="0"/>
        <w:autoSpaceDN w:val="0"/>
        <w:adjustRightInd w:val="0"/>
        <w:spacing w:after="200" w:line="276" w:lineRule="auto"/>
        <w:rPr>
          <w:rFonts w:ascii="Calibri" w:hAnsi="Calibri" w:cs="Calibri"/>
          <w:lang w:val="en"/>
        </w:rPr>
      </w:pPr>
    </w:p>
    <w:p w14:paraId="343977E8" w14:textId="09F558C6" w:rsidR="003440E8" w:rsidRDefault="003440E8" w:rsidP="003440E8">
      <w:pPr>
        <w:autoSpaceDE w:val="0"/>
        <w:autoSpaceDN w:val="0"/>
        <w:adjustRightInd w:val="0"/>
        <w:spacing w:after="200" w:line="276" w:lineRule="auto"/>
        <w:rPr>
          <w:rFonts w:ascii="Calibri" w:hAnsi="Calibri" w:cs="Calibri"/>
          <w:lang w:val="en"/>
        </w:rPr>
      </w:pPr>
      <w:r w:rsidRPr="003440E8">
        <w:rPr>
          <w:rFonts w:ascii="Calibri" w:hAnsi="Calibri" w:cs="Calibri"/>
          <w:lang w:val="en"/>
        </w:rPr>
        <w:t xml:space="preserve">Kanazawa, S. (2008) </w:t>
      </w:r>
      <w:r w:rsidRPr="003440E8">
        <w:rPr>
          <w:rFonts w:ascii="Calibri" w:hAnsi="Calibri" w:cs="Calibri"/>
          <w:i/>
          <w:iCs/>
          <w:lang w:val="en"/>
        </w:rPr>
        <w:t xml:space="preserve">Why Do Boys and Girls Prefer Different Toys? </w:t>
      </w:r>
      <w:r w:rsidRPr="003440E8">
        <w:rPr>
          <w:rFonts w:ascii="Calibri" w:hAnsi="Calibri" w:cs="Calibri"/>
          <w:lang w:val="en"/>
        </w:rPr>
        <w:t xml:space="preserve">Available at: </w:t>
      </w:r>
      <w:hyperlink r:id="rId4" w:history="1">
        <w:r w:rsidRPr="003440E8">
          <w:rPr>
            <w:rStyle w:val="Hyperlink"/>
            <w:rFonts w:ascii="Calibri" w:hAnsi="Calibri" w:cs="Calibri"/>
            <w:lang w:val="en"/>
          </w:rPr>
          <w:t>https://www.psychologytoday.com/us/blog/the-scientific-fundamentalist/200804/why-do-boys-and-girls-prefer-different-toys</w:t>
        </w:r>
      </w:hyperlink>
      <w:r w:rsidRPr="003440E8">
        <w:rPr>
          <w:rFonts w:ascii="Calibri" w:hAnsi="Calibri" w:cs="Calibri"/>
          <w:lang w:val="en"/>
        </w:rPr>
        <w:t xml:space="preserve"> (Accessed on </w:t>
      </w:r>
      <w:r w:rsidR="009A239E">
        <w:rPr>
          <w:rFonts w:ascii="Calibri" w:hAnsi="Calibri" w:cs="Calibri"/>
          <w:lang w:val="en"/>
        </w:rPr>
        <w:t>20/04/2020</w:t>
      </w:r>
      <w:r w:rsidRPr="003440E8">
        <w:rPr>
          <w:rFonts w:ascii="Calibri" w:hAnsi="Calibri" w:cs="Calibri"/>
          <w:lang w:val="en"/>
        </w:rPr>
        <w:t>)</w:t>
      </w:r>
    </w:p>
    <w:p w14:paraId="245B56CF" w14:textId="5F1E037C" w:rsidR="00E372CE" w:rsidRDefault="00E372CE" w:rsidP="003440E8">
      <w:pPr>
        <w:autoSpaceDE w:val="0"/>
        <w:autoSpaceDN w:val="0"/>
        <w:adjustRightInd w:val="0"/>
        <w:spacing w:after="200" w:line="276" w:lineRule="auto"/>
        <w:rPr>
          <w:rFonts w:ascii="Calibri" w:hAnsi="Calibri" w:cs="Calibri"/>
          <w:lang w:val="en"/>
        </w:rPr>
      </w:pPr>
    </w:p>
    <w:p w14:paraId="1D78A668" w14:textId="5713C5A2" w:rsidR="00E372CE" w:rsidRPr="003440E8" w:rsidRDefault="00E372CE" w:rsidP="003440E8">
      <w:pPr>
        <w:autoSpaceDE w:val="0"/>
        <w:autoSpaceDN w:val="0"/>
        <w:adjustRightInd w:val="0"/>
        <w:spacing w:after="200" w:line="276" w:lineRule="auto"/>
        <w:rPr>
          <w:rFonts w:ascii="Calibri" w:hAnsi="Calibri" w:cs="Calibri"/>
          <w:lang w:val="en"/>
        </w:rPr>
      </w:pPr>
      <w:r>
        <w:rPr>
          <w:rFonts w:ascii="Calibri" w:hAnsi="Calibri" w:cs="Calibri"/>
          <w:lang w:val="en"/>
        </w:rPr>
        <w:t>Lents, N.H. (</w:t>
      </w:r>
      <w:r w:rsidR="00A45253">
        <w:rPr>
          <w:rFonts w:ascii="Calibri" w:hAnsi="Calibri" w:cs="Calibri"/>
          <w:lang w:val="en"/>
        </w:rPr>
        <w:t xml:space="preserve">2016) </w:t>
      </w:r>
      <w:r w:rsidR="00A45253" w:rsidRPr="00A45253">
        <w:rPr>
          <w:rFonts w:ascii="Calibri" w:hAnsi="Calibri" w:cs="Calibri"/>
          <w:i/>
          <w:iCs/>
          <w:lang w:val="en"/>
        </w:rPr>
        <w:t xml:space="preserve">Not </w:t>
      </w:r>
      <w:r w:rsidR="00A45253" w:rsidRPr="00A45253">
        <w:rPr>
          <w:rFonts w:ascii="Calibri" w:hAnsi="Calibri" w:cs="Calibri"/>
          <w:i/>
          <w:iCs/>
          <w:lang w:val="en"/>
        </w:rPr>
        <w:t>S</w:t>
      </w:r>
      <w:r w:rsidR="00A45253" w:rsidRPr="00A45253">
        <w:rPr>
          <w:rFonts w:ascii="Calibri" w:hAnsi="Calibri" w:cs="Calibri"/>
          <w:i/>
          <w:iCs/>
          <w:lang w:val="en"/>
        </w:rPr>
        <w:t xml:space="preserve">o </w:t>
      </w:r>
      <w:r w:rsidR="00A45253" w:rsidRPr="00A45253">
        <w:rPr>
          <w:rFonts w:ascii="Calibri" w:hAnsi="Calibri" w:cs="Calibri"/>
          <w:i/>
          <w:iCs/>
          <w:lang w:val="en"/>
        </w:rPr>
        <w:t>D</w:t>
      </w:r>
      <w:r w:rsidR="00A45253" w:rsidRPr="00A45253">
        <w:rPr>
          <w:rFonts w:ascii="Calibri" w:hAnsi="Calibri" w:cs="Calibri"/>
          <w:i/>
          <w:iCs/>
          <w:lang w:val="en"/>
        </w:rPr>
        <w:t>ifferent</w:t>
      </w:r>
      <w:r w:rsidR="00A45253" w:rsidRPr="00A45253">
        <w:rPr>
          <w:rFonts w:ascii="Calibri" w:hAnsi="Calibri" w:cs="Calibri"/>
          <w:i/>
          <w:iCs/>
          <w:lang w:val="en"/>
        </w:rPr>
        <w:t>: F</w:t>
      </w:r>
      <w:r w:rsidR="00A45253" w:rsidRPr="00A45253">
        <w:rPr>
          <w:rFonts w:ascii="Calibri" w:hAnsi="Calibri" w:cs="Calibri"/>
          <w:i/>
          <w:iCs/>
          <w:lang w:val="en"/>
        </w:rPr>
        <w:t xml:space="preserve">inding </w:t>
      </w:r>
      <w:r w:rsidR="00A45253" w:rsidRPr="00A45253">
        <w:rPr>
          <w:rFonts w:ascii="Calibri" w:hAnsi="Calibri" w:cs="Calibri"/>
          <w:i/>
          <w:iCs/>
          <w:lang w:val="en"/>
        </w:rPr>
        <w:t>H</w:t>
      </w:r>
      <w:r w:rsidR="00A45253" w:rsidRPr="00A45253">
        <w:rPr>
          <w:rFonts w:ascii="Calibri" w:hAnsi="Calibri" w:cs="Calibri"/>
          <w:i/>
          <w:iCs/>
          <w:lang w:val="en"/>
        </w:rPr>
        <w:t xml:space="preserve">uman </w:t>
      </w:r>
      <w:r w:rsidR="00A45253" w:rsidRPr="00A45253">
        <w:rPr>
          <w:rFonts w:ascii="Calibri" w:hAnsi="Calibri" w:cs="Calibri"/>
          <w:i/>
          <w:iCs/>
          <w:lang w:val="en"/>
        </w:rPr>
        <w:t>N</w:t>
      </w:r>
      <w:r w:rsidR="00A45253" w:rsidRPr="00A45253">
        <w:rPr>
          <w:rFonts w:ascii="Calibri" w:hAnsi="Calibri" w:cs="Calibri"/>
          <w:i/>
          <w:iCs/>
          <w:lang w:val="en"/>
        </w:rPr>
        <w:t xml:space="preserve">ature </w:t>
      </w:r>
      <w:proofErr w:type="gramStart"/>
      <w:r w:rsidR="00A45253" w:rsidRPr="00A45253">
        <w:rPr>
          <w:rFonts w:ascii="Calibri" w:hAnsi="Calibri" w:cs="Calibri"/>
          <w:i/>
          <w:iCs/>
          <w:lang w:val="en"/>
        </w:rPr>
        <w:t>I</w:t>
      </w:r>
      <w:r w:rsidR="00A45253" w:rsidRPr="00A45253">
        <w:rPr>
          <w:rFonts w:ascii="Calibri" w:hAnsi="Calibri" w:cs="Calibri"/>
          <w:i/>
          <w:iCs/>
          <w:lang w:val="en"/>
        </w:rPr>
        <w:t>n</w:t>
      </w:r>
      <w:proofErr w:type="gramEnd"/>
      <w:r w:rsidR="00A45253" w:rsidRPr="00A45253">
        <w:rPr>
          <w:rFonts w:ascii="Calibri" w:hAnsi="Calibri" w:cs="Calibri"/>
          <w:i/>
          <w:iCs/>
          <w:lang w:val="en"/>
        </w:rPr>
        <w:t xml:space="preserve"> </w:t>
      </w:r>
      <w:r w:rsidR="00A45253" w:rsidRPr="00A45253">
        <w:rPr>
          <w:rFonts w:ascii="Calibri" w:hAnsi="Calibri" w:cs="Calibri"/>
          <w:i/>
          <w:iCs/>
          <w:lang w:val="en"/>
        </w:rPr>
        <w:t>A</w:t>
      </w:r>
      <w:r w:rsidR="00A45253" w:rsidRPr="00A45253">
        <w:rPr>
          <w:rFonts w:ascii="Calibri" w:hAnsi="Calibri" w:cs="Calibri"/>
          <w:i/>
          <w:iCs/>
          <w:lang w:val="en"/>
        </w:rPr>
        <w:t>nimals</w:t>
      </w:r>
      <w:r w:rsidR="00A45253" w:rsidRPr="00A45253">
        <w:rPr>
          <w:rFonts w:ascii="Calibri" w:hAnsi="Calibri" w:cs="Calibri"/>
          <w:i/>
          <w:iCs/>
          <w:lang w:val="en"/>
        </w:rPr>
        <w:t>.</w:t>
      </w:r>
      <w:r w:rsidR="00A45253">
        <w:rPr>
          <w:rFonts w:ascii="Calibri" w:hAnsi="Calibri" w:cs="Calibri"/>
          <w:lang w:val="en"/>
        </w:rPr>
        <w:t xml:space="preserve"> </w:t>
      </w:r>
      <w:r w:rsidR="00D74AE4">
        <w:rPr>
          <w:rFonts w:ascii="Calibri" w:hAnsi="Calibri" w:cs="Calibri"/>
          <w:lang w:val="en"/>
        </w:rPr>
        <w:t xml:space="preserve">New York: Columbia University Press. </w:t>
      </w:r>
    </w:p>
    <w:p w14:paraId="402CF47C" w14:textId="77777777" w:rsidR="009E5954" w:rsidRDefault="009E5954">
      <w:pPr>
        <w:rPr>
          <w:rFonts w:ascii="Calibri" w:hAnsi="Calibri" w:cs="Calibri"/>
          <w:lang w:val="en"/>
        </w:rPr>
      </w:pPr>
    </w:p>
    <w:p w14:paraId="0497737E" w14:textId="3DF5DB4A" w:rsidR="000B5053" w:rsidRDefault="009E5954">
      <w:pPr>
        <w:rPr>
          <w:rFonts w:ascii="Calibri" w:hAnsi="Calibri" w:cs="Calibri"/>
          <w:lang w:val="en"/>
        </w:rPr>
      </w:pPr>
      <w:r>
        <w:rPr>
          <w:rFonts w:ascii="Calibri" w:hAnsi="Calibri" w:cs="Calibri"/>
          <w:lang w:val="en"/>
        </w:rPr>
        <w:t xml:space="preserve">Moyles, J. (1994) </w:t>
      </w:r>
      <w:r>
        <w:rPr>
          <w:rFonts w:ascii="Calibri" w:hAnsi="Calibri" w:cs="Calibri"/>
          <w:i/>
          <w:iCs/>
          <w:lang w:val="en"/>
        </w:rPr>
        <w:t xml:space="preserve">The Excellence of Play. </w:t>
      </w:r>
      <w:r>
        <w:rPr>
          <w:rFonts w:ascii="Calibri" w:hAnsi="Calibri" w:cs="Calibri"/>
          <w:lang w:val="en"/>
        </w:rPr>
        <w:t>Berkshire: Open University Press</w:t>
      </w:r>
      <w:r w:rsidR="00EE74EB">
        <w:rPr>
          <w:rFonts w:ascii="Calibri" w:hAnsi="Calibri" w:cs="Calibri"/>
          <w:lang w:val="en"/>
        </w:rPr>
        <w:t>.</w:t>
      </w:r>
    </w:p>
    <w:p w14:paraId="46B271BE" w14:textId="46C264CF" w:rsidR="0033465A" w:rsidRDefault="0033465A">
      <w:pPr>
        <w:rPr>
          <w:rFonts w:ascii="Calibri" w:hAnsi="Calibri" w:cs="Calibri"/>
          <w:lang w:val="en"/>
        </w:rPr>
      </w:pPr>
    </w:p>
    <w:p w14:paraId="4BB1704C" w14:textId="117B303A" w:rsidR="0033465A" w:rsidRDefault="0033465A">
      <w:pPr>
        <w:rPr>
          <w:rFonts w:ascii="Calibri" w:hAnsi="Calibri" w:cs="Calibri"/>
          <w:lang w:val="en"/>
        </w:rPr>
      </w:pPr>
      <w:proofErr w:type="spellStart"/>
      <w:r>
        <w:rPr>
          <w:rFonts w:ascii="Calibri" w:hAnsi="Calibri" w:cs="Calibri"/>
          <w:lang w:val="en"/>
        </w:rPr>
        <w:t>Paechter</w:t>
      </w:r>
      <w:proofErr w:type="spellEnd"/>
      <w:r>
        <w:rPr>
          <w:rFonts w:ascii="Calibri" w:hAnsi="Calibri" w:cs="Calibri"/>
          <w:lang w:val="en"/>
        </w:rPr>
        <w:t xml:space="preserve">, C. (2007) </w:t>
      </w:r>
      <w:r>
        <w:rPr>
          <w:rFonts w:ascii="Calibri" w:hAnsi="Calibri" w:cs="Calibri"/>
          <w:i/>
          <w:iCs/>
          <w:lang w:val="en"/>
        </w:rPr>
        <w:t xml:space="preserve">Being Boys, Being Girls. </w:t>
      </w:r>
      <w:r>
        <w:rPr>
          <w:rFonts w:ascii="Calibri" w:hAnsi="Calibri" w:cs="Calibri"/>
          <w:lang w:val="en"/>
        </w:rPr>
        <w:t>Berkshire: Open University Press</w:t>
      </w:r>
      <w:r w:rsidR="00EE74EB">
        <w:rPr>
          <w:rFonts w:ascii="Calibri" w:hAnsi="Calibri" w:cs="Calibri"/>
          <w:lang w:val="en"/>
        </w:rPr>
        <w:t>.</w:t>
      </w:r>
    </w:p>
    <w:p w14:paraId="08ABD64B" w14:textId="77777777" w:rsidR="00245C2E" w:rsidRDefault="00245C2E">
      <w:pPr>
        <w:rPr>
          <w:rFonts w:ascii="Calibri" w:hAnsi="Calibri" w:cs="Calibri"/>
          <w:lang w:val="en"/>
        </w:rPr>
      </w:pPr>
    </w:p>
    <w:p w14:paraId="10931617" w14:textId="043F3A4A" w:rsidR="009A572A" w:rsidRDefault="009A572A">
      <w:pPr>
        <w:rPr>
          <w:rFonts w:ascii="Calibri" w:hAnsi="Calibri" w:cs="Calibri"/>
          <w:lang w:val="en"/>
        </w:rPr>
      </w:pPr>
      <w:r>
        <w:rPr>
          <w:rFonts w:ascii="Calibri" w:hAnsi="Calibri" w:cs="Calibri"/>
          <w:lang w:val="en"/>
        </w:rPr>
        <w:lastRenderedPageBreak/>
        <w:t xml:space="preserve">Sammons, A. (2013) </w:t>
      </w:r>
      <w:r>
        <w:rPr>
          <w:rFonts w:ascii="Calibri" w:hAnsi="Calibri" w:cs="Calibri"/>
          <w:i/>
          <w:iCs/>
          <w:lang w:val="en"/>
        </w:rPr>
        <w:t xml:space="preserve">How do cognitive psychologists explain gender development? </w:t>
      </w:r>
      <w:r>
        <w:rPr>
          <w:rFonts w:ascii="Calibri" w:hAnsi="Calibri" w:cs="Calibri"/>
          <w:lang w:val="en"/>
        </w:rPr>
        <w:t xml:space="preserve">Available at: </w:t>
      </w:r>
      <w:hyperlink r:id="rId5" w:history="1">
        <w:r>
          <w:rPr>
            <w:rFonts w:ascii="Calibri" w:hAnsi="Calibri" w:cs="Calibri"/>
            <w:lang w:val="en"/>
          </w:rPr>
          <w:t>http://www.psychlotron.org.uk/newResources/developmental/AS_AQB_gender_CognitiveBasics.pdf</w:t>
        </w:r>
      </w:hyperlink>
      <w:r>
        <w:rPr>
          <w:rFonts w:ascii="Calibri" w:hAnsi="Calibri" w:cs="Calibri"/>
          <w:lang w:val="en"/>
        </w:rPr>
        <w:t xml:space="preserve"> (Accessed on 17/04/20</w:t>
      </w:r>
      <w:r w:rsidR="001B11B2">
        <w:rPr>
          <w:rFonts w:ascii="Calibri" w:hAnsi="Calibri" w:cs="Calibri"/>
          <w:lang w:val="en"/>
        </w:rPr>
        <w:t>20</w:t>
      </w:r>
      <w:r>
        <w:rPr>
          <w:rFonts w:ascii="Calibri" w:hAnsi="Calibri" w:cs="Calibri"/>
          <w:lang w:val="en"/>
        </w:rPr>
        <w:t xml:space="preserve">) </w:t>
      </w:r>
    </w:p>
    <w:p w14:paraId="64D055E2" w14:textId="277BBC3C" w:rsidR="00014DF3" w:rsidRDefault="00014DF3">
      <w:pPr>
        <w:rPr>
          <w:rFonts w:ascii="Calibri" w:hAnsi="Calibri" w:cs="Calibri"/>
          <w:lang w:val="en"/>
        </w:rPr>
      </w:pPr>
    </w:p>
    <w:p w14:paraId="171E0FD0" w14:textId="7CBD9E9F" w:rsidR="00014DF3" w:rsidRPr="00EE74EB" w:rsidRDefault="00014DF3">
      <w:r>
        <w:rPr>
          <w:rFonts w:ascii="Calibri" w:hAnsi="Calibri" w:cs="Calibri"/>
          <w:lang w:val="en"/>
        </w:rPr>
        <w:t xml:space="preserve">Scott, J.W. (2003) </w:t>
      </w:r>
      <w:r w:rsidR="00EE74EB">
        <w:rPr>
          <w:rFonts w:ascii="Calibri" w:hAnsi="Calibri" w:cs="Calibri"/>
          <w:i/>
          <w:iCs/>
          <w:lang w:val="en"/>
        </w:rPr>
        <w:t xml:space="preserve">Gender and the Politics of History. </w:t>
      </w:r>
      <w:r w:rsidR="00EE74EB">
        <w:rPr>
          <w:rFonts w:ascii="Calibri" w:hAnsi="Calibri" w:cs="Calibri"/>
          <w:lang w:val="en"/>
        </w:rPr>
        <w:t xml:space="preserve">New York: Columbia University Press. </w:t>
      </w:r>
    </w:p>
    <w:p w14:paraId="59A49E68" w14:textId="0DB28692" w:rsidR="00323C97" w:rsidRDefault="00323C97"/>
    <w:p w14:paraId="11E25D46" w14:textId="6FF7CCC3" w:rsidR="003F3A77" w:rsidRPr="003F3A77" w:rsidRDefault="003F3A77" w:rsidP="003F3A77">
      <w:pPr>
        <w:rPr>
          <w:lang w:val="en"/>
        </w:rPr>
      </w:pPr>
      <w:r w:rsidRPr="003F3A77">
        <w:rPr>
          <w:lang w:val="en"/>
        </w:rPr>
        <w:t xml:space="preserve">Welsh Government (2015) </w:t>
      </w:r>
      <w:r w:rsidRPr="003F3A77">
        <w:rPr>
          <w:i/>
          <w:iCs/>
          <w:lang w:val="en"/>
        </w:rPr>
        <w:t xml:space="preserve">Foundation Phase Framework. </w:t>
      </w:r>
      <w:r w:rsidRPr="003F3A77">
        <w:rPr>
          <w:lang w:val="en"/>
        </w:rPr>
        <w:t>Cardiff: Welsh Assembly Government</w:t>
      </w:r>
      <w:r>
        <w:rPr>
          <w:lang w:val="en"/>
        </w:rPr>
        <w:t xml:space="preserve"> </w:t>
      </w:r>
    </w:p>
    <w:p w14:paraId="14E13B06" w14:textId="77777777" w:rsidR="003F3A77" w:rsidRPr="00501BAC" w:rsidRDefault="003F3A77"/>
    <w:sectPr w:rsidR="003F3A77" w:rsidRPr="00501B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692"/>
    <w:rsid w:val="0000044B"/>
    <w:rsid w:val="00014DF3"/>
    <w:rsid w:val="00023432"/>
    <w:rsid w:val="000313C8"/>
    <w:rsid w:val="00041DDA"/>
    <w:rsid w:val="00060C8D"/>
    <w:rsid w:val="00067F79"/>
    <w:rsid w:val="00080CE7"/>
    <w:rsid w:val="00083E90"/>
    <w:rsid w:val="000B0E8A"/>
    <w:rsid w:val="000B5053"/>
    <w:rsid w:val="000B5CB9"/>
    <w:rsid w:val="000D11EB"/>
    <w:rsid w:val="000D4B2E"/>
    <w:rsid w:val="000F0B97"/>
    <w:rsid w:val="000F7A22"/>
    <w:rsid w:val="001032F1"/>
    <w:rsid w:val="0011349E"/>
    <w:rsid w:val="001150CA"/>
    <w:rsid w:val="0012426D"/>
    <w:rsid w:val="00134F64"/>
    <w:rsid w:val="00136E34"/>
    <w:rsid w:val="00146A46"/>
    <w:rsid w:val="00151EAB"/>
    <w:rsid w:val="00164087"/>
    <w:rsid w:val="001651AA"/>
    <w:rsid w:val="0016610B"/>
    <w:rsid w:val="00171148"/>
    <w:rsid w:val="001766D3"/>
    <w:rsid w:val="00181DDA"/>
    <w:rsid w:val="0018735D"/>
    <w:rsid w:val="001906F0"/>
    <w:rsid w:val="001B11B2"/>
    <w:rsid w:val="001B5E07"/>
    <w:rsid w:val="001B6605"/>
    <w:rsid w:val="001D614C"/>
    <w:rsid w:val="001E502B"/>
    <w:rsid w:val="001F0184"/>
    <w:rsid w:val="00220B93"/>
    <w:rsid w:val="00230FD3"/>
    <w:rsid w:val="002332FA"/>
    <w:rsid w:val="002347A7"/>
    <w:rsid w:val="00245C2E"/>
    <w:rsid w:val="00253062"/>
    <w:rsid w:val="002A35F6"/>
    <w:rsid w:val="002A61FA"/>
    <w:rsid w:val="002B6AC3"/>
    <w:rsid w:val="00305F97"/>
    <w:rsid w:val="00310212"/>
    <w:rsid w:val="00323C97"/>
    <w:rsid w:val="003278CD"/>
    <w:rsid w:val="0033465A"/>
    <w:rsid w:val="00340311"/>
    <w:rsid w:val="003440E8"/>
    <w:rsid w:val="003441C1"/>
    <w:rsid w:val="00350E71"/>
    <w:rsid w:val="00360726"/>
    <w:rsid w:val="00381406"/>
    <w:rsid w:val="00393F36"/>
    <w:rsid w:val="003B70F9"/>
    <w:rsid w:val="003D2EF9"/>
    <w:rsid w:val="003F1789"/>
    <w:rsid w:val="003F3A77"/>
    <w:rsid w:val="00425FAE"/>
    <w:rsid w:val="00442B47"/>
    <w:rsid w:val="00451C4F"/>
    <w:rsid w:val="004665DF"/>
    <w:rsid w:val="00471A35"/>
    <w:rsid w:val="004762DF"/>
    <w:rsid w:val="00487683"/>
    <w:rsid w:val="00495773"/>
    <w:rsid w:val="004C5086"/>
    <w:rsid w:val="004D567A"/>
    <w:rsid w:val="004D5E3E"/>
    <w:rsid w:val="00501BAC"/>
    <w:rsid w:val="00503545"/>
    <w:rsid w:val="00522976"/>
    <w:rsid w:val="005319C2"/>
    <w:rsid w:val="005500AE"/>
    <w:rsid w:val="00552692"/>
    <w:rsid w:val="00554D35"/>
    <w:rsid w:val="00573905"/>
    <w:rsid w:val="00594599"/>
    <w:rsid w:val="005C6857"/>
    <w:rsid w:val="005D76E2"/>
    <w:rsid w:val="005E3B6C"/>
    <w:rsid w:val="005F6577"/>
    <w:rsid w:val="00624744"/>
    <w:rsid w:val="006428B4"/>
    <w:rsid w:val="00687938"/>
    <w:rsid w:val="006919BC"/>
    <w:rsid w:val="006A0B42"/>
    <w:rsid w:val="006B03A6"/>
    <w:rsid w:val="006B42E1"/>
    <w:rsid w:val="006C5356"/>
    <w:rsid w:val="006C7A0A"/>
    <w:rsid w:val="006C7C0B"/>
    <w:rsid w:val="006D0770"/>
    <w:rsid w:val="006E09A3"/>
    <w:rsid w:val="006E68A9"/>
    <w:rsid w:val="0070517A"/>
    <w:rsid w:val="007147F3"/>
    <w:rsid w:val="00720AB4"/>
    <w:rsid w:val="00722B16"/>
    <w:rsid w:val="007353AA"/>
    <w:rsid w:val="00744100"/>
    <w:rsid w:val="0074432D"/>
    <w:rsid w:val="00744FCA"/>
    <w:rsid w:val="00746DBF"/>
    <w:rsid w:val="0075214F"/>
    <w:rsid w:val="007601E1"/>
    <w:rsid w:val="00764471"/>
    <w:rsid w:val="0077351A"/>
    <w:rsid w:val="007755B5"/>
    <w:rsid w:val="00781335"/>
    <w:rsid w:val="007A5E1D"/>
    <w:rsid w:val="007A7E92"/>
    <w:rsid w:val="007C7B3F"/>
    <w:rsid w:val="007D4253"/>
    <w:rsid w:val="00804692"/>
    <w:rsid w:val="00812BED"/>
    <w:rsid w:val="0082035C"/>
    <w:rsid w:val="008633A8"/>
    <w:rsid w:val="00867918"/>
    <w:rsid w:val="0087474E"/>
    <w:rsid w:val="00881FAC"/>
    <w:rsid w:val="00896BBB"/>
    <w:rsid w:val="008976A9"/>
    <w:rsid w:val="008A554B"/>
    <w:rsid w:val="008B1EB4"/>
    <w:rsid w:val="008B2527"/>
    <w:rsid w:val="008B5C7F"/>
    <w:rsid w:val="008D6936"/>
    <w:rsid w:val="008E62B2"/>
    <w:rsid w:val="008F2DB8"/>
    <w:rsid w:val="0091102A"/>
    <w:rsid w:val="0092292B"/>
    <w:rsid w:val="00935F5E"/>
    <w:rsid w:val="00937AD2"/>
    <w:rsid w:val="00945DA5"/>
    <w:rsid w:val="00954983"/>
    <w:rsid w:val="00967936"/>
    <w:rsid w:val="00967F81"/>
    <w:rsid w:val="00973ECD"/>
    <w:rsid w:val="00976044"/>
    <w:rsid w:val="009A239E"/>
    <w:rsid w:val="009A572A"/>
    <w:rsid w:val="009B0CDF"/>
    <w:rsid w:val="009E5954"/>
    <w:rsid w:val="009E61EF"/>
    <w:rsid w:val="00A00F60"/>
    <w:rsid w:val="00A27557"/>
    <w:rsid w:val="00A45253"/>
    <w:rsid w:val="00A478F6"/>
    <w:rsid w:val="00A675AD"/>
    <w:rsid w:val="00A7500B"/>
    <w:rsid w:val="00A81FEA"/>
    <w:rsid w:val="00A82F36"/>
    <w:rsid w:val="00AC69B9"/>
    <w:rsid w:val="00AD2937"/>
    <w:rsid w:val="00B01BF2"/>
    <w:rsid w:val="00B02988"/>
    <w:rsid w:val="00B31DC4"/>
    <w:rsid w:val="00B37405"/>
    <w:rsid w:val="00B91D91"/>
    <w:rsid w:val="00B956FD"/>
    <w:rsid w:val="00BA4B03"/>
    <w:rsid w:val="00BB47A2"/>
    <w:rsid w:val="00BC78DF"/>
    <w:rsid w:val="00BE70FA"/>
    <w:rsid w:val="00C03BCD"/>
    <w:rsid w:val="00C06C8F"/>
    <w:rsid w:val="00C25064"/>
    <w:rsid w:val="00C319D3"/>
    <w:rsid w:val="00C319DC"/>
    <w:rsid w:val="00C3200C"/>
    <w:rsid w:val="00C463BD"/>
    <w:rsid w:val="00C60D3A"/>
    <w:rsid w:val="00C80CA7"/>
    <w:rsid w:val="00C80D65"/>
    <w:rsid w:val="00CA74FE"/>
    <w:rsid w:val="00CB6466"/>
    <w:rsid w:val="00CB6DAC"/>
    <w:rsid w:val="00CC222C"/>
    <w:rsid w:val="00CD00C3"/>
    <w:rsid w:val="00CD0FE6"/>
    <w:rsid w:val="00CD15CE"/>
    <w:rsid w:val="00CF33FA"/>
    <w:rsid w:val="00CF3BB9"/>
    <w:rsid w:val="00CF599F"/>
    <w:rsid w:val="00D150D1"/>
    <w:rsid w:val="00D16D15"/>
    <w:rsid w:val="00D27477"/>
    <w:rsid w:val="00D34AD5"/>
    <w:rsid w:val="00D619E0"/>
    <w:rsid w:val="00D70E02"/>
    <w:rsid w:val="00D74AE4"/>
    <w:rsid w:val="00D93635"/>
    <w:rsid w:val="00D944F0"/>
    <w:rsid w:val="00DB18B3"/>
    <w:rsid w:val="00DD0534"/>
    <w:rsid w:val="00DD1EA0"/>
    <w:rsid w:val="00DD7415"/>
    <w:rsid w:val="00DE4A57"/>
    <w:rsid w:val="00DF4BAA"/>
    <w:rsid w:val="00E02AAE"/>
    <w:rsid w:val="00E05C17"/>
    <w:rsid w:val="00E05FF9"/>
    <w:rsid w:val="00E372CE"/>
    <w:rsid w:val="00E44721"/>
    <w:rsid w:val="00E53510"/>
    <w:rsid w:val="00E56451"/>
    <w:rsid w:val="00E63DFF"/>
    <w:rsid w:val="00E92214"/>
    <w:rsid w:val="00E946E4"/>
    <w:rsid w:val="00EB003C"/>
    <w:rsid w:val="00EB424F"/>
    <w:rsid w:val="00EC6B2A"/>
    <w:rsid w:val="00ED22A1"/>
    <w:rsid w:val="00ED6F49"/>
    <w:rsid w:val="00EE7410"/>
    <w:rsid w:val="00EE74EB"/>
    <w:rsid w:val="00EF48D0"/>
    <w:rsid w:val="00F01C85"/>
    <w:rsid w:val="00F31147"/>
    <w:rsid w:val="00F935AC"/>
    <w:rsid w:val="00F9409C"/>
    <w:rsid w:val="00FA1D1C"/>
    <w:rsid w:val="00FD01DA"/>
    <w:rsid w:val="00FD18CB"/>
    <w:rsid w:val="00FD52C4"/>
    <w:rsid w:val="00FE2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98533"/>
  <w15:chartTrackingRefBased/>
  <w15:docId w15:val="{E819013A-7297-4B09-AAFB-8545FE990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40E8"/>
    <w:rPr>
      <w:color w:val="0563C1" w:themeColor="hyperlink"/>
      <w:u w:val="single"/>
    </w:rPr>
  </w:style>
  <w:style w:type="character" w:styleId="UnresolvedMention">
    <w:name w:val="Unresolved Mention"/>
    <w:basedOn w:val="DefaultParagraphFont"/>
    <w:uiPriority w:val="99"/>
    <w:semiHidden/>
    <w:unhideWhenUsed/>
    <w:rsid w:val="00344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psychlotron.org.uk/newResources/developmental/AS_AQB_gender_CognitiveBasics.pdf" TargetMode="External"/><Relationship Id="rId4" Type="http://schemas.openxmlformats.org/officeDocument/2006/relationships/hyperlink" Target="https://www.psychologytoday.com/us/blog/the-scientific-fundamentalist/200804/why-do-boys-and-girls-prefer-different-to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7</Pages>
  <Words>2350</Words>
  <Characters>13395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228</cp:revision>
  <dcterms:created xsi:type="dcterms:W3CDTF">2020-04-20T11:50:00Z</dcterms:created>
  <dcterms:modified xsi:type="dcterms:W3CDTF">2020-04-22T13:57:00Z</dcterms:modified>
</cp:coreProperties>
</file>