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F412D" w14:textId="00A86C0D" w:rsidR="003214D4" w:rsidRPr="00F0582C" w:rsidRDefault="003214D4">
      <w:pPr>
        <w:rPr>
          <w:b/>
          <w:bCs/>
          <w:sz w:val="36"/>
          <w:szCs w:val="36"/>
        </w:rPr>
      </w:pPr>
      <w:r w:rsidRPr="00F0582C">
        <w:rPr>
          <w:b/>
          <w:bCs/>
          <w:sz w:val="36"/>
          <w:szCs w:val="36"/>
        </w:rPr>
        <w:t>NAME: SAMANTHA ESSONO MANANA</w:t>
      </w:r>
    </w:p>
    <w:p w14:paraId="74D267D9" w14:textId="77777777" w:rsidR="000828AF" w:rsidRPr="00F0582C" w:rsidRDefault="003214D4">
      <w:pPr>
        <w:rPr>
          <w:b/>
          <w:bCs/>
          <w:sz w:val="36"/>
          <w:szCs w:val="36"/>
        </w:rPr>
      </w:pPr>
      <w:r w:rsidRPr="00F0582C">
        <w:rPr>
          <w:b/>
          <w:bCs/>
          <w:sz w:val="36"/>
          <w:szCs w:val="36"/>
        </w:rPr>
        <w:t>COURSE: PSYCHOLOGY IN HEALTH AND SOCIAL CAR</w:t>
      </w:r>
      <w:r w:rsidR="008B3280" w:rsidRPr="00F0582C">
        <w:rPr>
          <w:b/>
          <w:bCs/>
          <w:sz w:val="36"/>
          <w:szCs w:val="36"/>
        </w:rPr>
        <w:t>E</w:t>
      </w:r>
    </w:p>
    <w:p w14:paraId="4000258B" w14:textId="4C4E9BB9" w:rsidR="003214D4" w:rsidRPr="00F0582C" w:rsidRDefault="000828AF">
      <w:pPr>
        <w:rPr>
          <w:b/>
          <w:bCs/>
          <w:sz w:val="36"/>
          <w:szCs w:val="36"/>
        </w:rPr>
      </w:pPr>
      <w:r w:rsidRPr="00F0582C">
        <w:rPr>
          <w:b/>
          <w:bCs/>
          <w:sz w:val="36"/>
          <w:szCs w:val="36"/>
        </w:rPr>
        <w:t>MODULE CODE</w:t>
      </w:r>
      <w:r w:rsidR="003214D4" w:rsidRPr="00F0582C">
        <w:rPr>
          <w:b/>
          <w:bCs/>
          <w:sz w:val="36"/>
          <w:szCs w:val="36"/>
        </w:rPr>
        <w:t>(LCHS4010)</w:t>
      </w:r>
    </w:p>
    <w:p w14:paraId="47DC1229" w14:textId="3B8E56E2" w:rsidR="008B3280" w:rsidRPr="00F0582C" w:rsidRDefault="008B3280">
      <w:pPr>
        <w:rPr>
          <w:b/>
          <w:bCs/>
          <w:sz w:val="36"/>
          <w:szCs w:val="36"/>
        </w:rPr>
      </w:pPr>
      <w:r w:rsidRPr="00F0582C">
        <w:rPr>
          <w:b/>
          <w:bCs/>
          <w:sz w:val="36"/>
          <w:szCs w:val="36"/>
        </w:rPr>
        <w:t>STUDENT ID: 2441601</w:t>
      </w:r>
    </w:p>
    <w:p w14:paraId="31FAF9A7" w14:textId="3020D556" w:rsidR="00B92B1A" w:rsidRPr="00EE1CDC" w:rsidRDefault="003214D4" w:rsidP="00EE1CDC">
      <w:pPr>
        <w:rPr>
          <w:b/>
          <w:bCs/>
          <w:sz w:val="36"/>
          <w:szCs w:val="36"/>
        </w:rPr>
      </w:pPr>
      <w:r w:rsidRPr="00F0582C">
        <w:rPr>
          <w:b/>
          <w:bCs/>
          <w:sz w:val="36"/>
          <w:szCs w:val="36"/>
        </w:rPr>
        <w:t>LECTURE: L</w:t>
      </w:r>
      <w:r w:rsidR="00E42993" w:rsidRPr="00F0582C">
        <w:rPr>
          <w:b/>
          <w:bCs/>
          <w:sz w:val="36"/>
          <w:szCs w:val="36"/>
        </w:rPr>
        <w:t>OU</w:t>
      </w:r>
      <w:r w:rsidRPr="00F0582C">
        <w:rPr>
          <w:b/>
          <w:bCs/>
          <w:sz w:val="36"/>
          <w:szCs w:val="36"/>
        </w:rPr>
        <w:t xml:space="preserve"> WELLS</w:t>
      </w:r>
    </w:p>
    <w:p w14:paraId="22A9FF01" w14:textId="77777777" w:rsidR="00F0582C" w:rsidRPr="00E42993" w:rsidRDefault="00F0582C">
      <w:pPr>
        <w:rPr>
          <w:b/>
          <w:bCs/>
          <w:sz w:val="44"/>
          <w:szCs w:val="44"/>
        </w:rPr>
      </w:pPr>
    </w:p>
    <w:p w14:paraId="4E2A35EC" w14:textId="13CC9EFB" w:rsidR="003214D4" w:rsidRPr="00DB41E2" w:rsidRDefault="003214D4" w:rsidP="00DB41E2">
      <w:pPr>
        <w:rPr>
          <w:b/>
          <w:bCs/>
          <w:sz w:val="32"/>
          <w:szCs w:val="32"/>
        </w:rPr>
      </w:pPr>
      <w:r w:rsidRPr="003214D4">
        <w:rPr>
          <w:b/>
          <w:bCs/>
          <w:sz w:val="32"/>
          <w:szCs w:val="32"/>
        </w:rPr>
        <w:t>PART A: ANNOTATED BIBLIOGRAPHY</w:t>
      </w:r>
    </w:p>
    <w:p w14:paraId="0F590978" w14:textId="5F554D49" w:rsidR="003214D4" w:rsidRPr="0060563F" w:rsidRDefault="003214D4" w:rsidP="00DB41E2">
      <w:pPr>
        <w:pStyle w:val="ListParagraph"/>
        <w:numPr>
          <w:ilvl w:val="0"/>
          <w:numId w:val="1"/>
        </w:numPr>
        <w:rPr>
          <w:b/>
          <w:bCs/>
          <w:sz w:val="22"/>
          <w:szCs w:val="22"/>
        </w:rPr>
      </w:pPr>
      <w:r w:rsidRPr="0060563F">
        <w:rPr>
          <w:b/>
          <w:bCs/>
          <w:sz w:val="22"/>
          <w:szCs w:val="22"/>
        </w:rPr>
        <w:t>ERIKSON, E.H (1982) THE LIFE CYCLE COMPLETED</w:t>
      </w:r>
      <w:r w:rsidR="00B9380C" w:rsidRPr="0060563F">
        <w:rPr>
          <w:b/>
          <w:bCs/>
          <w:sz w:val="22"/>
          <w:szCs w:val="22"/>
        </w:rPr>
        <w:t>. NEW YORK: NORTON</w:t>
      </w:r>
    </w:p>
    <w:p w14:paraId="4441E87D" w14:textId="08656047" w:rsidR="00B9380C" w:rsidRPr="0060563F" w:rsidRDefault="00B9380C">
      <w:pPr>
        <w:rPr>
          <w:b/>
          <w:bCs/>
          <w:sz w:val="22"/>
          <w:szCs w:val="22"/>
        </w:rPr>
      </w:pPr>
      <w:r w:rsidRPr="0060563F">
        <w:rPr>
          <w:b/>
          <w:bCs/>
          <w:sz w:val="22"/>
          <w:szCs w:val="22"/>
        </w:rPr>
        <w:t>SUMMARY</w:t>
      </w:r>
    </w:p>
    <w:p w14:paraId="402FA334" w14:textId="6764B6DE" w:rsidR="00C31700" w:rsidRPr="0060563F" w:rsidRDefault="007D4349" w:rsidP="00E00F2C">
      <w:pPr>
        <w:rPr>
          <w:sz w:val="22"/>
          <w:szCs w:val="22"/>
        </w:rPr>
      </w:pPr>
      <w:r w:rsidRPr="0060563F">
        <w:rPr>
          <w:sz w:val="22"/>
          <w:szCs w:val="22"/>
        </w:rPr>
        <w:t xml:space="preserve">Erik Erikson's psychosocial theory </w:t>
      </w:r>
      <w:r w:rsidR="0038211E" w:rsidRPr="0060563F">
        <w:rPr>
          <w:sz w:val="22"/>
          <w:szCs w:val="22"/>
        </w:rPr>
        <w:t>divides</w:t>
      </w:r>
      <w:r w:rsidRPr="0060563F">
        <w:rPr>
          <w:sz w:val="22"/>
          <w:szCs w:val="22"/>
        </w:rPr>
        <w:t xml:space="preserve"> development into eight phases, with the final stage, ego integrity versus despair, being particularly important to older individuals. This stage entails reflecting on one's life and assessing previous experiences. Individuals who are content with their daily lives create a sense of integrity, but those who dwell on regrets may experience despair, resulting in depression and anxiety. The theory emphasises the significance of identity, meaning, and emotional well-being in later age, particularly in care settings when people may experience loss of independence and social isolation.</w:t>
      </w:r>
    </w:p>
    <w:p w14:paraId="7C9E71B4" w14:textId="0D1874F6" w:rsidR="00B83382" w:rsidRPr="0060563F" w:rsidRDefault="00A62195" w:rsidP="00E00F2C">
      <w:pPr>
        <w:rPr>
          <w:b/>
          <w:bCs/>
          <w:sz w:val="22"/>
          <w:szCs w:val="22"/>
        </w:rPr>
      </w:pPr>
      <w:r w:rsidRPr="0060563F">
        <w:rPr>
          <w:b/>
          <w:bCs/>
          <w:sz w:val="22"/>
          <w:szCs w:val="22"/>
        </w:rPr>
        <w:t>CRITICAL COMMEN</w:t>
      </w:r>
      <w:r w:rsidR="00C91A60" w:rsidRPr="0060563F">
        <w:rPr>
          <w:b/>
          <w:bCs/>
          <w:sz w:val="22"/>
          <w:szCs w:val="22"/>
        </w:rPr>
        <w:t>T</w:t>
      </w:r>
    </w:p>
    <w:p w14:paraId="42EF38B7" w14:textId="00562888" w:rsidR="003214D4" w:rsidRPr="0060563F" w:rsidRDefault="00BC1843">
      <w:pPr>
        <w:rPr>
          <w:sz w:val="22"/>
          <w:szCs w:val="22"/>
        </w:rPr>
      </w:pPr>
      <w:r w:rsidRPr="0060563F">
        <w:rPr>
          <w:sz w:val="22"/>
          <w:szCs w:val="22"/>
        </w:rPr>
        <w:t xml:space="preserve">This theory is particularly relevant in health and social care since it promotes person-centred methods and </w:t>
      </w:r>
      <w:r w:rsidR="001B64D7" w:rsidRPr="0060563F">
        <w:rPr>
          <w:sz w:val="22"/>
          <w:szCs w:val="22"/>
        </w:rPr>
        <w:t>encourages</w:t>
      </w:r>
      <w:r w:rsidRPr="0060563F">
        <w:rPr>
          <w:sz w:val="22"/>
          <w:szCs w:val="22"/>
        </w:rPr>
        <w:t xml:space="preserve"> clinicians to focus on older </w:t>
      </w:r>
      <w:r w:rsidR="0038211E" w:rsidRPr="0060563F">
        <w:rPr>
          <w:sz w:val="22"/>
          <w:szCs w:val="22"/>
        </w:rPr>
        <w:t>people</w:t>
      </w:r>
      <w:r w:rsidR="001B64D7" w:rsidRPr="0060563F">
        <w:rPr>
          <w:sz w:val="22"/>
          <w:szCs w:val="22"/>
        </w:rPr>
        <w:t>’</w:t>
      </w:r>
      <w:r w:rsidR="0038211E" w:rsidRPr="0060563F">
        <w:rPr>
          <w:sz w:val="22"/>
          <w:szCs w:val="22"/>
        </w:rPr>
        <w:t>s</w:t>
      </w:r>
      <w:r w:rsidRPr="0060563F">
        <w:rPr>
          <w:sz w:val="22"/>
          <w:szCs w:val="22"/>
        </w:rPr>
        <w:t xml:space="preserve"> emotional needs. Activities like memory therapy can boost well-being and reduce loneliness. However, the idea may be regarded </w:t>
      </w:r>
      <w:r w:rsidR="001B64D7" w:rsidRPr="0060563F">
        <w:rPr>
          <w:sz w:val="22"/>
          <w:szCs w:val="22"/>
        </w:rPr>
        <w:t xml:space="preserve">as </w:t>
      </w:r>
      <w:r w:rsidRPr="0060563F">
        <w:rPr>
          <w:sz w:val="22"/>
          <w:szCs w:val="22"/>
        </w:rPr>
        <w:t>overly simplistic because it implies a universal experience of ageing and fails to account for cultural or individual variances.</w:t>
      </w:r>
    </w:p>
    <w:p w14:paraId="39A67FA6" w14:textId="77777777" w:rsidR="00396A97" w:rsidRPr="0060563F" w:rsidRDefault="009D0AA2" w:rsidP="00E43481">
      <w:pPr>
        <w:rPr>
          <w:b/>
          <w:bCs/>
          <w:sz w:val="22"/>
          <w:szCs w:val="22"/>
        </w:rPr>
      </w:pPr>
      <w:r w:rsidRPr="0060563F">
        <w:rPr>
          <w:b/>
          <w:bCs/>
          <w:sz w:val="22"/>
          <w:szCs w:val="22"/>
        </w:rPr>
        <w:t>2.</w:t>
      </w:r>
      <w:r w:rsidR="009D0AF1" w:rsidRPr="0060563F">
        <w:rPr>
          <w:b/>
          <w:bCs/>
          <w:sz w:val="22"/>
          <w:szCs w:val="22"/>
        </w:rPr>
        <w:t xml:space="preserve"> Westerhof, G.J. and </w:t>
      </w:r>
      <w:proofErr w:type="spellStart"/>
      <w:r w:rsidR="00A541E1" w:rsidRPr="0060563F">
        <w:rPr>
          <w:b/>
          <w:bCs/>
          <w:sz w:val="22"/>
          <w:szCs w:val="22"/>
        </w:rPr>
        <w:t>Bohlmeijer</w:t>
      </w:r>
      <w:proofErr w:type="spellEnd"/>
      <w:r w:rsidR="00A541E1" w:rsidRPr="0060563F">
        <w:rPr>
          <w:b/>
          <w:bCs/>
          <w:sz w:val="22"/>
          <w:szCs w:val="22"/>
        </w:rPr>
        <w:t xml:space="preserve">, </w:t>
      </w:r>
      <w:proofErr w:type="gramStart"/>
      <w:r w:rsidR="00A541E1" w:rsidRPr="0060563F">
        <w:rPr>
          <w:b/>
          <w:bCs/>
          <w:sz w:val="22"/>
          <w:szCs w:val="22"/>
        </w:rPr>
        <w:t>E.T.(</w:t>
      </w:r>
      <w:proofErr w:type="gramEnd"/>
      <w:r w:rsidR="00A541E1" w:rsidRPr="0060563F">
        <w:rPr>
          <w:b/>
          <w:bCs/>
          <w:sz w:val="22"/>
          <w:szCs w:val="22"/>
        </w:rPr>
        <w:t>2014)</w:t>
      </w:r>
      <w:r w:rsidR="00217940" w:rsidRPr="0060563F">
        <w:rPr>
          <w:b/>
          <w:bCs/>
          <w:sz w:val="22"/>
          <w:szCs w:val="22"/>
        </w:rPr>
        <w:t xml:space="preserve"> CELEBRATING </w:t>
      </w:r>
      <w:r w:rsidR="008F5AE4" w:rsidRPr="0060563F">
        <w:rPr>
          <w:b/>
          <w:bCs/>
          <w:sz w:val="22"/>
          <w:szCs w:val="22"/>
        </w:rPr>
        <w:t>FIFTY YEARS OF RESEAR</w:t>
      </w:r>
      <w:r w:rsidR="0054096A" w:rsidRPr="0060563F">
        <w:rPr>
          <w:b/>
          <w:bCs/>
          <w:sz w:val="22"/>
          <w:szCs w:val="22"/>
        </w:rPr>
        <w:t>CH AND APPLICATIONS IN REMINISCE</w:t>
      </w:r>
      <w:r w:rsidR="000228FD" w:rsidRPr="0060563F">
        <w:rPr>
          <w:b/>
          <w:bCs/>
          <w:sz w:val="22"/>
          <w:szCs w:val="22"/>
        </w:rPr>
        <w:t>NCE</w:t>
      </w:r>
      <w:r w:rsidR="00127C93" w:rsidRPr="0060563F">
        <w:rPr>
          <w:b/>
          <w:bCs/>
          <w:sz w:val="22"/>
          <w:szCs w:val="22"/>
        </w:rPr>
        <w:t xml:space="preserve"> AND LIFE REVIEW. JOURNAL OF AG</w:t>
      </w:r>
      <w:r w:rsidR="00646F5F" w:rsidRPr="0060563F">
        <w:rPr>
          <w:b/>
          <w:bCs/>
          <w:sz w:val="22"/>
          <w:szCs w:val="22"/>
        </w:rPr>
        <w:t>ING STUDIES</w:t>
      </w:r>
      <w:r w:rsidR="00FA4267" w:rsidRPr="0060563F">
        <w:rPr>
          <w:b/>
          <w:bCs/>
          <w:sz w:val="22"/>
          <w:szCs w:val="22"/>
        </w:rPr>
        <w:t>,29, PP. 107-1144.</w:t>
      </w:r>
    </w:p>
    <w:p w14:paraId="7D487EB4" w14:textId="7E38BB4E" w:rsidR="00E43481" w:rsidRPr="0060563F" w:rsidRDefault="00E43481" w:rsidP="00E43481">
      <w:pPr>
        <w:rPr>
          <w:sz w:val="22"/>
          <w:szCs w:val="22"/>
        </w:rPr>
      </w:pPr>
      <w:r w:rsidRPr="0060563F">
        <w:rPr>
          <w:sz w:val="22"/>
          <w:szCs w:val="22"/>
        </w:rPr>
        <w:t>This paper investigates the efficacy of recollection and life review treatments in promoting psychological well-being among older persons. It emphasises how reflecting on personal experiences can improve life happiness, enhance identity, and alleviate depressive symptoms. The authors claim that structured life reviews are especially advantageous in care environments when older persons may feel lonely, lost, or have less autonomy.</w:t>
      </w:r>
    </w:p>
    <w:p w14:paraId="6131B686" w14:textId="77777777" w:rsidR="00E43481" w:rsidRPr="0060563F" w:rsidRDefault="00E43481" w:rsidP="00E43481">
      <w:pPr>
        <w:rPr>
          <w:b/>
          <w:bCs/>
          <w:sz w:val="22"/>
          <w:szCs w:val="22"/>
        </w:rPr>
      </w:pPr>
      <w:r w:rsidRPr="0060563F">
        <w:rPr>
          <w:b/>
          <w:bCs/>
          <w:sz w:val="22"/>
          <w:szCs w:val="22"/>
        </w:rPr>
        <w:t>Critical comment:</w:t>
      </w:r>
    </w:p>
    <w:p w14:paraId="27794651" w14:textId="4B342BB0" w:rsidR="00B742C9" w:rsidRPr="0060563F" w:rsidRDefault="00E43481" w:rsidP="00E43481">
      <w:pPr>
        <w:rPr>
          <w:sz w:val="22"/>
          <w:szCs w:val="22"/>
        </w:rPr>
      </w:pPr>
      <w:r w:rsidRPr="0060563F">
        <w:rPr>
          <w:sz w:val="22"/>
          <w:szCs w:val="22"/>
        </w:rPr>
        <w:lastRenderedPageBreak/>
        <w:t xml:space="preserve">The data provide significant assistance for Erikson's theory, indicating how life review can improve ego integrity. </w:t>
      </w:r>
      <w:proofErr w:type="gramStart"/>
      <w:r w:rsidRPr="0060563F">
        <w:rPr>
          <w:sz w:val="22"/>
          <w:szCs w:val="22"/>
        </w:rPr>
        <w:t>In reality, these</w:t>
      </w:r>
      <w:proofErr w:type="gramEnd"/>
      <w:r w:rsidRPr="0060563F">
        <w:rPr>
          <w:sz w:val="22"/>
          <w:szCs w:val="22"/>
        </w:rPr>
        <w:t xml:space="preserve"> interventions can be implemented in care facilities as group activities or one-on-one sessions. However, its efficacy is dependent on staff training and time availability, which might be limited in busy health and social care settings.</w:t>
      </w:r>
    </w:p>
    <w:p w14:paraId="2D4855F1" w14:textId="77777777" w:rsidR="00301F73" w:rsidRPr="0060563F" w:rsidRDefault="00301F73" w:rsidP="00E43481">
      <w:pPr>
        <w:rPr>
          <w:sz w:val="22"/>
          <w:szCs w:val="22"/>
        </w:rPr>
      </w:pPr>
    </w:p>
    <w:p w14:paraId="1FA806F3" w14:textId="7ECFEF40" w:rsidR="00396A97" w:rsidRPr="0060563F" w:rsidRDefault="00DB41E2" w:rsidP="002924F7">
      <w:pPr>
        <w:pStyle w:val="ListParagraph"/>
        <w:numPr>
          <w:ilvl w:val="0"/>
          <w:numId w:val="2"/>
        </w:numPr>
        <w:rPr>
          <w:b/>
          <w:bCs/>
          <w:sz w:val="22"/>
          <w:szCs w:val="22"/>
        </w:rPr>
      </w:pPr>
      <w:r w:rsidRPr="0060563F">
        <w:rPr>
          <w:b/>
          <w:bCs/>
          <w:sz w:val="22"/>
          <w:szCs w:val="22"/>
        </w:rPr>
        <w:t>FREUD,</w:t>
      </w:r>
      <w:r w:rsidR="00F10662" w:rsidRPr="0060563F">
        <w:rPr>
          <w:b/>
          <w:bCs/>
          <w:sz w:val="22"/>
          <w:szCs w:val="22"/>
        </w:rPr>
        <w:t xml:space="preserve"> </w:t>
      </w:r>
      <w:r w:rsidRPr="0060563F">
        <w:rPr>
          <w:b/>
          <w:bCs/>
          <w:sz w:val="22"/>
          <w:szCs w:val="22"/>
        </w:rPr>
        <w:t>S (</w:t>
      </w:r>
      <w:r w:rsidR="00524916" w:rsidRPr="0060563F">
        <w:rPr>
          <w:b/>
          <w:bCs/>
          <w:sz w:val="22"/>
          <w:szCs w:val="22"/>
        </w:rPr>
        <w:t>1923) THE EGO AND THE ID. LONDON: HOGARTH PRESS</w:t>
      </w:r>
      <w:r w:rsidR="00191DB7" w:rsidRPr="0060563F">
        <w:rPr>
          <w:b/>
          <w:bCs/>
          <w:sz w:val="22"/>
          <w:szCs w:val="22"/>
        </w:rPr>
        <w:t>.</w:t>
      </w:r>
    </w:p>
    <w:p w14:paraId="5626D928" w14:textId="77777777" w:rsidR="007E2E5B" w:rsidRPr="0060563F" w:rsidRDefault="007E2E5B" w:rsidP="00301F73">
      <w:pPr>
        <w:pStyle w:val="ListParagraph"/>
        <w:rPr>
          <w:b/>
          <w:bCs/>
          <w:sz w:val="22"/>
          <w:szCs w:val="22"/>
        </w:rPr>
      </w:pPr>
    </w:p>
    <w:p w14:paraId="5B9B6298" w14:textId="2D87333E" w:rsidR="002E1104" w:rsidRPr="0060563F" w:rsidRDefault="00CE2A07" w:rsidP="00301F73">
      <w:pPr>
        <w:rPr>
          <w:sz w:val="22"/>
          <w:szCs w:val="22"/>
        </w:rPr>
      </w:pPr>
      <w:r w:rsidRPr="0060563F">
        <w:rPr>
          <w:sz w:val="22"/>
          <w:szCs w:val="22"/>
        </w:rPr>
        <w:t>Sigmund Freud's psychoanalytic theory highlights the significance of unconscious processes in shaping human behaviour and emotional responses. Freud proposed that personality is divided into three connected components: the id, which operates on the pleasure principle and seeks immediate</w:t>
      </w:r>
      <w:r w:rsidR="007E2E5B" w:rsidRPr="0060563F">
        <w:rPr>
          <w:sz w:val="22"/>
          <w:szCs w:val="22"/>
        </w:rPr>
        <w:t xml:space="preserve"> </w:t>
      </w:r>
      <w:r w:rsidRPr="0060563F">
        <w:rPr>
          <w:sz w:val="22"/>
          <w:szCs w:val="22"/>
        </w:rPr>
        <w:t>gratification; the ego, which operates on the reality principle and mediates between internal desires and external demands; and the superego, which represents internalised moral values and societal expectations (Freud, 1923). The dynamic interaction of these structures has an influence on thoughts, behaviours, and emotional regulation. A major tenet of Freud's theory is that much of human behaviour is motivated by unconscious ideas and unresolved conflicts, which frequently stem from early childhood experiences.</w:t>
      </w:r>
      <w:r w:rsidR="00AC063F" w:rsidRPr="0060563F">
        <w:rPr>
          <w:sz w:val="22"/>
          <w:szCs w:val="22"/>
        </w:rPr>
        <w:t xml:space="preserve"> </w:t>
      </w:r>
      <w:r w:rsidRPr="0060563F">
        <w:rPr>
          <w:sz w:val="22"/>
          <w:szCs w:val="22"/>
        </w:rPr>
        <w:t>These experiences can influence personality development and how people react to stress throughout their lives. Freud argued that if conflicts are not fully resolved, they may persist in the unconscious mind and manifest later as worry, emotional distress, or maladaptive actions.</w:t>
      </w:r>
    </w:p>
    <w:p w14:paraId="3A1CEFB3" w14:textId="77777777" w:rsidR="00577964" w:rsidRPr="0060563F" w:rsidRDefault="00577964" w:rsidP="00577964">
      <w:pPr>
        <w:rPr>
          <w:b/>
          <w:bCs/>
          <w:sz w:val="22"/>
          <w:szCs w:val="22"/>
        </w:rPr>
      </w:pPr>
      <w:r w:rsidRPr="0060563F">
        <w:rPr>
          <w:b/>
          <w:bCs/>
          <w:sz w:val="22"/>
          <w:szCs w:val="22"/>
        </w:rPr>
        <w:t>Critical comment:</w:t>
      </w:r>
    </w:p>
    <w:p w14:paraId="716A820C" w14:textId="2A463328" w:rsidR="00BE1F30" w:rsidRPr="0060563F" w:rsidRDefault="000D5709" w:rsidP="00577964">
      <w:pPr>
        <w:rPr>
          <w:sz w:val="22"/>
          <w:szCs w:val="22"/>
        </w:rPr>
      </w:pPr>
      <w:r w:rsidRPr="0060563F">
        <w:rPr>
          <w:sz w:val="22"/>
          <w:szCs w:val="22"/>
        </w:rPr>
        <w:t>Sigmund Freud's psychoanalytic theory provides great insight into the complexities of human behaviour by highlighting the importance of unconscious processes and early life experiences. One of its primary benefits is that it encourages healthcare workers to go beyond evident conduct and explore underlying emotional factors. In health and social care settings, this can boost empathy and promote more holistic, person-centred care. Understanding that anxiety or depression in older persons may be caused by unresolved disputes, for example, might help staff respond more sensitively. However, Freud's theory has serious flaws. A major critique is the absence of empirical evidence to back up many of its main notions, such as the unconscious mind and psychosexual phases.</w:t>
      </w:r>
      <w:r w:rsidR="00220429" w:rsidRPr="0060563F">
        <w:rPr>
          <w:sz w:val="22"/>
          <w:szCs w:val="22"/>
        </w:rPr>
        <w:t xml:space="preserve"> </w:t>
      </w:r>
      <w:r w:rsidR="00E31000" w:rsidRPr="0060563F">
        <w:rPr>
          <w:sz w:val="22"/>
          <w:szCs w:val="22"/>
        </w:rPr>
        <w:t>This lowers its value in evidence-based practice. Additionally, the theory might be interpreted as unduly deterministic, implying that early childhood events</w:t>
      </w:r>
      <w:r w:rsidR="009D2AB1" w:rsidRPr="0060563F">
        <w:rPr>
          <w:sz w:val="22"/>
          <w:szCs w:val="22"/>
        </w:rPr>
        <w:t xml:space="preserve"> </w:t>
      </w:r>
      <w:r w:rsidR="00E31000" w:rsidRPr="0060563F">
        <w:rPr>
          <w:sz w:val="22"/>
          <w:szCs w:val="22"/>
        </w:rPr>
        <w:t>permanently affect conduct, possibly discounting the possibility for change and adaptation later in life.</w:t>
      </w:r>
    </w:p>
    <w:p w14:paraId="7B6A8BF7" w14:textId="349B3923" w:rsidR="00D15B37" w:rsidRPr="0060563F" w:rsidRDefault="0068302A" w:rsidP="00691728">
      <w:pPr>
        <w:pStyle w:val="ListParagraph"/>
        <w:numPr>
          <w:ilvl w:val="0"/>
          <w:numId w:val="2"/>
        </w:numPr>
        <w:rPr>
          <w:b/>
          <w:bCs/>
          <w:sz w:val="22"/>
          <w:szCs w:val="22"/>
        </w:rPr>
      </w:pPr>
      <w:r w:rsidRPr="0060563F">
        <w:rPr>
          <w:b/>
          <w:bCs/>
          <w:sz w:val="22"/>
          <w:szCs w:val="22"/>
        </w:rPr>
        <w:t>CRAMER, P</w:t>
      </w:r>
      <w:r w:rsidR="000A4A3B" w:rsidRPr="0060563F">
        <w:rPr>
          <w:b/>
          <w:bCs/>
          <w:sz w:val="22"/>
          <w:szCs w:val="22"/>
        </w:rPr>
        <w:t xml:space="preserve"> </w:t>
      </w:r>
      <w:r w:rsidRPr="0060563F">
        <w:rPr>
          <w:b/>
          <w:bCs/>
          <w:sz w:val="22"/>
          <w:szCs w:val="22"/>
        </w:rPr>
        <w:t>(2000)’</w:t>
      </w:r>
      <w:r w:rsidR="000A4A3B" w:rsidRPr="0060563F">
        <w:rPr>
          <w:b/>
          <w:bCs/>
          <w:sz w:val="22"/>
          <w:szCs w:val="22"/>
        </w:rPr>
        <w:t xml:space="preserve"> </w:t>
      </w:r>
      <w:r w:rsidRPr="0060563F">
        <w:rPr>
          <w:b/>
          <w:bCs/>
          <w:sz w:val="22"/>
          <w:szCs w:val="22"/>
        </w:rPr>
        <w:t>DEFENSE MECHANISMS IN PSYCHOLOGY TODAY</w:t>
      </w:r>
      <w:r w:rsidR="00687EB8" w:rsidRPr="0060563F">
        <w:rPr>
          <w:b/>
          <w:bCs/>
          <w:sz w:val="22"/>
          <w:szCs w:val="22"/>
        </w:rPr>
        <w:t>’AMERICAN PSYCHOLOGIST,</w:t>
      </w:r>
      <w:r w:rsidR="00053AF3" w:rsidRPr="0060563F">
        <w:rPr>
          <w:b/>
          <w:bCs/>
          <w:sz w:val="22"/>
          <w:szCs w:val="22"/>
        </w:rPr>
        <w:t>55(6),</w:t>
      </w:r>
      <w:r w:rsidR="008B5037" w:rsidRPr="0060563F">
        <w:rPr>
          <w:b/>
          <w:bCs/>
          <w:sz w:val="22"/>
          <w:szCs w:val="22"/>
        </w:rPr>
        <w:t xml:space="preserve"> </w:t>
      </w:r>
      <w:r w:rsidR="00053AF3" w:rsidRPr="0060563F">
        <w:rPr>
          <w:b/>
          <w:bCs/>
          <w:sz w:val="22"/>
          <w:szCs w:val="22"/>
        </w:rPr>
        <w:t>pp</w:t>
      </w:r>
      <w:r w:rsidR="00191DB7" w:rsidRPr="0060563F">
        <w:rPr>
          <w:b/>
          <w:bCs/>
          <w:sz w:val="22"/>
          <w:szCs w:val="22"/>
        </w:rPr>
        <w:t>.</w:t>
      </w:r>
      <w:r w:rsidR="008B5037" w:rsidRPr="0060563F">
        <w:rPr>
          <w:b/>
          <w:bCs/>
          <w:sz w:val="22"/>
          <w:szCs w:val="22"/>
        </w:rPr>
        <w:t xml:space="preserve"> </w:t>
      </w:r>
      <w:r w:rsidR="00191DB7" w:rsidRPr="0060563F">
        <w:rPr>
          <w:b/>
          <w:bCs/>
          <w:sz w:val="22"/>
          <w:szCs w:val="22"/>
        </w:rPr>
        <w:t>637-646.</w:t>
      </w:r>
    </w:p>
    <w:p w14:paraId="2EAC0A35" w14:textId="13FDF089" w:rsidR="00D15B37" w:rsidRPr="0060563F" w:rsidRDefault="00691728" w:rsidP="00691728">
      <w:pPr>
        <w:rPr>
          <w:sz w:val="22"/>
          <w:szCs w:val="22"/>
        </w:rPr>
      </w:pPr>
      <w:r w:rsidRPr="0060563F">
        <w:rPr>
          <w:sz w:val="22"/>
          <w:szCs w:val="22"/>
        </w:rPr>
        <w:t xml:space="preserve">Cramer (2000) provides a detailed and current examination of defence mechanisms, drawing on Sigmund Freud's basic psychoanalytic ideas while including recent psychology studies. The article defines defence mechanisms as unconscious psychological processes that humans use to defend themselves from anxiety, internal conflict, and emotional distress. Rather than being pathological, Cramer highlights that these mechanisms are a normal and essential aspect of everyday functioning, assisting people in maintaining emotional stability when confronted with difficult or scary situations. The article makes a significant contribution by categorising defence </w:t>
      </w:r>
      <w:r w:rsidRPr="0060563F">
        <w:rPr>
          <w:sz w:val="22"/>
          <w:szCs w:val="22"/>
        </w:rPr>
        <w:lastRenderedPageBreak/>
        <w:t>systems based on their development and adaptability.</w:t>
      </w:r>
      <w:r w:rsidR="00F7701A" w:rsidRPr="0060563F">
        <w:rPr>
          <w:sz w:val="22"/>
          <w:szCs w:val="22"/>
        </w:rPr>
        <w:t xml:space="preserve"> </w:t>
      </w:r>
      <w:r w:rsidRPr="0060563F">
        <w:rPr>
          <w:sz w:val="22"/>
          <w:szCs w:val="22"/>
        </w:rPr>
        <w:t xml:space="preserve">Less mature methods, such </w:t>
      </w:r>
      <w:r w:rsidR="00F7701A" w:rsidRPr="0060563F">
        <w:rPr>
          <w:sz w:val="22"/>
          <w:szCs w:val="22"/>
        </w:rPr>
        <w:t xml:space="preserve">as </w:t>
      </w:r>
      <w:r w:rsidRPr="0060563F">
        <w:rPr>
          <w:sz w:val="22"/>
          <w:szCs w:val="22"/>
        </w:rPr>
        <w:t>denial, projection, and repression, distort reality and may be less effective in the long run. More mature defences, such as suppression and sublimation, allow people to manage stress in a more productive and socially acceptable manner. This distinction is significant because it emphasises that not all defence mechanisms always prove negative; some can promote resilience and psychological well-being.</w:t>
      </w:r>
    </w:p>
    <w:p w14:paraId="25BA68F4" w14:textId="77777777" w:rsidR="00D15B37" w:rsidRPr="0060563F" w:rsidRDefault="00D15B37" w:rsidP="00D15B37">
      <w:pPr>
        <w:pStyle w:val="ListParagraph"/>
        <w:rPr>
          <w:b/>
          <w:bCs/>
          <w:sz w:val="22"/>
          <w:szCs w:val="22"/>
        </w:rPr>
      </w:pPr>
    </w:p>
    <w:p w14:paraId="53D1AD83" w14:textId="7B59236A" w:rsidR="002A4998" w:rsidRPr="0060563F" w:rsidRDefault="002A4998" w:rsidP="00D15B37">
      <w:pPr>
        <w:pStyle w:val="ListParagraph"/>
        <w:rPr>
          <w:b/>
          <w:bCs/>
          <w:sz w:val="22"/>
          <w:szCs w:val="22"/>
        </w:rPr>
      </w:pPr>
      <w:r w:rsidRPr="0060563F">
        <w:rPr>
          <w:b/>
          <w:bCs/>
          <w:sz w:val="22"/>
          <w:szCs w:val="22"/>
        </w:rPr>
        <w:t>Critical comment:</w:t>
      </w:r>
    </w:p>
    <w:p w14:paraId="591CF73E" w14:textId="11CB03A3" w:rsidR="00220429" w:rsidRPr="0060563F" w:rsidRDefault="00A02592" w:rsidP="00A02592">
      <w:pPr>
        <w:rPr>
          <w:sz w:val="22"/>
          <w:szCs w:val="22"/>
        </w:rPr>
      </w:pPr>
      <w:r w:rsidRPr="0060563F">
        <w:rPr>
          <w:sz w:val="22"/>
          <w:szCs w:val="22"/>
        </w:rPr>
        <w:t>C</w:t>
      </w:r>
      <w:r w:rsidRPr="0060563F">
        <w:rPr>
          <w:sz w:val="22"/>
          <w:szCs w:val="22"/>
        </w:rPr>
        <w:t>ramer (2000) provides an important addition by putting Freud's concept of defensive mechanisms into a more structured and research-informed context. One of the article's key require</w:t>
      </w:r>
      <w:r w:rsidR="00F732ED" w:rsidRPr="0060563F">
        <w:rPr>
          <w:sz w:val="22"/>
          <w:szCs w:val="22"/>
        </w:rPr>
        <w:t>ments</w:t>
      </w:r>
      <w:r w:rsidRPr="0060563F">
        <w:rPr>
          <w:sz w:val="22"/>
          <w:szCs w:val="22"/>
        </w:rPr>
        <w:t xml:space="preserve"> is its classification of defence mechanisms based on their</w:t>
      </w:r>
      <w:r w:rsidR="00F7701A" w:rsidRPr="0060563F">
        <w:rPr>
          <w:sz w:val="22"/>
          <w:szCs w:val="22"/>
        </w:rPr>
        <w:t xml:space="preserve"> </w:t>
      </w:r>
      <w:r w:rsidRPr="0060563F">
        <w:rPr>
          <w:sz w:val="22"/>
          <w:szCs w:val="22"/>
        </w:rPr>
        <w:t>adaptability, which makes the notion more relevant in modern health and social care. This enables specialists to gain a better understanding of how individuals manage stress, especially in older adulthood, where obstacles such as disease, loss, and decreased independence are widespread. In practice, this strategy can improve person-centred care by assisting workers in recognising behaviours as coping methods rather than just undesirable behaviours. Recognising residents' denial or projection, for example, can result in more compassionate and supportive reactions, as well as improved communication and conflict management.</w:t>
      </w:r>
      <w:r w:rsidR="00F732ED" w:rsidRPr="0060563F">
        <w:rPr>
          <w:sz w:val="22"/>
          <w:szCs w:val="22"/>
        </w:rPr>
        <w:t xml:space="preserve"> </w:t>
      </w:r>
      <w:r w:rsidRPr="0060563F">
        <w:rPr>
          <w:sz w:val="22"/>
          <w:szCs w:val="22"/>
        </w:rPr>
        <w:t>This is particularly important in residential care settings, when emotional distress is not frequently addressed openly.</w:t>
      </w:r>
    </w:p>
    <w:p w14:paraId="1293D48A" w14:textId="40ECC666" w:rsidR="00E633F7" w:rsidRPr="0060563F" w:rsidRDefault="000F7492" w:rsidP="00A02592">
      <w:pPr>
        <w:rPr>
          <w:b/>
          <w:bCs/>
          <w:sz w:val="22"/>
          <w:szCs w:val="22"/>
        </w:rPr>
      </w:pPr>
      <w:r w:rsidRPr="0060563F">
        <w:rPr>
          <w:b/>
          <w:bCs/>
          <w:sz w:val="22"/>
          <w:szCs w:val="22"/>
        </w:rPr>
        <w:t>PART B: SHORT REPORT</w:t>
      </w:r>
    </w:p>
    <w:p w14:paraId="2346D5D7" w14:textId="060FA7E3" w:rsidR="000F7492" w:rsidRPr="0060563F" w:rsidRDefault="006131A3" w:rsidP="00813A26">
      <w:pPr>
        <w:pStyle w:val="ListParagraph"/>
        <w:numPr>
          <w:ilvl w:val="0"/>
          <w:numId w:val="10"/>
        </w:numPr>
        <w:rPr>
          <w:b/>
          <w:bCs/>
          <w:sz w:val="22"/>
          <w:szCs w:val="22"/>
        </w:rPr>
      </w:pPr>
      <w:r w:rsidRPr="0060563F">
        <w:rPr>
          <w:b/>
          <w:bCs/>
          <w:sz w:val="22"/>
          <w:szCs w:val="22"/>
        </w:rPr>
        <w:t>INTRO</w:t>
      </w:r>
      <w:r w:rsidR="001F0B3C" w:rsidRPr="0060563F">
        <w:rPr>
          <w:b/>
          <w:bCs/>
          <w:sz w:val="22"/>
          <w:szCs w:val="22"/>
        </w:rPr>
        <w:t>DUCTION</w:t>
      </w:r>
    </w:p>
    <w:p w14:paraId="3CE62335" w14:textId="7415125D" w:rsidR="001F0B3C" w:rsidRPr="0060563F" w:rsidRDefault="001F0B3C" w:rsidP="00A02592">
      <w:pPr>
        <w:rPr>
          <w:sz w:val="22"/>
          <w:szCs w:val="22"/>
        </w:rPr>
      </w:pPr>
      <w:r w:rsidRPr="0060563F">
        <w:rPr>
          <w:sz w:val="22"/>
          <w:szCs w:val="22"/>
        </w:rPr>
        <w:t>E</w:t>
      </w:r>
      <w:r w:rsidRPr="0060563F">
        <w:rPr>
          <w:sz w:val="22"/>
          <w:szCs w:val="22"/>
        </w:rPr>
        <w:t>rik Erikson's psychosocial theory of development offers a comprehensive framework for analysing human growth across life. With prior theories that largely focus on childhood, Erikson highlights that psychological development continues throughout</w:t>
      </w:r>
      <w:r w:rsidR="00664824" w:rsidRPr="0060563F">
        <w:rPr>
          <w:sz w:val="22"/>
          <w:szCs w:val="22"/>
        </w:rPr>
        <w:t xml:space="preserve"> </w:t>
      </w:r>
      <w:r w:rsidRPr="0060563F">
        <w:rPr>
          <w:sz w:val="22"/>
          <w:szCs w:val="22"/>
        </w:rPr>
        <w:t>adulthood (Erikson, 1982). The third stage of his thesis, ego integrity vs despair, is extremely relevant for older persons, particularly those in residential care facilities. This research examines how Erikson's theory might be applied in practice to encourage psychological well-being, using real-world examples and addressing potential implementation obstacles.</w:t>
      </w:r>
    </w:p>
    <w:p w14:paraId="10F89E8D" w14:textId="359A123F" w:rsidR="001F0B3C" w:rsidRPr="0060563F" w:rsidRDefault="001F0B3C" w:rsidP="00813A26">
      <w:pPr>
        <w:pStyle w:val="ListParagraph"/>
        <w:numPr>
          <w:ilvl w:val="0"/>
          <w:numId w:val="9"/>
        </w:numPr>
        <w:rPr>
          <w:b/>
          <w:bCs/>
          <w:sz w:val="22"/>
          <w:szCs w:val="22"/>
        </w:rPr>
      </w:pPr>
      <w:r w:rsidRPr="0060563F">
        <w:rPr>
          <w:b/>
          <w:bCs/>
          <w:sz w:val="22"/>
          <w:szCs w:val="22"/>
        </w:rPr>
        <w:t>EXPLANATION OF THE THEORY</w:t>
      </w:r>
    </w:p>
    <w:p w14:paraId="0E5C5DFF" w14:textId="115E86A3" w:rsidR="00A0613C" w:rsidRPr="0060563F" w:rsidRDefault="00664824" w:rsidP="00A02592">
      <w:pPr>
        <w:rPr>
          <w:sz w:val="22"/>
          <w:szCs w:val="22"/>
        </w:rPr>
      </w:pPr>
      <w:r w:rsidRPr="0060563F">
        <w:rPr>
          <w:sz w:val="22"/>
          <w:szCs w:val="22"/>
        </w:rPr>
        <w:t>Erikson thought people progress through eight phases of psychological development, each marked by a primary conflict (Erikson 1982). In the final stage, which occurs in old age, people reflect on their life and analyse their experiences. Those who are content with their accomplishments and see their lives as significant develop a sense of ego integrity, which is linked to sentiments of contentment and acceptance. Individuals who dwell on regrets or unresolved disputes, on the other hand, may suffer despair, leading to depression and anxiety (Erikson, 1982). A fundamental idea in this stage is life review, which is a reflective process that helps individuals make sense of their prior experiences. Research indicates that life review therapies may encourage psychological well-being and minimise depressive symptoms in older persons.</w:t>
      </w:r>
      <w:r w:rsidR="006D4395" w:rsidRPr="0060563F">
        <w:rPr>
          <w:sz w:val="22"/>
          <w:szCs w:val="22"/>
        </w:rPr>
        <w:t xml:space="preserve"> </w:t>
      </w:r>
      <w:r w:rsidR="00B8409A" w:rsidRPr="0060563F">
        <w:rPr>
          <w:sz w:val="22"/>
          <w:szCs w:val="22"/>
        </w:rPr>
        <w:t>(</w:t>
      </w:r>
      <w:r w:rsidR="000F3AE7" w:rsidRPr="0060563F">
        <w:rPr>
          <w:sz w:val="22"/>
          <w:szCs w:val="22"/>
        </w:rPr>
        <w:t>Westerhof and Bo</w:t>
      </w:r>
      <w:r w:rsidR="00807C92" w:rsidRPr="0060563F">
        <w:rPr>
          <w:sz w:val="22"/>
          <w:szCs w:val="22"/>
        </w:rPr>
        <w:t>hlmeijer,2014).</w:t>
      </w:r>
    </w:p>
    <w:p w14:paraId="632F8F73" w14:textId="0EC41CD6" w:rsidR="00807C92" w:rsidRPr="0060563F" w:rsidRDefault="00A51B4E" w:rsidP="00813A26">
      <w:pPr>
        <w:pStyle w:val="ListParagraph"/>
        <w:numPr>
          <w:ilvl w:val="0"/>
          <w:numId w:val="8"/>
        </w:numPr>
        <w:rPr>
          <w:b/>
          <w:bCs/>
          <w:sz w:val="22"/>
          <w:szCs w:val="22"/>
        </w:rPr>
      </w:pPr>
      <w:r w:rsidRPr="0060563F">
        <w:rPr>
          <w:b/>
          <w:bCs/>
          <w:sz w:val="22"/>
          <w:szCs w:val="22"/>
        </w:rPr>
        <w:t>APPLICATION IN RESIDENTIAL CARE</w:t>
      </w:r>
    </w:p>
    <w:p w14:paraId="4E14B0CD" w14:textId="45BAFD00" w:rsidR="00874072" w:rsidRPr="0060563F" w:rsidRDefault="00F65C4D" w:rsidP="00F65C4D">
      <w:pPr>
        <w:rPr>
          <w:sz w:val="22"/>
          <w:szCs w:val="22"/>
        </w:rPr>
      </w:pPr>
      <w:r w:rsidRPr="0060563F">
        <w:rPr>
          <w:sz w:val="22"/>
          <w:szCs w:val="22"/>
        </w:rPr>
        <w:lastRenderedPageBreak/>
        <w:t xml:space="preserve">Erikson's theory can be effectively implemented in residential care to improve the psychological well-being of older individuals. Care workers can help residents by offering activities that foster contemplation, identification, and social connection. Reminiscence therapy, for example, entails revisiting prior experiences through discussions, images, or music </w:t>
      </w:r>
      <w:proofErr w:type="gramStart"/>
      <w:r w:rsidRPr="0060563F">
        <w:rPr>
          <w:sz w:val="22"/>
          <w:szCs w:val="22"/>
        </w:rPr>
        <w:t>in order to</w:t>
      </w:r>
      <w:proofErr w:type="gramEnd"/>
      <w:r w:rsidRPr="0060563F">
        <w:rPr>
          <w:sz w:val="22"/>
          <w:szCs w:val="22"/>
        </w:rPr>
        <w:t xml:space="preserve"> help people reconnect with valuable memories (Westerhof &amp; </w:t>
      </w:r>
      <w:proofErr w:type="spellStart"/>
      <w:r w:rsidRPr="0060563F">
        <w:rPr>
          <w:sz w:val="22"/>
          <w:szCs w:val="22"/>
        </w:rPr>
        <w:t>Bohlmeijer</w:t>
      </w:r>
      <w:proofErr w:type="spellEnd"/>
      <w:r w:rsidRPr="0060563F">
        <w:rPr>
          <w:sz w:val="22"/>
          <w:szCs w:val="22"/>
        </w:rPr>
        <w:t>, 2014).</w:t>
      </w:r>
      <w:r w:rsidRPr="0060563F">
        <w:rPr>
          <w:sz w:val="22"/>
          <w:szCs w:val="22"/>
        </w:rPr>
        <w:t xml:space="preserve"> </w:t>
      </w:r>
      <w:r w:rsidRPr="0060563F">
        <w:rPr>
          <w:sz w:val="22"/>
          <w:szCs w:val="22"/>
        </w:rPr>
        <w:t>In addition, making life story books helps inhabitants to record their personal histories and accomplishments. This reinforces their sense of self and allows staff to provide more personalised care. Group activities, such as storytelling sessions, can help to combat loneliness and enhance social interactions.</w:t>
      </w:r>
      <w:r w:rsidRPr="0060563F">
        <w:rPr>
          <w:sz w:val="22"/>
          <w:szCs w:val="22"/>
        </w:rPr>
        <w:t xml:space="preserve"> </w:t>
      </w:r>
      <w:r w:rsidRPr="0060563F">
        <w:rPr>
          <w:sz w:val="22"/>
          <w:szCs w:val="22"/>
        </w:rPr>
        <w:t>Using Erikson's theory, healthcare workers can treat both emotional and psychological needs, which are critical for overall well-being in later age.</w:t>
      </w:r>
    </w:p>
    <w:p w14:paraId="2FBFE1C2" w14:textId="1773FF35" w:rsidR="0040138C" w:rsidRPr="0060563F" w:rsidRDefault="0040138C" w:rsidP="00813A26">
      <w:pPr>
        <w:pStyle w:val="ListParagraph"/>
        <w:numPr>
          <w:ilvl w:val="0"/>
          <w:numId w:val="7"/>
        </w:numPr>
        <w:rPr>
          <w:b/>
          <w:bCs/>
          <w:sz w:val="22"/>
          <w:szCs w:val="22"/>
        </w:rPr>
      </w:pPr>
      <w:r w:rsidRPr="0060563F">
        <w:rPr>
          <w:b/>
          <w:bCs/>
          <w:sz w:val="22"/>
          <w:szCs w:val="22"/>
        </w:rPr>
        <w:t>CASE EXAMPLE</w:t>
      </w:r>
    </w:p>
    <w:p w14:paraId="1379D507" w14:textId="7104064F" w:rsidR="00DF4D52" w:rsidRPr="0060563F" w:rsidRDefault="00C91BC6" w:rsidP="00C91BC6">
      <w:pPr>
        <w:rPr>
          <w:sz w:val="22"/>
          <w:szCs w:val="22"/>
        </w:rPr>
      </w:pPr>
      <w:r w:rsidRPr="0060563F">
        <w:rPr>
          <w:sz w:val="22"/>
          <w:szCs w:val="22"/>
        </w:rPr>
        <w:t xml:space="preserve">Erikson's hypothesis can be used </w:t>
      </w:r>
      <w:r w:rsidR="00F6036C" w:rsidRPr="0060563F">
        <w:rPr>
          <w:sz w:val="22"/>
          <w:szCs w:val="22"/>
        </w:rPr>
        <w:t>in</w:t>
      </w:r>
      <w:r w:rsidRPr="0060563F">
        <w:rPr>
          <w:sz w:val="22"/>
          <w:szCs w:val="22"/>
        </w:rPr>
        <w:t xml:space="preserve"> the situation of an 80-year-old resident who recently moved into a care home. The resident appeared withdrawn and voiced regret for previous decisions, exhibiting symptoms of despair identified by Erikson (1982).</w:t>
      </w:r>
      <w:r w:rsidRPr="0060563F">
        <w:rPr>
          <w:sz w:val="22"/>
          <w:szCs w:val="22"/>
        </w:rPr>
        <w:t xml:space="preserve"> </w:t>
      </w:r>
      <w:r w:rsidRPr="0060563F">
        <w:rPr>
          <w:sz w:val="22"/>
          <w:szCs w:val="22"/>
        </w:rPr>
        <w:t xml:space="preserve">To help the patient, </w:t>
      </w:r>
      <w:r w:rsidR="00A242AE" w:rsidRPr="0060563F">
        <w:rPr>
          <w:sz w:val="22"/>
          <w:szCs w:val="22"/>
        </w:rPr>
        <w:t xml:space="preserve">the </w:t>
      </w:r>
      <w:r w:rsidRPr="0060563F">
        <w:rPr>
          <w:sz w:val="22"/>
          <w:szCs w:val="22"/>
        </w:rPr>
        <w:t xml:space="preserve">staff held weekly memory sessions and encouraged him to relate his life experiences. They also supported the individual in producing a life story book, which included images and personal achievements. The resident became more involved over time and reported </w:t>
      </w:r>
      <w:r w:rsidR="00A242AE" w:rsidRPr="0060563F">
        <w:rPr>
          <w:sz w:val="22"/>
          <w:szCs w:val="22"/>
        </w:rPr>
        <w:t xml:space="preserve">improved </w:t>
      </w:r>
      <w:r w:rsidRPr="0060563F">
        <w:rPr>
          <w:sz w:val="22"/>
          <w:szCs w:val="22"/>
        </w:rPr>
        <w:t>mood and well-being. This case shows how life review interventions can improve ego integrity and emotional adjustment.</w:t>
      </w:r>
    </w:p>
    <w:p w14:paraId="6BA0946F" w14:textId="6234B13F" w:rsidR="00CF3ED9" w:rsidRPr="0060563F" w:rsidRDefault="00CF3ED9" w:rsidP="00813A26">
      <w:pPr>
        <w:pStyle w:val="ListParagraph"/>
        <w:numPr>
          <w:ilvl w:val="0"/>
          <w:numId w:val="6"/>
        </w:numPr>
        <w:rPr>
          <w:sz w:val="22"/>
          <w:szCs w:val="22"/>
        </w:rPr>
      </w:pPr>
      <w:r w:rsidRPr="0060563F">
        <w:rPr>
          <w:b/>
          <w:bCs/>
          <w:sz w:val="22"/>
          <w:szCs w:val="22"/>
        </w:rPr>
        <w:t>Challenges in Practice</w:t>
      </w:r>
    </w:p>
    <w:p w14:paraId="7CF1ED67" w14:textId="1F8CFEA7" w:rsidR="00CF3ED9" w:rsidRPr="0060563F" w:rsidRDefault="00CF3ED9" w:rsidP="00CF3ED9">
      <w:pPr>
        <w:rPr>
          <w:sz w:val="22"/>
          <w:szCs w:val="22"/>
        </w:rPr>
      </w:pPr>
      <w:r w:rsidRPr="0060563F">
        <w:rPr>
          <w:sz w:val="22"/>
          <w:szCs w:val="22"/>
        </w:rPr>
        <w:t>Despite its benefits, Erikson's theory could prove difficult to use in residential care settings. A significant difficulty is time limits, as carers frequently face high responsibilities and little time for meaningful contact. This can limit the use of interventions like memory therapy.</w:t>
      </w:r>
      <w:r w:rsidR="000D4B38" w:rsidRPr="0060563F">
        <w:rPr>
          <w:sz w:val="22"/>
          <w:szCs w:val="22"/>
        </w:rPr>
        <w:t xml:space="preserve"> </w:t>
      </w:r>
      <w:r w:rsidRPr="0060563F">
        <w:rPr>
          <w:sz w:val="22"/>
          <w:szCs w:val="22"/>
        </w:rPr>
        <w:t xml:space="preserve">Another issue is that not all residents may be comfortable reminiscing on their past. Some people may experience upsetting memories when reviewing their lives, which can have a </w:t>
      </w:r>
      <w:r w:rsidR="000D4B38" w:rsidRPr="0060563F">
        <w:rPr>
          <w:sz w:val="22"/>
          <w:szCs w:val="22"/>
        </w:rPr>
        <w:t>negative</w:t>
      </w:r>
      <w:r w:rsidRPr="0060563F">
        <w:rPr>
          <w:sz w:val="22"/>
          <w:szCs w:val="22"/>
        </w:rPr>
        <w:t xml:space="preserve"> impact on their emotional well-being. Furthermore, persons with cognitive impairments, such as dementia, may struggle to engage in reflective activities.</w:t>
      </w:r>
    </w:p>
    <w:p w14:paraId="0720CB98" w14:textId="77777777" w:rsidR="002B0B8C" w:rsidRPr="0060563F" w:rsidRDefault="002B0B8C" w:rsidP="00CF3ED9">
      <w:pPr>
        <w:rPr>
          <w:sz w:val="22"/>
          <w:szCs w:val="22"/>
        </w:rPr>
      </w:pPr>
    </w:p>
    <w:p w14:paraId="2DFBDD4B" w14:textId="02C5AC87" w:rsidR="002B0B8C" w:rsidRPr="0060563F" w:rsidRDefault="002B0B8C" w:rsidP="003F7FF6">
      <w:pPr>
        <w:pStyle w:val="ListParagraph"/>
        <w:numPr>
          <w:ilvl w:val="0"/>
          <w:numId w:val="5"/>
        </w:numPr>
        <w:rPr>
          <w:b/>
          <w:bCs/>
          <w:sz w:val="22"/>
          <w:szCs w:val="22"/>
        </w:rPr>
      </w:pPr>
      <w:r w:rsidRPr="0060563F">
        <w:rPr>
          <w:b/>
          <w:bCs/>
          <w:sz w:val="22"/>
          <w:szCs w:val="22"/>
        </w:rPr>
        <w:t>Strategies to Overcome Challenges</w:t>
      </w:r>
    </w:p>
    <w:p w14:paraId="7CB72B00" w14:textId="0E71E266" w:rsidR="002B0B8C" w:rsidRPr="0060563F" w:rsidRDefault="002B0B8C" w:rsidP="002B0B8C">
      <w:pPr>
        <w:rPr>
          <w:sz w:val="22"/>
          <w:szCs w:val="22"/>
        </w:rPr>
      </w:pPr>
      <w:r w:rsidRPr="0060563F">
        <w:rPr>
          <w:sz w:val="22"/>
          <w:szCs w:val="22"/>
        </w:rPr>
        <w:t>To solve these issues, care homes might create structured group programmes supervised by activity coordinators, allowing numerous residents to engage simultaneously. This relieves strain on employees while yet encouraging engagement.</w:t>
      </w:r>
      <w:r w:rsidR="00A923A3" w:rsidRPr="0060563F">
        <w:rPr>
          <w:sz w:val="22"/>
          <w:szCs w:val="22"/>
        </w:rPr>
        <w:t xml:space="preserve"> </w:t>
      </w:r>
      <w:r w:rsidRPr="0060563F">
        <w:rPr>
          <w:sz w:val="22"/>
          <w:szCs w:val="22"/>
        </w:rPr>
        <w:t>Training personnel in communication and emotional support is also necessary to ensure that activities are carried out respectfully. Adapted approaches, such as employing music or visual instructions, can help persons with cognitive impairments participate more actively.</w:t>
      </w:r>
      <w:r w:rsidRPr="0060563F">
        <w:rPr>
          <w:sz w:val="22"/>
          <w:szCs w:val="22"/>
        </w:rPr>
        <w:t xml:space="preserve"> </w:t>
      </w:r>
      <w:r w:rsidRPr="0060563F">
        <w:rPr>
          <w:sz w:val="22"/>
          <w:szCs w:val="22"/>
        </w:rPr>
        <w:t>Maintain a person-centred approach, tailoring activities to individual needs, interests, and cultural backgrounds.</w:t>
      </w:r>
    </w:p>
    <w:p w14:paraId="26933E96" w14:textId="6C02D3AC" w:rsidR="00A923A3" w:rsidRPr="0060563F" w:rsidRDefault="003F7FF6" w:rsidP="003F7FF6">
      <w:pPr>
        <w:pStyle w:val="ListParagraph"/>
        <w:numPr>
          <w:ilvl w:val="0"/>
          <w:numId w:val="4"/>
        </w:numPr>
        <w:rPr>
          <w:b/>
          <w:bCs/>
          <w:sz w:val="22"/>
          <w:szCs w:val="22"/>
        </w:rPr>
      </w:pPr>
      <w:r w:rsidRPr="0060563F">
        <w:rPr>
          <w:b/>
          <w:bCs/>
          <w:sz w:val="22"/>
          <w:szCs w:val="22"/>
        </w:rPr>
        <w:t>CONCLUSION</w:t>
      </w:r>
    </w:p>
    <w:p w14:paraId="4C17EF01" w14:textId="77777777" w:rsidR="003F7FF6" w:rsidRPr="0060563F" w:rsidRDefault="003F7FF6" w:rsidP="003F7FF6">
      <w:pPr>
        <w:pStyle w:val="ListParagraph"/>
        <w:ind w:left="1080"/>
        <w:rPr>
          <w:sz w:val="22"/>
          <w:szCs w:val="22"/>
        </w:rPr>
      </w:pPr>
    </w:p>
    <w:p w14:paraId="6BE7839B" w14:textId="612DD37A" w:rsidR="003F7FF6" w:rsidRPr="0060563F" w:rsidRDefault="003F7FF6" w:rsidP="003F7FF6">
      <w:pPr>
        <w:rPr>
          <w:sz w:val="22"/>
          <w:szCs w:val="22"/>
        </w:rPr>
      </w:pPr>
      <w:r w:rsidRPr="0060563F">
        <w:rPr>
          <w:sz w:val="22"/>
          <w:szCs w:val="22"/>
        </w:rPr>
        <w:t xml:space="preserve">Erikson's psychosocial theory offers an invaluable basis for promoting the psychological well-being of elderly people in residential care. By concentrating on ego integrity rather than despair, </w:t>
      </w:r>
      <w:r w:rsidRPr="0060563F">
        <w:rPr>
          <w:sz w:val="22"/>
          <w:szCs w:val="22"/>
        </w:rPr>
        <w:lastRenderedPageBreak/>
        <w:t>healthcare workers can use practical therapies like reminiscence therapy to improve emotional wellbeing and quality of life. While challenges do exist, they can be addressed by structured programs, staff training, and person-centred care. Overall, the approach is still highly significant in promoting complete and effective care for older individuals.</w:t>
      </w:r>
    </w:p>
    <w:p w14:paraId="17479C46" w14:textId="77777777" w:rsidR="00F40392" w:rsidRPr="0060563F" w:rsidRDefault="00681C0A" w:rsidP="00F40392">
      <w:pPr>
        <w:pStyle w:val="ListParagraph"/>
        <w:numPr>
          <w:ilvl w:val="0"/>
          <w:numId w:val="4"/>
        </w:numPr>
        <w:rPr>
          <w:b/>
          <w:bCs/>
          <w:sz w:val="22"/>
          <w:szCs w:val="22"/>
        </w:rPr>
      </w:pPr>
      <w:r w:rsidRPr="0060563F">
        <w:rPr>
          <w:b/>
          <w:bCs/>
          <w:sz w:val="22"/>
          <w:szCs w:val="22"/>
        </w:rPr>
        <w:t xml:space="preserve">References </w:t>
      </w:r>
    </w:p>
    <w:p w14:paraId="6DFF9F1E" w14:textId="282ED95D" w:rsidR="00681C0A" w:rsidRPr="0060563F" w:rsidRDefault="00F40392" w:rsidP="00F40392">
      <w:pPr>
        <w:rPr>
          <w:b/>
          <w:bCs/>
          <w:sz w:val="22"/>
          <w:szCs w:val="22"/>
        </w:rPr>
      </w:pPr>
      <w:r w:rsidRPr="0060563F">
        <w:rPr>
          <w:b/>
          <w:bCs/>
          <w:sz w:val="22"/>
          <w:szCs w:val="22"/>
        </w:rPr>
        <w:t>1-</w:t>
      </w:r>
      <w:r w:rsidR="00681C0A" w:rsidRPr="0060563F">
        <w:rPr>
          <w:sz w:val="22"/>
          <w:szCs w:val="22"/>
        </w:rPr>
        <w:t>Cramer, P. (2000) ‘</w:t>
      </w:r>
      <w:proofErr w:type="spellStart"/>
      <w:r w:rsidR="00681C0A" w:rsidRPr="0060563F">
        <w:rPr>
          <w:sz w:val="22"/>
          <w:szCs w:val="22"/>
        </w:rPr>
        <w:t>Defense</w:t>
      </w:r>
      <w:proofErr w:type="spellEnd"/>
      <w:r w:rsidR="00681C0A" w:rsidRPr="0060563F">
        <w:rPr>
          <w:sz w:val="22"/>
          <w:szCs w:val="22"/>
        </w:rPr>
        <w:t xml:space="preserve"> mechanisms in psychology today’, American Psychologist, 55(6), pp. 637–646.</w:t>
      </w:r>
    </w:p>
    <w:p w14:paraId="3EE4220F" w14:textId="46255623" w:rsidR="00681C0A" w:rsidRPr="0060563F" w:rsidRDefault="00F40392" w:rsidP="00681C0A">
      <w:pPr>
        <w:rPr>
          <w:sz w:val="22"/>
          <w:szCs w:val="22"/>
        </w:rPr>
      </w:pPr>
      <w:r w:rsidRPr="0060563F">
        <w:rPr>
          <w:b/>
          <w:bCs/>
          <w:sz w:val="22"/>
          <w:szCs w:val="22"/>
        </w:rPr>
        <w:t>2-</w:t>
      </w:r>
      <w:r w:rsidR="00681C0A" w:rsidRPr="0060563F">
        <w:rPr>
          <w:sz w:val="22"/>
          <w:szCs w:val="22"/>
        </w:rPr>
        <w:t>Erikson, E.H. (1982) The Life Cycle Completed. New York: Norton.</w:t>
      </w:r>
    </w:p>
    <w:p w14:paraId="6936EF5D" w14:textId="77777777" w:rsidR="003A2E89" w:rsidRPr="0060563F" w:rsidRDefault="00F40392" w:rsidP="00681C0A">
      <w:pPr>
        <w:rPr>
          <w:sz w:val="22"/>
          <w:szCs w:val="22"/>
        </w:rPr>
      </w:pPr>
      <w:r w:rsidRPr="0060563F">
        <w:rPr>
          <w:b/>
          <w:bCs/>
          <w:sz w:val="22"/>
          <w:szCs w:val="22"/>
        </w:rPr>
        <w:t>3-</w:t>
      </w:r>
      <w:r w:rsidR="00681C0A" w:rsidRPr="0060563F">
        <w:rPr>
          <w:sz w:val="22"/>
          <w:szCs w:val="22"/>
        </w:rPr>
        <w:t>Freud, S. (1923) The Ego and the Id. London: Hogarth Pres</w:t>
      </w:r>
      <w:r w:rsidR="008576D6" w:rsidRPr="0060563F">
        <w:rPr>
          <w:sz w:val="22"/>
          <w:szCs w:val="22"/>
        </w:rPr>
        <w:t>s.</w:t>
      </w:r>
      <w:r w:rsidR="003A2E89" w:rsidRPr="0060563F">
        <w:rPr>
          <w:sz w:val="22"/>
          <w:szCs w:val="22"/>
        </w:rPr>
        <w:t xml:space="preserve"> </w:t>
      </w:r>
    </w:p>
    <w:p w14:paraId="115894E5" w14:textId="40778C60" w:rsidR="00813A26" w:rsidRPr="0060563F" w:rsidRDefault="0037430D" w:rsidP="00681C0A">
      <w:pPr>
        <w:rPr>
          <w:sz w:val="22"/>
          <w:szCs w:val="22"/>
        </w:rPr>
      </w:pPr>
      <w:r w:rsidRPr="0060563F">
        <w:rPr>
          <w:b/>
          <w:bCs/>
          <w:sz w:val="22"/>
          <w:szCs w:val="22"/>
        </w:rPr>
        <w:t>4-</w:t>
      </w:r>
      <w:r w:rsidR="00681C0A" w:rsidRPr="0060563F">
        <w:rPr>
          <w:sz w:val="22"/>
          <w:szCs w:val="22"/>
        </w:rPr>
        <w:t>Westerhof, G.J.</w:t>
      </w:r>
      <w:r w:rsidR="000D3DAE" w:rsidRPr="0060563F">
        <w:rPr>
          <w:sz w:val="22"/>
          <w:szCs w:val="22"/>
        </w:rPr>
        <w:t xml:space="preserve"> and </w:t>
      </w:r>
      <w:proofErr w:type="spellStart"/>
      <w:r w:rsidR="00681C0A" w:rsidRPr="0060563F">
        <w:rPr>
          <w:sz w:val="22"/>
          <w:szCs w:val="22"/>
        </w:rPr>
        <w:t>Bohlmeijer</w:t>
      </w:r>
      <w:proofErr w:type="spellEnd"/>
      <w:r w:rsidR="00681C0A" w:rsidRPr="0060563F">
        <w:rPr>
          <w:sz w:val="22"/>
          <w:szCs w:val="22"/>
        </w:rPr>
        <w:t>, E.T. (2014) ‘Celebrating fifty years of research and applications in reminiscence and life review’, Journal of Aging Studies, 29, pp. 107–114.</w:t>
      </w:r>
    </w:p>
    <w:sectPr w:rsidR="00813A26" w:rsidRPr="006056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349DF"/>
    <w:multiLevelType w:val="hybridMultilevel"/>
    <w:tmpl w:val="27F41B10"/>
    <w:lvl w:ilvl="0" w:tplc="A170DA52">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D35093"/>
    <w:multiLevelType w:val="hybridMultilevel"/>
    <w:tmpl w:val="B9C2B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110B64"/>
    <w:multiLevelType w:val="hybridMultilevel"/>
    <w:tmpl w:val="B510D6DA"/>
    <w:lvl w:ilvl="0" w:tplc="13480852">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3A1A1F"/>
    <w:multiLevelType w:val="hybridMultilevel"/>
    <w:tmpl w:val="A3EADA6A"/>
    <w:lvl w:ilvl="0" w:tplc="54B0400E">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C857D6"/>
    <w:multiLevelType w:val="hybridMultilevel"/>
    <w:tmpl w:val="E6F4CC00"/>
    <w:lvl w:ilvl="0" w:tplc="777A2814">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AA0652"/>
    <w:multiLevelType w:val="hybridMultilevel"/>
    <w:tmpl w:val="DA381A80"/>
    <w:lvl w:ilvl="0" w:tplc="D7B86520">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F15718"/>
    <w:multiLevelType w:val="hybridMultilevel"/>
    <w:tmpl w:val="F23A348A"/>
    <w:lvl w:ilvl="0" w:tplc="FFF63E78">
      <w:start w:val="4"/>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57D30B2"/>
    <w:multiLevelType w:val="hybridMultilevel"/>
    <w:tmpl w:val="D5EC4744"/>
    <w:lvl w:ilvl="0" w:tplc="4B068AC2">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258DB"/>
    <w:multiLevelType w:val="hybridMultilevel"/>
    <w:tmpl w:val="1F06A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1449FD"/>
    <w:multiLevelType w:val="hybridMultilevel"/>
    <w:tmpl w:val="70420C78"/>
    <w:lvl w:ilvl="0" w:tplc="FCC4B94E">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5511455">
    <w:abstractNumId w:val="1"/>
  </w:num>
  <w:num w:numId="2" w16cid:durableId="1293943995">
    <w:abstractNumId w:val="8"/>
  </w:num>
  <w:num w:numId="3" w16cid:durableId="1859536341">
    <w:abstractNumId w:val="0"/>
  </w:num>
  <w:num w:numId="4" w16cid:durableId="1051615618">
    <w:abstractNumId w:val="6"/>
  </w:num>
  <w:num w:numId="5" w16cid:durableId="555163575">
    <w:abstractNumId w:val="5"/>
  </w:num>
  <w:num w:numId="6" w16cid:durableId="2117020741">
    <w:abstractNumId w:val="2"/>
  </w:num>
  <w:num w:numId="7" w16cid:durableId="1422144399">
    <w:abstractNumId w:val="3"/>
  </w:num>
  <w:num w:numId="8" w16cid:durableId="143358294">
    <w:abstractNumId w:val="7"/>
  </w:num>
  <w:num w:numId="9" w16cid:durableId="1404642799">
    <w:abstractNumId w:val="9"/>
  </w:num>
  <w:num w:numId="10" w16cid:durableId="1580850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4D4"/>
    <w:rsid w:val="000228FD"/>
    <w:rsid w:val="00053AF3"/>
    <w:rsid w:val="0007378E"/>
    <w:rsid w:val="000828AF"/>
    <w:rsid w:val="000A0709"/>
    <w:rsid w:val="000A4A3B"/>
    <w:rsid w:val="000C0ADA"/>
    <w:rsid w:val="000D3DAE"/>
    <w:rsid w:val="000D4B38"/>
    <w:rsid w:val="000D5709"/>
    <w:rsid w:val="000F24BD"/>
    <w:rsid w:val="000F3AE7"/>
    <w:rsid w:val="000F7492"/>
    <w:rsid w:val="00127C93"/>
    <w:rsid w:val="00191DB7"/>
    <w:rsid w:val="001B64D7"/>
    <w:rsid w:val="001F0B3C"/>
    <w:rsid w:val="00217940"/>
    <w:rsid w:val="00220429"/>
    <w:rsid w:val="0024584F"/>
    <w:rsid w:val="002924F7"/>
    <w:rsid w:val="002A4998"/>
    <w:rsid w:val="002B0B8C"/>
    <w:rsid w:val="002E1104"/>
    <w:rsid w:val="00301F73"/>
    <w:rsid w:val="00314F61"/>
    <w:rsid w:val="003214D4"/>
    <w:rsid w:val="0037430D"/>
    <w:rsid w:val="0038211E"/>
    <w:rsid w:val="003875E0"/>
    <w:rsid w:val="00396A97"/>
    <w:rsid w:val="003A2E89"/>
    <w:rsid w:val="003F7FF6"/>
    <w:rsid w:val="0040138C"/>
    <w:rsid w:val="00420D5C"/>
    <w:rsid w:val="004577B5"/>
    <w:rsid w:val="0046374A"/>
    <w:rsid w:val="0051051E"/>
    <w:rsid w:val="00524916"/>
    <w:rsid w:val="005308DA"/>
    <w:rsid w:val="0054096A"/>
    <w:rsid w:val="00577964"/>
    <w:rsid w:val="0060563F"/>
    <w:rsid w:val="006131A3"/>
    <w:rsid w:val="00617A57"/>
    <w:rsid w:val="00627DFC"/>
    <w:rsid w:val="00646F5F"/>
    <w:rsid w:val="006519E7"/>
    <w:rsid w:val="00664824"/>
    <w:rsid w:val="00681C0A"/>
    <w:rsid w:val="0068302A"/>
    <w:rsid w:val="00687EB8"/>
    <w:rsid w:val="00691728"/>
    <w:rsid w:val="006D4395"/>
    <w:rsid w:val="00727456"/>
    <w:rsid w:val="00764A6A"/>
    <w:rsid w:val="007C2896"/>
    <w:rsid w:val="007D4349"/>
    <w:rsid w:val="007E2E5B"/>
    <w:rsid w:val="00806B85"/>
    <w:rsid w:val="00807C92"/>
    <w:rsid w:val="00813A26"/>
    <w:rsid w:val="008576D6"/>
    <w:rsid w:val="00874072"/>
    <w:rsid w:val="008B3280"/>
    <w:rsid w:val="008B5037"/>
    <w:rsid w:val="008F5AE4"/>
    <w:rsid w:val="0092089C"/>
    <w:rsid w:val="00985E2B"/>
    <w:rsid w:val="009D0AA2"/>
    <w:rsid w:val="009D0AF1"/>
    <w:rsid w:val="009D2AB1"/>
    <w:rsid w:val="009F68B5"/>
    <w:rsid w:val="00A02592"/>
    <w:rsid w:val="00A0613C"/>
    <w:rsid w:val="00A242AE"/>
    <w:rsid w:val="00A51B4E"/>
    <w:rsid w:val="00A541E1"/>
    <w:rsid w:val="00A62195"/>
    <w:rsid w:val="00A923A3"/>
    <w:rsid w:val="00AA305C"/>
    <w:rsid w:val="00AC063F"/>
    <w:rsid w:val="00AC24BE"/>
    <w:rsid w:val="00B0141F"/>
    <w:rsid w:val="00B23D0A"/>
    <w:rsid w:val="00B34CBA"/>
    <w:rsid w:val="00B66A2D"/>
    <w:rsid w:val="00B742C9"/>
    <w:rsid w:val="00B83382"/>
    <w:rsid w:val="00B8409A"/>
    <w:rsid w:val="00B92B1A"/>
    <w:rsid w:val="00B9380C"/>
    <w:rsid w:val="00BC1843"/>
    <w:rsid w:val="00BE1E4D"/>
    <w:rsid w:val="00BE1F30"/>
    <w:rsid w:val="00C31700"/>
    <w:rsid w:val="00C356D3"/>
    <w:rsid w:val="00C434FD"/>
    <w:rsid w:val="00C458F9"/>
    <w:rsid w:val="00C91A60"/>
    <w:rsid w:val="00C91BC6"/>
    <w:rsid w:val="00CE2A07"/>
    <w:rsid w:val="00CF3ED9"/>
    <w:rsid w:val="00D15B37"/>
    <w:rsid w:val="00D16BC5"/>
    <w:rsid w:val="00D46E83"/>
    <w:rsid w:val="00DB41E2"/>
    <w:rsid w:val="00DF4D52"/>
    <w:rsid w:val="00E00F2C"/>
    <w:rsid w:val="00E31000"/>
    <w:rsid w:val="00E33C46"/>
    <w:rsid w:val="00E42819"/>
    <w:rsid w:val="00E42993"/>
    <w:rsid w:val="00E43481"/>
    <w:rsid w:val="00E633F7"/>
    <w:rsid w:val="00ED71B0"/>
    <w:rsid w:val="00EE1CDC"/>
    <w:rsid w:val="00F0582C"/>
    <w:rsid w:val="00F10662"/>
    <w:rsid w:val="00F40392"/>
    <w:rsid w:val="00F6036C"/>
    <w:rsid w:val="00F65C4D"/>
    <w:rsid w:val="00F732ED"/>
    <w:rsid w:val="00F7701A"/>
    <w:rsid w:val="00F81A51"/>
    <w:rsid w:val="00FA4267"/>
    <w:rsid w:val="00FD1A78"/>
    <w:rsid w:val="00FF6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59957"/>
  <w15:chartTrackingRefBased/>
  <w15:docId w15:val="{94CE4AD9-FB13-4463-98EF-8BD76C5B9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14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14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14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14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14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14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14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14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14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4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14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14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14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14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14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14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14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14D4"/>
    <w:rPr>
      <w:rFonts w:eastAsiaTheme="majorEastAsia" w:cstheme="majorBidi"/>
      <w:color w:val="272727" w:themeColor="text1" w:themeTint="D8"/>
    </w:rPr>
  </w:style>
  <w:style w:type="paragraph" w:styleId="Title">
    <w:name w:val="Title"/>
    <w:basedOn w:val="Normal"/>
    <w:next w:val="Normal"/>
    <w:link w:val="TitleChar"/>
    <w:uiPriority w:val="10"/>
    <w:qFormat/>
    <w:rsid w:val="003214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14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14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14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14D4"/>
    <w:pPr>
      <w:spacing w:before="160"/>
      <w:jc w:val="center"/>
    </w:pPr>
    <w:rPr>
      <w:i/>
      <w:iCs/>
      <w:color w:val="404040" w:themeColor="text1" w:themeTint="BF"/>
    </w:rPr>
  </w:style>
  <w:style w:type="character" w:customStyle="1" w:styleId="QuoteChar">
    <w:name w:val="Quote Char"/>
    <w:basedOn w:val="DefaultParagraphFont"/>
    <w:link w:val="Quote"/>
    <w:uiPriority w:val="29"/>
    <w:rsid w:val="003214D4"/>
    <w:rPr>
      <w:i/>
      <w:iCs/>
      <w:color w:val="404040" w:themeColor="text1" w:themeTint="BF"/>
    </w:rPr>
  </w:style>
  <w:style w:type="paragraph" w:styleId="ListParagraph">
    <w:name w:val="List Paragraph"/>
    <w:basedOn w:val="Normal"/>
    <w:uiPriority w:val="34"/>
    <w:qFormat/>
    <w:rsid w:val="003214D4"/>
    <w:pPr>
      <w:ind w:left="720"/>
      <w:contextualSpacing/>
    </w:pPr>
  </w:style>
  <w:style w:type="character" w:styleId="IntenseEmphasis">
    <w:name w:val="Intense Emphasis"/>
    <w:basedOn w:val="DefaultParagraphFont"/>
    <w:uiPriority w:val="21"/>
    <w:qFormat/>
    <w:rsid w:val="003214D4"/>
    <w:rPr>
      <w:i/>
      <w:iCs/>
      <w:color w:val="0F4761" w:themeColor="accent1" w:themeShade="BF"/>
    </w:rPr>
  </w:style>
  <w:style w:type="paragraph" w:styleId="IntenseQuote">
    <w:name w:val="Intense Quote"/>
    <w:basedOn w:val="Normal"/>
    <w:next w:val="Normal"/>
    <w:link w:val="IntenseQuoteChar"/>
    <w:uiPriority w:val="30"/>
    <w:qFormat/>
    <w:rsid w:val="003214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14D4"/>
    <w:rPr>
      <w:i/>
      <w:iCs/>
      <w:color w:val="0F4761" w:themeColor="accent1" w:themeShade="BF"/>
    </w:rPr>
  </w:style>
  <w:style w:type="character" w:styleId="IntenseReference">
    <w:name w:val="Intense Reference"/>
    <w:basedOn w:val="DefaultParagraphFont"/>
    <w:uiPriority w:val="32"/>
    <w:qFormat/>
    <w:rsid w:val="003214D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5244</TotalTime>
  <Pages>5</Pages>
  <Words>1821</Words>
  <Characters>10382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essono mañana</dc:creator>
  <cp:keywords/>
  <dc:description/>
  <cp:lastModifiedBy>samantha essono mañana</cp:lastModifiedBy>
  <cp:revision>124</cp:revision>
  <dcterms:created xsi:type="dcterms:W3CDTF">2026-04-16T00:19:00Z</dcterms:created>
  <dcterms:modified xsi:type="dcterms:W3CDTF">2026-04-20T00:09:00Z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e64eae80-d748-4e03-9cd0-23f76ecd1c9e</vt:lpwstr>
  </property>
</Properties>
</file>