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0F6849" w14:textId="0EC9F8DB" w:rsidR="0019001B" w:rsidRDefault="0019001B" w:rsidP="000405A6">
      <w:pPr>
        <w:spacing w:line="360" w:lineRule="auto"/>
        <w:jc w:val="both"/>
        <w:rPr>
          <w:u w:val="single"/>
        </w:rPr>
      </w:pPr>
      <w:r w:rsidRPr="0019001B">
        <w:rPr>
          <w:u w:val="single"/>
        </w:rPr>
        <w:t>SJIE4004 – Personal Project</w:t>
      </w:r>
    </w:p>
    <w:p w14:paraId="55BA9990" w14:textId="0B186D4C" w:rsidR="006E24FE" w:rsidRDefault="000405A6" w:rsidP="000405A6">
      <w:pPr>
        <w:spacing w:line="360" w:lineRule="auto"/>
        <w:jc w:val="both"/>
      </w:pPr>
      <w:r>
        <w:t xml:space="preserve">Children enter the education system at different ages, </w:t>
      </w:r>
      <w:r w:rsidR="00E47775">
        <w:t xml:space="preserve">with </w:t>
      </w:r>
      <w:r>
        <w:t>different cultures and different upbringings. This is always the first challenge to promoting positive behaviour because everyone is</w:t>
      </w:r>
      <w:r w:rsidR="00E47775">
        <w:t xml:space="preserve"> brought up</w:t>
      </w:r>
      <w:r>
        <w:t xml:space="preserve"> so different</w:t>
      </w:r>
      <w:r w:rsidR="00E47775">
        <w:t>ly</w:t>
      </w:r>
      <w:r>
        <w:t>. What may work for one child may not work for another. This is the reason why we have so many positive interventions throughout the education system. The first step to</w:t>
      </w:r>
      <w:r w:rsidR="00E47775">
        <w:t xml:space="preserve"> discovering the best positive intervention for each individual child is </w:t>
      </w:r>
      <w:r>
        <w:t xml:space="preserve">to observe the children. </w:t>
      </w:r>
      <w:r w:rsidR="009F2DE7">
        <w:t>(Bandura, A. 1963) observed children</w:t>
      </w:r>
      <w:r w:rsidR="00E47775">
        <w:t xml:space="preserve"> during a study</w:t>
      </w:r>
      <w:r w:rsidR="009B33EF">
        <w:t>,</w:t>
      </w:r>
      <w:r w:rsidR="00E47775">
        <w:t xml:space="preserve"> on the likelihood of influences that adults can have on children and if the children would</w:t>
      </w:r>
      <w:r w:rsidR="009F2DE7">
        <w:t xml:space="preserve"> </w:t>
      </w:r>
      <w:r w:rsidR="00E47775">
        <w:t>mimic</w:t>
      </w:r>
      <w:r w:rsidR="009B33EF">
        <w:t xml:space="preserve"> behaviour they had witnessed</w:t>
      </w:r>
      <w:r w:rsidR="009F2DE7">
        <w:t xml:space="preserve"> from adults. In one group of children a </w:t>
      </w:r>
      <w:r w:rsidR="00E47775">
        <w:t>‘</w:t>
      </w:r>
      <w:r w:rsidR="009F2DE7">
        <w:t>bob</w:t>
      </w:r>
      <w:bookmarkStart w:id="0" w:name="_GoBack"/>
      <w:bookmarkEnd w:id="0"/>
      <w:r w:rsidR="009F2DE7">
        <w:t>o</w:t>
      </w:r>
      <w:r w:rsidR="00E47775">
        <w:t>’</w:t>
      </w:r>
      <w:r w:rsidR="009F2DE7">
        <w:t xml:space="preserve"> doll was hit, </w:t>
      </w:r>
      <w:r w:rsidR="00E47775">
        <w:t xml:space="preserve">during a </w:t>
      </w:r>
      <w:r w:rsidR="009F2DE7">
        <w:t>second group it was also hit by</w:t>
      </w:r>
      <w:r w:rsidR="00E47775">
        <w:t xml:space="preserve"> two adults</w:t>
      </w:r>
      <w:r w:rsidR="009F2DE7">
        <w:t xml:space="preserve"> and in the third group the doll was neither hit nor punched. They then observed the children’s reactions to the same doll once they placed them inside the same room. The children who had witnessed the violence towards the doll also reacted negatively towards it whereas the children who saw no violence also did not use violence against the doll. This research demonstrates how children </w:t>
      </w:r>
      <w:r w:rsidR="00451A70">
        <w:t xml:space="preserve">are like sponges and will react to situations the same way as they have seen it. This demonstrates why we observe children as we get an overview of how they play together, the language they use towards each other and therefore gives us an insight into how we can positively encourage the behaviour needed in an educational and social situation. Once we have observed the </w:t>
      </w:r>
      <w:r w:rsidR="006F37B0">
        <w:t>children,</w:t>
      </w:r>
      <w:r w:rsidR="00451A70">
        <w:t xml:space="preserve"> we start to use positive re-enforcers with the least gratification. </w:t>
      </w:r>
      <w:r w:rsidR="005628CA">
        <w:t xml:space="preserve">Although this may sound strange to start with the least rewarding reward such as a sticker or just a verbal positive comment. If you start with the highest reward such </w:t>
      </w:r>
      <w:r w:rsidR="00170523">
        <w:t>as 10</w:t>
      </w:r>
      <w:r w:rsidR="006F37B0">
        <w:t xml:space="preserve"> minutes of the tablet playing </w:t>
      </w:r>
      <w:r w:rsidR="00170523">
        <w:t>games,</w:t>
      </w:r>
      <w:r w:rsidR="006F37B0">
        <w:t xml:space="preserve"> then you have no further positive reinforcer to give them when you are trying to positive reward them for achieving something good.</w:t>
      </w:r>
      <w:r w:rsidR="00170523">
        <w:t xml:space="preserve"> Setting clear rules which allow the children in your care to know the boundaries for what is and is not acceptable in an educational setting because what is not acceptable in education, may be acceptable at home. Involving them in the rule creation as a class gives them ownership on the rules therefore when a problem with the rules set arise and you are challenged on them you can positively discuss the fact that these rules were created with them so they knew what was expected during the educational day. (Morgan, 2011, p.26) gives examples on how to use the rules in a positive re enforcer for the children. Morgan suggests that you choose a rule to focus on each week and when a student achieves it then a sticker, merit etc can be given to that child. This will not only make them feel empowered</w:t>
      </w:r>
      <w:r w:rsidR="009B33EF">
        <w:t>,</w:t>
      </w:r>
      <w:r w:rsidR="00170523">
        <w:t xml:space="preserve"> </w:t>
      </w:r>
      <w:r w:rsidR="009B33EF">
        <w:t>sense of accomplishment</w:t>
      </w:r>
      <w:r w:rsidR="00F16AD8">
        <w:t>,</w:t>
      </w:r>
      <w:r w:rsidR="00170523">
        <w:t xml:space="preserve"> but it also will hopefully make the child want to push themselves into achieving it more. </w:t>
      </w:r>
      <w:r w:rsidR="00F16AD8">
        <w:t>(</w:t>
      </w:r>
      <w:proofErr w:type="spellStart"/>
      <w:r w:rsidR="00F16AD8">
        <w:t>Ginnis</w:t>
      </w:r>
      <w:proofErr w:type="spellEnd"/>
      <w:r w:rsidR="00F16AD8">
        <w:t>, 2010, p. 27) discusses the brain and how it has its own positive reward system. If a child is positively motivated the brain releases opiates which gives them the satisfaction and therefore leaving them wanting more of it.</w:t>
      </w:r>
      <w:r w:rsidR="007B0183">
        <w:t xml:space="preserve"> Often negative behaviour shows itself because a child is frustrated. This frustration can be educational such as struggling with literacy, mathematics or simple keeping up with the workload</w:t>
      </w:r>
      <w:r w:rsidR="004E5AC0">
        <w:t xml:space="preserve"> or </w:t>
      </w:r>
      <w:r w:rsidR="004E5AC0">
        <w:lastRenderedPageBreak/>
        <w:t>emotional</w:t>
      </w:r>
      <w:r w:rsidR="007B0183">
        <w:t>. Within my learning environment we use Literacy intervention to help with the</w:t>
      </w:r>
      <w:r w:rsidR="004E5AC0">
        <w:t xml:space="preserve"> educational</w:t>
      </w:r>
      <w:r w:rsidR="007B0183">
        <w:t xml:space="preserve"> frustrations. These classes use </w:t>
      </w:r>
      <w:r w:rsidR="00164E94">
        <w:t>R</w:t>
      </w:r>
      <w:r w:rsidR="007B0183">
        <w:t xml:space="preserve">ead, </w:t>
      </w:r>
      <w:r w:rsidR="00164E94">
        <w:t>W</w:t>
      </w:r>
      <w:r w:rsidR="007B0183">
        <w:t xml:space="preserve">rite </w:t>
      </w:r>
      <w:r w:rsidR="00164E94">
        <w:t>I</w:t>
      </w:r>
      <w:r w:rsidR="007B0183">
        <w:t>nc to take the student back to the basics of literacy</w:t>
      </w:r>
      <w:r w:rsidR="00164E94">
        <w:t>.</w:t>
      </w:r>
      <w:r w:rsidR="007B0183">
        <w:t xml:space="preserve"> </w:t>
      </w:r>
      <w:r w:rsidR="00164E94">
        <w:t>W</w:t>
      </w:r>
      <w:r w:rsidR="007B0183">
        <w:t xml:space="preserve">hich for </w:t>
      </w:r>
      <w:r w:rsidR="00164E94">
        <w:t>some</w:t>
      </w:r>
      <w:r w:rsidR="007B0183">
        <w:t xml:space="preserve"> reason</w:t>
      </w:r>
      <w:r w:rsidR="00164E94">
        <w:t>,</w:t>
      </w:r>
      <w:r w:rsidR="007B0183">
        <w:t xml:space="preserve"> weather it be the student was not in on that </w:t>
      </w:r>
      <w:r w:rsidR="00164E94">
        <w:t xml:space="preserve">day </w:t>
      </w:r>
      <w:r w:rsidR="00164E94">
        <w:t>or they are second language English</w:t>
      </w:r>
      <w:r w:rsidR="00164E94">
        <w:t xml:space="preserve"> etc.</w:t>
      </w:r>
      <w:r w:rsidR="007B0183">
        <w:t xml:space="preserve"> </w:t>
      </w:r>
      <w:r w:rsidR="00164E94">
        <w:t>This would mean that they</w:t>
      </w:r>
      <w:r w:rsidR="007B0183">
        <w:t xml:space="preserve"> missed important sounds to be able to decipher unknown words. We work at rebuilding those steppingstones and confidence in themselves as they often feel ‘stupid’ and embarrassed about themselves. It works perfectly at bringing the students up to where they need to be although working in a secondary school with children working on primary school sounds this can be challenging to begin with as it does not help with their confidence, self- esteem and embarrassment.  </w:t>
      </w:r>
      <w:r w:rsidR="00AA0473">
        <w:t>So,</w:t>
      </w:r>
      <w:r w:rsidR="00365033">
        <w:t xml:space="preserve"> at times there is often a negative reaction to learning and coming out of main lessons for it. </w:t>
      </w:r>
      <w:r w:rsidR="00AA0473">
        <w:t xml:space="preserve">However, in (Education Endowment. 2020, P.1-2) research completed on groups of </w:t>
      </w:r>
      <w:r w:rsidR="00ED03A8">
        <w:t>children some</w:t>
      </w:r>
      <w:r w:rsidR="00AA0473">
        <w:t xml:space="preserve"> completing fresh start and others not it demonstrates that the group who were completing the Fresh Start course were improving at a quicker rate than those who were not. I positively remind the students in my care this however this can still leave a challenge between them and other pupils in their year groups. </w:t>
      </w:r>
      <w:r w:rsidR="004E5AC0">
        <w:t>To help with the emotional side of behaviour we have a nurture group for the year seven pupils where they come in the morning for breakfast club, check in with the same member of staff each day so that we can keep an eye on them and try and get them ready for the day of education. These students will also use the classroom at both break and lunch time too as they find that they feel safe in there. Year eight upwards there is Emotional Literacy Support Assistant (ELSA) provision for those we feel need it and we provide a safe place with a specialised teaching assistant who is trained to help them.</w:t>
      </w:r>
      <w:r w:rsidR="00AD5083">
        <w:t xml:space="preserve"> They too also have access to this through the day including break and lunch times.</w:t>
      </w:r>
      <w:r w:rsidR="004E5AC0">
        <w:t xml:space="preserve"> </w:t>
      </w:r>
      <w:r w:rsidR="00AD5083">
        <w:t xml:space="preserve">The ELSA working in my educational setting uses specialised worksheets from (Margot, 2012, p39 -121) depending on the topic they need to work on to try and help give them some control. On </w:t>
      </w:r>
      <w:r w:rsidR="006E24FE">
        <w:t xml:space="preserve">(Margot, 2012, </w:t>
      </w:r>
      <w:r w:rsidR="00AD5083">
        <w:t>p41</w:t>
      </w:r>
      <w:r w:rsidR="006E24FE">
        <w:t>)</w:t>
      </w:r>
      <w:r w:rsidR="00AD5083">
        <w:t xml:space="preserve"> it states that </w:t>
      </w:r>
    </w:p>
    <w:p w14:paraId="4D87D385" w14:textId="77777777" w:rsidR="006E24FE" w:rsidRDefault="00AD5083" w:rsidP="000405A6">
      <w:pPr>
        <w:spacing w:line="360" w:lineRule="auto"/>
        <w:jc w:val="both"/>
        <w:rPr>
          <w:i/>
          <w:iCs/>
        </w:rPr>
      </w:pPr>
      <w:r w:rsidRPr="006E24FE">
        <w:rPr>
          <w:i/>
          <w:iCs/>
        </w:rPr>
        <w:t>‘a mere 30% receive any sort of intervention or treatment. The other 70% simply struggle through the pain and emotional turmoil, doing their best to make it to adulthood</w:t>
      </w:r>
      <w:r w:rsidR="006E24FE" w:rsidRPr="006E24FE">
        <w:rPr>
          <w:i/>
          <w:iCs/>
        </w:rPr>
        <w:t xml:space="preserve">’ </w:t>
      </w:r>
    </w:p>
    <w:p w14:paraId="755CB3E2" w14:textId="72A20ADE" w:rsidR="0019001B" w:rsidRDefault="006E24FE" w:rsidP="000405A6">
      <w:pPr>
        <w:spacing w:line="360" w:lineRule="auto"/>
        <w:jc w:val="both"/>
      </w:pPr>
      <w:r w:rsidRPr="006E24FE">
        <w:t>This</w:t>
      </w:r>
      <w:r>
        <w:t xml:space="preserve"> shocking statistic show how invaluable ELSA is and my educational setting is providing this to help with the promotion of positive behaviour.</w:t>
      </w:r>
      <w:r w:rsidR="004E5AC0" w:rsidRPr="006E24FE">
        <w:rPr>
          <w:i/>
          <w:iCs/>
        </w:rPr>
        <w:t xml:space="preserve"> </w:t>
      </w:r>
      <w:r w:rsidR="00AA0473">
        <w:t xml:space="preserve">My education setting also is a pivotal school, which we enrolled across our setting two years ago. We introduced this positive intervention to be able to demonstrate to the pupils how to speak to one another, show them how talking in a positive way can make </w:t>
      </w:r>
      <w:r w:rsidR="009A0814">
        <w:t>them</w:t>
      </w:r>
      <w:r w:rsidR="00AA0473">
        <w:t>sel</w:t>
      </w:r>
      <w:r w:rsidR="009A0814">
        <w:t>ves</w:t>
      </w:r>
      <w:r w:rsidR="00AA0473">
        <w:t xml:space="preserve"> a</w:t>
      </w:r>
      <w:r w:rsidR="009A0814">
        <w:t xml:space="preserve"> positive learner who can reach their full potential. </w:t>
      </w:r>
      <w:r w:rsidR="00ED03A8">
        <w:t>In our (</w:t>
      </w:r>
      <w:r>
        <w:t>S</w:t>
      </w:r>
      <w:r w:rsidR="00ED03A8">
        <w:t xml:space="preserve">chool A, 2018) behaviour for learning policy it outlines what it expects from both students and staff around the educational site. This also includes scripted examples of how to deal with challenging behaviours in class, off task, mobile phones and finally outside coats and jumpers. This is </w:t>
      </w:r>
      <w:r w:rsidR="00090C0A">
        <w:t>an</w:t>
      </w:r>
      <w:r w:rsidR="00ED03A8">
        <w:t xml:space="preserve"> interventional tool to help all staff be consistent in their challenges and re-enforcement of the </w:t>
      </w:r>
      <w:r w:rsidR="00090C0A">
        <w:t xml:space="preserve">behaviour we do expect. This </w:t>
      </w:r>
      <w:r w:rsidR="00090C0A">
        <w:lastRenderedPageBreak/>
        <w:t>routine helps the staff to keep control of situations in a calm manner whilst giving us the confidence to try and create a positive learner.</w:t>
      </w:r>
      <w:r w:rsidR="00ED03A8">
        <w:t xml:space="preserve"> </w:t>
      </w:r>
      <w:r w:rsidR="00AA0473">
        <w:t xml:space="preserve"> </w:t>
      </w:r>
      <w:r w:rsidR="00090C0A">
        <w:t>(Hancock, 2009, p.170 -176)</w:t>
      </w:r>
      <w:r w:rsidR="00AA0473">
        <w:t xml:space="preserve"> </w:t>
      </w:r>
      <w:r w:rsidR="007243ED">
        <w:t xml:space="preserve">discusses the need to fair, firm and consistent with students. This advice </w:t>
      </w:r>
      <w:r w:rsidR="00E848E3">
        <w:t>coincides with the pivotal approach and describes how we need to try and ‘criticize the behaviour, not the child’. It is very easy for students to focus on the criticisms rather than the positives. This can sometimes hit a nerve with some children because if they have constantly had the negative comments in their home lives then they will constantly focus on them. In my educational setting w</w:t>
      </w:r>
      <w:r w:rsidR="00855F89">
        <w:t>e</w:t>
      </w:r>
      <w:r w:rsidR="00E848E3">
        <w:t xml:space="preserve"> have an </w:t>
      </w:r>
      <w:r w:rsidR="00C3269A">
        <w:t>Engagement</w:t>
      </w:r>
      <w:r w:rsidR="004E5AC0">
        <w:t xml:space="preserve"> and learning</w:t>
      </w:r>
      <w:r w:rsidR="00C3269A">
        <w:t xml:space="preserve"> </w:t>
      </w:r>
      <w:r w:rsidR="004E5AC0">
        <w:t>mentor</w:t>
      </w:r>
      <w:r w:rsidR="00C3269A">
        <w:t xml:space="preserve"> and a learning coach. These wonderful members of our educational setting help children who are disengaged and struggling in their learning to attend classes with them to try and help them to feel confident and able to achieve. They feel supported by the staff member and the learning coach goes through a VARK questionnaire. (Fleming, 198</w:t>
      </w:r>
      <w:r w:rsidR="00855F89">
        <w:t xml:space="preserve">7 cited in </w:t>
      </w:r>
      <w:proofErr w:type="spellStart"/>
      <w:r w:rsidR="00855F89">
        <w:t>Prithishkumar</w:t>
      </w:r>
      <w:proofErr w:type="spellEnd"/>
      <w:r w:rsidR="00855F89">
        <w:t xml:space="preserve">, 2014, p. </w:t>
      </w:r>
      <w:r w:rsidR="006C122F">
        <w:t>6</w:t>
      </w:r>
      <w:r w:rsidR="00C3269A">
        <w:t>) created this questionnaire to help adults to work out their best learning style. The learning Coach uses this with students to help determine how they can record their work to the best of their abilities.</w:t>
      </w:r>
      <w:r w:rsidR="00855F89">
        <w:t xml:space="preserve"> </w:t>
      </w:r>
      <w:r w:rsidR="006C122F">
        <w:t>Therefore,</w:t>
      </w:r>
      <w:r w:rsidR="00855F89">
        <w:t xml:space="preserve"> alleviating the negative behaviours associated with disengagement.</w:t>
      </w:r>
      <w:r w:rsidR="00193ACE">
        <w:t xml:space="preserve"> With the students we feel are disengaged on a regular basis we often set up a restorative meeting which is an informal meeting somewhere neutral</w:t>
      </w:r>
      <w:r w:rsidR="004E5AC0">
        <w:t>,</w:t>
      </w:r>
      <w:r w:rsidR="00193ACE">
        <w:t xml:space="preserve"> where we talk to the student about how they feel when they attend the lesson that they are disengaged with. What can make it better</w:t>
      </w:r>
      <w:r w:rsidR="004E5AC0">
        <w:t>?</w:t>
      </w:r>
      <w:r w:rsidR="00193ACE">
        <w:t xml:space="preserve"> how it makes them feel</w:t>
      </w:r>
      <w:r w:rsidR="004E5AC0">
        <w:t>?</w:t>
      </w:r>
      <w:r w:rsidR="00193ACE">
        <w:t xml:space="preserve"> etc. These meetings are great at restoring the relationship between student and school as well as understanding what the triggers are and ways to counteract it. The student feels include</w:t>
      </w:r>
      <w:r w:rsidR="004E5AC0">
        <w:t>d</w:t>
      </w:r>
      <w:r w:rsidR="00193ACE">
        <w:t>, important and it helps the educational staff to understand the reasons behind their behaviour leading to more positive plans to improvement.</w:t>
      </w:r>
      <w:r w:rsidR="001823B4">
        <w:t xml:space="preserve"> </w:t>
      </w:r>
      <w:r w:rsidR="00193ACE">
        <w:t xml:space="preserve">  </w:t>
      </w:r>
      <w:r w:rsidR="00855F89">
        <w:t xml:space="preserve">    </w:t>
      </w:r>
      <w:r w:rsidR="00C3269A">
        <w:t xml:space="preserve">  </w:t>
      </w:r>
    </w:p>
    <w:p w14:paraId="17DB4DED" w14:textId="77777777" w:rsidR="00164E94" w:rsidRDefault="00164E94" w:rsidP="000405A6">
      <w:pPr>
        <w:spacing w:line="360" w:lineRule="auto"/>
        <w:jc w:val="both"/>
        <w:rPr>
          <w:u w:val="single"/>
        </w:rPr>
      </w:pPr>
    </w:p>
    <w:p w14:paraId="3B043BA0" w14:textId="77777777" w:rsidR="00164E94" w:rsidRDefault="00164E94" w:rsidP="000405A6">
      <w:pPr>
        <w:spacing w:line="360" w:lineRule="auto"/>
        <w:jc w:val="both"/>
        <w:rPr>
          <w:u w:val="single"/>
        </w:rPr>
      </w:pPr>
    </w:p>
    <w:p w14:paraId="68B79B8F" w14:textId="77777777" w:rsidR="00164E94" w:rsidRDefault="00164E94" w:rsidP="000405A6">
      <w:pPr>
        <w:spacing w:line="360" w:lineRule="auto"/>
        <w:jc w:val="both"/>
        <w:rPr>
          <w:u w:val="single"/>
        </w:rPr>
      </w:pPr>
    </w:p>
    <w:p w14:paraId="783F0F5C" w14:textId="77777777" w:rsidR="00164E94" w:rsidRDefault="00164E94" w:rsidP="000405A6">
      <w:pPr>
        <w:spacing w:line="360" w:lineRule="auto"/>
        <w:jc w:val="both"/>
        <w:rPr>
          <w:u w:val="single"/>
        </w:rPr>
      </w:pPr>
    </w:p>
    <w:p w14:paraId="17CCC68B" w14:textId="77777777" w:rsidR="00164E94" w:rsidRDefault="00164E94" w:rsidP="000405A6">
      <w:pPr>
        <w:spacing w:line="360" w:lineRule="auto"/>
        <w:jc w:val="both"/>
        <w:rPr>
          <w:u w:val="single"/>
        </w:rPr>
      </w:pPr>
    </w:p>
    <w:p w14:paraId="0CD4CFCA" w14:textId="77777777" w:rsidR="00164E94" w:rsidRDefault="00164E94" w:rsidP="000405A6">
      <w:pPr>
        <w:spacing w:line="360" w:lineRule="auto"/>
        <w:jc w:val="both"/>
        <w:rPr>
          <w:u w:val="single"/>
        </w:rPr>
      </w:pPr>
    </w:p>
    <w:p w14:paraId="7D7A71F5" w14:textId="77777777" w:rsidR="00164E94" w:rsidRDefault="00164E94" w:rsidP="000405A6">
      <w:pPr>
        <w:spacing w:line="360" w:lineRule="auto"/>
        <w:jc w:val="both"/>
        <w:rPr>
          <w:u w:val="single"/>
        </w:rPr>
      </w:pPr>
    </w:p>
    <w:p w14:paraId="17F4CA62" w14:textId="77777777" w:rsidR="00164E94" w:rsidRDefault="00164E94" w:rsidP="000405A6">
      <w:pPr>
        <w:spacing w:line="360" w:lineRule="auto"/>
        <w:jc w:val="both"/>
        <w:rPr>
          <w:u w:val="single"/>
        </w:rPr>
      </w:pPr>
    </w:p>
    <w:p w14:paraId="464DDC4E" w14:textId="77777777" w:rsidR="00164E94" w:rsidRDefault="00164E94" w:rsidP="000405A6">
      <w:pPr>
        <w:spacing w:line="360" w:lineRule="auto"/>
        <w:jc w:val="both"/>
        <w:rPr>
          <w:u w:val="single"/>
        </w:rPr>
      </w:pPr>
    </w:p>
    <w:p w14:paraId="6877DFFE" w14:textId="77777777" w:rsidR="00164E94" w:rsidRDefault="00164E94" w:rsidP="000405A6">
      <w:pPr>
        <w:spacing w:line="360" w:lineRule="auto"/>
        <w:jc w:val="both"/>
        <w:rPr>
          <w:u w:val="single"/>
        </w:rPr>
      </w:pPr>
    </w:p>
    <w:p w14:paraId="2A31B606" w14:textId="59D91067" w:rsidR="00451A70" w:rsidRDefault="00451A70" w:rsidP="000405A6">
      <w:pPr>
        <w:spacing w:line="360" w:lineRule="auto"/>
        <w:jc w:val="both"/>
        <w:rPr>
          <w:u w:val="single"/>
        </w:rPr>
      </w:pPr>
      <w:r>
        <w:rPr>
          <w:u w:val="single"/>
        </w:rPr>
        <w:lastRenderedPageBreak/>
        <w:t>Bibliography</w:t>
      </w:r>
    </w:p>
    <w:p w14:paraId="1C1D8FBB" w14:textId="52704CEA" w:rsidR="00451A70" w:rsidRDefault="00451A70" w:rsidP="000405A6">
      <w:pPr>
        <w:spacing w:line="360" w:lineRule="auto"/>
        <w:jc w:val="both"/>
      </w:pPr>
      <w:r>
        <w:t xml:space="preserve">Bandura, A et al. (1963) The Social Learning Theory of Aggression [video]. Available at: </w:t>
      </w:r>
      <w:hyperlink r:id="rId4" w:history="1">
        <w:r>
          <w:rPr>
            <w:rStyle w:val="Hyperlink"/>
          </w:rPr>
          <w:t>https://www.youtube.com/watch?v=NjTxQy_U3ac</w:t>
        </w:r>
      </w:hyperlink>
      <w:r>
        <w:t xml:space="preserve"> (Accessed 6</w:t>
      </w:r>
      <w:r w:rsidRPr="00451A70">
        <w:rPr>
          <w:vertAlign w:val="superscript"/>
        </w:rPr>
        <w:t>th</w:t>
      </w:r>
      <w:r>
        <w:t xml:space="preserve"> March 2020).</w:t>
      </w:r>
    </w:p>
    <w:p w14:paraId="39438EB7" w14:textId="430F62D0" w:rsidR="00F16AD8" w:rsidRDefault="00F16AD8" w:rsidP="000405A6">
      <w:pPr>
        <w:spacing w:line="360" w:lineRule="auto"/>
        <w:jc w:val="both"/>
      </w:pPr>
      <w:proofErr w:type="spellStart"/>
      <w:r>
        <w:t>Ginnis</w:t>
      </w:r>
      <w:proofErr w:type="spellEnd"/>
      <w:r>
        <w:t xml:space="preserve">, P. (2010) ‘The Teacher’s Toolkit’ Crown House Publishing Limited. Carmarthen. </w:t>
      </w:r>
    </w:p>
    <w:p w14:paraId="423BC0C1" w14:textId="38179108" w:rsidR="006F37B0" w:rsidRDefault="006F37B0" w:rsidP="000405A6">
      <w:pPr>
        <w:spacing w:line="360" w:lineRule="auto"/>
        <w:jc w:val="both"/>
      </w:pPr>
      <w:r>
        <w:t xml:space="preserve">Morgan, M and Ellis, G (2011) ‘A kit bag for promoting Positive Behaviour in the Classroom’ </w:t>
      </w:r>
      <w:r w:rsidR="00170523">
        <w:t xml:space="preserve">Jessica Kingsley Publishers. London. </w:t>
      </w:r>
    </w:p>
    <w:p w14:paraId="7B23AD01" w14:textId="4FD7CE91" w:rsidR="00365033" w:rsidRDefault="00AA0473" w:rsidP="000405A6">
      <w:pPr>
        <w:spacing w:line="360" w:lineRule="auto"/>
        <w:jc w:val="both"/>
      </w:pPr>
      <w:r>
        <w:t xml:space="preserve">Education Endowment Foundation. (2020) ‘Fresh Start, Key Conclusions’ Available at: </w:t>
      </w:r>
      <w:hyperlink r:id="rId5" w:history="1">
        <w:r w:rsidRPr="00085C93">
          <w:rPr>
            <w:rStyle w:val="Hyperlink"/>
          </w:rPr>
          <w:t>https://educationendowmentfoundation.org.uk/projects-and-evaluation/projects/fresh-start/</w:t>
        </w:r>
      </w:hyperlink>
      <w:r w:rsidR="00365033">
        <w:t xml:space="preserve"> (Accessed 7</w:t>
      </w:r>
      <w:r w:rsidR="00365033" w:rsidRPr="00365033">
        <w:rPr>
          <w:vertAlign w:val="superscript"/>
        </w:rPr>
        <w:t>th</w:t>
      </w:r>
      <w:r w:rsidR="00365033">
        <w:t xml:space="preserve"> March 2020)</w:t>
      </w:r>
    </w:p>
    <w:p w14:paraId="251C72C2" w14:textId="220F3EE6" w:rsidR="009A0814" w:rsidRDefault="009A0814" w:rsidP="000405A6">
      <w:pPr>
        <w:spacing w:line="360" w:lineRule="auto"/>
        <w:jc w:val="both"/>
      </w:pPr>
      <w:r>
        <w:t xml:space="preserve">School A, (2018) ‘Behaviour for Learning policy’ </w:t>
      </w:r>
    </w:p>
    <w:p w14:paraId="56682F10" w14:textId="77777777" w:rsidR="00855F89" w:rsidRDefault="00090C0A" w:rsidP="000405A6">
      <w:pPr>
        <w:spacing w:line="360" w:lineRule="auto"/>
        <w:jc w:val="both"/>
      </w:pPr>
      <w:r>
        <w:t>Hancock, R and Collins J. (2009). ‘Primary teaching assistants Learners and learning’ The Open University. Routledge. Oxon</w:t>
      </w:r>
    </w:p>
    <w:p w14:paraId="3DECB4DA" w14:textId="1B5A0AA1" w:rsidR="00090C0A" w:rsidRDefault="00855F89" w:rsidP="00855F89">
      <w:pPr>
        <w:tabs>
          <w:tab w:val="left" w:pos="1650"/>
        </w:tabs>
        <w:jc w:val="both"/>
      </w:pPr>
      <w:r>
        <w:t xml:space="preserve"> </w:t>
      </w:r>
      <w:proofErr w:type="spellStart"/>
      <w:r>
        <w:t>Prithishkumar</w:t>
      </w:r>
      <w:proofErr w:type="spellEnd"/>
      <w:r>
        <w:t>, J and Michael, A. (2014) Understanding your Student, using a VARK model Available at:</w:t>
      </w:r>
      <w:hyperlink r:id="rId6" w:history="1">
        <w:r w:rsidRPr="00085C93">
          <w:rPr>
            <w:rStyle w:val="Hyperlink"/>
          </w:rPr>
          <w:t>http://www.jpgmonline.com/article.asp?issn=0022-3859;year=2014;volume=60;issue=2;spage=183;epage=186;aulast=Prithishkumar</w:t>
        </w:r>
      </w:hyperlink>
    </w:p>
    <w:p w14:paraId="68568685" w14:textId="6DB1D438" w:rsidR="00AD5083" w:rsidRPr="00855F89" w:rsidRDefault="00AD5083" w:rsidP="00855F89">
      <w:pPr>
        <w:tabs>
          <w:tab w:val="left" w:pos="1650"/>
        </w:tabs>
        <w:jc w:val="both"/>
        <w:rPr>
          <w:rStyle w:val="Hyperlink"/>
          <w:color w:val="auto"/>
          <w:u w:val="none"/>
        </w:rPr>
      </w:pPr>
      <w:r>
        <w:t xml:space="preserve">Sunderland, M. (2015) ‘Bothered: Helping teenagers talk about their feelings’. </w:t>
      </w:r>
      <w:proofErr w:type="spellStart"/>
      <w:r>
        <w:t>Speechmark</w:t>
      </w:r>
      <w:proofErr w:type="spellEnd"/>
      <w:r>
        <w:t xml:space="preserve"> Publishing Limited. London.</w:t>
      </w:r>
    </w:p>
    <w:p w14:paraId="34B26DD6" w14:textId="357C7B33" w:rsidR="00855F89" w:rsidRPr="00855F89" w:rsidRDefault="00855F89" w:rsidP="00855F89">
      <w:pPr>
        <w:tabs>
          <w:tab w:val="left" w:pos="1650"/>
        </w:tabs>
        <w:jc w:val="both"/>
      </w:pPr>
      <w:r>
        <w:tab/>
      </w:r>
    </w:p>
    <w:sectPr w:rsidR="00855F89" w:rsidRPr="00855F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01B"/>
    <w:rsid w:val="000405A6"/>
    <w:rsid w:val="00090C0A"/>
    <w:rsid w:val="00164E94"/>
    <w:rsid w:val="00170523"/>
    <w:rsid w:val="001823B4"/>
    <w:rsid w:val="0019001B"/>
    <w:rsid w:val="00193ACE"/>
    <w:rsid w:val="00365033"/>
    <w:rsid w:val="00451A70"/>
    <w:rsid w:val="004E5AC0"/>
    <w:rsid w:val="005628CA"/>
    <w:rsid w:val="006C122F"/>
    <w:rsid w:val="006E24FE"/>
    <w:rsid w:val="006F37B0"/>
    <w:rsid w:val="007243ED"/>
    <w:rsid w:val="007B0183"/>
    <w:rsid w:val="00855F89"/>
    <w:rsid w:val="009A0814"/>
    <w:rsid w:val="009B33EF"/>
    <w:rsid w:val="009F2DE7"/>
    <w:rsid w:val="00AA0473"/>
    <w:rsid w:val="00AD5083"/>
    <w:rsid w:val="00C3269A"/>
    <w:rsid w:val="00E47775"/>
    <w:rsid w:val="00E848E3"/>
    <w:rsid w:val="00ED03A8"/>
    <w:rsid w:val="00F16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D1A3C"/>
  <w15:chartTrackingRefBased/>
  <w15:docId w15:val="{889FA306-1D18-4BF7-8752-3781F47DF9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1A70"/>
    <w:rPr>
      <w:color w:val="0000FF"/>
      <w:u w:val="single"/>
    </w:rPr>
  </w:style>
  <w:style w:type="character" w:styleId="UnresolvedMention">
    <w:name w:val="Unresolved Mention"/>
    <w:basedOn w:val="DefaultParagraphFont"/>
    <w:uiPriority w:val="99"/>
    <w:semiHidden/>
    <w:unhideWhenUsed/>
    <w:rsid w:val="00AA04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pgmonline.com/article.asp?issn=0022-3859;year=2014;volume=60;issue=2;spage=183;epage=186;aulast=Prithishkumar" TargetMode="External"/><Relationship Id="rId5" Type="http://schemas.openxmlformats.org/officeDocument/2006/relationships/hyperlink" Target="https://educationendowmentfoundation.org.uk/projects-and-evaluation/projects/fresh-start/" TargetMode="External"/><Relationship Id="rId4" Type="http://schemas.openxmlformats.org/officeDocument/2006/relationships/hyperlink" Target="https://www.youtube.com/watch?v=NjTxQy_U3a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258</TotalTime>
  <Pages>4</Pages>
  <Words>1496</Words>
  <Characters>8529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Daniella Sloan (1909912)</dc:creator>
  <cp:keywords/>
  <dc:description/>
  <cp:lastModifiedBy>Daniella Sloan (1909912)</cp:lastModifiedBy>
  <cp:revision>12</cp:revision>
  <dcterms:created xsi:type="dcterms:W3CDTF">2020-03-07T13:12:00Z</dcterms:created>
  <dcterms:modified xsi:type="dcterms:W3CDTF">2020-03-08T11:17:00Z</dcterms:modified>
</cp:coreProperties>
</file>