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4D6E6ACF" w:rsidR="00C4361B" w:rsidRPr="00753CE4" w:rsidRDefault="00C4361B" w:rsidP="00945CEC">
            <w:pPr>
              <w:rPr>
                <w:sz w:val="28"/>
                <w:szCs w:val="28"/>
              </w:rPr>
            </w:pPr>
            <w:r>
              <w:rPr>
                <w:sz w:val="28"/>
                <w:szCs w:val="28"/>
              </w:rPr>
              <w:t>Afsana Begum (2204410)</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0F89C48F" w14:textId="1C0170E5" w:rsidR="003C154B" w:rsidRDefault="00C46A0A" w:rsidP="00945CEC">
            <w:pPr>
              <w:rPr>
                <w:i/>
                <w:sz w:val="20"/>
                <w:szCs w:val="28"/>
              </w:rPr>
            </w:pPr>
            <w:r>
              <w:rPr>
                <w:i/>
                <w:sz w:val="20"/>
                <w:szCs w:val="28"/>
              </w:rPr>
              <w:t xml:space="preserve">Only complete this if you have already been in contact with a potential supervisor who has agreed to </w:t>
            </w:r>
            <w:r w:rsidR="009648D6">
              <w:rPr>
                <w:i/>
                <w:sz w:val="20"/>
                <w:szCs w:val="28"/>
              </w:rPr>
              <w:t xml:space="preserve">supervise you in principle. </w:t>
            </w:r>
          </w:p>
          <w:p w14:paraId="7E54B364" w14:textId="77777777" w:rsidR="009648D6" w:rsidRDefault="009648D6" w:rsidP="00945CEC">
            <w:pPr>
              <w:rPr>
                <w:i/>
                <w:sz w:val="20"/>
                <w:szCs w:val="28"/>
              </w:rPr>
            </w:pPr>
          </w:p>
          <w:p w14:paraId="5C462C16" w14:textId="18A3BF19" w:rsidR="003C154B" w:rsidRDefault="00C4361B" w:rsidP="00945CEC">
            <w:pPr>
              <w:rPr>
                <w:i/>
                <w:sz w:val="22"/>
                <w:szCs w:val="32"/>
              </w:rPr>
            </w:pPr>
            <w:r w:rsidRPr="00C4361B">
              <w:rPr>
                <w:i/>
                <w:sz w:val="22"/>
                <w:szCs w:val="32"/>
              </w:rPr>
              <w:t>Dr</w:t>
            </w:r>
            <w:r>
              <w:rPr>
                <w:i/>
                <w:sz w:val="22"/>
                <w:szCs w:val="32"/>
              </w:rPr>
              <w:t xml:space="preserve"> Kate Williams</w:t>
            </w:r>
          </w:p>
          <w:p w14:paraId="33465354" w14:textId="798A747C" w:rsidR="00C4361B" w:rsidRPr="00C4361B" w:rsidRDefault="00C4361B" w:rsidP="00945CEC">
            <w:pPr>
              <w:rPr>
                <w:i/>
                <w:sz w:val="22"/>
                <w:szCs w:val="32"/>
              </w:rPr>
            </w:pPr>
          </w:p>
        </w:tc>
      </w:tr>
    </w:tbl>
    <w:p w14:paraId="5FA09E11" w14:textId="1EA24138" w:rsidR="009648D6" w:rsidRPr="00086D4F" w:rsidRDefault="009648D6" w:rsidP="008C4B50">
      <w:pPr>
        <w:pStyle w:val="SMUARIAL14BOLD"/>
        <w:spacing w:before="0"/>
        <w:rPr>
          <w:b w:val="0"/>
          <w:sz w:val="32"/>
          <w:szCs w:val="20"/>
        </w:rPr>
      </w:pPr>
    </w:p>
    <w:p w14:paraId="369DF934" w14:textId="06F92ABF"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2B9056FA" w:rsidR="009648D6" w:rsidRDefault="009648D6" w:rsidP="009648D6">
      <w:pPr>
        <w:rPr>
          <w:rFonts w:ascii="Arial" w:hAnsi="Arial" w:cs="Arial"/>
          <w:b/>
          <w:bCs/>
          <w:sz w:val="20"/>
          <w:szCs w:val="20"/>
        </w:rPr>
      </w:pPr>
    </w:p>
    <w:p w14:paraId="4B84D09D" w14:textId="4278AB1A"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42845942"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2D6385BA"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97B98BF" w14:textId="0B1CF7B5" w:rsidR="00F80900" w:rsidRDefault="00C4361B" w:rsidP="00C15547">
            <w:pPr>
              <w:rPr>
                <w:rFonts w:ascii="Arial" w:hAnsi="Arial" w:cs="Arial"/>
                <w:sz w:val="20"/>
                <w:szCs w:val="20"/>
              </w:rPr>
            </w:pPr>
            <w:r>
              <w:rPr>
                <w:i/>
                <w:noProof/>
                <w:sz w:val="22"/>
                <w:szCs w:val="32"/>
              </w:rPr>
              <w:drawing>
                <wp:anchor distT="0" distB="0" distL="114300" distR="114300" simplePos="0" relativeHeight="251658240" behindDoc="1" locked="0" layoutInCell="1" allowOverlap="1" wp14:anchorId="49D7AFA6" wp14:editId="738616D7">
                  <wp:simplePos x="0" y="0"/>
                  <wp:positionH relativeFrom="column">
                    <wp:posOffset>1321435</wp:posOffset>
                  </wp:positionH>
                  <wp:positionV relativeFrom="paragraph">
                    <wp:posOffset>49530</wp:posOffset>
                  </wp:positionV>
                  <wp:extent cx="175260" cy="175260"/>
                  <wp:effectExtent l="0" t="0" r="0" b="0"/>
                  <wp:wrapNone/>
                  <wp:docPr id="1109100172"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100172" name="Graphic 1109100172" descr="Checkmar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sidR="00F80900">
              <w:rPr>
                <w:rFonts w:ascii="Arial" w:hAnsi="Arial" w:cs="Arial"/>
                <w:sz w:val="20"/>
                <w:szCs w:val="20"/>
              </w:rPr>
              <w:t xml:space="preserve">Cognitive Psychology </w:t>
            </w:r>
          </w:p>
          <w:p w14:paraId="2F9689EE" w14:textId="1F20F0B3" w:rsidR="00C4361B" w:rsidRPr="00A05E89" w:rsidRDefault="00C4361B"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14EBC951"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31F1803" w:rsidR="009648D6" w:rsidRDefault="009648D6" w:rsidP="00F73A03">
      <w:pPr>
        <w:rPr>
          <w:sz w:val="32"/>
          <w:szCs w:val="12"/>
        </w:rPr>
      </w:pPr>
    </w:p>
    <w:p w14:paraId="6ABA7A76" w14:textId="7849B0B7"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03D94415" w:rsidR="00DA7F18" w:rsidRDefault="00DA7F18" w:rsidP="00F73A03">
      <w:pPr>
        <w:rPr>
          <w:rFonts w:ascii="Arial" w:hAnsi="Arial" w:cs="Arial"/>
          <w:b/>
          <w:bCs/>
          <w:sz w:val="20"/>
          <w:szCs w:val="20"/>
        </w:rPr>
      </w:pPr>
    </w:p>
    <w:p w14:paraId="22B6A973" w14:textId="11CA3E0D"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4115811E" w:rsidR="0031057E" w:rsidRPr="00A05E89" w:rsidRDefault="00C4361B" w:rsidP="00F73A03">
            <w:pPr>
              <w:rPr>
                <w:rFonts w:ascii="Arial" w:hAnsi="Arial" w:cs="Arial"/>
                <w:sz w:val="20"/>
                <w:szCs w:val="20"/>
              </w:rPr>
            </w:pPr>
            <w:r>
              <w:rPr>
                <w:rFonts w:ascii="Arial" w:hAnsi="Arial" w:cs="Arial"/>
                <w:noProof/>
                <w:sz w:val="20"/>
                <w:szCs w:val="20"/>
              </w:rPr>
              <w:drawing>
                <wp:anchor distT="0" distB="0" distL="114300" distR="114300" simplePos="0" relativeHeight="251665408" behindDoc="1" locked="0" layoutInCell="1" allowOverlap="1" wp14:anchorId="25CC4647" wp14:editId="3C0F86B6">
                  <wp:simplePos x="0" y="0"/>
                  <wp:positionH relativeFrom="column">
                    <wp:posOffset>1214879</wp:posOffset>
                  </wp:positionH>
                  <wp:positionV relativeFrom="paragraph">
                    <wp:posOffset>81241</wp:posOffset>
                  </wp:positionV>
                  <wp:extent cx="218485" cy="218485"/>
                  <wp:effectExtent l="0" t="0" r="0" b="0"/>
                  <wp:wrapNone/>
                  <wp:docPr id="836465387"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754221" name="Graphic 1211754221" descr="Checkmar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18485" cy="218485"/>
                          </a:xfrm>
                          <a:prstGeom prst="rect">
                            <a:avLst/>
                          </a:prstGeom>
                        </pic:spPr>
                      </pic:pic>
                    </a:graphicData>
                  </a:graphic>
                  <wp14:sizeRelH relativeFrom="margin">
                    <wp14:pctWidth>0</wp14:pctWidth>
                  </wp14:sizeRelH>
                  <wp14:sizeRelV relativeFrom="margin">
                    <wp14:pctHeight>0</wp14:pctHeight>
                  </wp14:sizeRelV>
                </wp:anchor>
              </w:drawing>
            </w:r>
            <w:r w:rsidR="002F3741" w:rsidRPr="00A05E89">
              <w:rPr>
                <w:rFonts w:ascii="Arial" w:hAnsi="Arial" w:cs="Arial"/>
                <w:sz w:val="20"/>
                <w:szCs w:val="20"/>
              </w:rPr>
              <w:t xml:space="preserve">Quantitative </w:t>
            </w:r>
          </w:p>
          <w:p w14:paraId="1E91FAEB" w14:textId="3159DDBA" w:rsidR="002F3741" w:rsidRPr="00A05E89" w:rsidRDefault="002F3741" w:rsidP="00F73A03">
            <w:pPr>
              <w:rPr>
                <w:rFonts w:ascii="Arial" w:hAnsi="Arial" w:cs="Arial"/>
                <w:sz w:val="20"/>
                <w:szCs w:val="20"/>
              </w:rPr>
            </w:pPr>
          </w:p>
        </w:tc>
        <w:tc>
          <w:tcPr>
            <w:tcW w:w="2577" w:type="dxa"/>
          </w:tcPr>
          <w:p w14:paraId="6153C3D0" w14:textId="0AE92FB7" w:rsidR="0031057E" w:rsidRPr="00A05E89" w:rsidRDefault="00C4361B" w:rsidP="00F73A03">
            <w:pPr>
              <w:rPr>
                <w:rFonts w:ascii="Arial" w:hAnsi="Arial" w:cs="Arial"/>
                <w:sz w:val="20"/>
                <w:szCs w:val="20"/>
              </w:rPr>
            </w:pPr>
            <w:r>
              <w:rPr>
                <w:rFonts w:ascii="Arial" w:hAnsi="Arial" w:cs="Arial"/>
                <w:noProof/>
                <w:sz w:val="20"/>
                <w:szCs w:val="20"/>
              </w:rPr>
              <w:drawing>
                <wp:anchor distT="0" distB="0" distL="114300" distR="114300" simplePos="0" relativeHeight="251663360" behindDoc="1" locked="0" layoutInCell="1" allowOverlap="1" wp14:anchorId="0D522D44" wp14:editId="352E97EB">
                  <wp:simplePos x="0" y="0"/>
                  <wp:positionH relativeFrom="column">
                    <wp:posOffset>1132155</wp:posOffset>
                  </wp:positionH>
                  <wp:positionV relativeFrom="paragraph">
                    <wp:posOffset>106113</wp:posOffset>
                  </wp:positionV>
                  <wp:extent cx="218485" cy="218485"/>
                  <wp:effectExtent l="0" t="0" r="0" b="0"/>
                  <wp:wrapNone/>
                  <wp:docPr id="1520668419"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754221" name="Graphic 1211754221" descr="Checkmar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18485" cy="218485"/>
                          </a:xfrm>
                          <a:prstGeom prst="rect">
                            <a:avLst/>
                          </a:prstGeom>
                        </pic:spPr>
                      </pic:pic>
                    </a:graphicData>
                  </a:graphic>
                  <wp14:sizeRelH relativeFrom="margin">
                    <wp14:pctWidth>0</wp14:pctWidth>
                  </wp14:sizeRelH>
                  <wp14:sizeRelV relativeFrom="margin">
                    <wp14:pctHeight>0</wp14:pctHeight>
                  </wp14:sizeRelV>
                </wp:anchor>
              </w:drawing>
            </w:r>
            <w:r w:rsidR="00A05E89">
              <w:rPr>
                <w:rFonts w:ascii="Arial" w:hAnsi="Arial" w:cs="Arial"/>
                <w:sz w:val="20"/>
                <w:szCs w:val="20"/>
              </w:rPr>
              <w:t xml:space="preserve">Experimental </w:t>
            </w:r>
          </w:p>
        </w:tc>
        <w:tc>
          <w:tcPr>
            <w:tcW w:w="2577" w:type="dxa"/>
          </w:tcPr>
          <w:p w14:paraId="1E7B0F67" w14:textId="2CA60319" w:rsidR="0031057E" w:rsidRDefault="00C4361B" w:rsidP="00F73A03">
            <w:pPr>
              <w:rPr>
                <w:rFonts w:ascii="Arial" w:hAnsi="Arial" w:cs="Arial"/>
                <w:sz w:val="20"/>
                <w:szCs w:val="20"/>
              </w:rPr>
            </w:pPr>
            <w:r>
              <w:rPr>
                <w:rFonts w:ascii="Arial" w:hAnsi="Arial" w:cs="Arial"/>
                <w:noProof/>
                <w:sz w:val="20"/>
                <w:szCs w:val="20"/>
              </w:rPr>
              <w:drawing>
                <wp:anchor distT="0" distB="0" distL="114300" distR="114300" simplePos="0" relativeHeight="251661312" behindDoc="1" locked="0" layoutInCell="1" allowOverlap="1" wp14:anchorId="741D218E" wp14:editId="4DE275F5">
                  <wp:simplePos x="0" y="0"/>
                  <wp:positionH relativeFrom="column">
                    <wp:posOffset>1251731</wp:posOffset>
                  </wp:positionH>
                  <wp:positionV relativeFrom="paragraph">
                    <wp:posOffset>106112</wp:posOffset>
                  </wp:positionV>
                  <wp:extent cx="218485" cy="218485"/>
                  <wp:effectExtent l="0" t="0" r="0" b="0"/>
                  <wp:wrapNone/>
                  <wp:docPr id="969809141"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754221" name="Graphic 1211754221" descr="Checkmar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18485" cy="218485"/>
                          </a:xfrm>
                          <a:prstGeom prst="rect">
                            <a:avLst/>
                          </a:prstGeom>
                        </pic:spPr>
                      </pic:pic>
                    </a:graphicData>
                  </a:graphic>
                  <wp14:sizeRelH relativeFrom="margin">
                    <wp14:pctWidth>0</wp14:pctWidth>
                  </wp14:sizeRelH>
                  <wp14:sizeRelV relativeFrom="margin">
                    <wp14:pctHeight>0</wp14:pctHeight>
                  </wp14:sizeRelV>
                </wp:anchor>
              </w:drawing>
            </w:r>
            <w:r w:rsidR="00A05E89">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733CA236"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623135A7"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0F035703"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4FA3BF18" w:rsidR="0031057E" w:rsidRPr="00A05E89" w:rsidRDefault="00C4361B" w:rsidP="00F73A03">
            <w:pPr>
              <w:rPr>
                <w:rFonts w:ascii="Arial" w:hAnsi="Arial" w:cs="Arial"/>
                <w:sz w:val="20"/>
                <w:szCs w:val="20"/>
              </w:rPr>
            </w:pPr>
            <w:r>
              <w:rPr>
                <w:rFonts w:ascii="Arial" w:hAnsi="Arial" w:cs="Arial"/>
                <w:noProof/>
                <w:sz w:val="20"/>
                <w:szCs w:val="20"/>
              </w:rPr>
              <w:drawing>
                <wp:anchor distT="0" distB="0" distL="114300" distR="114300" simplePos="0" relativeHeight="251659264" behindDoc="1" locked="0" layoutInCell="1" allowOverlap="1" wp14:anchorId="773E6E2C" wp14:editId="62CEFA1B">
                  <wp:simplePos x="0" y="0"/>
                  <wp:positionH relativeFrom="column">
                    <wp:posOffset>1109789</wp:posOffset>
                  </wp:positionH>
                  <wp:positionV relativeFrom="paragraph">
                    <wp:posOffset>191832</wp:posOffset>
                  </wp:positionV>
                  <wp:extent cx="218485" cy="218485"/>
                  <wp:effectExtent l="0" t="0" r="0" b="0"/>
                  <wp:wrapNone/>
                  <wp:docPr id="1211754221" name="Graphic 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754221" name="Graphic 1211754221" descr="Checkmar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18485" cy="218485"/>
                          </a:xfrm>
                          <a:prstGeom prst="rect">
                            <a:avLst/>
                          </a:prstGeom>
                        </pic:spPr>
                      </pic:pic>
                    </a:graphicData>
                  </a:graphic>
                  <wp14:sizeRelH relativeFrom="margin">
                    <wp14:pctWidth>0</wp14:pctWidth>
                  </wp14:sizeRelH>
                  <wp14:sizeRelV relativeFrom="margin">
                    <wp14:pctHeight>0</wp14:pctHeight>
                  </wp14:sizeRelV>
                </wp:anchor>
              </w:drawing>
            </w:r>
            <w:r w:rsidR="00DA7F18">
              <w:rPr>
                <w:rFonts w:ascii="Arial" w:hAnsi="Arial" w:cs="Arial"/>
                <w:sz w:val="20"/>
                <w:szCs w:val="20"/>
              </w:rPr>
              <w:t xml:space="preserve">Lab-based study </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r w:rsidR="00B24417">
              <w:rPr>
                <w:rFonts w:ascii="Arial" w:hAnsi="Arial" w:cs="Arial"/>
                <w:i/>
                <w:iCs/>
                <w:sz w:val="20"/>
                <w:szCs w:val="20"/>
              </w:rPr>
              <w:t>A</w:t>
            </w:r>
            <w:r w:rsidR="00B24417" w:rsidRPr="00232FD9">
              <w:rPr>
                <w:rFonts w:ascii="Arial" w:hAnsi="Arial" w:cs="Arial"/>
                <w:i/>
                <w:iCs/>
                <w:sz w:val="20"/>
                <w:szCs w:val="20"/>
              </w:rPr>
              <w:t>pplied</w:t>
            </w:r>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67E62010" w14:textId="77777777" w:rsidR="00A5268F" w:rsidRDefault="00A5268F" w:rsidP="00C15547">
            <w:pPr>
              <w:rPr>
                <w:rFonts w:ascii="Arial" w:hAnsi="Arial" w:cs="Arial"/>
                <w:sz w:val="20"/>
              </w:rPr>
            </w:pPr>
          </w:p>
          <w:p w14:paraId="7688D3FA" w14:textId="423394A7" w:rsidR="00245DFF" w:rsidRDefault="00245DFF" w:rsidP="00C15547">
            <w:pPr>
              <w:rPr>
                <w:rFonts w:ascii="Arial" w:hAnsi="Arial" w:cs="Arial"/>
                <w:sz w:val="20"/>
              </w:rPr>
            </w:pPr>
            <w:r>
              <w:rPr>
                <w:rFonts w:ascii="Arial" w:hAnsi="Arial" w:cs="Arial"/>
                <w:sz w:val="20"/>
              </w:rPr>
              <w:t xml:space="preserve">The impact of positive or negative emotion on attentional bias in undergraduate students: an investigation using Ekman’s universal facial expressions. </w:t>
            </w:r>
          </w:p>
          <w:p w14:paraId="02690306" w14:textId="77777777" w:rsidR="00A5268F" w:rsidRDefault="00A5268F" w:rsidP="00C15547"/>
          <w:p w14:paraId="11A59E4D" w14:textId="77777777" w:rsidR="00A5268F" w:rsidRDefault="00A5268F"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6CF4C981" w14:textId="77777777" w:rsidR="00992264" w:rsidRDefault="00992264" w:rsidP="00360E4B">
            <w:pPr>
              <w:rPr>
                <w:rFonts w:ascii="Arial" w:hAnsi="Arial" w:cs="Arial"/>
                <w:b/>
              </w:rPr>
            </w:pPr>
          </w:p>
          <w:p w14:paraId="24A005D1" w14:textId="73476993" w:rsidR="00B34B13" w:rsidRDefault="00B34B13" w:rsidP="00B34B13">
            <w:pPr>
              <w:spacing w:line="360" w:lineRule="auto"/>
              <w:ind w:firstLine="720"/>
              <w:rPr>
                <w:rFonts w:ascii="Arial" w:hAnsi="Arial" w:cs="Arial"/>
                <w:bCs/>
              </w:rPr>
            </w:pPr>
            <w:r w:rsidRPr="00F11A0F">
              <w:rPr>
                <w:rFonts w:ascii="Arial" w:hAnsi="Arial" w:cs="Arial"/>
                <w:bCs/>
              </w:rPr>
              <w:t>Emotion effects people differently as it is a subjective experience. It can affect people’s perception and how they see the world (Deonna, 2005). It can also be argued that depending on our emotional state, those emotions can influence our attention to the environment and subsequent actions (Zadra et al., 2011)</w:t>
            </w:r>
            <w:r>
              <w:rPr>
                <w:rFonts w:ascii="Arial" w:hAnsi="Arial" w:cs="Arial"/>
                <w:bCs/>
              </w:rPr>
              <w:t xml:space="preserve">. According to Kahneman, (1973), the process of paying attention involves the mind’s internal machinery determining the significance of a stimulus and filtering accordingly. Additionally, Shinn-Cunnigham, (2008), states that selective attention and perceptual items interact to form attention. The capacity to receive stimuli interacts with individual differences in selective attention, such as biases to attention, and the capacity to visually perceive stimuli modulates attention processes. </w:t>
            </w:r>
            <w:r w:rsidRPr="00F11A0F">
              <w:rPr>
                <w:rFonts w:ascii="Arial" w:hAnsi="Arial" w:cs="Arial"/>
                <w:bCs/>
              </w:rPr>
              <w:t>Therefore, it is also important to investigate whether emotional experiences can influence ou</w:t>
            </w:r>
            <w:r>
              <w:rPr>
                <w:rFonts w:ascii="Arial" w:hAnsi="Arial" w:cs="Arial"/>
                <w:bCs/>
              </w:rPr>
              <w:t>r</w:t>
            </w:r>
            <w:r w:rsidRPr="00F11A0F">
              <w:rPr>
                <w:rFonts w:ascii="Arial" w:hAnsi="Arial" w:cs="Arial"/>
                <w:bCs/>
              </w:rPr>
              <w:t xml:space="preserve"> attention to detecting emotional stimuli in the environment, as this may result in further motivation to react on that emotion, which has the possibility to negatively affect our environment.</w:t>
            </w:r>
          </w:p>
          <w:p w14:paraId="281AE651" w14:textId="4B5CED9C" w:rsidR="00B34B13" w:rsidRDefault="00B34B13" w:rsidP="00B34B13">
            <w:pPr>
              <w:spacing w:line="360" w:lineRule="auto"/>
              <w:ind w:firstLine="720"/>
              <w:rPr>
                <w:rFonts w:ascii="Arial" w:hAnsi="Arial" w:cs="Arial"/>
                <w:bCs/>
              </w:rPr>
            </w:pPr>
            <w:r>
              <w:rPr>
                <w:rFonts w:ascii="Arial" w:hAnsi="Arial" w:cs="Arial"/>
                <w:bCs/>
              </w:rPr>
              <w:t>Theories such as the broaden-and-build theory (Fredrickson, 2001) suggests that the experience of positive emotions widens a person’s momentary thought-action repertoires and attention. Research by Fredrickson et al., (2005) tested this on 104 college students by eliciting different emotions though watching a film. It was found that positive emotions widened the scope of attention whiles negative emotions narrowed attention and thought-action repertoires. Research by Niedenthal et al. (2010) found that induced states of happiness and sadness influenced early information processing stages by facilitating lexical-decision making and word-naming of happy and sad related words, respectively.</w:t>
            </w:r>
            <w:r w:rsidRPr="00F11A0F">
              <w:rPr>
                <w:rFonts w:ascii="Arial" w:hAnsi="Arial" w:cs="Arial"/>
                <w:bCs/>
              </w:rPr>
              <w:t xml:space="preserve"> </w:t>
            </w:r>
            <w:r>
              <w:rPr>
                <w:rFonts w:ascii="Arial" w:hAnsi="Arial" w:cs="Arial"/>
                <w:bCs/>
              </w:rPr>
              <w:t>Additionally, research by Baumann et al. (2010) tested whether emotional experience influenced object recognition of threatening and neutral objects, within a short time frame. The results found that people experiencing anger were much more likely to misinterpret the neutral object as threating. From this it can be suggested that negative emotion can have a negative influence on emotion related attention and detection.</w:t>
            </w:r>
            <w:r w:rsidRPr="00F11A0F">
              <w:rPr>
                <w:rFonts w:ascii="Arial" w:hAnsi="Arial" w:cs="Arial"/>
                <w:bCs/>
              </w:rPr>
              <w:t xml:space="preserve"> </w:t>
            </w:r>
            <w:r>
              <w:rPr>
                <w:rFonts w:ascii="Arial" w:hAnsi="Arial" w:cs="Arial"/>
                <w:bCs/>
              </w:rPr>
              <w:t xml:space="preserve">Therefore, the aim of the study is to explore whether positive or negative emotions are influence on attention towards positive or negative stimuli.  </w:t>
            </w:r>
          </w:p>
          <w:p w14:paraId="2B0284BF" w14:textId="77777777" w:rsidR="00B34B13" w:rsidRDefault="00B34B13" w:rsidP="00B34B13"/>
          <w:p w14:paraId="1AAB6CA1" w14:textId="77777777" w:rsidR="00B34B13" w:rsidRDefault="00B34B13" w:rsidP="00B34B13"/>
          <w:p w14:paraId="3D731CC7" w14:textId="77777777" w:rsidR="00B34B13" w:rsidRDefault="00B34B13" w:rsidP="00B34B13"/>
          <w:p w14:paraId="0423D24B" w14:textId="77777777" w:rsidR="00B34B13" w:rsidRDefault="00B34B13" w:rsidP="00B34B13"/>
          <w:p w14:paraId="6D472C1C" w14:textId="77777777" w:rsidR="00B34B13" w:rsidRDefault="00B34B13" w:rsidP="00B34B13"/>
          <w:p w14:paraId="5E741619" w14:textId="77777777" w:rsidR="00B34B13" w:rsidRPr="004D53F9" w:rsidRDefault="00B34B13" w:rsidP="00B34B13">
            <w:pPr>
              <w:spacing w:line="360" w:lineRule="auto"/>
              <w:ind w:left="720" w:hanging="720"/>
              <w:rPr>
                <w:rFonts w:ascii="Arial" w:hAnsi="Arial" w:cs="Arial"/>
                <w:lang w:val="en-US"/>
              </w:rPr>
            </w:pPr>
            <w:r w:rsidRPr="004D53F9">
              <w:rPr>
                <w:rFonts w:ascii="Arial" w:hAnsi="Arial" w:cs="Arial"/>
                <w:lang w:val="en-US"/>
              </w:rPr>
              <w:lastRenderedPageBreak/>
              <w:t xml:space="preserve">Baumann, J., &amp; DeSteno, D. (2010). Emotion guided threat detection: Expecting guns where there are none. </w:t>
            </w:r>
            <w:r w:rsidRPr="006501F3">
              <w:rPr>
                <w:rFonts w:ascii="Arial" w:hAnsi="Arial" w:cs="Arial"/>
                <w:i/>
                <w:iCs/>
                <w:lang w:val="en-US"/>
              </w:rPr>
              <w:t>Journal of Personality and Social Psychology, 99</w:t>
            </w:r>
            <w:r w:rsidRPr="004D53F9">
              <w:rPr>
                <w:rFonts w:ascii="Arial" w:hAnsi="Arial" w:cs="Arial"/>
                <w:lang w:val="en-US"/>
              </w:rPr>
              <w:t xml:space="preserve">(4), 595-610. </w:t>
            </w:r>
            <w:hyperlink r:id="rId11" w:history="1">
              <w:r w:rsidRPr="004D53F9">
                <w:rPr>
                  <w:rStyle w:val="Hyperlink"/>
                  <w:rFonts w:ascii="Arial" w:hAnsi="Arial" w:cs="Arial"/>
                  <w:lang w:val="en-US"/>
                </w:rPr>
                <w:t>https://psycnet.apa.org/doi/10.1037/a0020665</w:t>
              </w:r>
            </w:hyperlink>
          </w:p>
          <w:p w14:paraId="26809486" w14:textId="77777777" w:rsidR="00B34B13" w:rsidRPr="004D53F9" w:rsidRDefault="00B34B13" w:rsidP="00B34B13">
            <w:pPr>
              <w:spacing w:line="360" w:lineRule="auto"/>
              <w:ind w:left="720" w:hanging="720"/>
              <w:rPr>
                <w:rFonts w:ascii="Arial" w:hAnsi="Arial" w:cs="Arial"/>
                <w:lang w:val="en-US"/>
              </w:rPr>
            </w:pPr>
            <w:r w:rsidRPr="004D53F9">
              <w:rPr>
                <w:rFonts w:ascii="Arial" w:hAnsi="Arial" w:cs="Arial"/>
                <w:lang w:val="en-US"/>
              </w:rPr>
              <w:t xml:space="preserve">Deonna, J. A. (2005). Emotion, perception and perspective. </w:t>
            </w:r>
            <w:proofErr w:type="spellStart"/>
            <w:r w:rsidRPr="004D53F9">
              <w:rPr>
                <w:rFonts w:ascii="Arial" w:hAnsi="Arial" w:cs="Arial"/>
                <w:i/>
                <w:iCs/>
                <w:lang w:val="en-US"/>
              </w:rPr>
              <w:t>Dialectica</w:t>
            </w:r>
            <w:proofErr w:type="spellEnd"/>
            <w:r w:rsidRPr="004D53F9">
              <w:rPr>
                <w:rFonts w:ascii="Arial" w:hAnsi="Arial" w:cs="Arial"/>
                <w:i/>
                <w:iCs/>
                <w:lang w:val="en-US"/>
              </w:rPr>
              <w:t>, 60</w:t>
            </w:r>
            <w:r w:rsidRPr="004D53F9">
              <w:rPr>
                <w:rFonts w:ascii="Arial" w:hAnsi="Arial" w:cs="Arial"/>
                <w:lang w:val="en-US"/>
              </w:rPr>
              <w:t xml:space="preserve">(1), 29-46. </w:t>
            </w:r>
            <w:hyperlink r:id="rId12" w:history="1">
              <w:r w:rsidRPr="004D53F9">
                <w:rPr>
                  <w:rStyle w:val="Hyperlink"/>
                  <w:rFonts w:ascii="Arial" w:hAnsi="Arial" w:cs="Arial"/>
                  <w:lang w:val="en-US"/>
                </w:rPr>
                <w:t>https://doi.org/10.1111/j.1746-8361.2005.01031.x</w:t>
              </w:r>
            </w:hyperlink>
          </w:p>
          <w:p w14:paraId="2DCEB18C" w14:textId="77777777" w:rsidR="00B34B13" w:rsidRPr="004D53F9" w:rsidRDefault="00B34B13" w:rsidP="00B34B13">
            <w:pPr>
              <w:spacing w:line="360" w:lineRule="auto"/>
              <w:ind w:left="720" w:hanging="720"/>
              <w:rPr>
                <w:rFonts w:ascii="Arial" w:hAnsi="Arial" w:cs="Arial"/>
                <w:lang w:val="en-US"/>
              </w:rPr>
            </w:pPr>
            <w:r w:rsidRPr="004D53F9">
              <w:rPr>
                <w:rFonts w:ascii="Arial" w:hAnsi="Arial" w:cs="Arial"/>
                <w:lang w:val="en-US"/>
              </w:rPr>
              <w:t xml:space="preserve">Niedenthal, P. M., Halberstadt, J. B., &amp; Setterlund, M. B. (2010). Being happy and seeing “happy”: Emotional state mediates visual word recognition. </w:t>
            </w:r>
            <w:r w:rsidRPr="004D53F9">
              <w:rPr>
                <w:rFonts w:ascii="Arial" w:hAnsi="Arial" w:cs="Arial"/>
                <w:i/>
                <w:iCs/>
                <w:lang w:val="en-US"/>
              </w:rPr>
              <w:t>Cognition and Emotion, 11</w:t>
            </w:r>
            <w:r w:rsidRPr="004D53F9">
              <w:rPr>
                <w:rFonts w:ascii="Arial" w:hAnsi="Arial" w:cs="Arial"/>
                <w:lang w:val="en-US"/>
              </w:rPr>
              <w:t>(4), 403-432.</w:t>
            </w:r>
            <w:r w:rsidRPr="004D53F9">
              <w:rPr>
                <w:rFonts w:ascii="Arial" w:hAnsi="Arial" w:cs="Arial"/>
              </w:rPr>
              <w:t xml:space="preserve"> </w:t>
            </w:r>
            <w:hyperlink r:id="rId13" w:history="1">
              <w:r w:rsidRPr="004D53F9">
                <w:rPr>
                  <w:rStyle w:val="Hyperlink"/>
                  <w:rFonts w:ascii="Arial" w:hAnsi="Arial" w:cs="Arial"/>
                  <w:lang w:val="en-US"/>
                </w:rPr>
                <w:t>https://doi.org/10.1080/026999397379863</w:t>
              </w:r>
            </w:hyperlink>
          </w:p>
          <w:p w14:paraId="6D7E0BAB" w14:textId="77777777" w:rsidR="00B34B13" w:rsidRDefault="00B34B13" w:rsidP="00B34B13">
            <w:pPr>
              <w:spacing w:line="360" w:lineRule="auto"/>
              <w:ind w:left="720" w:hanging="720"/>
              <w:rPr>
                <w:rFonts w:ascii="Arial" w:hAnsi="Arial" w:cs="Arial"/>
                <w:lang w:val="en-US"/>
              </w:rPr>
            </w:pPr>
            <w:r w:rsidRPr="004D53F9">
              <w:rPr>
                <w:rFonts w:ascii="Arial" w:hAnsi="Arial" w:cs="Arial"/>
                <w:lang w:val="en-US"/>
              </w:rPr>
              <w:t xml:space="preserve">Zadra, J. R., &amp; Clore, G. L. (2011). Emotion and perception: the role of affective information. </w:t>
            </w:r>
            <w:r w:rsidRPr="004D53F9">
              <w:rPr>
                <w:rFonts w:ascii="Arial" w:hAnsi="Arial" w:cs="Arial"/>
                <w:i/>
                <w:iCs/>
                <w:lang w:val="en-US"/>
              </w:rPr>
              <w:t>WIREs Cognitive Science, 2</w:t>
            </w:r>
            <w:r w:rsidRPr="004D53F9">
              <w:rPr>
                <w:rFonts w:ascii="Arial" w:hAnsi="Arial" w:cs="Arial"/>
                <w:lang w:val="en-US"/>
              </w:rPr>
              <w:t xml:space="preserve">(6), 676-685. </w:t>
            </w:r>
            <w:hyperlink r:id="rId14" w:history="1">
              <w:r w:rsidRPr="004D53F9">
                <w:rPr>
                  <w:rStyle w:val="Hyperlink"/>
                  <w:rFonts w:ascii="Arial" w:hAnsi="Arial" w:cs="Arial"/>
                  <w:lang w:val="en-US"/>
                </w:rPr>
                <w:t>https://doi.org/10.1002/wcs.147</w:t>
              </w:r>
            </w:hyperlink>
          </w:p>
          <w:p w14:paraId="179287B9" w14:textId="77777777" w:rsidR="00B34B13" w:rsidRDefault="00B34B13" w:rsidP="00B34B13">
            <w:pPr>
              <w:spacing w:line="360" w:lineRule="auto"/>
              <w:ind w:left="720" w:hanging="720"/>
              <w:rPr>
                <w:rFonts w:ascii="Arial" w:hAnsi="Arial" w:cs="Arial"/>
                <w:lang w:val="en-US"/>
              </w:rPr>
            </w:pPr>
            <w:r>
              <w:rPr>
                <w:rFonts w:ascii="Arial" w:hAnsi="Arial" w:cs="Arial"/>
                <w:lang w:val="en-US"/>
              </w:rPr>
              <w:t xml:space="preserve">Kahneman, D. (1973). </w:t>
            </w:r>
            <w:r w:rsidRPr="00624824">
              <w:rPr>
                <w:rFonts w:ascii="Arial" w:hAnsi="Arial" w:cs="Arial"/>
                <w:i/>
                <w:iCs/>
                <w:lang w:val="en-US"/>
              </w:rPr>
              <w:t>Attention and Effort</w:t>
            </w:r>
            <w:r>
              <w:rPr>
                <w:rFonts w:ascii="Arial" w:hAnsi="Arial" w:cs="Arial"/>
                <w:lang w:val="en-US"/>
              </w:rPr>
              <w:t xml:space="preserve">. Prentice Hall. </w:t>
            </w:r>
          </w:p>
          <w:p w14:paraId="6B6D8D8F" w14:textId="77777777" w:rsidR="00B34B13" w:rsidRDefault="00B34B13" w:rsidP="00B34B13">
            <w:pPr>
              <w:spacing w:line="360" w:lineRule="auto"/>
              <w:ind w:left="720" w:hanging="720"/>
              <w:rPr>
                <w:rFonts w:ascii="Arial" w:hAnsi="Arial" w:cs="Arial"/>
                <w:lang w:val="en-US"/>
              </w:rPr>
            </w:pPr>
            <w:r>
              <w:rPr>
                <w:rFonts w:ascii="Arial" w:hAnsi="Arial" w:cs="Arial"/>
                <w:lang w:val="en-US"/>
              </w:rPr>
              <w:t xml:space="preserve">Shinn-Cunningham, B. G. (2008). Object-based auditory and visual attention. </w:t>
            </w:r>
            <w:r w:rsidRPr="008D1EE6">
              <w:rPr>
                <w:rFonts w:ascii="Arial" w:hAnsi="Arial" w:cs="Arial"/>
                <w:i/>
                <w:iCs/>
                <w:lang w:val="en-US"/>
              </w:rPr>
              <w:t>Trends in Cognitive Sciences, 12</w:t>
            </w:r>
            <w:r>
              <w:rPr>
                <w:rFonts w:ascii="Arial" w:hAnsi="Arial" w:cs="Arial"/>
                <w:lang w:val="en-US"/>
              </w:rPr>
              <w:t xml:space="preserve">(5), 182-186. </w:t>
            </w:r>
            <w:hyperlink r:id="rId15" w:history="1">
              <w:r w:rsidRPr="00576194">
                <w:rPr>
                  <w:rStyle w:val="Hyperlink"/>
                  <w:rFonts w:ascii="Arial" w:hAnsi="Arial" w:cs="Arial"/>
                  <w:lang w:val="en-US"/>
                </w:rPr>
                <w:t>https://doi.org/10.1016/j.tics.2008.02.003</w:t>
              </w:r>
            </w:hyperlink>
          </w:p>
          <w:p w14:paraId="64DCA07B" w14:textId="77777777" w:rsidR="00B34B13" w:rsidRDefault="00B34B13" w:rsidP="00B34B13">
            <w:pPr>
              <w:spacing w:line="360" w:lineRule="auto"/>
              <w:ind w:left="720" w:hanging="720"/>
              <w:rPr>
                <w:rFonts w:ascii="Arial" w:hAnsi="Arial" w:cs="Arial"/>
                <w:lang w:val="en-US"/>
              </w:rPr>
            </w:pPr>
            <w:r>
              <w:rPr>
                <w:rFonts w:ascii="Arial" w:hAnsi="Arial" w:cs="Arial"/>
                <w:lang w:val="en-US"/>
              </w:rPr>
              <w:t xml:space="preserve">Fredrickson, B. L. (2001). The role of positive emotions in positive psychology: The broaden-and-build theory of positive emotions. </w:t>
            </w:r>
            <w:r w:rsidRPr="00EF2658">
              <w:rPr>
                <w:rFonts w:ascii="Arial" w:hAnsi="Arial" w:cs="Arial"/>
                <w:i/>
                <w:iCs/>
                <w:lang w:val="en-US"/>
              </w:rPr>
              <w:t>American Psychologist, 56</w:t>
            </w:r>
            <w:r>
              <w:rPr>
                <w:rFonts w:ascii="Arial" w:hAnsi="Arial" w:cs="Arial"/>
                <w:lang w:val="en-US"/>
              </w:rPr>
              <w:t xml:space="preserve">(3), 218-226. </w:t>
            </w:r>
            <w:hyperlink r:id="rId16" w:history="1">
              <w:r w:rsidRPr="00576194">
                <w:rPr>
                  <w:rStyle w:val="Hyperlink"/>
                  <w:rFonts w:ascii="Arial" w:hAnsi="Arial" w:cs="Arial"/>
                  <w:lang w:val="en-US"/>
                </w:rPr>
                <w:t>https://psycnet.apa.org/doi/10.1037/0003-066X.56.3.218</w:t>
              </w:r>
            </w:hyperlink>
          </w:p>
          <w:p w14:paraId="7F05807F" w14:textId="77777777" w:rsidR="00B34B13" w:rsidRDefault="00B34B13" w:rsidP="00B34B13">
            <w:pPr>
              <w:spacing w:line="360" w:lineRule="auto"/>
              <w:ind w:left="720" w:hanging="720"/>
              <w:rPr>
                <w:rFonts w:ascii="Roboto" w:hAnsi="Roboto"/>
                <w:color w:val="212121"/>
                <w:sz w:val="26"/>
                <w:szCs w:val="26"/>
                <w:shd w:val="clear" w:color="auto" w:fill="FFFFFF"/>
              </w:rPr>
            </w:pPr>
            <w:r>
              <w:rPr>
                <w:rFonts w:ascii="Arial" w:hAnsi="Arial" w:cs="Arial"/>
                <w:lang w:val="en-US"/>
              </w:rPr>
              <w:t xml:space="preserve">Fredrickson, B. L., &amp; Branigan, C. (2005). Positive emotions broaden the scope of attention and thought-action repertoires. </w:t>
            </w:r>
            <w:r w:rsidRPr="00B31FA8">
              <w:rPr>
                <w:rFonts w:ascii="Arial" w:hAnsi="Arial" w:cs="Arial"/>
                <w:i/>
                <w:iCs/>
                <w:lang w:val="en-US"/>
              </w:rPr>
              <w:t>Cognition &amp; Emotion, 19</w:t>
            </w:r>
            <w:r>
              <w:rPr>
                <w:rFonts w:ascii="Arial" w:hAnsi="Arial" w:cs="Arial"/>
                <w:lang w:val="en-US"/>
              </w:rPr>
              <w:t xml:space="preserve">(3), 313-332. </w:t>
            </w:r>
            <w:hyperlink r:id="rId17" w:history="1">
              <w:r w:rsidRPr="00576194">
                <w:rPr>
                  <w:rStyle w:val="Hyperlink"/>
                  <w:rFonts w:ascii="Roboto" w:hAnsi="Roboto"/>
                  <w:sz w:val="26"/>
                  <w:szCs w:val="26"/>
                  <w:shd w:val="clear" w:color="auto" w:fill="FFFFFF"/>
                </w:rPr>
                <w:t>https://doi.org/10.1080/02699930441000238</w:t>
              </w:r>
            </w:hyperlink>
          </w:p>
          <w:p w14:paraId="05E3496F" w14:textId="77777777" w:rsidR="00992264" w:rsidRDefault="00992264" w:rsidP="00360E4B">
            <w:pPr>
              <w:rPr>
                <w:rFonts w:ascii="Arial" w:hAnsi="Arial" w:cs="Arial"/>
                <w:b/>
              </w:rPr>
            </w:pPr>
          </w:p>
          <w:p w14:paraId="7B84ECA1" w14:textId="77777777" w:rsidR="00992264" w:rsidRDefault="00992264" w:rsidP="00360E4B">
            <w:pPr>
              <w:rPr>
                <w:rFonts w:ascii="Arial" w:hAnsi="Arial" w:cs="Arial"/>
                <w:b/>
              </w:rPr>
            </w:pPr>
          </w:p>
          <w:p w14:paraId="3576DD5E" w14:textId="77777777" w:rsidR="003C154B" w:rsidRDefault="003C154B" w:rsidP="00360E4B"/>
          <w:p w14:paraId="2C1722CF" w14:textId="77777777" w:rsidR="00B91B51" w:rsidRDefault="00B91B51" w:rsidP="00360E4B"/>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1B5AB298" w14:textId="77777777" w:rsidR="00B24417" w:rsidRDefault="00B24417" w:rsidP="00B24417">
            <w:pPr>
              <w:rPr>
                <w:rFonts w:ascii="Arial" w:hAnsi="Arial" w:cs="Arial"/>
                <w:b/>
                <w:sz w:val="20"/>
              </w:rPr>
            </w:pPr>
          </w:p>
          <w:p w14:paraId="42A0AC49" w14:textId="77777777" w:rsidR="00A56F02" w:rsidRPr="0055679F" w:rsidRDefault="00A56F02" w:rsidP="00A56F02">
            <w:pPr>
              <w:pStyle w:val="ListParagraph"/>
              <w:numPr>
                <w:ilvl w:val="0"/>
                <w:numId w:val="5"/>
              </w:numPr>
              <w:rPr>
                <w:rFonts w:ascii="Arial" w:hAnsi="Arial" w:cs="Arial"/>
                <w:bCs/>
                <w:sz w:val="20"/>
              </w:rPr>
            </w:pPr>
            <w:r w:rsidRPr="0055679F">
              <w:rPr>
                <w:rFonts w:ascii="Arial" w:hAnsi="Arial" w:cs="Arial"/>
                <w:bCs/>
                <w:sz w:val="20"/>
              </w:rPr>
              <w:t>Does experiencing a positive or negative emotion influence attention and decision-making towards stimuli conveying that emotion?</w:t>
            </w:r>
          </w:p>
          <w:p w14:paraId="28FE53D9" w14:textId="77777777" w:rsidR="00A56F02" w:rsidRPr="0055679F" w:rsidRDefault="00A56F02" w:rsidP="00A56F02">
            <w:pPr>
              <w:pStyle w:val="ListParagraph"/>
              <w:numPr>
                <w:ilvl w:val="0"/>
                <w:numId w:val="5"/>
              </w:numPr>
              <w:rPr>
                <w:rFonts w:ascii="Arial" w:hAnsi="Arial" w:cs="Arial"/>
                <w:bCs/>
                <w:sz w:val="20"/>
              </w:rPr>
            </w:pPr>
            <w:r w:rsidRPr="0055679F">
              <w:rPr>
                <w:rFonts w:ascii="Arial" w:hAnsi="Arial" w:cs="Arial"/>
                <w:bCs/>
                <w:sz w:val="20"/>
              </w:rPr>
              <w:t xml:space="preserve">If so, does this differ in terms of speed and accuracy depending on the emotional valence (positive vs. negative)? </w:t>
            </w:r>
          </w:p>
          <w:p w14:paraId="3FE371D1" w14:textId="77777777" w:rsidR="00A56F02" w:rsidRPr="0055679F" w:rsidRDefault="00A56F02" w:rsidP="00A56F02">
            <w:pPr>
              <w:ind w:left="360"/>
              <w:rPr>
                <w:rFonts w:ascii="Arial" w:hAnsi="Arial" w:cs="Arial"/>
                <w:bCs/>
                <w:sz w:val="20"/>
              </w:rPr>
            </w:pPr>
          </w:p>
          <w:p w14:paraId="13922B6E" w14:textId="77777777" w:rsidR="00A56F02" w:rsidRPr="0055679F" w:rsidRDefault="00A56F02" w:rsidP="00A56F02">
            <w:pPr>
              <w:rPr>
                <w:rFonts w:ascii="Arial" w:hAnsi="Arial" w:cs="Arial"/>
                <w:bCs/>
                <w:sz w:val="20"/>
              </w:rPr>
            </w:pPr>
            <w:r w:rsidRPr="0055679F">
              <w:rPr>
                <w:rFonts w:ascii="Arial" w:hAnsi="Arial" w:cs="Arial"/>
                <w:bCs/>
                <w:sz w:val="20"/>
              </w:rPr>
              <w:t>Hypothesis:</w:t>
            </w:r>
          </w:p>
          <w:p w14:paraId="6998DFE5" w14:textId="77777777" w:rsidR="00A56F02" w:rsidRPr="0055679F" w:rsidRDefault="00A56F02" w:rsidP="00A56F02">
            <w:pPr>
              <w:rPr>
                <w:rFonts w:ascii="Arial" w:hAnsi="Arial" w:cs="Arial"/>
                <w:bCs/>
                <w:sz w:val="20"/>
              </w:rPr>
            </w:pPr>
          </w:p>
          <w:p w14:paraId="28D2323A" w14:textId="77777777" w:rsidR="00A56F02" w:rsidRPr="0055679F" w:rsidRDefault="00A56F02" w:rsidP="00A56F02">
            <w:pPr>
              <w:pStyle w:val="ListParagraph"/>
              <w:numPr>
                <w:ilvl w:val="0"/>
                <w:numId w:val="6"/>
              </w:numPr>
              <w:rPr>
                <w:rFonts w:ascii="Arial" w:hAnsi="Arial" w:cs="Arial"/>
                <w:bCs/>
                <w:sz w:val="20"/>
              </w:rPr>
            </w:pPr>
            <w:r w:rsidRPr="0055679F">
              <w:rPr>
                <w:rFonts w:ascii="Arial" w:hAnsi="Arial" w:cs="Arial"/>
                <w:bCs/>
                <w:sz w:val="20"/>
              </w:rPr>
              <w:t>Participants induced into experiencing either a positive or negative emotional state will perform better, in terms of speed and accuracy, at detecting stimuli of the corresponding emotional state.</w:t>
            </w: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tools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0312B8E0" w14:textId="77777777" w:rsidR="007B1EA1" w:rsidRDefault="007B1EA1" w:rsidP="00360E4B">
            <w:pPr>
              <w:rPr>
                <w:rFonts w:ascii="Arial" w:hAnsi="Arial" w:cs="Arial"/>
                <w:bCs/>
              </w:rPr>
            </w:pPr>
            <w:r>
              <w:rPr>
                <w:rFonts w:ascii="Arial" w:hAnsi="Arial" w:cs="Arial"/>
                <w:bCs/>
              </w:rPr>
              <w:t>Participants:</w:t>
            </w:r>
          </w:p>
          <w:p w14:paraId="5CEF253F" w14:textId="0D54AB6B" w:rsidR="007B1EA1" w:rsidRDefault="007B1EA1" w:rsidP="00360E4B">
            <w:pPr>
              <w:rPr>
                <w:rFonts w:ascii="Arial" w:hAnsi="Arial" w:cs="Arial"/>
                <w:bCs/>
              </w:rPr>
            </w:pPr>
          </w:p>
          <w:p w14:paraId="489026F8" w14:textId="7473AB09" w:rsidR="007B1EA1" w:rsidRDefault="007B1EA1" w:rsidP="00360E4B">
            <w:pPr>
              <w:rPr>
                <w:rFonts w:ascii="Arial" w:hAnsi="Arial" w:cs="Arial"/>
                <w:bCs/>
              </w:rPr>
            </w:pPr>
            <w:r>
              <w:rPr>
                <w:rFonts w:ascii="Arial" w:hAnsi="Arial" w:cs="Arial"/>
                <w:bCs/>
              </w:rPr>
              <w:t xml:space="preserve">Undergraduate students over the age of </w:t>
            </w:r>
            <w:r w:rsidR="000B0F42">
              <w:rPr>
                <w:rFonts w:ascii="Arial" w:hAnsi="Arial" w:cs="Arial"/>
                <w:bCs/>
              </w:rPr>
              <w:t xml:space="preserve">18 who sign up using Experimental Management System (EMS) in exchange for course credits will be used. Participants are required to have normal or corrected vision to take part in this study. The study will require ~60 participants with ~30 participants in each group (positive or negative). </w:t>
            </w:r>
            <w:r w:rsidR="005A094D">
              <w:rPr>
                <w:rFonts w:ascii="Arial" w:hAnsi="Arial" w:cs="Arial"/>
                <w:bCs/>
              </w:rPr>
              <w:t xml:space="preserve">In relation to similar studies by Smith et al., (2003) with 34 participants total and Wadlinger et al., (2006) with 58 participants total. This study will be larger by comparison to ensure the accuracy behind data collected. </w:t>
            </w:r>
          </w:p>
          <w:p w14:paraId="65A82335" w14:textId="77777777" w:rsidR="007B1EA1" w:rsidRDefault="007B1EA1" w:rsidP="00360E4B">
            <w:pPr>
              <w:rPr>
                <w:rFonts w:ascii="Arial" w:hAnsi="Arial" w:cs="Arial"/>
                <w:bCs/>
              </w:rPr>
            </w:pPr>
          </w:p>
          <w:p w14:paraId="4F02E816" w14:textId="5D74D1F9" w:rsidR="007B1EA1" w:rsidRDefault="007B1EA1" w:rsidP="00360E4B">
            <w:pPr>
              <w:rPr>
                <w:rFonts w:ascii="Arial" w:hAnsi="Arial" w:cs="Arial"/>
                <w:bCs/>
              </w:rPr>
            </w:pPr>
            <w:r>
              <w:rPr>
                <w:rFonts w:ascii="Arial" w:hAnsi="Arial" w:cs="Arial"/>
                <w:bCs/>
              </w:rPr>
              <w:t>Design:</w:t>
            </w:r>
          </w:p>
          <w:p w14:paraId="08BAE666" w14:textId="77777777" w:rsidR="00052BB9" w:rsidRDefault="00052BB9" w:rsidP="00360E4B">
            <w:pPr>
              <w:rPr>
                <w:rFonts w:ascii="Arial" w:hAnsi="Arial" w:cs="Arial"/>
                <w:bCs/>
              </w:rPr>
            </w:pPr>
          </w:p>
          <w:p w14:paraId="6AB1E6D7" w14:textId="0626BA4A" w:rsidR="004053C3" w:rsidRDefault="007B1EA1" w:rsidP="00360E4B">
            <w:pPr>
              <w:rPr>
                <w:rFonts w:ascii="Arial" w:hAnsi="Arial" w:cs="Arial"/>
                <w:bCs/>
                <w:sz w:val="20"/>
              </w:rPr>
            </w:pPr>
            <w:r>
              <w:rPr>
                <w:rFonts w:ascii="Arial" w:hAnsi="Arial" w:cs="Arial"/>
                <w:bCs/>
              </w:rPr>
              <w:t>A 2x2x2 quantitative experimental design</w:t>
            </w:r>
            <w:r w:rsidR="005A094D">
              <w:rPr>
                <w:rFonts w:ascii="Arial" w:hAnsi="Arial" w:cs="Arial"/>
                <w:bCs/>
              </w:rPr>
              <w:t xml:space="preserve"> will be used</w:t>
            </w:r>
            <w:r w:rsidRPr="004053C3">
              <w:rPr>
                <w:rFonts w:ascii="Arial" w:hAnsi="Arial" w:cs="Arial"/>
                <w:bCs/>
              </w:rPr>
              <w:t>. The experiment itself will consist of three sections, inducing emotions though music, affect questionnaire, and a Superlab emotion detection task.</w:t>
            </w:r>
            <w:r w:rsidR="005A094D" w:rsidRPr="004053C3">
              <w:rPr>
                <w:rFonts w:ascii="Arial" w:hAnsi="Arial" w:cs="Arial"/>
                <w:bCs/>
              </w:rPr>
              <w:t xml:space="preserve"> </w:t>
            </w:r>
            <w:r w:rsidR="005A094D">
              <w:rPr>
                <w:rFonts w:ascii="Arial" w:hAnsi="Arial" w:cs="Arial"/>
                <w:bCs/>
              </w:rPr>
              <w:t xml:space="preserve">The first independent </w:t>
            </w:r>
            <w:r w:rsidR="00052BB9">
              <w:rPr>
                <w:rFonts w:ascii="Arial" w:hAnsi="Arial" w:cs="Arial"/>
                <w:bCs/>
              </w:rPr>
              <w:t>variable will be participant groups, with two levels, ‘positive’ or ‘negative’ music (between-subjects). The second independent variable being high or low enjoyment to music</w:t>
            </w:r>
            <w:r w:rsidR="0026265A">
              <w:rPr>
                <w:rFonts w:ascii="Arial" w:hAnsi="Arial" w:cs="Arial"/>
                <w:bCs/>
              </w:rPr>
              <w:t xml:space="preserve"> (within-subjects)</w:t>
            </w:r>
            <w:r w:rsidR="00052BB9">
              <w:rPr>
                <w:rFonts w:ascii="Arial" w:hAnsi="Arial" w:cs="Arial"/>
                <w:bCs/>
              </w:rPr>
              <w:t xml:space="preserve">. Finally, the third independent variable is </w:t>
            </w:r>
            <w:r w:rsidR="0026265A">
              <w:rPr>
                <w:rFonts w:ascii="Arial" w:hAnsi="Arial" w:cs="Arial"/>
                <w:bCs/>
              </w:rPr>
              <w:t xml:space="preserve">detecting positive and negative faces (within-subjects). The dependent variable will be response time and accuracy in detecting positive and negative faces. </w:t>
            </w:r>
            <w:r w:rsidR="004053C3">
              <w:rPr>
                <w:rFonts w:ascii="Arial" w:hAnsi="Arial" w:cs="Arial"/>
                <w:bCs/>
              </w:rPr>
              <w:t xml:space="preserve">An </w:t>
            </w:r>
            <w:r w:rsidR="00D40530">
              <w:rPr>
                <w:rFonts w:ascii="Arial" w:hAnsi="Arial" w:cs="Arial"/>
                <w:bCs/>
              </w:rPr>
              <w:t>ANOVA will be used to analyse the data</w:t>
            </w:r>
            <w:r w:rsidR="004053C3">
              <w:rPr>
                <w:rFonts w:ascii="Arial" w:hAnsi="Arial" w:cs="Arial"/>
                <w:bCs/>
              </w:rPr>
              <w:t xml:space="preserve"> </w:t>
            </w:r>
            <w:r w:rsidR="00D40530">
              <w:rPr>
                <w:rFonts w:ascii="Arial" w:hAnsi="Arial" w:cs="Arial"/>
                <w:bCs/>
              </w:rPr>
              <w:t xml:space="preserve">to </w:t>
            </w:r>
            <w:r w:rsidR="004053C3">
              <w:rPr>
                <w:rFonts w:ascii="Arial" w:hAnsi="Arial" w:cs="Arial"/>
                <w:bCs/>
              </w:rPr>
              <w:t>determine</w:t>
            </w:r>
            <w:r w:rsidR="00D40530">
              <w:rPr>
                <w:rFonts w:ascii="Arial" w:hAnsi="Arial" w:cs="Arial"/>
                <w:bCs/>
              </w:rPr>
              <w:t xml:space="preserve"> whether</w:t>
            </w:r>
            <w:r w:rsidR="004053C3">
              <w:rPr>
                <w:rFonts w:ascii="Arial" w:hAnsi="Arial" w:cs="Arial"/>
                <w:bCs/>
              </w:rPr>
              <w:t xml:space="preserve"> positive or negative emotional sate led to preforming better in terms of speed and accuracy, at detecting stimuli of the corresponding emotional state. </w:t>
            </w:r>
          </w:p>
          <w:p w14:paraId="158022BD" w14:textId="77777777" w:rsidR="0026265A" w:rsidRDefault="0026265A" w:rsidP="00360E4B">
            <w:pPr>
              <w:rPr>
                <w:rFonts w:ascii="Arial" w:hAnsi="Arial" w:cs="Arial"/>
                <w:bCs/>
              </w:rPr>
            </w:pPr>
          </w:p>
          <w:p w14:paraId="7BC6F790" w14:textId="77777777" w:rsidR="0026265A" w:rsidRDefault="0026265A" w:rsidP="00360E4B">
            <w:pPr>
              <w:rPr>
                <w:rFonts w:ascii="Arial" w:hAnsi="Arial" w:cs="Arial"/>
                <w:bCs/>
              </w:rPr>
            </w:pPr>
            <w:r>
              <w:rPr>
                <w:rFonts w:ascii="Arial" w:hAnsi="Arial" w:cs="Arial"/>
                <w:bCs/>
              </w:rPr>
              <w:t xml:space="preserve">Materials: </w:t>
            </w:r>
          </w:p>
          <w:p w14:paraId="71DFD34A" w14:textId="77777777" w:rsidR="0026265A" w:rsidRDefault="0026265A" w:rsidP="00360E4B">
            <w:pPr>
              <w:rPr>
                <w:rFonts w:ascii="Arial" w:hAnsi="Arial" w:cs="Arial"/>
                <w:bCs/>
              </w:rPr>
            </w:pPr>
          </w:p>
          <w:p w14:paraId="41FBB7BB" w14:textId="5591B3FD" w:rsidR="00E00F78" w:rsidRDefault="008A6E40" w:rsidP="00360E4B">
            <w:pPr>
              <w:rPr>
                <w:rFonts w:ascii="Arial" w:hAnsi="Arial" w:cs="Arial"/>
                <w:bCs/>
              </w:rPr>
            </w:pPr>
            <w:r>
              <w:rPr>
                <w:rFonts w:ascii="Arial" w:hAnsi="Arial" w:cs="Arial"/>
                <w:bCs/>
              </w:rPr>
              <w:t xml:space="preserve">Happy pop music and heavy rock music will be used to induce positive or negative emotion. The Positive and Negative Affect Schedule (PANAS, Watson et al., 1988) will be used to assess emotional experience from subjective enjoyment of the music genre. </w:t>
            </w:r>
            <w:r w:rsidR="007B7154">
              <w:rPr>
                <w:rFonts w:ascii="Arial" w:hAnsi="Arial" w:cs="Arial"/>
                <w:bCs/>
              </w:rPr>
              <w:t xml:space="preserve">The emotion detection task will capture speed and accuracy of responding to a series of randomised positive and negative facial expressions, based on Ekman’s universal facial expressions (Ekman, 1994) which will be administered though </w:t>
            </w:r>
            <w:proofErr w:type="spellStart"/>
            <w:r w:rsidR="007B7154">
              <w:rPr>
                <w:rFonts w:ascii="Arial" w:hAnsi="Arial" w:cs="Arial"/>
                <w:bCs/>
              </w:rPr>
              <w:t>SuperLab</w:t>
            </w:r>
            <w:proofErr w:type="spellEnd"/>
            <w:r w:rsidR="007B7154">
              <w:rPr>
                <w:rFonts w:ascii="Arial" w:hAnsi="Arial" w:cs="Arial"/>
                <w:bCs/>
              </w:rPr>
              <w:t>.</w:t>
            </w:r>
          </w:p>
          <w:p w14:paraId="54D0C5A2" w14:textId="77777777" w:rsidR="00365913" w:rsidRDefault="00365913" w:rsidP="00360E4B">
            <w:pPr>
              <w:rPr>
                <w:rFonts w:ascii="Arial" w:hAnsi="Arial" w:cs="Arial"/>
                <w:bCs/>
              </w:rPr>
            </w:pPr>
          </w:p>
          <w:p w14:paraId="31ED2060" w14:textId="471CE6A5" w:rsidR="00365913" w:rsidRDefault="00365913" w:rsidP="00360E4B">
            <w:pPr>
              <w:rPr>
                <w:rFonts w:ascii="Arial" w:hAnsi="Arial" w:cs="Arial"/>
                <w:bCs/>
              </w:rPr>
            </w:pPr>
            <w:r>
              <w:rPr>
                <w:rFonts w:ascii="Arial" w:hAnsi="Arial" w:cs="Arial"/>
                <w:bCs/>
              </w:rPr>
              <w:t>Procedure:</w:t>
            </w:r>
          </w:p>
          <w:p w14:paraId="4E86E555" w14:textId="77777777" w:rsidR="00365913" w:rsidRDefault="00365913" w:rsidP="00360E4B">
            <w:pPr>
              <w:rPr>
                <w:rFonts w:ascii="Arial" w:hAnsi="Arial" w:cs="Arial"/>
                <w:bCs/>
              </w:rPr>
            </w:pPr>
          </w:p>
          <w:p w14:paraId="1FA278DE" w14:textId="4AD7FCEA" w:rsidR="00365913" w:rsidRDefault="00365913" w:rsidP="00360E4B">
            <w:pPr>
              <w:rPr>
                <w:rFonts w:ascii="Arial" w:hAnsi="Arial" w:cs="Arial"/>
                <w:bCs/>
              </w:rPr>
            </w:pPr>
            <w:r>
              <w:rPr>
                <w:rFonts w:ascii="Arial" w:hAnsi="Arial" w:cs="Arial"/>
                <w:bCs/>
              </w:rPr>
              <w:t>Participants will complete the study in the Psychology Labs. Following</w:t>
            </w:r>
            <w:r w:rsidR="007C558F">
              <w:rPr>
                <w:rFonts w:ascii="Arial" w:hAnsi="Arial" w:cs="Arial"/>
                <w:bCs/>
              </w:rPr>
              <w:t xml:space="preserve"> consent, participants will listen to either positive or negative music, then they will be asked to fill out th</w:t>
            </w:r>
            <w:r w:rsidR="00DB523B">
              <w:rPr>
                <w:rFonts w:ascii="Arial" w:hAnsi="Arial" w:cs="Arial"/>
                <w:bCs/>
              </w:rPr>
              <w:t>e Positive and Negative Affect Schedule (PANAS, Watson et al., 1988).</w:t>
            </w:r>
          </w:p>
          <w:p w14:paraId="56E09E42" w14:textId="77777777" w:rsidR="00DB523B" w:rsidRDefault="00DB523B" w:rsidP="00360E4B">
            <w:pPr>
              <w:rPr>
                <w:rFonts w:ascii="Arial" w:hAnsi="Arial" w:cs="Arial"/>
                <w:bCs/>
              </w:rPr>
            </w:pPr>
          </w:p>
          <w:p w14:paraId="2AE95245" w14:textId="77777777" w:rsidR="00267C01" w:rsidRDefault="00DB523B" w:rsidP="00360E4B">
            <w:pPr>
              <w:rPr>
                <w:rFonts w:ascii="Arial" w:hAnsi="Arial" w:cs="Arial"/>
                <w:bCs/>
              </w:rPr>
            </w:pPr>
            <w:r w:rsidRPr="00BA7482">
              <w:rPr>
                <w:rFonts w:ascii="Arial" w:hAnsi="Arial" w:cs="Arial"/>
                <w:bCs/>
                <w:color w:val="FF0000"/>
              </w:rPr>
              <w:t>Option one</w:t>
            </w:r>
            <w:r>
              <w:rPr>
                <w:rFonts w:ascii="Arial" w:hAnsi="Arial" w:cs="Arial"/>
                <w:bCs/>
              </w:rPr>
              <w:t xml:space="preserve">: Size trials will take </w:t>
            </w:r>
            <w:r w:rsidR="00194B76">
              <w:rPr>
                <w:rFonts w:ascii="Arial" w:hAnsi="Arial" w:cs="Arial"/>
                <w:bCs/>
              </w:rPr>
              <w:t>place;</w:t>
            </w:r>
            <w:r>
              <w:rPr>
                <w:rFonts w:ascii="Arial" w:hAnsi="Arial" w:cs="Arial"/>
                <w:bCs/>
              </w:rPr>
              <w:t xml:space="preserve"> participants will be presented with </w:t>
            </w:r>
            <w:r w:rsidR="00194B76">
              <w:rPr>
                <w:rFonts w:ascii="Arial" w:hAnsi="Arial" w:cs="Arial"/>
                <w:bCs/>
              </w:rPr>
              <w:t>a se</w:t>
            </w:r>
            <w:r w:rsidR="00267C01">
              <w:rPr>
                <w:rFonts w:ascii="Arial" w:hAnsi="Arial" w:cs="Arial"/>
                <w:bCs/>
              </w:rPr>
              <w:t>ries</w:t>
            </w:r>
            <w:r w:rsidR="00194B76">
              <w:rPr>
                <w:rFonts w:ascii="Arial" w:hAnsi="Arial" w:cs="Arial"/>
                <w:bCs/>
              </w:rPr>
              <w:t xml:space="preserve"> of neutral faces with a positive or negative face mixed in and participants will be</w:t>
            </w:r>
            <w:r w:rsidR="00267C01">
              <w:rPr>
                <w:rFonts w:ascii="Arial" w:hAnsi="Arial" w:cs="Arial"/>
                <w:bCs/>
              </w:rPr>
              <w:t xml:space="preserve"> instructed to detect either the positive or negative face. This will be for repeated four times. For the fifth trial participants will be presented with a series of positive faces and asked to detect the negative face. The sixths trial participants will be presented with a series of negative faces and asked to detect the negative face. </w:t>
            </w:r>
          </w:p>
          <w:p w14:paraId="02E4FA10" w14:textId="77777777" w:rsidR="00267C01" w:rsidRDefault="00267C01" w:rsidP="00360E4B">
            <w:pPr>
              <w:rPr>
                <w:rFonts w:ascii="Arial" w:hAnsi="Arial" w:cs="Arial"/>
                <w:bCs/>
              </w:rPr>
            </w:pPr>
          </w:p>
          <w:p w14:paraId="7E4CB1FE" w14:textId="4B54DBA7" w:rsidR="00E00F78" w:rsidRDefault="00267C01" w:rsidP="00360E4B">
            <w:pPr>
              <w:rPr>
                <w:rFonts w:ascii="Arial" w:hAnsi="Arial" w:cs="Arial"/>
                <w:bCs/>
              </w:rPr>
            </w:pPr>
            <w:r w:rsidRPr="00BA7482">
              <w:rPr>
                <w:rFonts w:ascii="Arial" w:hAnsi="Arial" w:cs="Arial"/>
                <w:bCs/>
                <w:color w:val="FF0000"/>
              </w:rPr>
              <w:t>Option two</w:t>
            </w:r>
            <w:r>
              <w:rPr>
                <w:rFonts w:ascii="Arial" w:hAnsi="Arial" w:cs="Arial"/>
                <w:bCs/>
              </w:rPr>
              <w:t>: Four trials will take place</w:t>
            </w:r>
            <w:r w:rsidR="00BA7482">
              <w:rPr>
                <w:rFonts w:ascii="Arial" w:hAnsi="Arial" w:cs="Arial"/>
                <w:bCs/>
              </w:rPr>
              <w:t xml:space="preserve">. Participants who </w:t>
            </w:r>
            <w:r w:rsidR="00113306">
              <w:rPr>
                <w:rFonts w:ascii="Arial" w:hAnsi="Arial" w:cs="Arial"/>
                <w:bCs/>
              </w:rPr>
              <w:t xml:space="preserve">listen to positive music will be presented with a series of neutral faces and asked to detect the positive face amongst them </w:t>
            </w:r>
            <w:r w:rsidR="00D86B15">
              <w:rPr>
                <w:rFonts w:ascii="Arial" w:hAnsi="Arial" w:cs="Arial"/>
                <w:bCs/>
              </w:rPr>
              <w:t>this will be repeated two times. For the remaining two trials participants will be presented with a series or negative faces and asked to detect the positive face amongst them (vis versa for participants who listened to negative faces.</w:t>
            </w:r>
          </w:p>
          <w:p w14:paraId="4A31E037" w14:textId="77777777" w:rsidR="00D86B15" w:rsidRDefault="00D86B15" w:rsidP="00360E4B">
            <w:pPr>
              <w:rPr>
                <w:rFonts w:ascii="Arial" w:hAnsi="Arial" w:cs="Arial"/>
                <w:bCs/>
              </w:rPr>
            </w:pPr>
          </w:p>
          <w:p w14:paraId="44E2BAD1" w14:textId="11167C90" w:rsidR="00D86B15" w:rsidRPr="00D86B15" w:rsidRDefault="00D86B15" w:rsidP="00360E4B">
            <w:pPr>
              <w:rPr>
                <w:rFonts w:ascii="Arial" w:hAnsi="Arial" w:cs="Arial"/>
                <w:bCs/>
              </w:rPr>
            </w:pPr>
            <w:r>
              <w:rPr>
                <w:rFonts w:ascii="Arial" w:hAnsi="Arial" w:cs="Arial"/>
                <w:bCs/>
              </w:rPr>
              <w:t>Once all the trials are complete, the study will be finished, and participants will be debriefed and thanked for taking part.</w:t>
            </w: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e.g.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77777777" w:rsidR="00E24E04" w:rsidRDefault="00E24E04" w:rsidP="00E24E04">
            <w:pPr>
              <w:rPr>
                <w:rFonts w:ascii="Arial" w:hAnsi="Arial" w:cs="Arial"/>
                <w:b/>
              </w:rPr>
            </w:pPr>
          </w:p>
          <w:p w14:paraId="11664A95" w14:textId="77777777" w:rsidR="00E24E04" w:rsidRDefault="00E24E04" w:rsidP="00E24E04">
            <w:pPr>
              <w:rPr>
                <w:rFonts w:ascii="Arial" w:hAnsi="Arial" w:cs="Arial"/>
                <w:b/>
              </w:rPr>
            </w:pPr>
          </w:p>
          <w:p w14:paraId="1C47EE7A" w14:textId="77777777" w:rsidR="003D0CD4" w:rsidRDefault="003D0CD4" w:rsidP="00E24E04">
            <w:pPr>
              <w:rPr>
                <w:rFonts w:ascii="Arial" w:hAnsi="Arial" w:cs="Arial"/>
                <w:b/>
              </w:rPr>
            </w:pPr>
          </w:p>
          <w:p w14:paraId="405E2F93" w14:textId="474C2AEB" w:rsidR="00B24417" w:rsidRPr="0010307B" w:rsidRDefault="00E90D73" w:rsidP="00E24E04">
            <w:pPr>
              <w:rPr>
                <w:rFonts w:ascii="Calibri" w:hAnsi="Calibri" w:cs="Calibri"/>
                <w:bCs/>
              </w:rPr>
            </w:pPr>
            <w:r>
              <w:rPr>
                <w:rFonts w:ascii="Calibri" w:hAnsi="Calibri" w:cs="Calibri"/>
                <w:bCs/>
              </w:rPr>
              <w:t>Participants will be deceived to some degree as they will not be aware that they will be categorised into different groups. This will be revealed to participants during the debriefing, as well as being provided with information about the concept of the study as well as given the opportunity to ask questions at the end of the study. Additionally, some participants will be required to listen to negative music which may cause distress. It will be made clear that participants have the right to withdraw at any point during the study</w:t>
            </w:r>
            <w:r w:rsidR="00244F99">
              <w:rPr>
                <w:rFonts w:ascii="Calibri" w:hAnsi="Calibri" w:cs="Calibri"/>
                <w:bCs/>
              </w:rPr>
              <w:t>. Furthermore, participants who listen to negative music will be given positive music to listen to at the end of the study</w:t>
            </w:r>
            <w:r w:rsidR="0010307B">
              <w:rPr>
                <w:rFonts w:ascii="Calibri" w:hAnsi="Calibri" w:cs="Calibri"/>
                <w:bCs/>
              </w:rPr>
              <w:t xml:space="preserve">, </w:t>
            </w:r>
            <w:r w:rsidR="00954DBB">
              <w:rPr>
                <w:rFonts w:ascii="Calibri" w:hAnsi="Calibri" w:cs="Calibri"/>
                <w:bCs/>
              </w:rPr>
              <w:t>if</w:t>
            </w:r>
            <w:r w:rsidR="00F87DF5">
              <w:rPr>
                <w:rFonts w:ascii="Calibri" w:hAnsi="Calibri" w:cs="Calibri"/>
                <w:bCs/>
              </w:rPr>
              <w:t xml:space="preserve"> participants withdraw during the </w:t>
            </w:r>
            <w:r w:rsidR="0010307B">
              <w:rPr>
                <w:rFonts w:ascii="Calibri" w:hAnsi="Calibri" w:cs="Calibri"/>
                <w:bCs/>
              </w:rPr>
              <w:t>study,</w:t>
            </w:r>
            <w:r w:rsidR="00F87DF5">
              <w:rPr>
                <w:rFonts w:ascii="Calibri" w:hAnsi="Calibri" w:cs="Calibri"/>
                <w:bCs/>
              </w:rPr>
              <w:t xml:space="preserve"> they will also be presented with this positive music to ensure they leave the study in the same manner that they entered with. </w:t>
            </w:r>
            <w:r w:rsidR="00244F99">
              <w:rPr>
                <w:rFonts w:ascii="Calibri" w:hAnsi="Calibri" w:cs="Calibri"/>
                <w:bCs/>
              </w:rPr>
              <w:t xml:space="preserve"> </w:t>
            </w:r>
            <w:r w:rsidR="0010307B">
              <w:rPr>
                <w:rFonts w:ascii="Calibri" w:hAnsi="Calibri" w:cs="Calibri"/>
                <w:bCs/>
              </w:rPr>
              <w:t>Additionally, all participants will be exposed to images of negative faces which may cause distress, therefore at the end of the study all participants will be shown positive images to reduce the potential feeling of negative emotions before leaving the study.</w:t>
            </w:r>
          </w:p>
          <w:p w14:paraId="48BC5576" w14:textId="77777777" w:rsidR="00B24417" w:rsidRDefault="00B24417"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18"/>
      <w:footerReference w:type="default" r:id="rId19"/>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DA45E5" w14:textId="77777777" w:rsidR="00BE1B1B" w:rsidRDefault="00BE1B1B">
      <w:r>
        <w:separator/>
      </w:r>
    </w:p>
  </w:endnote>
  <w:endnote w:type="continuationSeparator" w:id="0">
    <w:p w14:paraId="5F342172" w14:textId="77777777" w:rsidR="00BE1B1B" w:rsidRDefault="00BE1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0A1776" w14:textId="77777777" w:rsidR="00BE1B1B" w:rsidRDefault="00BE1B1B">
      <w:r>
        <w:separator/>
      </w:r>
    </w:p>
  </w:footnote>
  <w:footnote w:type="continuationSeparator" w:id="0">
    <w:p w14:paraId="1A8D5CFE" w14:textId="77777777" w:rsidR="00BE1B1B" w:rsidRDefault="00BE1B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94A3508"/>
    <w:multiLevelType w:val="hybridMultilevel"/>
    <w:tmpl w:val="6C16FF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9C0AF2"/>
    <w:multiLevelType w:val="hybridMultilevel"/>
    <w:tmpl w:val="23B8C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7275969">
    <w:abstractNumId w:val="0"/>
  </w:num>
  <w:num w:numId="2" w16cid:durableId="473913820">
    <w:abstractNumId w:val="2"/>
  </w:num>
  <w:num w:numId="3" w16cid:durableId="1943874995">
    <w:abstractNumId w:val="1"/>
  </w:num>
  <w:num w:numId="4" w16cid:durableId="1169521500">
    <w:abstractNumId w:val="3"/>
  </w:num>
  <w:num w:numId="5" w16cid:durableId="525412782">
    <w:abstractNumId w:val="4"/>
  </w:num>
  <w:num w:numId="6" w16cid:durableId="18959676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proofState w:spelling="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4993"/>
    <w:rsid w:val="0004064E"/>
    <w:rsid w:val="0004703C"/>
    <w:rsid w:val="0005245C"/>
    <w:rsid w:val="00052BB9"/>
    <w:rsid w:val="00057223"/>
    <w:rsid w:val="00066E0A"/>
    <w:rsid w:val="00072942"/>
    <w:rsid w:val="00073E06"/>
    <w:rsid w:val="00086D4F"/>
    <w:rsid w:val="00087BF3"/>
    <w:rsid w:val="000920D2"/>
    <w:rsid w:val="000A3BB6"/>
    <w:rsid w:val="000A7A06"/>
    <w:rsid w:val="000B0F42"/>
    <w:rsid w:val="000C1972"/>
    <w:rsid w:val="000C45C6"/>
    <w:rsid w:val="000C7356"/>
    <w:rsid w:val="000E4E3F"/>
    <w:rsid w:val="000F514D"/>
    <w:rsid w:val="0010307B"/>
    <w:rsid w:val="00107694"/>
    <w:rsid w:val="00113306"/>
    <w:rsid w:val="00137D0F"/>
    <w:rsid w:val="001466E6"/>
    <w:rsid w:val="00161012"/>
    <w:rsid w:val="0016505E"/>
    <w:rsid w:val="001704C8"/>
    <w:rsid w:val="00175793"/>
    <w:rsid w:val="00183928"/>
    <w:rsid w:val="00185FED"/>
    <w:rsid w:val="00186F40"/>
    <w:rsid w:val="001879DB"/>
    <w:rsid w:val="00194B76"/>
    <w:rsid w:val="001A749D"/>
    <w:rsid w:val="001B4095"/>
    <w:rsid w:val="001B449D"/>
    <w:rsid w:val="001B71B7"/>
    <w:rsid w:val="001C3564"/>
    <w:rsid w:val="001C6D7D"/>
    <w:rsid w:val="001D0B68"/>
    <w:rsid w:val="001D1828"/>
    <w:rsid w:val="001D499B"/>
    <w:rsid w:val="001E59FF"/>
    <w:rsid w:val="001E5D06"/>
    <w:rsid w:val="001F76EE"/>
    <w:rsid w:val="00202E91"/>
    <w:rsid w:val="00203E33"/>
    <w:rsid w:val="00207F50"/>
    <w:rsid w:val="002110FD"/>
    <w:rsid w:val="00212B24"/>
    <w:rsid w:val="00225F9B"/>
    <w:rsid w:val="00232B86"/>
    <w:rsid w:val="00232FD9"/>
    <w:rsid w:val="00235567"/>
    <w:rsid w:val="00237A84"/>
    <w:rsid w:val="002421F2"/>
    <w:rsid w:val="0024425B"/>
    <w:rsid w:val="00244F99"/>
    <w:rsid w:val="00245DFF"/>
    <w:rsid w:val="002505E0"/>
    <w:rsid w:val="00253DD0"/>
    <w:rsid w:val="002602A3"/>
    <w:rsid w:val="0026265A"/>
    <w:rsid w:val="00264490"/>
    <w:rsid w:val="00267B3E"/>
    <w:rsid w:val="00267C01"/>
    <w:rsid w:val="00274FDF"/>
    <w:rsid w:val="00283685"/>
    <w:rsid w:val="00283C0D"/>
    <w:rsid w:val="002961C8"/>
    <w:rsid w:val="002A018E"/>
    <w:rsid w:val="002A2D52"/>
    <w:rsid w:val="002B27DB"/>
    <w:rsid w:val="002C73E4"/>
    <w:rsid w:val="002C7EA7"/>
    <w:rsid w:val="002D557D"/>
    <w:rsid w:val="002E1017"/>
    <w:rsid w:val="002E3A03"/>
    <w:rsid w:val="002E51EC"/>
    <w:rsid w:val="002E55B3"/>
    <w:rsid w:val="002E6135"/>
    <w:rsid w:val="002F3741"/>
    <w:rsid w:val="003060CA"/>
    <w:rsid w:val="00310104"/>
    <w:rsid w:val="0031057E"/>
    <w:rsid w:val="00311A2C"/>
    <w:rsid w:val="0031308C"/>
    <w:rsid w:val="003149C3"/>
    <w:rsid w:val="00314D21"/>
    <w:rsid w:val="00315B36"/>
    <w:rsid w:val="00331897"/>
    <w:rsid w:val="003403C0"/>
    <w:rsid w:val="003449A1"/>
    <w:rsid w:val="00345F13"/>
    <w:rsid w:val="00347768"/>
    <w:rsid w:val="0036040C"/>
    <w:rsid w:val="00360E4B"/>
    <w:rsid w:val="00365913"/>
    <w:rsid w:val="00380155"/>
    <w:rsid w:val="00393019"/>
    <w:rsid w:val="003A52E4"/>
    <w:rsid w:val="003A71AE"/>
    <w:rsid w:val="003B5F80"/>
    <w:rsid w:val="003C154B"/>
    <w:rsid w:val="003D0CD4"/>
    <w:rsid w:val="003D1B92"/>
    <w:rsid w:val="003E444F"/>
    <w:rsid w:val="003E4ECD"/>
    <w:rsid w:val="003E5FDA"/>
    <w:rsid w:val="003F158B"/>
    <w:rsid w:val="003F4AFC"/>
    <w:rsid w:val="003F798F"/>
    <w:rsid w:val="004010C2"/>
    <w:rsid w:val="004053C3"/>
    <w:rsid w:val="00410411"/>
    <w:rsid w:val="00430197"/>
    <w:rsid w:val="004319CC"/>
    <w:rsid w:val="00441243"/>
    <w:rsid w:val="00442DF8"/>
    <w:rsid w:val="00444AE4"/>
    <w:rsid w:val="00445302"/>
    <w:rsid w:val="00451E6F"/>
    <w:rsid w:val="004601EE"/>
    <w:rsid w:val="00463D09"/>
    <w:rsid w:val="004804FA"/>
    <w:rsid w:val="00481945"/>
    <w:rsid w:val="00485CDE"/>
    <w:rsid w:val="00487A6A"/>
    <w:rsid w:val="004A2264"/>
    <w:rsid w:val="004A3146"/>
    <w:rsid w:val="004B2991"/>
    <w:rsid w:val="004B50AF"/>
    <w:rsid w:val="004B653C"/>
    <w:rsid w:val="004B747F"/>
    <w:rsid w:val="004C0B85"/>
    <w:rsid w:val="004E2539"/>
    <w:rsid w:val="004E60DC"/>
    <w:rsid w:val="004E6584"/>
    <w:rsid w:val="004F5195"/>
    <w:rsid w:val="00500534"/>
    <w:rsid w:val="00507F85"/>
    <w:rsid w:val="00521B3C"/>
    <w:rsid w:val="00531677"/>
    <w:rsid w:val="00532F30"/>
    <w:rsid w:val="00535993"/>
    <w:rsid w:val="00561B52"/>
    <w:rsid w:val="00563CEA"/>
    <w:rsid w:val="00570895"/>
    <w:rsid w:val="00575BFA"/>
    <w:rsid w:val="00595D29"/>
    <w:rsid w:val="005A094D"/>
    <w:rsid w:val="005B6580"/>
    <w:rsid w:val="005B6657"/>
    <w:rsid w:val="005B72AB"/>
    <w:rsid w:val="005C2348"/>
    <w:rsid w:val="005C3249"/>
    <w:rsid w:val="005C3D7B"/>
    <w:rsid w:val="005D16E0"/>
    <w:rsid w:val="005E4647"/>
    <w:rsid w:val="005E74F1"/>
    <w:rsid w:val="005F279E"/>
    <w:rsid w:val="0060533C"/>
    <w:rsid w:val="00614C25"/>
    <w:rsid w:val="00622E8A"/>
    <w:rsid w:val="006252E3"/>
    <w:rsid w:val="0063618F"/>
    <w:rsid w:val="00640A44"/>
    <w:rsid w:val="006476EE"/>
    <w:rsid w:val="0067154A"/>
    <w:rsid w:val="00673604"/>
    <w:rsid w:val="00673DA3"/>
    <w:rsid w:val="00676FEB"/>
    <w:rsid w:val="00682F1A"/>
    <w:rsid w:val="006838D7"/>
    <w:rsid w:val="00685815"/>
    <w:rsid w:val="0069011B"/>
    <w:rsid w:val="00692968"/>
    <w:rsid w:val="00695B21"/>
    <w:rsid w:val="006A17E5"/>
    <w:rsid w:val="006C2BAF"/>
    <w:rsid w:val="006C752F"/>
    <w:rsid w:val="006D10AC"/>
    <w:rsid w:val="006D31CA"/>
    <w:rsid w:val="006E4763"/>
    <w:rsid w:val="006E670A"/>
    <w:rsid w:val="006E6E6E"/>
    <w:rsid w:val="006F3D33"/>
    <w:rsid w:val="00704616"/>
    <w:rsid w:val="00707654"/>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82BB6"/>
    <w:rsid w:val="00794630"/>
    <w:rsid w:val="007A028B"/>
    <w:rsid w:val="007A30FE"/>
    <w:rsid w:val="007A643E"/>
    <w:rsid w:val="007B1EA1"/>
    <w:rsid w:val="007B4FA1"/>
    <w:rsid w:val="007B61DD"/>
    <w:rsid w:val="007B7154"/>
    <w:rsid w:val="007C24DF"/>
    <w:rsid w:val="007C558F"/>
    <w:rsid w:val="007C61A6"/>
    <w:rsid w:val="007D1054"/>
    <w:rsid w:val="007D6395"/>
    <w:rsid w:val="007D673A"/>
    <w:rsid w:val="007E1B79"/>
    <w:rsid w:val="007E279A"/>
    <w:rsid w:val="007E787E"/>
    <w:rsid w:val="008066ED"/>
    <w:rsid w:val="00812DC7"/>
    <w:rsid w:val="008164EB"/>
    <w:rsid w:val="008226C0"/>
    <w:rsid w:val="0083364B"/>
    <w:rsid w:val="0085195B"/>
    <w:rsid w:val="0086342C"/>
    <w:rsid w:val="008653F3"/>
    <w:rsid w:val="008656B7"/>
    <w:rsid w:val="00865984"/>
    <w:rsid w:val="0086773C"/>
    <w:rsid w:val="0087576C"/>
    <w:rsid w:val="00880183"/>
    <w:rsid w:val="008815E0"/>
    <w:rsid w:val="00885B67"/>
    <w:rsid w:val="00887014"/>
    <w:rsid w:val="008944B8"/>
    <w:rsid w:val="008A6E40"/>
    <w:rsid w:val="008C0046"/>
    <w:rsid w:val="008C23D4"/>
    <w:rsid w:val="008C496F"/>
    <w:rsid w:val="008C4B50"/>
    <w:rsid w:val="008C62A5"/>
    <w:rsid w:val="008D428B"/>
    <w:rsid w:val="008F6C40"/>
    <w:rsid w:val="0091227C"/>
    <w:rsid w:val="00913CDB"/>
    <w:rsid w:val="00915A2E"/>
    <w:rsid w:val="00925A3C"/>
    <w:rsid w:val="00933BA5"/>
    <w:rsid w:val="00940155"/>
    <w:rsid w:val="00942AA0"/>
    <w:rsid w:val="0094419B"/>
    <w:rsid w:val="00945CEC"/>
    <w:rsid w:val="009510D3"/>
    <w:rsid w:val="00954DBB"/>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A190D"/>
    <w:rsid w:val="009A1D4A"/>
    <w:rsid w:val="009C0B5A"/>
    <w:rsid w:val="009D14AD"/>
    <w:rsid w:val="009E43FE"/>
    <w:rsid w:val="009F0537"/>
    <w:rsid w:val="009F6541"/>
    <w:rsid w:val="00A01F77"/>
    <w:rsid w:val="00A03AB0"/>
    <w:rsid w:val="00A05E89"/>
    <w:rsid w:val="00A07CA3"/>
    <w:rsid w:val="00A1196A"/>
    <w:rsid w:val="00A13ED4"/>
    <w:rsid w:val="00A34C36"/>
    <w:rsid w:val="00A40E97"/>
    <w:rsid w:val="00A42AD0"/>
    <w:rsid w:val="00A456C7"/>
    <w:rsid w:val="00A47A7F"/>
    <w:rsid w:val="00A5268F"/>
    <w:rsid w:val="00A56BB3"/>
    <w:rsid w:val="00A56F02"/>
    <w:rsid w:val="00A6250E"/>
    <w:rsid w:val="00A64E67"/>
    <w:rsid w:val="00A727C7"/>
    <w:rsid w:val="00A949FC"/>
    <w:rsid w:val="00A9677C"/>
    <w:rsid w:val="00AA52E9"/>
    <w:rsid w:val="00AA7F18"/>
    <w:rsid w:val="00AC543E"/>
    <w:rsid w:val="00AD2A3F"/>
    <w:rsid w:val="00AD7686"/>
    <w:rsid w:val="00AF0884"/>
    <w:rsid w:val="00AF4D4E"/>
    <w:rsid w:val="00AF5D51"/>
    <w:rsid w:val="00B00EEE"/>
    <w:rsid w:val="00B03110"/>
    <w:rsid w:val="00B05B70"/>
    <w:rsid w:val="00B15FD5"/>
    <w:rsid w:val="00B22CEA"/>
    <w:rsid w:val="00B24417"/>
    <w:rsid w:val="00B248BA"/>
    <w:rsid w:val="00B34B13"/>
    <w:rsid w:val="00B37733"/>
    <w:rsid w:val="00B41577"/>
    <w:rsid w:val="00B42D84"/>
    <w:rsid w:val="00B43AE5"/>
    <w:rsid w:val="00B6567E"/>
    <w:rsid w:val="00B76769"/>
    <w:rsid w:val="00B91B51"/>
    <w:rsid w:val="00B94A46"/>
    <w:rsid w:val="00B9786C"/>
    <w:rsid w:val="00BA7482"/>
    <w:rsid w:val="00BA756C"/>
    <w:rsid w:val="00BA7620"/>
    <w:rsid w:val="00BB4BDA"/>
    <w:rsid w:val="00BC0096"/>
    <w:rsid w:val="00BC22BC"/>
    <w:rsid w:val="00BC27D0"/>
    <w:rsid w:val="00BC4178"/>
    <w:rsid w:val="00BD32A4"/>
    <w:rsid w:val="00BD4768"/>
    <w:rsid w:val="00BE1B1B"/>
    <w:rsid w:val="00BF0A01"/>
    <w:rsid w:val="00C01536"/>
    <w:rsid w:val="00C035B1"/>
    <w:rsid w:val="00C061EC"/>
    <w:rsid w:val="00C11D79"/>
    <w:rsid w:val="00C26700"/>
    <w:rsid w:val="00C4361B"/>
    <w:rsid w:val="00C46A0A"/>
    <w:rsid w:val="00C471CE"/>
    <w:rsid w:val="00C50C14"/>
    <w:rsid w:val="00C51858"/>
    <w:rsid w:val="00C52BA9"/>
    <w:rsid w:val="00C61291"/>
    <w:rsid w:val="00C6636C"/>
    <w:rsid w:val="00C675F1"/>
    <w:rsid w:val="00C70F55"/>
    <w:rsid w:val="00C752EF"/>
    <w:rsid w:val="00C76FDA"/>
    <w:rsid w:val="00C83B07"/>
    <w:rsid w:val="00C92065"/>
    <w:rsid w:val="00C92A53"/>
    <w:rsid w:val="00CB0805"/>
    <w:rsid w:val="00CB366C"/>
    <w:rsid w:val="00CC030D"/>
    <w:rsid w:val="00CC41BB"/>
    <w:rsid w:val="00CD6F8E"/>
    <w:rsid w:val="00CD79E9"/>
    <w:rsid w:val="00CE66C4"/>
    <w:rsid w:val="00CF5F56"/>
    <w:rsid w:val="00D01C1B"/>
    <w:rsid w:val="00D077E1"/>
    <w:rsid w:val="00D128EA"/>
    <w:rsid w:val="00D2461D"/>
    <w:rsid w:val="00D40530"/>
    <w:rsid w:val="00D40D39"/>
    <w:rsid w:val="00D5524E"/>
    <w:rsid w:val="00D7426D"/>
    <w:rsid w:val="00D744CC"/>
    <w:rsid w:val="00D83BA6"/>
    <w:rsid w:val="00D86B15"/>
    <w:rsid w:val="00D9285C"/>
    <w:rsid w:val="00D92BA9"/>
    <w:rsid w:val="00DA2212"/>
    <w:rsid w:val="00DA7F18"/>
    <w:rsid w:val="00DB1B13"/>
    <w:rsid w:val="00DB4F0B"/>
    <w:rsid w:val="00DB523B"/>
    <w:rsid w:val="00DB7633"/>
    <w:rsid w:val="00DB7AE5"/>
    <w:rsid w:val="00DC77E1"/>
    <w:rsid w:val="00DE121A"/>
    <w:rsid w:val="00DE21A4"/>
    <w:rsid w:val="00DF4D67"/>
    <w:rsid w:val="00DF7A76"/>
    <w:rsid w:val="00E00F78"/>
    <w:rsid w:val="00E0289D"/>
    <w:rsid w:val="00E24A0F"/>
    <w:rsid w:val="00E24E04"/>
    <w:rsid w:val="00E26247"/>
    <w:rsid w:val="00E271BA"/>
    <w:rsid w:val="00E31518"/>
    <w:rsid w:val="00E37438"/>
    <w:rsid w:val="00E50BFF"/>
    <w:rsid w:val="00E63A9A"/>
    <w:rsid w:val="00E64BDE"/>
    <w:rsid w:val="00E667C8"/>
    <w:rsid w:val="00E84E80"/>
    <w:rsid w:val="00E90D73"/>
    <w:rsid w:val="00EA230D"/>
    <w:rsid w:val="00EC2A13"/>
    <w:rsid w:val="00EC7F37"/>
    <w:rsid w:val="00ED37E5"/>
    <w:rsid w:val="00EE1217"/>
    <w:rsid w:val="00EF25ED"/>
    <w:rsid w:val="00EF4440"/>
    <w:rsid w:val="00EF6B3C"/>
    <w:rsid w:val="00F06B1D"/>
    <w:rsid w:val="00F15CBA"/>
    <w:rsid w:val="00F17B14"/>
    <w:rsid w:val="00F200A1"/>
    <w:rsid w:val="00F341B6"/>
    <w:rsid w:val="00F4311E"/>
    <w:rsid w:val="00F4415B"/>
    <w:rsid w:val="00F472B8"/>
    <w:rsid w:val="00F5547A"/>
    <w:rsid w:val="00F62C23"/>
    <w:rsid w:val="00F73A03"/>
    <w:rsid w:val="00F75934"/>
    <w:rsid w:val="00F80900"/>
    <w:rsid w:val="00F84809"/>
    <w:rsid w:val="00F87DF5"/>
    <w:rsid w:val="00FA21DE"/>
    <w:rsid w:val="00FA650A"/>
    <w:rsid w:val="00FB21C2"/>
    <w:rsid w:val="00FB5FF5"/>
    <w:rsid w:val="00FC06E5"/>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styleId="Hyperlink">
    <w:name w:val="Hyperlink"/>
    <w:basedOn w:val="DefaultParagraphFont"/>
    <w:uiPriority w:val="99"/>
    <w:unhideWhenUsed/>
    <w:rsid w:val="00B34B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026999397379863"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111/j.1746-8361.2005.01031.x" TargetMode="External"/><Relationship Id="rId17" Type="http://schemas.openxmlformats.org/officeDocument/2006/relationships/hyperlink" Target="https://doi.org/10.1080/02699930441000238" TargetMode="External"/><Relationship Id="rId2" Type="http://schemas.openxmlformats.org/officeDocument/2006/relationships/numbering" Target="numbering.xml"/><Relationship Id="rId16" Type="http://schemas.openxmlformats.org/officeDocument/2006/relationships/hyperlink" Target="https://psycnet.apa.org/doi/10.1037/0003-066X.56.3.21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sycnet.apa.org/doi/10.1037/a0020665" TargetMode="External"/><Relationship Id="rId5" Type="http://schemas.openxmlformats.org/officeDocument/2006/relationships/webSettings" Target="webSettings.xml"/><Relationship Id="rId15" Type="http://schemas.openxmlformats.org/officeDocument/2006/relationships/hyperlink" Target="https://doi.org/10.1016/j.tics.2008.02.003" TargetMode="External"/><Relationship Id="rId10" Type="http://schemas.openxmlformats.org/officeDocument/2006/relationships/image" Target="media/image3.sv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2/wcs.14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246</TotalTime>
  <Pages>5</Pages>
  <Words>1887</Words>
  <Characters>10758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Afsana Begum (2204410)</cp:lastModifiedBy>
  <cp:revision>24</cp:revision>
  <cp:lastPrinted>2008-04-14T13:39:00Z</cp:lastPrinted>
  <dcterms:created xsi:type="dcterms:W3CDTF">2024-05-17T15:32:00Z</dcterms:created>
  <dcterms:modified xsi:type="dcterms:W3CDTF">2024-05-27T15:44:00Z</dcterms:modified>
</cp:coreProperties>
</file>