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BA9438" w14:textId="77777777" w:rsidR="00EA5831" w:rsidRDefault="00EA5831" w:rsidP="00EA5831">
      <w:r>
        <w:t xml:space="preserve">Reference list </w:t>
      </w:r>
    </w:p>
    <w:tbl>
      <w:tblPr>
        <w:tblW w:w="10050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050"/>
      </w:tblGrid>
      <w:tr w:rsidR="00EA5831" w:rsidRPr="00A732AF" w14:paraId="13113481" w14:textId="77777777" w:rsidTr="00456C24">
        <w:tc>
          <w:tcPr>
            <w:tcW w:w="0" w:type="auto"/>
            <w:vAlign w:val="center"/>
            <w:hideMark/>
          </w:tcPr>
          <w:p w14:paraId="39D4F1ED" w14:textId="77777777" w:rsidR="00EA5831" w:rsidRDefault="00EA5831" w:rsidP="00456C24">
            <w:pPr>
              <w:rPr>
                <w:rFonts w:eastAsia="Times New Roman" w:cs="Times New Roman"/>
                <w:color w:val="000000" w:themeColor="text1"/>
                <w:bdr w:val="none" w:sz="0" w:space="0" w:color="auto" w:frame="1"/>
                <w:lang w:eastAsia="en-GB"/>
              </w:rPr>
            </w:pPr>
          </w:p>
          <w:p w14:paraId="3951D2CF" w14:textId="77777777" w:rsidR="00EA5831" w:rsidRPr="00A732AF" w:rsidRDefault="00EA5831" w:rsidP="00456C24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EA5831" w:rsidRPr="00A732AF" w14:paraId="322570FF" w14:textId="77777777" w:rsidTr="00456C24">
        <w:tc>
          <w:tcPr>
            <w:tcW w:w="0" w:type="auto"/>
            <w:vAlign w:val="center"/>
            <w:hideMark/>
          </w:tcPr>
          <w:p w14:paraId="16180285" w14:textId="77777777" w:rsidR="00EA5831" w:rsidRPr="00A732AF" w:rsidRDefault="00EA5831" w:rsidP="00456C24">
            <w:pPr>
              <w:rPr>
                <w:rFonts w:ascii="Open Sans" w:eastAsia="Times New Roman" w:hAnsi="Open Sans" w:cs="Open Sans"/>
                <w:color w:val="000000"/>
                <w:sz w:val="21"/>
                <w:szCs w:val="21"/>
                <w:lang w:eastAsia="en-GB"/>
              </w:rPr>
            </w:pPr>
          </w:p>
        </w:tc>
      </w:tr>
      <w:tr w:rsidR="00EA5831" w:rsidRPr="00A732AF" w14:paraId="253A8D52" w14:textId="77777777" w:rsidTr="00456C24">
        <w:tc>
          <w:tcPr>
            <w:tcW w:w="0" w:type="auto"/>
            <w:vAlign w:val="center"/>
            <w:hideMark/>
          </w:tcPr>
          <w:p w14:paraId="616CC7D1" w14:textId="77777777" w:rsidR="00EA5831" w:rsidRPr="00A732AF" w:rsidRDefault="00EA5831" w:rsidP="00456C24">
            <w:pPr>
              <w:rPr>
                <w:rFonts w:ascii="Open Sans" w:eastAsia="Times New Roman" w:hAnsi="Open Sans" w:cs="Open Sans"/>
                <w:color w:val="000000"/>
                <w:sz w:val="21"/>
                <w:szCs w:val="21"/>
                <w:lang w:eastAsia="en-GB"/>
              </w:rPr>
            </w:pPr>
          </w:p>
        </w:tc>
      </w:tr>
    </w:tbl>
    <w:p w14:paraId="524C47F2" w14:textId="77777777" w:rsidR="00EA5831" w:rsidRDefault="00EA5831" w:rsidP="00EA5831">
      <w:pP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</w:pPr>
      <w:proofErr w:type="spellStart"/>
      <w:r w:rsidRPr="00AC5FDF"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>Butzkamm</w:t>
      </w:r>
      <w:proofErr w:type="spellEnd"/>
      <w:r w:rsidRPr="00AC5FDF"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, W. (2010) </w:t>
      </w:r>
      <w:r w:rsidRPr="00AC5FDF">
        <w:rPr>
          <w:rFonts w:eastAsia="Times New Roman" w:cs="Times New Roman"/>
          <w:i/>
          <w:iCs/>
          <w:color w:val="000000" w:themeColor="text1"/>
          <w:bdr w:val="none" w:sz="0" w:space="0" w:color="auto" w:frame="1"/>
          <w:lang w:eastAsia="en-GB"/>
        </w:rPr>
        <w:t>The Sandwich Technique</w:t>
      </w:r>
      <w:r w:rsidRPr="00AC5FDF"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. Available at: </w:t>
      </w:r>
      <w:hyperlink r:id="rId4" w:history="1">
        <w:r w:rsidRPr="00AC5FDF">
          <w:rPr>
            <w:rStyle w:val="Hyperlink"/>
            <w:rFonts w:eastAsia="Times New Roman" w:cs="Times New Roman"/>
            <w:color w:val="0070C0"/>
            <w:bdr w:val="none" w:sz="0" w:space="0" w:color="auto" w:frame="1"/>
            <w:lang w:eastAsia="en-GB"/>
          </w:rPr>
          <w:t>https://juergenkurtz.wordpress.com/2010/12/22/the-sandwich-technique/</w:t>
        </w:r>
      </w:hyperlink>
      <w:r w:rsidRPr="00AC5FDF">
        <w:rPr>
          <w:rFonts w:eastAsia="Times New Roman" w:cs="Times New Roman"/>
          <w:color w:val="0070C0"/>
          <w:bdr w:val="none" w:sz="0" w:space="0" w:color="auto" w:frame="1"/>
          <w:lang w:eastAsia="en-GB"/>
        </w:rPr>
        <w:t xml:space="preserve"> </w:t>
      </w:r>
      <w:r w:rsidRPr="00AC5FDF"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(Accessed 23 March 2022). </w:t>
      </w:r>
    </w:p>
    <w:p w14:paraId="537101DA" w14:textId="77777777" w:rsidR="00EA5831" w:rsidRPr="00462F69" w:rsidRDefault="00EA5831" w:rsidP="00EA5831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 xml:space="preserve">Carmarthenshire County Council (2021) </w:t>
      </w:r>
      <w:r>
        <w:rPr>
          <w:rFonts w:asciiTheme="minorHAnsi" w:hAnsiTheme="minorHAnsi"/>
          <w:i/>
          <w:iCs/>
        </w:rPr>
        <w:t xml:space="preserve">English/Welsh as an Additional Language. </w:t>
      </w:r>
      <w:r>
        <w:rPr>
          <w:rFonts w:asciiTheme="minorHAnsi" w:hAnsiTheme="minorHAnsi"/>
        </w:rPr>
        <w:t xml:space="preserve">Available at: </w:t>
      </w:r>
      <w:hyperlink r:id="rId5" w:history="1">
        <w:r w:rsidRPr="0034780A">
          <w:rPr>
            <w:rStyle w:val="Hyperlink"/>
            <w:rFonts w:asciiTheme="minorHAnsi" w:hAnsiTheme="minorHAnsi"/>
          </w:rPr>
          <w:t>https://www.carmarthenshire.gov.wales/home/council-services/education-schools/additional-learning-needs/englishwelsh-as-an-additional-language/#.YjTb-y2l1QI</w:t>
        </w:r>
      </w:hyperlink>
      <w:r>
        <w:rPr>
          <w:rFonts w:asciiTheme="minorHAnsi" w:hAnsiTheme="minorHAnsi"/>
        </w:rPr>
        <w:t xml:space="preserve"> (Accessed: 17 March 2022). </w:t>
      </w:r>
    </w:p>
    <w:p w14:paraId="3160FA76" w14:textId="77777777" w:rsidR="00EA5831" w:rsidRDefault="00EA5831" w:rsidP="00EA5831">
      <w:pPr>
        <w:pStyle w:val="NormalWeb"/>
        <w:rPr>
          <w:rFonts w:asciiTheme="minorHAnsi" w:hAnsiTheme="minorHAnsi"/>
        </w:rPr>
      </w:pPr>
      <w:proofErr w:type="spellStart"/>
      <w:r w:rsidRPr="002237E1">
        <w:rPr>
          <w:rFonts w:asciiTheme="minorHAnsi" w:hAnsiTheme="minorHAnsi" w:cs="Arial"/>
          <w:color w:val="000000" w:themeColor="text1"/>
        </w:rPr>
        <w:t>Dolgunsoz</w:t>
      </w:r>
      <w:proofErr w:type="spellEnd"/>
      <w:r w:rsidRPr="002237E1">
        <w:rPr>
          <w:rFonts w:asciiTheme="minorHAnsi" w:hAnsiTheme="minorHAnsi" w:cs="Arial"/>
          <w:color w:val="000000" w:themeColor="text1"/>
        </w:rPr>
        <w:t xml:space="preserve">, E. (2013) </w:t>
      </w:r>
      <w:proofErr w:type="gramStart"/>
      <w:r w:rsidRPr="002237E1">
        <w:rPr>
          <w:rFonts w:asciiTheme="minorHAnsi" w:hAnsiTheme="minorHAnsi" w:cs="Arial"/>
          <w:color w:val="000000" w:themeColor="text1"/>
        </w:rPr>
        <w:t>‘</w:t>
      </w:r>
      <w:r w:rsidRPr="002237E1">
        <w:rPr>
          <w:rFonts w:asciiTheme="minorHAnsi" w:hAnsiTheme="minorHAnsi"/>
        </w:rPr>
        <w:t xml:space="preserve"> Benefits</w:t>
      </w:r>
      <w:proofErr w:type="gramEnd"/>
      <w:r w:rsidRPr="002237E1">
        <w:rPr>
          <w:rFonts w:asciiTheme="minorHAnsi" w:hAnsiTheme="minorHAnsi"/>
        </w:rPr>
        <w:t xml:space="preserve"> of multilingualism in foreign language learning: a comparative study of bilingual and multilingual grammar strategies</w:t>
      </w:r>
      <w:r>
        <w:rPr>
          <w:rFonts w:asciiTheme="minorHAnsi" w:hAnsiTheme="minorHAnsi"/>
        </w:rPr>
        <w:t>’,</w:t>
      </w:r>
      <w:r w:rsidRPr="002237E1">
        <w:rPr>
          <w:rFonts w:asciiTheme="minorHAnsi" w:hAnsiTheme="minorHAnsi"/>
          <w:i/>
          <w:iCs/>
        </w:rPr>
        <w:t xml:space="preserve"> Internation</w:t>
      </w:r>
      <w:r>
        <w:rPr>
          <w:rFonts w:asciiTheme="minorHAnsi" w:hAnsiTheme="minorHAnsi"/>
          <w:i/>
          <w:iCs/>
        </w:rPr>
        <w:t>al</w:t>
      </w:r>
      <w:r w:rsidRPr="002237E1">
        <w:rPr>
          <w:rFonts w:asciiTheme="minorHAnsi" w:hAnsiTheme="minorHAnsi"/>
          <w:i/>
          <w:iCs/>
        </w:rPr>
        <w:t xml:space="preserve"> Journal of Education and Learning, </w:t>
      </w:r>
      <w:r>
        <w:rPr>
          <w:rFonts w:asciiTheme="minorHAnsi" w:hAnsiTheme="minorHAnsi"/>
        </w:rPr>
        <w:t xml:space="preserve">1(1), pp. 12-23. </w:t>
      </w:r>
    </w:p>
    <w:p w14:paraId="70755AC7" w14:textId="77777777" w:rsidR="00EA5831" w:rsidRPr="00AC5FDF" w:rsidRDefault="00EA5831" w:rsidP="00EA5831">
      <w:pPr>
        <w:rPr>
          <w:rFonts w:eastAsia="Times New Roman" w:cs="Times New Roman"/>
          <w:color w:val="000000" w:themeColor="text1"/>
          <w:lang w:eastAsia="en-GB"/>
        </w:rPr>
      </w:pPr>
      <w:proofErr w:type="spellStart"/>
      <w:r w:rsidRPr="00AC5FDF">
        <w:t>Gorrara</w:t>
      </w:r>
      <w:proofErr w:type="spellEnd"/>
      <w:r w:rsidRPr="00AC5FDF">
        <w:t>, C. et al. (2020) ‘</w:t>
      </w:r>
      <w:r w:rsidRPr="00AC5FDF">
        <w:rPr>
          <w:rFonts w:eastAsia="Times New Roman" w:cs="Times New Roman"/>
          <w:color w:val="000000" w:themeColor="text1"/>
          <w:lang w:eastAsia="en-GB"/>
        </w:rPr>
        <w:t xml:space="preserve">Multilingual perspectives: preparing for language learning in the new curriculum for Wales’ </w:t>
      </w:r>
      <w:proofErr w:type="gramStart"/>
      <w:r w:rsidRPr="00AC5FDF">
        <w:rPr>
          <w:rFonts w:eastAsia="Times New Roman" w:cs="Times New Roman"/>
          <w:i/>
          <w:iCs/>
          <w:color w:val="000000" w:themeColor="text1"/>
          <w:lang w:eastAsia="en-GB"/>
        </w:rPr>
        <w:t>The</w:t>
      </w:r>
      <w:proofErr w:type="gramEnd"/>
      <w:r w:rsidRPr="00AC5FDF">
        <w:rPr>
          <w:rFonts w:eastAsia="Times New Roman" w:cs="Times New Roman"/>
          <w:i/>
          <w:iCs/>
          <w:color w:val="000000" w:themeColor="text1"/>
          <w:lang w:eastAsia="en-GB"/>
        </w:rPr>
        <w:t xml:space="preserve"> Curriculum Journal, </w:t>
      </w:r>
      <w:r w:rsidRPr="00AC5FDF">
        <w:rPr>
          <w:rFonts w:eastAsia="Times New Roman" w:cs="Times New Roman"/>
          <w:color w:val="000000" w:themeColor="text1"/>
          <w:lang w:eastAsia="en-GB"/>
        </w:rPr>
        <w:t>31(2), pp. 244-257. DOI: 10.1002/curj.11</w:t>
      </w:r>
    </w:p>
    <w:p w14:paraId="6128834B" w14:textId="77777777" w:rsidR="00EA5831" w:rsidRDefault="00EA5831" w:rsidP="00EA5831">
      <w:pPr>
        <w:pStyle w:val="NormalWeb"/>
        <w:rPr>
          <w:rFonts w:asciiTheme="minorHAnsi" w:hAnsiTheme="minorHAnsi"/>
        </w:rPr>
      </w:pPr>
      <w:proofErr w:type="spellStart"/>
      <w:r w:rsidRPr="00AC5FDF">
        <w:rPr>
          <w:rFonts w:asciiTheme="minorHAnsi" w:hAnsiTheme="minorHAnsi" w:cs="Arial"/>
          <w:color w:val="000000" w:themeColor="text1"/>
        </w:rPr>
        <w:t>Higby</w:t>
      </w:r>
      <w:proofErr w:type="spellEnd"/>
      <w:r w:rsidRPr="00AC5FDF">
        <w:rPr>
          <w:rFonts w:asciiTheme="minorHAnsi" w:hAnsiTheme="minorHAnsi" w:cs="Arial"/>
          <w:color w:val="000000" w:themeColor="text1"/>
        </w:rPr>
        <w:t xml:space="preserve">, E. Kim, J. and </w:t>
      </w:r>
      <w:proofErr w:type="spellStart"/>
      <w:r w:rsidRPr="00AC5FDF">
        <w:rPr>
          <w:rFonts w:asciiTheme="minorHAnsi" w:hAnsiTheme="minorHAnsi" w:cs="Arial"/>
          <w:color w:val="000000" w:themeColor="text1"/>
        </w:rPr>
        <w:t>Obler</w:t>
      </w:r>
      <w:proofErr w:type="spellEnd"/>
      <w:r w:rsidRPr="00AC5FDF">
        <w:rPr>
          <w:rFonts w:asciiTheme="minorHAnsi" w:hAnsiTheme="minorHAnsi" w:cs="Arial"/>
          <w:color w:val="000000" w:themeColor="text1"/>
        </w:rPr>
        <w:t xml:space="preserve">, L, K. (2013) ‘Multilingualism and the Brain’ </w:t>
      </w:r>
      <w:r w:rsidRPr="00AC5FDF">
        <w:rPr>
          <w:rFonts w:asciiTheme="minorHAnsi" w:hAnsiTheme="minorHAnsi"/>
          <w:i/>
          <w:iCs/>
        </w:rPr>
        <w:t xml:space="preserve">Annual Review of Applied Linguistics, </w:t>
      </w:r>
      <w:r w:rsidRPr="00AC5FDF">
        <w:rPr>
          <w:rFonts w:asciiTheme="minorHAnsi" w:hAnsiTheme="minorHAnsi"/>
        </w:rPr>
        <w:t xml:space="preserve">33(1), pp. 68-101. </w:t>
      </w:r>
      <w:r>
        <w:rPr>
          <w:rFonts w:asciiTheme="minorHAnsi" w:hAnsiTheme="minorHAnsi"/>
        </w:rPr>
        <w:t>DOI</w:t>
      </w:r>
      <w:r w:rsidRPr="00AC5FDF">
        <w:rPr>
          <w:rFonts w:asciiTheme="minorHAnsi" w:hAnsiTheme="minorHAnsi"/>
        </w:rPr>
        <w:t xml:space="preserve">: 10.1017/S0267190513000081 </w:t>
      </w:r>
    </w:p>
    <w:p w14:paraId="6A41CFF3" w14:textId="77777777" w:rsidR="00EA5831" w:rsidRDefault="00EA5831" w:rsidP="00EA5831">
      <w:pP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</w:pPr>
      <w:proofErr w:type="spellStart"/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>Kharkhurin</w:t>
      </w:r>
      <w:proofErr w:type="spellEnd"/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, A.V. (2009) ‘The Role of Bilingualism in Creative Performance on Divergent Thinking and Invented alien Creatures Tests’ </w:t>
      </w:r>
      <w:proofErr w:type="gramStart"/>
      <w:r>
        <w:rPr>
          <w:rFonts w:eastAsia="Times New Roman" w:cs="Times New Roman"/>
          <w:i/>
          <w:iCs/>
          <w:color w:val="000000" w:themeColor="text1"/>
          <w:bdr w:val="none" w:sz="0" w:space="0" w:color="auto" w:frame="1"/>
          <w:lang w:eastAsia="en-GB"/>
        </w:rPr>
        <w:t>The</w:t>
      </w:r>
      <w:proofErr w:type="gramEnd"/>
      <w:r>
        <w:rPr>
          <w:rFonts w:eastAsia="Times New Roman" w:cs="Times New Roman"/>
          <w:i/>
          <w:iCs/>
          <w:color w:val="000000" w:themeColor="text1"/>
          <w:bdr w:val="none" w:sz="0" w:space="0" w:color="auto" w:frame="1"/>
          <w:lang w:eastAsia="en-GB"/>
        </w:rPr>
        <w:t xml:space="preserve"> Journal of Creative Behaviour, </w:t>
      </w:r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43(1), pp. 59-71. </w:t>
      </w:r>
      <w:hyperlink r:id="rId6" w:history="1">
        <w:r w:rsidRPr="0034780A">
          <w:rPr>
            <w:rStyle w:val="Hyperlink"/>
            <w:rFonts w:eastAsia="Times New Roman" w:cs="Times New Roman"/>
            <w:bdr w:val="none" w:sz="0" w:space="0" w:color="auto" w:frame="1"/>
            <w:lang w:eastAsia="en-GB"/>
          </w:rPr>
          <w:t>https://doi.org/10.1002/j.2162-6057.2009.tb01306.x</w:t>
        </w:r>
      </w:hyperlink>
    </w:p>
    <w:p w14:paraId="79D39935" w14:textId="77777777" w:rsidR="00EA5831" w:rsidRPr="00AC5FDF" w:rsidRDefault="00EA5831" w:rsidP="00EA5831">
      <w:pPr>
        <w:pStyle w:val="NormalWeb"/>
        <w:rPr>
          <w:rFonts w:asciiTheme="minorHAnsi" w:hAnsiTheme="minorHAnsi"/>
        </w:rPr>
      </w:pPr>
      <w:proofErr w:type="spellStart"/>
      <w:r w:rsidRPr="00AC5FDF">
        <w:rPr>
          <w:rFonts w:asciiTheme="minorHAnsi" w:hAnsiTheme="minorHAnsi"/>
        </w:rPr>
        <w:t>Kharkhurin</w:t>
      </w:r>
      <w:proofErr w:type="spellEnd"/>
      <w:r w:rsidRPr="00AC5FDF">
        <w:rPr>
          <w:rFonts w:asciiTheme="minorHAnsi" w:hAnsiTheme="minorHAnsi"/>
        </w:rPr>
        <w:t xml:space="preserve">. A. V. (2008) </w:t>
      </w:r>
      <w:proofErr w:type="gramStart"/>
      <w:r w:rsidRPr="00AC5FDF">
        <w:rPr>
          <w:rFonts w:asciiTheme="minorHAnsi" w:hAnsiTheme="minorHAnsi"/>
        </w:rPr>
        <w:t>‘ The</w:t>
      </w:r>
      <w:proofErr w:type="gramEnd"/>
      <w:r w:rsidRPr="00AC5FDF">
        <w:rPr>
          <w:rFonts w:asciiTheme="minorHAnsi" w:hAnsiTheme="minorHAnsi"/>
        </w:rPr>
        <w:t xml:space="preserve"> effect of linguistic proficiency, age of second language acquisition and length of exposure to a new cultural environment on bilinguals’ divergent thinking</w:t>
      </w:r>
      <w:r w:rsidRPr="00AC5FDF">
        <w:rPr>
          <w:rFonts w:asciiTheme="minorHAnsi" w:hAnsiTheme="minorHAnsi" w:cs="Cambria Math"/>
          <w:position w:val="12"/>
        </w:rPr>
        <w:t xml:space="preserve">’ </w:t>
      </w:r>
      <w:r w:rsidRPr="00AC5FDF">
        <w:rPr>
          <w:rFonts w:asciiTheme="minorHAnsi" w:hAnsiTheme="minorHAnsi"/>
          <w:i/>
          <w:iCs/>
        </w:rPr>
        <w:t>Bilingualism: Language and Cognition</w:t>
      </w:r>
      <w:r w:rsidRPr="00AC5FDF">
        <w:rPr>
          <w:rFonts w:asciiTheme="minorHAnsi" w:hAnsiTheme="minorHAnsi"/>
        </w:rPr>
        <w:t xml:space="preserve">, 11(2), pp. 225-243. DOI: 10.1017/S1366728908003398 </w:t>
      </w:r>
    </w:p>
    <w:p w14:paraId="45A970BA" w14:textId="77777777" w:rsidR="00EA5831" w:rsidRPr="00ED0FC0" w:rsidRDefault="00EA5831" w:rsidP="00EA5831">
      <w:pPr>
        <w:rPr>
          <w:rFonts w:ascii="Times New Roman" w:eastAsia="Times New Roman" w:hAnsi="Times New Roman" w:cs="Times New Roman"/>
          <w:color w:val="002060"/>
          <w:lang w:eastAsia="en-GB"/>
        </w:rPr>
      </w:pPr>
      <w:r w:rsidRPr="00ED0FC0">
        <w:rPr>
          <w:color w:val="000000" w:themeColor="text1"/>
        </w:rPr>
        <w:t>Kroll</w:t>
      </w:r>
      <w:r>
        <w:rPr>
          <w:color w:val="000000" w:themeColor="text1"/>
        </w:rPr>
        <w:t>. J. F.</w:t>
      </w:r>
      <w:r w:rsidRPr="00ED0FC0">
        <w:rPr>
          <w:color w:val="000000" w:themeColor="text1"/>
        </w:rPr>
        <w:t xml:space="preserve"> and </w:t>
      </w:r>
      <w:proofErr w:type="spellStart"/>
      <w:r w:rsidRPr="00ED0FC0">
        <w:rPr>
          <w:color w:val="000000" w:themeColor="text1"/>
        </w:rPr>
        <w:t>Dussias</w:t>
      </w:r>
      <w:proofErr w:type="spellEnd"/>
      <w:r w:rsidRPr="00ED0FC0">
        <w:rPr>
          <w:color w:val="000000" w:themeColor="text1"/>
        </w:rPr>
        <w:t>.</w:t>
      </w:r>
      <w:r>
        <w:rPr>
          <w:color w:val="000000" w:themeColor="text1"/>
        </w:rPr>
        <w:t xml:space="preserve"> P. E.</w:t>
      </w:r>
      <w:r w:rsidRPr="00ED0FC0">
        <w:rPr>
          <w:color w:val="000000" w:themeColor="text1"/>
        </w:rPr>
        <w:t xml:space="preserve"> (2017) ‘</w:t>
      </w:r>
      <w:r w:rsidRPr="00ED0FC0">
        <w:rPr>
          <w:rFonts w:cs="Arial"/>
          <w:color w:val="000000" w:themeColor="text1"/>
        </w:rPr>
        <w:t xml:space="preserve">The Benefits of Multilingualism to the Personal and Professional Development of Residents of </w:t>
      </w:r>
      <w:proofErr w:type="gramStart"/>
      <w:r w:rsidRPr="00ED0FC0">
        <w:rPr>
          <w:rFonts w:cs="Arial"/>
          <w:color w:val="000000" w:themeColor="text1"/>
        </w:rPr>
        <w:t>The</w:t>
      </w:r>
      <w:proofErr w:type="gramEnd"/>
      <w:r w:rsidRPr="00ED0FC0">
        <w:rPr>
          <w:rFonts w:cs="Arial"/>
          <w:color w:val="000000" w:themeColor="text1"/>
        </w:rPr>
        <w:t xml:space="preserve"> US’ </w:t>
      </w:r>
      <w:r w:rsidRPr="00ED0FC0">
        <w:rPr>
          <w:rFonts w:cs="Arial"/>
          <w:i/>
          <w:iCs/>
          <w:color w:val="000000" w:themeColor="text1"/>
        </w:rPr>
        <w:t xml:space="preserve">Foreign Language Annuals, </w:t>
      </w:r>
      <w:r w:rsidRPr="00ED0FC0">
        <w:rPr>
          <w:rFonts w:cs="Arial"/>
          <w:color w:val="000000" w:themeColor="text1"/>
        </w:rPr>
        <w:t xml:space="preserve">(50)2. </w:t>
      </w:r>
      <w:r>
        <w:rPr>
          <w:rFonts w:ascii="Arial" w:eastAsia="Times New Roman" w:hAnsi="Arial" w:cs="Arial"/>
          <w:color w:val="000000"/>
          <w:sz w:val="20"/>
          <w:szCs w:val="20"/>
          <w:lang w:eastAsia="en-GB"/>
        </w:rPr>
        <w:t>DOI</w:t>
      </w:r>
      <w:r w:rsidRPr="00ED0FC0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: </w:t>
      </w:r>
      <w:hyperlink r:id="rId7" w:tgtFrame="_blank" w:history="1">
        <w:r w:rsidRPr="00ED0FC0">
          <w:rPr>
            <w:rFonts w:ascii="Arial" w:eastAsia="Times New Roman" w:hAnsi="Arial" w:cs="Arial"/>
            <w:color w:val="0070C0"/>
            <w:sz w:val="20"/>
            <w:szCs w:val="20"/>
            <w:u w:val="single"/>
            <w:lang w:eastAsia="en-GB"/>
          </w:rPr>
          <w:t>10.111</w:t>
        </w:r>
        <w:r w:rsidRPr="00ED0FC0">
          <w:rPr>
            <w:rFonts w:ascii="Arial" w:eastAsia="Times New Roman" w:hAnsi="Arial" w:cs="Arial"/>
            <w:color w:val="0070C0"/>
            <w:sz w:val="20"/>
            <w:szCs w:val="20"/>
            <w:u w:val="single"/>
            <w:lang w:eastAsia="en-GB"/>
          </w:rPr>
          <w:t>1</w:t>
        </w:r>
        <w:r w:rsidRPr="00ED0FC0">
          <w:rPr>
            <w:rFonts w:ascii="Arial" w:eastAsia="Times New Roman" w:hAnsi="Arial" w:cs="Arial"/>
            <w:color w:val="0070C0"/>
            <w:sz w:val="20"/>
            <w:szCs w:val="20"/>
            <w:u w:val="single"/>
            <w:lang w:eastAsia="en-GB"/>
          </w:rPr>
          <w:t>/flan.12271</w:t>
        </w:r>
      </w:hyperlink>
    </w:p>
    <w:p w14:paraId="10566DC2" w14:textId="77777777" w:rsidR="00EA5831" w:rsidRPr="00A732AF" w:rsidRDefault="00EA5831" w:rsidP="00EA5831">
      <w:pP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</w:pPr>
      <w:proofErr w:type="spellStart"/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>Montsaye</w:t>
      </w:r>
      <w:proofErr w:type="spellEnd"/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 Academy (n.d) </w:t>
      </w:r>
      <w:r w:rsidRPr="00A732AF">
        <w:rPr>
          <w:rFonts w:eastAsia="Times New Roman" w:cs="Times New Roman"/>
          <w:i/>
          <w:iCs/>
          <w:color w:val="000000" w:themeColor="text1"/>
          <w:bdr w:val="none" w:sz="0" w:space="0" w:color="auto" w:frame="1"/>
          <w:lang w:eastAsia="en-GB"/>
        </w:rPr>
        <w:t>Theories of Language Acquisition</w:t>
      </w:r>
      <w:r>
        <w:rPr>
          <w:rFonts w:eastAsia="Times New Roman" w:cs="Times New Roman"/>
          <w:i/>
          <w:iCs/>
          <w:color w:val="000000" w:themeColor="text1"/>
          <w:bdr w:val="none" w:sz="0" w:space="0" w:color="auto" w:frame="1"/>
          <w:lang w:eastAsia="en-GB"/>
        </w:rPr>
        <w:t xml:space="preserve">. </w:t>
      </w:r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Available at: </w:t>
      </w:r>
      <w:hyperlink r:id="rId8" w:history="1">
        <w:r w:rsidRPr="0034780A">
          <w:rPr>
            <w:rStyle w:val="Hyperlink"/>
            <w:rFonts w:eastAsia="Times New Roman" w:cs="Times New Roman"/>
            <w:bdr w:val="none" w:sz="0" w:space="0" w:color="auto" w:frame="1"/>
            <w:lang w:eastAsia="en-GB"/>
          </w:rPr>
          <w:t>https://www.montsaye.northants.sch.uk/assets/Uploads/English-Language-Summer-Work-2.pdf</w:t>
        </w:r>
      </w:hyperlink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 (Accessed: March </w:t>
      </w:r>
      <w:proofErr w:type="gramStart"/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>23</w:t>
      </w:r>
      <w:proofErr w:type="gramEnd"/>
      <w: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  <w:t xml:space="preserve"> 2022). </w:t>
      </w:r>
    </w:p>
    <w:p w14:paraId="5EBD6B50" w14:textId="77777777" w:rsidR="00EA5831" w:rsidRDefault="00EA5831" w:rsidP="00EA5831">
      <w:r>
        <w:t xml:space="preserve">Multilingual Montessori (2021) What is the Sandwich </w:t>
      </w:r>
      <w:proofErr w:type="gramStart"/>
      <w:r>
        <w:t>Technique?.</w:t>
      </w:r>
      <w:proofErr w:type="gramEnd"/>
      <w:r>
        <w:t xml:space="preserve"> Available at:  </w:t>
      </w:r>
      <w:hyperlink r:id="rId9" w:history="1">
        <w:r w:rsidRPr="0034780A">
          <w:rPr>
            <w:rStyle w:val="Hyperlink"/>
          </w:rPr>
          <w:t>https://multilingualmontessori.org/what-is-the-sandwich-technique/</w:t>
        </w:r>
      </w:hyperlink>
      <w:r>
        <w:t xml:space="preserve"> (Accessed 22</w:t>
      </w:r>
      <w:r w:rsidRPr="00AC5FDF">
        <w:rPr>
          <w:vertAlign w:val="superscript"/>
        </w:rPr>
        <w:t>nd</w:t>
      </w:r>
      <w:r>
        <w:t xml:space="preserve"> March). </w:t>
      </w:r>
    </w:p>
    <w:p w14:paraId="23CAD2FA" w14:textId="77777777" w:rsidR="00EA5831" w:rsidRPr="00A85CD3" w:rsidRDefault="00EA5831" w:rsidP="00EA5831">
      <w:pPr>
        <w:pStyle w:val="NormalWeb"/>
        <w:rPr>
          <w:rFonts w:asciiTheme="minorHAnsi" w:hAnsiTheme="minorHAnsi"/>
        </w:rPr>
      </w:pPr>
      <w:proofErr w:type="spellStart"/>
      <w:r w:rsidRPr="00A85CD3">
        <w:rPr>
          <w:rFonts w:asciiTheme="minorHAnsi" w:hAnsiTheme="minorHAnsi"/>
        </w:rPr>
        <w:t>Okal</w:t>
      </w:r>
      <w:proofErr w:type="spellEnd"/>
      <w:r w:rsidRPr="00A85CD3">
        <w:rPr>
          <w:rFonts w:asciiTheme="minorHAnsi" w:hAnsiTheme="minorHAnsi"/>
        </w:rPr>
        <w:t xml:space="preserve">. B.O. (2014) ‘Benefits of Multilingualism in Education’ </w:t>
      </w:r>
      <w:r w:rsidRPr="00A85CD3">
        <w:rPr>
          <w:rFonts w:asciiTheme="minorHAnsi" w:hAnsiTheme="minorHAnsi"/>
          <w:i/>
          <w:iCs/>
        </w:rPr>
        <w:t xml:space="preserve">Universal Journal of Educational Research, </w:t>
      </w:r>
      <w:r w:rsidRPr="00A85CD3">
        <w:rPr>
          <w:rFonts w:asciiTheme="minorHAnsi" w:hAnsiTheme="minorHAnsi"/>
        </w:rPr>
        <w:t xml:space="preserve">2(3), pp. 223-229. DOI: 10.13189/ujer.2014.020304 </w:t>
      </w:r>
    </w:p>
    <w:p w14:paraId="370C7E6A" w14:textId="77777777" w:rsidR="00EA5831" w:rsidRDefault="00EA5831" w:rsidP="00EA5831">
      <w:pPr>
        <w:spacing w:before="100" w:beforeAutospacing="1" w:after="100" w:afterAutospacing="1"/>
      </w:pPr>
      <w:r>
        <w:t xml:space="preserve">Welsh Assembly Government (2008) </w:t>
      </w:r>
      <w:r w:rsidRPr="00AC5FDF">
        <w:rPr>
          <w:i/>
          <w:iCs/>
        </w:rPr>
        <w:t>Welsh Language Development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34780A">
          <w:rPr>
            <w:rStyle w:val="Hyperlink"/>
          </w:rPr>
          <w:t>https://hwb.gov.wales/api/storage/b4174a47-34fb-447d-8a11-46f21d12c804/welsh-language-development.pdf</w:t>
        </w:r>
      </w:hyperlink>
      <w:r>
        <w:t xml:space="preserve"> (Accessed: 21 March 2022).</w:t>
      </w:r>
    </w:p>
    <w:p w14:paraId="755A67D2" w14:textId="77777777" w:rsidR="00EA5831" w:rsidRDefault="00EA5831" w:rsidP="00EA5831">
      <w:pPr>
        <w:pStyle w:val="NormalWeb"/>
        <w:rPr>
          <w:rFonts w:asciiTheme="minorHAnsi" w:hAnsiTheme="minorHAnsi" w:cs="Arial"/>
          <w:color w:val="000000" w:themeColor="text1"/>
        </w:rPr>
      </w:pPr>
      <w:r w:rsidRPr="00AC5FDF">
        <w:rPr>
          <w:rFonts w:asciiTheme="minorHAnsi" w:hAnsiTheme="minorHAnsi"/>
          <w:color w:val="000000" w:themeColor="text1"/>
        </w:rPr>
        <w:lastRenderedPageBreak/>
        <w:t xml:space="preserve">Welsh Government (2014) </w:t>
      </w:r>
      <w:r w:rsidRPr="00AC5FDF">
        <w:rPr>
          <w:rFonts w:asciiTheme="minorHAnsi" w:hAnsiTheme="minorHAnsi" w:cs="Arial"/>
          <w:i/>
          <w:iCs/>
          <w:color w:val="000000" w:themeColor="text1"/>
        </w:rPr>
        <w:t>Welsh as an Additional Language: Research into the level of need and current support provided to black and minority ethnic pupils with Welsh language support needs</w:t>
      </w:r>
      <w:r>
        <w:rPr>
          <w:rFonts w:asciiTheme="minorHAnsi" w:hAnsiTheme="minorHAnsi" w:cs="Arial"/>
          <w:color w:val="000000" w:themeColor="text1"/>
        </w:rPr>
        <w:t xml:space="preserve">. Available at: </w:t>
      </w:r>
      <w:hyperlink r:id="rId11" w:history="1">
        <w:r w:rsidRPr="0034780A">
          <w:rPr>
            <w:rStyle w:val="Hyperlink"/>
            <w:rFonts w:asciiTheme="minorHAnsi" w:hAnsiTheme="minorHAnsi" w:cs="Arial"/>
          </w:rPr>
          <w:t>https://www.iaith.cymru/uploads/general-uploads/140430-welsh-additional-language-en1_(1).pdf</w:t>
        </w:r>
      </w:hyperlink>
      <w:r>
        <w:rPr>
          <w:rFonts w:asciiTheme="minorHAnsi" w:hAnsiTheme="minorHAnsi" w:cs="Arial"/>
          <w:color w:val="000000" w:themeColor="text1"/>
        </w:rPr>
        <w:t xml:space="preserve"> (Accessed: 18 </w:t>
      </w:r>
      <w:proofErr w:type="gramStart"/>
      <w:r>
        <w:rPr>
          <w:rFonts w:asciiTheme="minorHAnsi" w:hAnsiTheme="minorHAnsi" w:cs="Arial"/>
          <w:color w:val="000000" w:themeColor="text1"/>
        </w:rPr>
        <w:t>march</w:t>
      </w:r>
      <w:proofErr w:type="gramEnd"/>
      <w:r>
        <w:rPr>
          <w:rFonts w:asciiTheme="minorHAnsi" w:hAnsiTheme="minorHAnsi" w:cs="Arial"/>
          <w:color w:val="000000" w:themeColor="text1"/>
        </w:rPr>
        <w:t xml:space="preserve"> 2022). </w:t>
      </w:r>
    </w:p>
    <w:p w14:paraId="284DCFC9" w14:textId="77777777" w:rsidR="00EA5831" w:rsidRPr="00A85CD3" w:rsidRDefault="00EA5831" w:rsidP="00EA5831">
      <w:pPr>
        <w:pStyle w:val="Heading1"/>
        <w:spacing w:before="0" w:beforeAutospacing="0" w:after="158" w:afterAutospacing="0"/>
        <w:rPr>
          <w:rFonts w:asciiTheme="minorHAnsi" w:hAnsiTheme="minorHAnsi"/>
          <w:b w:val="0"/>
          <w:bCs w:val="0"/>
          <w:i/>
          <w:iCs/>
          <w:color w:val="000000" w:themeColor="text1"/>
          <w:sz w:val="24"/>
          <w:szCs w:val="24"/>
        </w:rPr>
      </w:pPr>
      <w:proofErr w:type="spellStart"/>
      <w:r w:rsidRPr="00A85CD3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>Yulduz</w:t>
      </w:r>
      <w:proofErr w:type="spellEnd"/>
      <w:r w:rsidRPr="00A85CD3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, S, </w:t>
      </w:r>
      <w:proofErr w:type="spellStart"/>
      <w:r w:rsidRPr="00A85CD3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>Sardor</w:t>
      </w:r>
      <w:proofErr w:type="spellEnd"/>
      <w:r w:rsidRPr="00A85CD3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, S and </w:t>
      </w:r>
      <w:proofErr w:type="spellStart"/>
      <w:r w:rsidRPr="00A85CD3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>Mafuna</w:t>
      </w:r>
      <w:proofErr w:type="spellEnd"/>
      <w:r w:rsidRPr="00A85CD3">
        <w:rPr>
          <w:rFonts w:asciiTheme="minorHAnsi" w:hAnsiTheme="minorHAnsi"/>
          <w:b w:val="0"/>
          <w:bCs w:val="0"/>
          <w:color w:val="000000" w:themeColor="text1"/>
          <w:sz w:val="24"/>
          <w:szCs w:val="24"/>
        </w:rPr>
        <w:t xml:space="preserve">, A. (2021) ‘The Psychological and Cognitive Benefits of Multilingualism’ </w:t>
      </w:r>
      <w:r w:rsidRPr="00A85CD3">
        <w:rPr>
          <w:rFonts w:asciiTheme="minorHAnsi" w:hAnsiTheme="minorHAnsi"/>
          <w:b w:val="0"/>
          <w:bCs w:val="0"/>
          <w:i/>
          <w:iCs/>
          <w:color w:val="000000" w:themeColor="text1"/>
          <w:sz w:val="24"/>
          <w:szCs w:val="24"/>
        </w:rPr>
        <w:t>Annals of the Romanian Society for Cell Biology</w:t>
      </w:r>
      <w:r>
        <w:rPr>
          <w:rFonts w:asciiTheme="minorHAnsi" w:hAnsiTheme="minorHAnsi"/>
          <w:b w:val="0"/>
          <w:bCs w:val="0"/>
          <w:i/>
          <w:iCs/>
          <w:color w:val="000000" w:themeColor="text1"/>
          <w:sz w:val="24"/>
          <w:szCs w:val="24"/>
        </w:rPr>
        <w:t xml:space="preserve">, 25(2), pp. 591-596. </w:t>
      </w:r>
    </w:p>
    <w:p w14:paraId="4C292C75" w14:textId="77777777" w:rsidR="00EA5831" w:rsidRPr="00A732AF" w:rsidRDefault="00EA5831" w:rsidP="00EA5831">
      <w:pPr>
        <w:rPr>
          <w:rFonts w:ascii="Times New Roman" w:eastAsia="Times New Roman" w:hAnsi="Times New Roman" w:cs="Times New Roman"/>
          <w:lang w:eastAsia="en-GB"/>
        </w:rPr>
      </w:pPr>
    </w:p>
    <w:p w14:paraId="629B678F" w14:textId="77777777" w:rsidR="00EA5831" w:rsidRPr="00A732AF" w:rsidRDefault="00EA5831" w:rsidP="00EA5831">
      <w:pPr>
        <w:rPr>
          <w:rFonts w:eastAsia="Times New Roman" w:cs="Times New Roman"/>
          <w:color w:val="000000" w:themeColor="text1"/>
          <w:bdr w:val="none" w:sz="0" w:space="0" w:color="auto" w:frame="1"/>
          <w:lang w:eastAsia="en-GB"/>
        </w:rPr>
      </w:pPr>
    </w:p>
    <w:p w14:paraId="0E0DCA29" w14:textId="77777777" w:rsidR="00EA5831" w:rsidRDefault="00EA5831"/>
    <w:sectPr w:rsidR="00EA583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831"/>
    <w:rsid w:val="00EA58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2D34E1"/>
  <w15:chartTrackingRefBased/>
  <w15:docId w15:val="{B7DA901B-0518-3F4D-9A33-B83B2D10AD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831"/>
  </w:style>
  <w:style w:type="paragraph" w:styleId="Heading1">
    <w:name w:val="heading 1"/>
    <w:basedOn w:val="Normal"/>
    <w:link w:val="Heading1Char"/>
    <w:uiPriority w:val="9"/>
    <w:qFormat/>
    <w:rsid w:val="00EA583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583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EA583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EA583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tsaye.northants.sch.uk/assets/Uploads/English-Language-Summer-Work-2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x.doi.org/10.1111%2Fflan.12271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02/j.2162-6057.2009.tb01306.x" TargetMode="External"/><Relationship Id="rId11" Type="http://schemas.openxmlformats.org/officeDocument/2006/relationships/hyperlink" Target="https://www.iaith.cymru/uploads/general-uploads/140430-welsh-additional-language-en1_(1).pdf" TargetMode="External"/><Relationship Id="rId5" Type="http://schemas.openxmlformats.org/officeDocument/2006/relationships/hyperlink" Target="https://www.carmarthenshire.gov.wales/home/council-services/education-schools/additional-learning-needs/englishwelsh-as-an-additional-language/#.YjTb-y2l1QI" TargetMode="External"/><Relationship Id="rId10" Type="http://schemas.openxmlformats.org/officeDocument/2006/relationships/hyperlink" Target="https://hwb.gov.wales/api/storage/b4174a47-34fb-447d-8a11-46f21d12c804/welsh-language-development.pdf" TargetMode="External"/><Relationship Id="rId4" Type="http://schemas.openxmlformats.org/officeDocument/2006/relationships/hyperlink" Target="https://juergenkurtz.wordpress.com/2010/12/22/the-sandwich-technique/" TargetMode="External"/><Relationship Id="rId9" Type="http://schemas.openxmlformats.org/officeDocument/2006/relationships/hyperlink" Target="https://multilingualmontessori.org/what-is-the-sandwich-techniqu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546</Words>
  <Characters>3214</Characters>
  <Application>Microsoft Office Word</Application>
  <DocSecurity>0</DocSecurity>
  <Lines>55</Lines>
  <Paragraphs>12</Paragraphs>
  <ScaleCrop>false</ScaleCrop>
  <Company/>
  <LinksUpToDate>false</LinksUpToDate>
  <CharactersWithSpaces>3748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2022-03-26T17:31:00Z</dcterms:created>
  <dcterms:modified xsi:type="dcterms:W3CDTF">2022-03-26T17:32:00Z</dcterms:modified>
</cp:coreProperties>
</file>