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06000" w14:textId="77777777" w:rsidR="00A97E2A" w:rsidRPr="00900F84" w:rsidRDefault="00A97E2A" w:rsidP="00A97E2A">
      <w:pPr>
        <w:pStyle w:val="Header"/>
        <w:tabs>
          <w:tab w:val="clear" w:pos="4153"/>
          <w:tab w:val="clear" w:pos="8306"/>
        </w:tabs>
        <w:jc w:val="right"/>
        <w:rPr>
          <w:rFonts w:asciiTheme="minorBidi" w:hAnsiTheme="minorBidi" w:cstheme="minorBidi"/>
          <w:b/>
          <w:sz w:val="22"/>
          <w:szCs w:val="22"/>
        </w:rPr>
      </w:pPr>
      <w:r w:rsidRPr="00900F84">
        <w:rPr>
          <w:rFonts w:asciiTheme="minorBidi" w:hAnsiTheme="minorBidi" w:cstheme="minorBidi"/>
          <w:noProof/>
          <w:sz w:val="22"/>
          <w:szCs w:val="22"/>
        </w:rPr>
        <w:drawing>
          <wp:anchor distT="0" distB="0" distL="114300" distR="114300" simplePos="0" relativeHeight="251660288" behindDoc="0" locked="0" layoutInCell="1" allowOverlap="1" wp14:anchorId="46A95143" wp14:editId="689F50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00F84">
        <w:rPr>
          <w:rFonts w:asciiTheme="minorBidi" w:hAnsiTheme="minorBidi" w:cstheme="minorBidi"/>
          <w:sz w:val="22"/>
          <w:szCs w:val="22"/>
        </w:rPr>
        <w:t xml:space="preserve"> … </w:t>
      </w:r>
      <w:r w:rsidRPr="00900F84">
        <w:rPr>
          <w:rFonts w:asciiTheme="minorBidi" w:hAnsiTheme="minorBidi" w:cstheme="minorBidi"/>
          <w:sz w:val="22"/>
          <w:szCs w:val="22"/>
        </w:rPr>
        <w:br w:type="textWrapping" w:clear="all"/>
      </w:r>
      <w:r w:rsidRPr="00900F84">
        <w:rPr>
          <w:rFonts w:asciiTheme="minorBidi" w:hAnsiTheme="minorBidi" w:cstheme="minorBidi"/>
          <w:b/>
          <w:sz w:val="22"/>
          <w:szCs w:val="22"/>
        </w:rPr>
        <w:t>APPENDIX GA36a</w:t>
      </w:r>
    </w:p>
    <w:p w14:paraId="455FD2DD" w14:textId="77777777" w:rsidR="00A97E2A" w:rsidRPr="00900F84" w:rsidRDefault="00A97E2A" w:rsidP="00A97E2A">
      <w:pPr>
        <w:rPr>
          <w:rFonts w:asciiTheme="minorBidi" w:hAnsiTheme="minorBidi"/>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A97E2A" w:rsidRPr="00900F84" w14:paraId="347B3909" w14:textId="77777777" w:rsidTr="006E176C">
        <w:tc>
          <w:tcPr>
            <w:tcW w:w="9951" w:type="dxa"/>
            <w:shd w:val="clear" w:color="auto" w:fill="C0C0C0"/>
          </w:tcPr>
          <w:p w14:paraId="082953A9" w14:textId="77777777" w:rsidR="00A97E2A" w:rsidRPr="00900F84" w:rsidRDefault="00A97E2A" w:rsidP="006E176C">
            <w:pPr>
              <w:pStyle w:val="Heading4"/>
              <w:rPr>
                <w:rFonts w:asciiTheme="minorBidi" w:hAnsiTheme="minorBidi" w:cstheme="minorBidi"/>
                <w:b/>
                <w:sz w:val="22"/>
                <w:szCs w:val="22"/>
              </w:rPr>
            </w:pPr>
            <w:r w:rsidRPr="00900F84">
              <w:rPr>
                <w:rFonts w:asciiTheme="minorBidi" w:hAnsiTheme="minorBidi" w:cstheme="minorBidi"/>
                <w:b/>
                <w:sz w:val="22"/>
                <w:szCs w:val="22"/>
              </w:rPr>
              <w:t xml:space="preserve">LEVEL 4 ASSESSMENT SPECIFICATION </w:t>
            </w:r>
          </w:p>
        </w:tc>
      </w:tr>
    </w:tbl>
    <w:p w14:paraId="7647E269" w14:textId="77777777" w:rsidR="00A97E2A" w:rsidRPr="00900F84" w:rsidRDefault="00A97E2A" w:rsidP="00A97E2A">
      <w:pPr>
        <w:jc w:val="center"/>
        <w:rPr>
          <w:rFonts w:asciiTheme="minorBidi" w:hAnsiTheme="minorBidi"/>
          <w:b/>
          <w:i/>
          <w:sz w:val="22"/>
          <w:szCs w:val="2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410"/>
        <w:gridCol w:w="2126"/>
      </w:tblGrid>
      <w:tr w:rsidR="00A97E2A" w:rsidRPr="00900F84" w14:paraId="13A72A85" w14:textId="77777777" w:rsidTr="00A97E2A">
        <w:tc>
          <w:tcPr>
            <w:tcW w:w="2093" w:type="dxa"/>
          </w:tcPr>
          <w:p w14:paraId="3EC5D5AC"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Student name:</w:t>
            </w:r>
          </w:p>
        </w:tc>
        <w:tc>
          <w:tcPr>
            <w:tcW w:w="3322" w:type="dxa"/>
          </w:tcPr>
          <w:p w14:paraId="46A30751" w14:textId="3E6A951B" w:rsidR="00A97E2A" w:rsidRPr="00900F84" w:rsidRDefault="00A97E2A" w:rsidP="006E176C">
            <w:pPr>
              <w:spacing w:before="120" w:after="120"/>
              <w:jc w:val="both"/>
              <w:rPr>
                <w:rFonts w:asciiTheme="minorBidi" w:hAnsiTheme="minorBidi"/>
                <w:b/>
                <w:sz w:val="22"/>
                <w:szCs w:val="22"/>
              </w:rPr>
            </w:pPr>
            <w:r>
              <w:rPr>
                <w:rFonts w:asciiTheme="minorBidi" w:hAnsiTheme="minorBidi"/>
                <w:b/>
                <w:sz w:val="22"/>
                <w:szCs w:val="22"/>
              </w:rPr>
              <w:t>Alisha Ali</w:t>
            </w:r>
          </w:p>
        </w:tc>
        <w:tc>
          <w:tcPr>
            <w:tcW w:w="2410" w:type="dxa"/>
            <w:shd w:val="clear" w:color="auto" w:fill="D9D9D9" w:themeFill="background1" w:themeFillShade="D9"/>
          </w:tcPr>
          <w:p w14:paraId="775C947A"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Student ID number:</w:t>
            </w:r>
          </w:p>
        </w:tc>
        <w:tc>
          <w:tcPr>
            <w:tcW w:w="2126" w:type="dxa"/>
          </w:tcPr>
          <w:p w14:paraId="35B8F54C" w14:textId="027D4B9A" w:rsidR="00A97E2A" w:rsidRPr="00900F84" w:rsidRDefault="00A97E2A" w:rsidP="006E176C">
            <w:pPr>
              <w:spacing w:before="120" w:after="120"/>
              <w:jc w:val="both"/>
              <w:rPr>
                <w:rFonts w:asciiTheme="minorBidi" w:hAnsiTheme="minorBidi"/>
                <w:b/>
                <w:sz w:val="22"/>
                <w:szCs w:val="22"/>
              </w:rPr>
            </w:pPr>
            <w:r>
              <w:rPr>
                <w:rFonts w:asciiTheme="minorBidi" w:hAnsiTheme="minorBidi"/>
                <w:b/>
                <w:sz w:val="22"/>
                <w:szCs w:val="22"/>
              </w:rPr>
              <w:t>2437713</w:t>
            </w:r>
          </w:p>
        </w:tc>
      </w:tr>
      <w:tr w:rsidR="00A97E2A" w:rsidRPr="00900F84" w14:paraId="50B8F5E9" w14:textId="77777777" w:rsidTr="00A97E2A">
        <w:tc>
          <w:tcPr>
            <w:tcW w:w="2093" w:type="dxa"/>
          </w:tcPr>
          <w:p w14:paraId="0F16F5DA"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Programme:</w:t>
            </w:r>
          </w:p>
        </w:tc>
        <w:tc>
          <w:tcPr>
            <w:tcW w:w="7858" w:type="dxa"/>
            <w:gridSpan w:val="3"/>
          </w:tcPr>
          <w:p w14:paraId="7EE2753F" w14:textId="77777777" w:rsidR="00A97E2A" w:rsidRPr="00900F84" w:rsidRDefault="00A97E2A" w:rsidP="006E176C">
            <w:pPr>
              <w:rPr>
                <w:rFonts w:asciiTheme="minorBidi" w:hAnsiTheme="minorBidi"/>
                <w:b/>
                <w:bCs/>
                <w:sz w:val="22"/>
                <w:szCs w:val="22"/>
              </w:rPr>
            </w:pPr>
            <w:r w:rsidRPr="00900F84">
              <w:rPr>
                <w:rFonts w:asciiTheme="minorBidi" w:hAnsiTheme="minorBidi"/>
                <w:b/>
                <w:bCs/>
                <w:sz w:val="22"/>
                <w:szCs w:val="22"/>
              </w:rPr>
              <w:t>Certificate</w:t>
            </w:r>
            <w:r w:rsidRPr="00900F84">
              <w:rPr>
                <w:rFonts w:asciiTheme="minorBidi" w:hAnsiTheme="minorBidi"/>
                <w:b/>
                <w:bCs/>
                <w:spacing w:val="-5"/>
                <w:sz w:val="22"/>
                <w:szCs w:val="22"/>
              </w:rPr>
              <w:t xml:space="preserve"> </w:t>
            </w:r>
            <w:r w:rsidRPr="00900F84">
              <w:rPr>
                <w:rFonts w:asciiTheme="minorBidi" w:hAnsiTheme="minorBidi"/>
                <w:b/>
                <w:bCs/>
                <w:sz w:val="22"/>
                <w:szCs w:val="22"/>
              </w:rPr>
              <w:t>of</w:t>
            </w:r>
            <w:r w:rsidRPr="00900F84">
              <w:rPr>
                <w:rFonts w:asciiTheme="minorBidi" w:hAnsiTheme="minorBidi"/>
                <w:b/>
                <w:bCs/>
                <w:spacing w:val="-5"/>
                <w:sz w:val="22"/>
                <w:szCs w:val="22"/>
              </w:rPr>
              <w:t xml:space="preserve"> </w:t>
            </w:r>
            <w:r w:rsidRPr="00900F84">
              <w:rPr>
                <w:rFonts w:asciiTheme="minorBidi" w:hAnsiTheme="minorBidi"/>
                <w:b/>
                <w:bCs/>
                <w:sz w:val="22"/>
                <w:szCs w:val="22"/>
              </w:rPr>
              <w:t>Higher</w:t>
            </w:r>
            <w:r w:rsidRPr="00900F84">
              <w:rPr>
                <w:rFonts w:asciiTheme="minorBidi" w:hAnsiTheme="minorBidi"/>
                <w:b/>
                <w:bCs/>
                <w:spacing w:val="-4"/>
                <w:sz w:val="22"/>
                <w:szCs w:val="22"/>
              </w:rPr>
              <w:t xml:space="preserve"> </w:t>
            </w:r>
            <w:r w:rsidRPr="00900F84">
              <w:rPr>
                <w:rFonts w:asciiTheme="minorBidi" w:hAnsiTheme="minorBidi"/>
                <w:b/>
                <w:bCs/>
                <w:sz w:val="22"/>
                <w:szCs w:val="22"/>
              </w:rPr>
              <w:t>Education</w:t>
            </w:r>
            <w:r w:rsidRPr="00900F84">
              <w:rPr>
                <w:rFonts w:asciiTheme="minorBidi" w:hAnsiTheme="minorBidi"/>
                <w:b/>
                <w:bCs/>
                <w:spacing w:val="-3"/>
                <w:sz w:val="22"/>
                <w:szCs w:val="22"/>
              </w:rPr>
              <w:t xml:space="preserve"> </w:t>
            </w:r>
            <w:r w:rsidRPr="00900F84">
              <w:rPr>
                <w:rFonts w:asciiTheme="minorBidi" w:hAnsiTheme="minorBidi"/>
                <w:b/>
                <w:bCs/>
                <w:sz w:val="22"/>
                <w:szCs w:val="22"/>
              </w:rPr>
              <w:t>Skills</w:t>
            </w:r>
            <w:r w:rsidRPr="00900F84">
              <w:rPr>
                <w:rFonts w:asciiTheme="minorBidi" w:hAnsiTheme="minorBidi"/>
                <w:b/>
                <w:bCs/>
                <w:spacing w:val="-5"/>
                <w:sz w:val="22"/>
                <w:szCs w:val="22"/>
              </w:rPr>
              <w:t xml:space="preserve"> </w:t>
            </w:r>
            <w:r w:rsidRPr="00900F84">
              <w:rPr>
                <w:rFonts w:asciiTheme="minorBidi" w:hAnsiTheme="minorBidi"/>
                <w:b/>
                <w:bCs/>
                <w:sz w:val="22"/>
                <w:szCs w:val="22"/>
              </w:rPr>
              <w:t>for</w:t>
            </w:r>
            <w:r w:rsidRPr="00900F84">
              <w:rPr>
                <w:rFonts w:asciiTheme="minorBidi" w:hAnsiTheme="minorBidi"/>
                <w:b/>
                <w:bCs/>
                <w:spacing w:val="-4"/>
                <w:sz w:val="22"/>
                <w:szCs w:val="22"/>
              </w:rPr>
              <w:t xml:space="preserve"> </w:t>
            </w:r>
            <w:r w:rsidRPr="00900F84">
              <w:rPr>
                <w:rFonts w:asciiTheme="minorBidi" w:hAnsiTheme="minorBidi"/>
                <w:b/>
                <w:bCs/>
                <w:sz w:val="22"/>
                <w:szCs w:val="22"/>
              </w:rPr>
              <w:t>the</w:t>
            </w:r>
            <w:r w:rsidRPr="00900F84">
              <w:rPr>
                <w:rFonts w:asciiTheme="minorBidi" w:hAnsiTheme="minorBidi"/>
                <w:b/>
                <w:bCs/>
                <w:spacing w:val="-8"/>
                <w:sz w:val="22"/>
                <w:szCs w:val="22"/>
              </w:rPr>
              <w:t xml:space="preserve"> </w:t>
            </w:r>
            <w:r w:rsidRPr="00900F84">
              <w:rPr>
                <w:rFonts w:asciiTheme="minorBidi" w:hAnsiTheme="minorBidi"/>
                <w:b/>
                <w:bCs/>
                <w:spacing w:val="-2"/>
                <w:sz w:val="22"/>
                <w:szCs w:val="22"/>
              </w:rPr>
              <w:t>Workplace (Health &amp; Social Care)</w:t>
            </w:r>
          </w:p>
        </w:tc>
      </w:tr>
      <w:tr w:rsidR="00A97E2A" w:rsidRPr="00900F84" w14:paraId="08A1BC2D" w14:textId="77777777" w:rsidTr="00A97E2A">
        <w:tc>
          <w:tcPr>
            <w:tcW w:w="2093" w:type="dxa"/>
          </w:tcPr>
          <w:p w14:paraId="62BEC794"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Module:</w:t>
            </w:r>
          </w:p>
        </w:tc>
        <w:tc>
          <w:tcPr>
            <w:tcW w:w="7858" w:type="dxa"/>
            <w:gridSpan w:val="3"/>
          </w:tcPr>
          <w:p w14:paraId="4BFB7419" w14:textId="77777777" w:rsidR="00A97E2A" w:rsidRPr="00900F84" w:rsidRDefault="00A97E2A" w:rsidP="006E176C">
            <w:pPr>
              <w:spacing w:before="120" w:after="120"/>
              <w:jc w:val="both"/>
              <w:rPr>
                <w:rFonts w:asciiTheme="minorBidi" w:hAnsiTheme="minorBidi"/>
                <w:b/>
                <w:bCs/>
                <w:sz w:val="22"/>
                <w:szCs w:val="22"/>
              </w:rPr>
            </w:pPr>
            <w:r w:rsidRPr="00900F84">
              <w:rPr>
                <w:rFonts w:asciiTheme="minorBidi" w:hAnsiTheme="minorBidi"/>
                <w:b/>
                <w:bCs/>
                <w:sz w:val="22"/>
                <w:szCs w:val="22"/>
              </w:rPr>
              <w:t>Introduction to Health and Social Care</w:t>
            </w:r>
          </w:p>
        </w:tc>
      </w:tr>
      <w:tr w:rsidR="00A97E2A" w:rsidRPr="00900F84" w14:paraId="223E8E6E" w14:textId="77777777" w:rsidTr="00A97E2A">
        <w:tc>
          <w:tcPr>
            <w:tcW w:w="2093" w:type="dxa"/>
          </w:tcPr>
          <w:p w14:paraId="3FBCBCB3"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Module code:</w:t>
            </w:r>
          </w:p>
        </w:tc>
        <w:tc>
          <w:tcPr>
            <w:tcW w:w="3322" w:type="dxa"/>
          </w:tcPr>
          <w:p w14:paraId="469FFB44" w14:textId="77777777" w:rsidR="00A97E2A" w:rsidRPr="00900F84" w:rsidRDefault="00A97E2A" w:rsidP="006E176C">
            <w:pPr>
              <w:spacing w:before="120" w:after="120"/>
              <w:rPr>
                <w:rFonts w:asciiTheme="minorBidi" w:hAnsiTheme="minorBidi"/>
                <w:b/>
                <w:bCs/>
                <w:sz w:val="22"/>
                <w:szCs w:val="22"/>
              </w:rPr>
            </w:pPr>
            <w:r w:rsidRPr="00900F84">
              <w:rPr>
                <w:rFonts w:asciiTheme="minorBidi" w:hAnsiTheme="minorBidi"/>
                <w:b/>
                <w:bCs/>
                <w:sz w:val="22"/>
                <w:szCs w:val="22"/>
              </w:rPr>
              <w:t>LCHS4003</w:t>
            </w:r>
          </w:p>
        </w:tc>
        <w:tc>
          <w:tcPr>
            <w:tcW w:w="2410" w:type="dxa"/>
            <w:shd w:val="clear" w:color="auto" w:fill="D9D9D9" w:themeFill="background1" w:themeFillShade="D9"/>
          </w:tcPr>
          <w:p w14:paraId="02772A30" w14:textId="77777777" w:rsidR="00A97E2A" w:rsidRPr="00900F84" w:rsidRDefault="00A97E2A" w:rsidP="006E176C">
            <w:pPr>
              <w:pStyle w:val="Heading2"/>
              <w:rPr>
                <w:rFonts w:asciiTheme="minorBidi" w:hAnsiTheme="minorBidi" w:cstheme="minorBidi"/>
                <w:sz w:val="22"/>
                <w:szCs w:val="22"/>
              </w:rPr>
            </w:pPr>
            <w:r w:rsidRPr="00900F84">
              <w:rPr>
                <w:rFonts w:asciiTheme="minorBidi" w:hAnsiTheme="minorBidi" w:cstheme="minorBidi"/>
                <w:sz w:val="22"/>
                <w:szCs w:val="22"/>
              </w:rPr>
              <w:t>Contribution to Overall Module Assessment (%):</w:t>
            </w:r>
          </w:p>
        </w:tc>
        <w:tc>
          <w:tcPr>
            <w:tcW w:w="2126" w:type="dxa"/>
          </w:tcPr>
          <w:p w14:paraId="309A15AE" w14:textId="77777777" w:rsidR="00A97E2A" w:rsidRPr="00900F84" w:rsidRDefault="00A97E2A" w:rsidP="006E176C">
            <w:pPr>
              <w:spacing w:before="120" w:after="120"/>
              <w:jc w:val="both"/>
              <w:rPr>
                <w:rFonts w:asciiTheme="minorBidi" w:hAnsiTheme="minorBidi"/>
                <w:b/>
                <w:bCs/>
                <w:sz w:val="22"/>
                <w:szCs w:val="22"/>
              </w:rPr>
            </w:pPr>
            <w:r w:rsidRPr="00900F84">
              <w:rPr>
                <w:rFonts w:asciiTheme="minorBidi" w:hAnsiTheme="minorBidi"/>
                <w:b/>
                <w:bCs/>
                <w:sz w:val="22"/>
                <w:szCs w:val="22"/>
              </w:rPr>
              <w:t>50%</w:t>
            </w:r>
          </w:p>
        </w:tc>
      </w:tr>
      <w:tr w:rsidR="00A97E2A" w:rsidRPr="00900F84" w14:paraId="384E97DB" w14:textId="77777777" w:rsidTr="00A97E2A">
        <w:tc>
          <w:tcPr>
            <w:tcW w:w="2093" w:type="dxa"/>
          </w:tcPr>
          <w:p w14:paraId="54EAD0C0"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Lecturer:</w:t>
            </w:r>
          </w:p>
        </w:tc>
        <w:tc>
          <w:tcPr>
            <w:tcW w:w="3322" w:type="dxa"/>
          </w:tcPr>
          <w:p w14:paraId="4F5737D5" w14:textId="77777777" w:rsidR="00A97E2A" w:rsidRPr="00900F84" w:rsidRDefault="00A97E2A" w:rsidP="006E176C">
            <w:pPr>
              <w:spacing w:before="120" w:after="120"/>
              <w:rPr>
                <w:rFonts w:asciiTheme="minorBidi" w:hAnsiTheme="minorBidi"/>
                <w:b/>
                <w:bCs/>
                <w:sz w:val="22"/>
                <w:szCs w:val="22"/>
              </w:rPr>
            </w:pPr>
            <w:r>
              <w:rPr>
                <w:rFonts w:asciiTheme="minorBidi" w:hAnsiTheme="minorBidi"/>
                <w:b/>
                <w:bCs/>
                <w:sz w:val="22"/>
                <w:szCs w:val="22"/>
              </w:rPr>
              <w:t xml:space="preserve">Dr </w:t>
            </w:r>
            <w:proofErr w:type="spellStart"/>
            <w:r>
              <w:rPr>
                <w:rFonts w:asciiTheme="minorBidi" w:hAnsiTheme="minorBidi"/>
                <w:b/>
                <w:bCs/>
                <w:sz w:val="22"/>
                <w:szCs w:val="22"/>
              </w:rPr>
              <w:t>Raheela</w:t>
            </w:r>
            <w:proofErr w:type="spellEnd"/>
            <w:r>
              <w:rPr>
                <w:rFonts w:asciiTheme="minorBidi" w:hAnsiTheme="minorBidi"/>
                <w:b/>
                <w:bCs/>
                <w:sz w:val="22"/>
                <w:szCs w:val="22"/>
              </w:rPr>
              <w:t xml:space="preserve"> Sheikh</w:t>
            </w:r>
          </w:p>
        </w:tc>
        <w:tc>
          <w:tcPr>
            <w:tcW w:w="2410" w:type="dxa"/>
            <w:shd w:val="clear" w:color="auto" w:fill="D9D9D9" w:themeFill="background1" w:themeFillShade="D9"/>
          </w:tcPr>
          <w:p w14:paraId="6005B74D" w14:textId="77777777" w:rsidR="00A97E2A" w:rsidRPr="00900F84" w:rsidRDefault="00A97E2A" w:rsidP="006E176C">
            <w:pPr>
              <w:spacing w:before="120" w:after="120"/>
              <w:jc w:val="both"/>
              <w:rPr>
                <w:rFonts w:asciiTheme="minorBidi" w:hAnsiTheme="minorBidi"/>
                <w:b/>
                <w:bCs/>
                <w:sz w:val="22"/>
                <w:szCs w:val="22"/>
              </w:rPr>
            </w:pPr>
            <w:r w:rsidRPr="2C065D25">
              <w:rPr>
                <w:rFonts w:asciiTheme="minorBidi" w:hAnsiTheme="minorBidi"/>
                <w:b/>
                <w:bCs/>
                <w:sz w:val="22"/>
                <w:szCs w:val="22"/>
              </w:rPr>
              <w:t>Internal Verifier:</w:t>
            </w:r>
          </w:p>
        </w:tc>
        <w:tc>
          <w:tcPr>
            <w:tcW w:w="2126" w:type="dxa"/>
          </w:tcPr>
          <w:p w14:paraId="5655E568" w14:textId="77777777" w:rsidR="00A97E2A" w:rsidRPr="00CC38C3" w:rsidRDefault="00A97E2A" w:rsidP="006E176C">
            <w:pPr>
              <w:spacing w:before="120" w:after="120" w:line="259" w:lineRule="auto"/>
              <w:rPr>
                <w:rFonts w:cs="Arial"/>
                <w:b/>
                <w:bCs/>
                <w:sz w:val="22"/>
                <w:szCs w:val="22"/>
              </w:rPr>
            </w:pPr>
            <w:r>
              <w:rPr>
                <w:rFonts w:cs="Arial"/>
                <w:b/>
                <w:bCs/>
                <w:sz w:val="22"/>
                <w:szCs w:val="22"/>
              </w:rPr>
              <w:t xml:space="preserve">Dr </w:t>
            </w:r>
            <w:proofErr w:type="spellStart"/>
            <w:r>
              <w:rPr>
                <w:rFonts w:cs="Arial"/>
                <w:b/>
                <w:bCs/>
                <w:sz w:val="22"/>
                <w:szCs w:val="22"/>
              </w:rPr>
              <w:t>Besty</w:t>
            </w:r>
            <w:proofErr w:type="spellEnd"/>
            <w:r>
              <w:rPr>
                <w:rFonts w:cs="Arial"/>
                <w:b/>
                <w:bCs/>
                <w:sz w:val="22"/>
                <w:szCs w:val="22"/>
              </w:rPr>
              <w:t xml:space="preserve"> Jose</w:t>
            </w:r>
          </w:p>
        </w:tc>
      </w:tr>
      <w:tr w:rsidR="00A97E2A" w:rsidRPr="00900F84" w14:paraId="3070D827" w14:textId="77777777" w:rsidTr="00A97E2A">
        <w:tc>
          <w:tcPr>
            <w:tcW w:w="2093" w:type="dxa"/>
          </w:tcPr>
          <w:p w14:paraId="3A247491"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Assignment Title:</w:t>
            </w:r>
          </w:p>
        </w:tc>
        <w:tc>
          <w:tcPr>
            <w:tcW w:w="3322" w:type="dxa"/>
          </w:tcPr>
          <w:p w14:paraId="2398A782" w14:textId="77777777" w:rsidR="00A97E2A" w:rsidRPr="00900F84" w:rsidRDefault="00A97E2A" w:rsidP="006E176C">
            <w:pPr>
              <w:spacing w:before="120" w:after="120"/>
              <w:jc w:val="both"/>
              <w:rPr>
                <w:rFonts w:asciiTheme="minorBidi" w:hAnsiTheme="minorBidi"/>
                <w:b/>
                <w:bCs/>
                <w:sz w:val="22"/>
                <w:szCs w:val="22"/>
              </w:rPr>
            </w:pPr>
            <w:r w:rsidRPr="00900F84">
              <w:rPr>
                <w:rFonts w:asciiTheme="minorBidi" w:hAnsiTheme="minorBidi"/>
                <w:b/>
                <w:bCs/>
                <w:sz w:val="22"/>
                <w:szCs w:val="22"/>
              </w:rPr>
              <w:t>Portfolio – Two Tasks</w:t>
            </w:r>
          </w:p>
        </w:tc>
        <w:tc>
          <w:tcPr>
            <w:tcW w:w="2410" w:type="dxa"/>
          </w:tcPr>
          <w:p w14:paraId="325EEEFC"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Word count (or equivalent):</w:t>
            </w:r>
          </w:p>
        </w:tc>
        <w:tc>
          <w:tcPr>
            <w:tcW w:w="2126" w:type="dxa"/>
          </w:tcPr>
          <w:p w14:paraId="7F02FB55" w14:textId="77777777" w:rsidR="00A97E2A" w:rsidRPr="00900F84" w:rsidRDefault="00A97E2A" w:rsidP="006E176C">
            <w:pPr>
              <w:spacing w:before="120" w:after="120"/>
              <w:rPr>
                <w:rFonts w:asciiTheme="minorBidi" w:hAnsiTheme="minorBidi"/>
                <w:b/>
                <w:bCs/>
                <w:sz w:val="22"/>
                <w:szCs w:val="22"/>
              </w:rPr>
            </w:pPr>
            <w:r w:rsidRPr="00900F84">
              <w:rPr>
                <w:rFonts w:asciiTheme="minorBidi" w:hAnsiTheme="minorBidi"/>
                <w:b/>
                <w:bCs/>
                <w:sz w:val="22"/>
                <w:szCs w:val="22"/>
              </w:rPr>
              <w:t>1,500 words Equivalent</w:t>
            </w:r>
          </w:p>
        </w:tc>
      </w:tr>
      <w:tr w:rsidR="00A97E2A" w:rsidRPr="00900F84" w14:paraId="3AEB42B4" w14:textId="77777777" w:rsidTr="00A97E2A">
        <w:tc>
          <w:tcPr>
            <w:tcW w:w="2093" w:type="dxa"/>
          </w:tcPr>
          <w:p w14:paraId="742115C6"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Submission deadline:</w:t>
            </w:r>
          </w:p>
        </w:tc>
        <w:tc>
          <w:tcPr>
            <w:tcW w:w="3322" w:type="dxa"/>
            <w:shd w:val="clear" w:color="auto" w:fill="FFFFFF" w:themeFill="background1"/>
          </w:tcPr>
          <w:p w14:paraId="344D4351" w14:textId="77777777" w:rsidR="00A97E2A" w:rsidRPr="00900F84" w:rsidRDefault="00A97E2A" w:rsidP="006E176C">
            <w:pPr>
              <w:jc w:val="both"/>
              <w:rPr>
                <w:rFonts w:asciiTheme="minorBidi" w:hAnsiTheme="minorBidi"/>
                <w:b/>
                <w:sz w:val="22"/>
                <w:szCs w:val="22"/>
              </w:rPr>
            </w:pPr>
            <w:proofErr w:type="gramStart"/>
            <w:r w:rsidRPr="003463E1">
              <w:rPr>
                <w:rFonts w:asciiTheme="minorBidi" w:hAnsiTheme="minorBidi"/>
                <w:b/>
                <w:color w:val="FF0000"/>
                <w:sz w:val="22"/>
                <w:szCs w:val="22"/>
              </w:rPr>
              <w:t>Monday  20</w:t>
            </w:r>
            <w:proofErr w:type="gramEnd"/>
            <w:r w:rsidRPr="003463E1">
              <w:rPr>
                <w:rFonts w:asciiTheme="minorBidi" w:hAnsiTheme="minorBidi"/>
                <w:b/>
                <w:color w:val="FF0000"/>
                <w:sz w:val="22"/>
                <w:szCs w:val="22"/>
              </w:rPr>
              <w:t xml:space="preserve">th October 2025, 10 am </w:t>
            </w:r>
          </w:p>
        </w:tc>
        <w:tc>
          <w:tcPr>
            <w:tcW w:w="2410" w:type="dxa"/>
          </w:tcPr>
          <w:p w14:paraId="131C53F8" w14:textId="77777777" w:rsidR="00A97E2A" w:rsidRPr="00900F84" w:rsidRDefault="00A97E2A" w:rsidP="006E176C">
            <w:pPr>
              <w:spacing w:before="120" w:after="120"/>
              <w:rPr>
                <w:rFonts w:asciiTheme="minorBidi" w:hAnsiTheme="minorBidi"/>
                <w:b/>
                <w:sz w:val="22"/>
                <w:szCs w:val="22"/>
              </w:rPr>
            </w:pPr>
            <w:r w:rsidRPr="00900F84">
              <w:rPr>
                <w:rFonts w:asciiTheme="minorBidi" w:hAnsiTheme="minorBidi"/>
                <w:b/>
                <w:sz w:val="22"/>
                <w:szCs w:val="22"/>
              </w:rPr>
              <w:t>Return date of provisional marks &amp; written feedback:</w:t>
            </w:r>
          </w:p>
        </w:tc>
        <w:tc>
          <w:tcPr>
            <w:tcW w:w="2126" w:type="dxa"/>
          </w:tcPr>
          <w:p w14:paraId="40CE06E4" w14:textId="77777777" w:rsidR="00A97E2A" w:rsidRPr="00CC38C3" w:rsidRDefault="00A97E2A" w:rsidP="006E176C">
            <w:pPr>
              <w:rPr>
                <w:rFonts w:asciiTheme="minorBidi" w:hAnsiTheme="minorBidi"/>
                <w:b/>
                <w:bCs/>
                <w:sz w:val="22"/>
                <w:szCs w:val="22"/>
              </w:rPr>
            </w:pPr>
            <w:r w:rsidRPr="00974500">
              <w:rPr>
                <w:rFonts w:asciiTheme="minorBidi" w:hAnsiTheme="minorBidi"/>
                <w:b/>
                <w:bCs/>
                <w:sz w:val="22"/>
                <w:szCs w:val="22"/>
              </w:rPr>
              <w:t>17th November 2025</w:t>
            </w:r>
          </w:p>
        </w:tc>
      </w:tr>
      <w:tr w:rsidR="00A97E2A" w:rsidRPr="00900F84" w14:paraId="0371DC35" w14:textId="77777777" w:rsidTr="00A97E2A">
        <w:tc>
          <w:tcPr>
            <w:tcW w:w="2093" w:type="dxa"/>
          </w:tcPr>
          <w:p w14:paraId="6E6AC01D"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Submission method:</w:t>
            </w:r>
          </w:p>
        </w:tc>
        <w:tc>
          <w:tcPr>
            <w:tcW w:w="7858" w:type="dxa"/>
            <w:gridSpan w:val="3"/>
          </w:tcPr>
          <w:p w14:paraId="105918BE" w14:textId="77777777" w:rsidR="00A97E2A" w:rsidRPr="00900F84" w:rsidRDefault="00A97E2A" w:rsidP="006E176C">
            <w:pPr>
              <w:rPr>
                <w:rFonts w:asciiTheme="minorBidi" w:hAnsiTheme="minorBidi"/>
                <w:sz w:val="22"/>
                <w:szCs w:val="22"/>
              </w:rPr>
            </w:pPr>
            <w:r w:rsidRPr="00900F84">
              <w:rPr>
                <w:rFonts w:asciiTheme="minorBidi" w:hAnsi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16DC68"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b/>
                <w:sz w:val="22"/>
                <w:szCs w:val="22"/>
              </w:rPr>
              <w:t xml:space="preserve">Alternative submission method (if applicable): </w:t>
            </w:r>
          </w:p>
          <w:p w14:paraId="19126224" w14:textId="77777777" w:rsidR="00A97E2A" w:rsidRPr="00900F84" w:rsidRDefault="00A97E2A" w:rsidP="006E176C">
            <w:pPr>
              <w:spacing w:before="120" w:after="120"/>
              <w:rPr>
                <w:rFonts w:asciiTheme="minorBidi" w:hAnsiTheme="minorBidi"/>
                <w:sz w:val="22"/>
                <w:szCs w:val="22"/>
              </w:rPr>
            </w:pPr>
            <w:r w:rsidRPr="00900F84">
              <w:rPr>
                <w:rFonts w:asciiTheme="minorBidi" w:hAnsiTheme="minorBidi"/>
                <w:b/>
                <w:sz w:val="22"/>
                <w:szCs w:val="22"/>
              </w:rPr>
              <w:t xml:space="preserve">Late submission of the assessment will result in a late penalty mark.  </w:t>
            </w:r>
            <w:r w:rsidRPr="00900F84">
              <w:rPr>
                <w:rFonts w:asciiTheme="minorBidi" w:hAnsiTheme="minorBidi"/>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14BC92E" w14:textId="77777777" w:rsidR="00A97E2A" w:rsidRPr="00900F84" w:rsidRDefault="00A97E2A" w:rsidP="006E176C">
            <w:pPr>
              <w:spacing w:before="120" w:after="120"/>
              <w:jc w:val="both"/>
              <w:rPr>
                <w:rFonts w:asciiTheme="minorBidi" w:hAnsiTheme="minorBidi"/>
                <w:b/>
                <w:sz w:val="22"/>
                <w:szCs w:val="22"/>
              </w:rPr>
            </w:pPr>
            <w:r w:rsidRPr="00900F84">
              <w:rPr>
                <w:rFonts w:asciiTheme="minorBidi" w:hAnsiTheme="minorBidi"/>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97E2A" w:rsidRPr="00900F84" w14:paraId="4E764810" w14:textId="77777777" w:rsidTr="00A97E2A">
        <w:tc>
          <w:tcPr>
            <w:tcW w:w="2093" w:type="dxa"/>
          </w:tcPr>
          <w:p w14:paraId="42197F59" w14:textId="77777777" w:rsidR="00A97E2A" w:rsidRPr="00900F84" w:rsidRDefault="00A97E2A" w:rsidP="006E176C">
            <w:pPr>
              <w:spacing w:before="120" w:after="120"/>
              <w:rPr>
                <w:rFonts w:asciiTheme="minorBidi" w:hAnsiTheme="minorBidi"/>
                <w:b/>
                <w:sz w:val="22"/>
                <w:szCs w:val="22"/>
              </w:rPr>
            </w:pPr>
            <w:r w:rsidRPr="00900F84">
              <w:rPr>
                <w:rFonts w:asciiTheme="minorBidi" w:hAnsiTheme="minorBidi"/>
                <w:b/>
                <w:sz w:val="22"/>
                <w:szCs w:val="22"/>
              </w:rPr>
              <w:t>Academic honesty / referencing:</w:t>
            </w:r>
          </w:p>
        </w:tc>
        <w:tc>
          <w:tcPr>
            <w:tcW w:w="7858" w:type="dxa"/>
            <w:gridSpan w:val="3"/>
          </w:tcPr>
          <w:p w14:paraId="6737459B" w14:textId="77777777" w:rsidR="00A97E2A" w:rsidRPr="00900F84" w:rsidRDefault="00A97E2A" w:rsidP="006E176C">
            <w:pPr>
              <w:spacing w:before="120" w:after="120"/>
              <w:jc w:val="both"/>
              <w:rPr>
                <w:rFonts w:asciiTheme="minorBidi" w:hAnsiTheme="minorBidi"/>
                <w:sz w:val="22"/>
                <w:szCs w:val="22"/>
              </w:rPr>
            </w:pPr>
            <w:r w:rsidRPr="00900F84">
              <w:rPr>
                <w:rFonts w:asciiTheme="minorBidi" w:hAnsiTheme="minorBid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900F84">
              <w:rPr>
                <w:rFonts w:asciiTheme="minorBidi" w:hAnsiTheme="minorBidi"/>
                <w:sz w:val="22"/>
                <w:szCs w:val="22"/>
              </w:rPr>
              <w:t>cited</w:t>
            </w:r>
            <w:proofErr w:type="gramEnd"/>
            <w:r w:rsidRPr="00900F84">
              <w:rPr>
                <w:rFonts w:asciiTheme="minorBidi" w:hAnsiTheme="minorBidi"/>
                <w:sz w:val="22"/>
                <w:szCs w:val="22"/>
              </w:rPr>
              <w:t xml:space="preserve"> or quoted in order to complete this assessment.  </w:t>
            </w:r>
          </w:p>
        </w:tc>
      </w:tr>
      <w:tr w:rsidR="00A97E2A" w:rsidRPr="00900F84" w14:paraId="12BDA3D6" w14:textId="77777777" w:rsidTr="00A97E2A">
        <w:tc>
          <w:tcPr>
            <w:tcW w:w="9951" w:type="dxa"/>
            <w:gridSpan w:val="4"/>
          </w:tcPr>
          <w:p w14:paraId="2AB77836" w14:textId="5666BB2B" w:rsidR="00A97E2A" w:rsidRPr="00900F84" w:rsidRDefault="00A97E2A" w:rsidP="00A97E2A">
            <w:pPr>
              <w:rPr>
                <w:rFonts w:asciiTheme="minorBidi" w:hAnsiTheme="minorBidi"/>
                <w:sz w:val="22"/>
                <w:szCs w:val="22"/>
              </w:rPr>
            </w:pPr>
          </w:p>
          <w:p w14:paraId="5B8B86C2" w14:textId="1BC9FD5B" w:rsidR="00A97E2A" w:rsidRPr="00900F84" w:rsidRDefault="00A97E2A" w:rsidP="006E176C">
            <w:pPr>
              <w:rPr>
                <w:rFonts w:asciiTheme="minorBidi" w:hAnsiTheme="minorBidi"/>
                <w:sz w:val="22"/>
                <w:szCs w:val="22"/>
              </w:rPr>
            </w:pPr>
          </w:p>
        </w:tc>
      </w:tr>
    </w:tbl>
    <w:p w14:paraId="4D093AF6" w14:textId="77777777" w:rsidR="00F35A39" w:rsidRDefault="00F35A39"/>
    <w:p w14:paraId="20DF7D15" w14:textId="793C5C8B" w:rsidR="00F35A39" w:rsidRPr="005A5F90" w:rsidRDefault="00F35A39" w:rsidP="00806EDF">
      <w:pPr>
        <w:widowControl w:val="0"/>
        <w:tabs>
          <w:tab w:val="left" w:pos="392"/>
        </w:tabs>
        <w:autoSpaceDE w:val="0"/>
        <w:autoSpaceDN w:val="0"/>
        <w:ind w:right="473"/>
        <w:jc w:val="center"/>
        <w:rPr>
          <w:rFonts w:cs="Arial"/>
          <w:b/>
          <w:sz w:val="22"/>
          <w:szCs w:val="22"/>
        </w:rPr>
      </w:pPr>
      <w:r w:rsidRPr="005A5F90">
        <w:rPr>
          <w:rFonts w:cs="Arial"/>
          <w:b/>
          <w:sz w:val="22"/>
          <w:szCs w:val="22"/>
        </w:rPr>
        <w:t>[</w:t>
      </w:r>
      <w:r w:rsidR="007D1865">
        <w:rPr>
          <w:rFonts w:cs="Arial"/>
          <w:b/>
          <w:sz w:val="22"/>
          <w:szCs w:val="22"/>
        </w:rPr>
        <w:t>Alisha Ali]</w:t>
      </w:r>
    </w:p>
    <w:p w14:paraId="560D252B" w14:textId="7AB21789" w:rsidR="00F35A39" w:rsidRPr="005A5F90" w:rsidRDefault="007D1865" w:rsidP="00806EDF">
      <w:pPr>
        <w:widowControl w:val="0"/>
        <w:tabs>
          <w:tab w:val="left" w:pos="392"/>
        </w:tabs>
        <w:autoSpaceDE w:val="0"/>
        <w:autoSpaceDN w:val="0"/>
        <w:ind w:right="473"/>
        <w:jc w:val="center"/>
        <w:rPr>
          <w:rFonts w:cs="Arial"/>
          <w:b/>
          <w:sz w:val="22"/>
          <w:szCs w:val="22"/>
        </w:rPr>
      </w:pPr>
      <w:r w:rsidRPr="007D1865">
        <w:rPr>
          <w:rFonts w:cs="Arial"/>
          <w:b/>
          <w:sz w:val="22"/>
          <w:szCs w:val="22"/>
        </w:rPr>
        <w:t xml:space="preserve"> </w:t>
      </w:r>
      <w:r w:rsidR="00F35A39" w:rsidRPr="005A5F90">
        <w:rPr>
          <w:rFonts w:cs="Arial"/>
          <w:b/>
          <w:sz w:val="22"/>
          <w:szCs w:val="22"/>
        </w:rPr>
        <w:t>[</w:t>
      </w:r>
      <w:r w:rsidR="00F91E97">
        <w:rPr>
          <w:rFonts w:cs="Arial"/>
          <w:b/>
          <w:sz w:val="22"/>
          <w:szCs w:val="22"/>
        </w:rPr>
        <w:t>2437713</w:t>
      </w:r>
      <w:r w:rsidR="00F35A39" w:rsidRPr="005A5F90">
        <w:rPr>
          <w:rFonts w:cs="Arial"/>
          <w:b/>
          <w:sz w:val="22"/>
          <w:szCs w:val="22"/>
        </w:rPr>
        <w:t>]</w:t>
      </w:r>
    </w:p>
    <w:p w14:paraId="75163324" w14:textId="623F01C4" w:rsidR="00F35A39" w:rsidRPr="005A5F90" w:rsidRDefault="00F35A39" w:rsidP="00806EDF">
      <w:pPr>
        <w:widowControl w:val="0"/>
        <w:tabs>
          <w:tab w:val="left" w:pos="392"/>
        </w:tabs>
        <w:autoSpaceDE w:val="0"/>
        <w:autoSpaceDN w:val="0"/>
        <w:ind w:right="473"/>
        <w:jc w:val="center"/>
        <w:rPr>
          <w:rFonts w:cs="Arial"/>
          <w:b/>
          <w:sz w:val="22"/>
          <w:szCs w:val="22"/>
        </w:rPr>
      </w:pPr>
      <w:r w:rsidRPr="005A5F90">
        <w:rPr>
          <w:rFonts w:cs="Arial"/>
          <w:b/>
          <w:sz w:val="22"/>
          <w:szCs w:val="22"/>
        </w:rPr>
        <w:t>[</w:t>
      </w:r>
      <w:r w:rsidR="00F91E97">
        <w:rPr>
          <w:rFonts w:cs="Arial"/>
          <w:b/>
          <w:sz w:val="22"/>
          <w:szCs w:val="22"/>
        </w:rPr>
        <w:t>LCHS4003</w:t>
      </w:r>
      <w:r w:rsidRPr="005A5F90">
        <w:rPr>
          <w:rFonts w:cs="Arial"/>
          <w:b/>
          <w:sz w:val="22"/>
          <w:szCs w:val="22"/>
        </w:rPr>
        <w:t>]</w:t>
      </w:r>
    </w:p>
    <w:p w14:paraId="413E9AD9" w14:textId="6DC35210" w:rsidR="00F35A39" w:rsidRPr="005A5F90" w:rsidRDefault="00F35A39" w:rsidP="00806EDF">
      <w:pPr>
        <w:widowControl w:val="0"/>
        <w:tabs>
          <w:tab w:val="left" w:pos="392"/>
        </w:tabs>
        <w:autoSpaceDE w:val="0"/>
        <w:autoSpaceDN w:val="0"/>
        <w:ind w:right="473"/>
        <w:jc w:val="center"/>
        <w:rPr>
          <w:rFonts w:cs="Arial"/>
          <w:b/>
          <w:sz w:val="22"/>
          <w:szCs w:val="22"/>
        </w:rPr>
      </w:pPr>
      <w:r w:rsidRPr="005A5F90">
        <w:rPr>
          <w:rFonts w:cs="Arial"/>
          <w:b/>
          <w:sz w:val="22"/>
          <w:szCs w:val="22"/>
        </w:rPr>
        <w:t>[</w:t>
      </w:r>
      <w:r w:rsidR="00F91E97">
        <w:rPr>
          <w:rFonts w:cs="Arial"/>
          <w:b/>
          <w:sz w:val="22"/>
          <w:szCs w:val="22"/>
        </w:rPr>
        <w:t>Introduction to Health and Social Care</w:t>
      </w:r>
      <w:r w:rsidR="00806EDF">
        <w:rPr>
          <w:rFonts w:cs="Arial"/>
          <w:b/>
          <w:sz w:val="22"/>
          <w:szCs w:val="22"/>
        </w:rPr>
        <w:t>]</w:t>
      </w:r>
    </w:p>
    <w:p w14:paraId="3250A883" w14:textId="49000378" w:rsidR="00F32475" w:rsidRPr="00F91E97" w:rsidRDefault="00F35A39" w:rsidP="00F32475">
      <w:pPr>
        <w:widowControl w:val="0"/>
        <w:tabs>
          <w:tab w:val="left" w:pos="392"/>
        </w:tabs>
        <w:autoSpaceDE w:val="0"/>
        <w:autoSpaceDN w:val="0"/>
        <w:ind w:right="473"/>
        <w:jc w:val="center"/>
        <w:rPr>
          <w:rFonts w:cs="Arial"/>
          <w:b/>
          <w:sz w:val="22"/>
          <w:szCs w:val="22"/>
        </w:rPr>
      </w:pPr>
      <w:r w:rsidRPr="00F91E97">
        <w:rPr>
          <w:rFonts w:cs="Arial"/>
          <w:b/>
          <w:sz w:val="22"/>
          <w:szCs w:val="22"/>
        </w:rPr>
        <w:t>[</w:t>
      </w:r>
      <w:r w:rsidR="00F91E97" w:rsidRPr="00F91E97">
        <w:rPr>
          <w:rFonts w:cs="Arial"/>
          <w:b/>
          <w:color w:val="1D2125"/>
          <w:sz w:val="22"/>
          <w:szCs w:val="22"/>
          <w:shd w:val="clear" w:color="auto" w:fill="FFFFFF"/>
        </w:rPr>
        <w:t>Aishat Bakre]</w:t>
      </w:r>
      <w:r w:rsidRPr="00F91E97">
        <w:rPr>
          <w:rFonts w:cs="Arial"/>
          <w:b/>
          <w:sz w:val="22"/>
          <w:szCs w:val="22"/>
        </w:rPr>
        <w:br/>
        <w:t>[</w:t>
      </w:r>
      <w:r w:rsidR="00F91E97">
        <w:rPr>
          <w:rFonts w:cs="Arial"/>
          <w:b/>
          <w:sz w:val="22"/>
          <w:szCs w:val="22"/>
        </w:rPr>
        <w:t>Component 1 – Portfolio</w:t>
      </w:r>
      <w:r w:rsidRPr="00F91E97">
        <w:rPr>
          <w:rFonts w:cs="Arial"/>
          <w:b/>
          <w:sz w:val="22"/>
          <w:szCs w:val="22"/>
        </w:rPr>
        <w:t>]</w:t>
      </w:r>
    </w:p>
    <w:p w14:paraId="2AC7A452" w14:textId="77777777" w:rsidR="00F32475" w:rsidRDefault="00F32475" w:rsidP="00F32475">
      <w:pPr>
        <w:widowControl w:val="0"/>
        <w:tabs>
          <w:tab w:val="left" w:pos="392"/>
        </w:tabs>
        <w:autoSpaceDE w:val="0"/>
        <w:autoSpaceDN w:val="0"/>
        <w:ind w:right="473"/>
        <w:jc w:val="center"/>
        <w:rPr>
          <w:rFonts w:cs="Arial"/>
          <w:b/>
          <w:sz w:val="22"/>
          <w:szCs w:val="22"/>
        </w:rPr>
      </w:pPr>
    </w:p>
    <w:p w14:paraId="5ED25861" w14:textId="0276EC48" w:rsidR="00F35A39" w:rsidRDefault="00F91E97" w:rsidP="004D15D8">
      <w:pPr>
        <w:ind w:left="-567" w:right="-784"/>
      </w:pPr>
      <w:r>
        <w:t xml:space="preserve"> (Task 1 – Poster)</w:t>
      </w:r>
    </w:p>
    <w:p w14:paraId="103C3969" w14:textId="5EF8B011" w:rsidR="00F35A39" w:rsidRDefault="00F91E97" w:rsidP="004D15D8">
      <w:pPr>
        <w:ind w:left="-567" w:right="-784"/>
      </w:pPr>
      <w:r w:rsidRPr="007D1865">
        <w:rPr>
          <w:rFonts w:cs="Arial"/>
          <w:b/>
          <w:noProof/>
          <w:sz w:val="22"/>
          <w:szCs w:val="22"/>
        </w:rPr>
        <w:drawing>
          <wp:anchor distT="0" distB="0" distL="114300" distR="114300" simplePos="0" relativeHeight="251658240" behindDoc="1" locked="0" layoutInCell="1" allowOverlap="1" wp14:anchorId="36112BFA" wp14:editId="2C083E66">
            <wp:simplePos x="0" y="0"/>
            <wp:positionH relativeFrom="column">
              <wp:align>right</wp:align>
            </wp:positionH>
            <wp:positionV relativeFrom="paragraph">
              <wp:posOffset>991870</wp:posOffset>
            </wp:positionV>
            <wp:extent cx="14224635" cy="20117435"/>
            <wp:effectExtent l="0" t="0" r="0" b="0"/>
            <wp:wrapTight wrapText="bothSides">
              <wp:wrapPolygon edited="0">
                <wp:start x="0" y="0"/>
                <wp:lineTo x="0" y="21586"/>
                <wp:lineTo x="21580" y="21586"/>
                <wp:lineTo x="2158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224635" cy="20117435"/>
                    </a:xfrm>
                    <a:prstGeom prst="rect">
                      <a:avLst/>
                    </a:prstGeom>
                  </pic:spPr>
                </pic:pic>
              </a:graphicData>
            </a:graphic>
            <wp14:sizeRelH relativeFrom="page">
              <wp14:pctWidth>0</wp14:pctWidth>
            </wp14:sizeRelH>
            <wp14:sizeRelV relativeFrom="page">
              <wp14:pctHeight>0</wp14:pctHeight>
            </wp14:sizeRelV>
          </wp:anchor>
        </w:drawing>
      </w:r>
    </w:p>
    <w:p w14:paraId="70F73F6C" w14:textId="77777777" w:rsidR="004E3B3D" w:rsidRDefault="004E3B3D" w:rsidP="004D15D8">
      <w:pPr>
        <w:ind w:left="-567" w:right="-784"/>
      </w:pPr>
    </w:p>
    <w:p w14:paraId="0729DADE" w14:textId="77777777" w:rsidR="004E3B3D" w:rsidRDefault="004E3B3D" w:rsidP="004D15D8">
      <w:pPr>
        <w:ind w:left="-567" w:right="-784"/>
      </w:pPr>
    </w:p>
    <w:p w14:paraId="7AA7B0AE" w14:textId="77777777" w:rsidR="004E3B3D" w:rsidRDefault="004E3B3D" w:rsidP="004D15D8">
      <w:pPr>
        <w:ind w:left="-567" w:right="-784"/>
      </w:pPr>
    </w:p>
    <w:p w14:paraId="2EDF5516" w14:textId="77777777" w:rsidR="004E3B3D" w:rsidRPr="00294B51" w:rsidRDefault="004E3B3D" w:rsidP="00294B51">
      <w:pPr>
        <w:ind w:left="-567" w:right="-784"/>
        <w:rPr>
          <w:rFonts w:cs="Arial"/>
          <w:sz w:val="22"/>
          <w:szCs w:val="22"/>
        </w:rPr>
      </w:pPr>
    </w:p>
    <w:p w14:paraId="6BCEB726" w14:textId="77777777" w:rsidR="004E3B3D" w:rsidRPr="00294B51" w:rsidRDefault="004E3B3D" w:rsidP="00294B51">
      <w:pPr>
        <w:ind w:left="-567" w:right="-784"/>
        <w:rPr>
          <w:rFonts w:cs="Arial"/>
          <w:sz w:val="22"/>
          <w:szCs w:val="22"/>
        </w:rPr>
      </w:pPr>
    </w:p>
    <w:p w14:paraId="007BF09F" w14:textId="77777777" w:rsidR="004E3B3D" w:rsidRPr="00294B51" w:rsidRDefault="004E3B3D" w:rsidP="00294B51">
      <w:pPr>
        <w:ind w:left="-567" w:right="-784"/>
        <w:rPr>
          <w:rFonts w:cs="Arial"/>
          <w:b/>
          <w:bCs/>
          <w:sz w:val="22"/>
          <w:szCs w:val="22"/>
          <w:u w:val="single"/>
        </w:rPr>
      </w:pPr>
    </w:p>
    <w:p w14:paraId="6E624383" w14:textId="74551E65" w:rsidR="00F91E97" w:rsidRPr="00294B51" w:rsidRDefault="00F91E97" w:rsidP="00294B51">
      <w:pPr>
        <w:ind w:left="-567" w:right="-784"/>
        <w:rPr>
          <w:rFonts w:cs="Arial"/>
          <w:b/>
          <w:bCs/>
          <w:sz w:val="22"/>
          <w:szCs w:val="22"/>
          <w:u w:val="single"/>
        </w:rPr>
      </w:pPr>
      <w:r w:rsidRPr="00294B51">
        <w:rPr>
          <w:rFonts w:cs="Arial"/>
          <w:b/>
          <w:bCs/>
          <w:sz w:val="22"/>
          <w:szCs w:val="22"/>
          <w:u w:val="single"/>
        </w:rPr>
        <w:t>Task 2 – (600-word essay)</w:t>
      </w:r>
    </w:p>
    <w:p w14:paraId="12CFB919" w14:textId="77777777" w:rsidR="00294B51" w:rsidRDefault="00417048" w:rsidP="00294B51">
      <w:pPr>
        <w:ind w:left="-567" w:right="-784"/>
        <w:rPr>
          <w:rFonts w:cs="Arial"/>
          <w:color w:val="172B4D"/>
          <w:sz w:val="22"/>
          <w:szCs w:val="22"/>
          <w:u w:val="single"/>
          <w:shd w:val="clear" w:color="auto" w:fill="FFFFFF"/>
        </w:rPr>
      </w:pPr>
      <w:r w:rsidRPr="00294B51">
        <w:rPr>
          <w:rFonts w:cs="Arial"/>
          <w:b/>
          <w:bCs/>
          <w:color w:val="172B4D"/>
          <w:sz w:val="22"/>
          <w:szCs w:val="22"/>
          <w:u w:val="single"/>
          <w:shd w:val="clear" w:color="auto" w:fill="FFFFFF"/>
        </w:rPr>
        <w:t>Discuss the Origins and Structure of the National Health Service</w:t>
      </w:r>
      <w:r w:rsidRPr="00294B51">
        <w:rPr>
          <w:rFonts w:cs="Arial"/>
          <w:color w:val="172B4D"/>
          <w:sz w:val="22"/>
          <w:szCs w:val="22"/>
          <w:shd w:val="clear" w:color="auto" w:fill="FFFFFF"/>
        </w:rPr>
        <w:br/>
        <w:t>The National Health Service (NHS) began in 1948 and is a very important part of the British Welfare System. This is because it provides free healthcare to all individuals no matter what background and no matter what income they receive. It changed from simply being a health care system to a universal public service health facility. To understand the NHS, we must look at how it began with care after the war and how it continues to help, even with increased pressure and less money (Timmins, 1998).</w:t>
      </w:r>
      <w:r w:rsidRPr="00294B51">
        <w:rPr>
          <w:rFonts w:cs="Arial"/>
          <w:color w:val="172B4D"/>
          <w:sz w:val="22"/>
          <w:szCs w:val="22"/>
        </w:rPr>
        <w:br/>
      </w:r>
    </w:p>
    <w:p w14:paraId="10A9AD9D" w14:textId="463FA5FD" w:rsidR="00417048" w:rsidRPr="00294B51" w:rsidRDefault="00417048" w:rsidP="00294B51">
      <w:pPr>
        <w:ind w:left="-567" w:right="-784"/>
        <w:rPr>
          <w:rFonts w:cs="Arial"/>
          <w:b/>
          <w:bCs/>
          <w:color w:val="172B4D"/>
          <w:sz w:val="22"/>
          <w:szCs w:val="22"/>
          <w:u w:val="single"/>
          <w:shd w:val="clear" w:color="auto" w:fill="FFFFFF"/>
        </w:rPr>
      </w:pPr>
      <w:r w:rsidRPr="00294B51">
        <w:rPr>
          <w:rFonts w:cs="Arial"/>
          <w:color w:val="172B4D"/>
          <w:sz w:val="22"/>
          <w:szCs w:val="22"/>
          <w:u w:val="single"/>
          <w:shd w:val="clear" w:color="auto" w:fill="FFFFFF"/>
        </w:rPr>
        <w:t>The Origins and Core Principles</w:t>
      </w:r>
    </w:p>
    <w:p w14:paraId="71402496" w14:textId="77777777" w:rsidR="000324E9" w:rsidRPr="00294B51" w:rsidRDefault="00417048" w:rsidP="00294B51">
      <w:pPr>
        <w:ind w:left="-567" w:right="-784"/>
        <w:rPr>
          <w:rFonts w:cs="Arial"/>
          <w:color w:val="172B4D"/>
          <w:sz w:val="22"/>
          <w:szCs w:val="22"/>
          <w:shd w:val="clear" w:color="auto" w:fill="FFFFFF"/>
        </w:rPr>
      </w:pPr>
      <w:r w:rsidRPr="00294B51">
        <w:rPr>
          <w:rFonts w:cs="Arial"/>
          <w:color w:val="172B4D"/>
          <w:sz w:val="22"/>
          <w:szCs w:val="22"/>
          <w:shd w:val="clear" w:color="auto" w:fill="FFFFFF"/>
        </w:rPr>
        <w:t xml:space="preserve">The NHS was initiated after the Second World War, at a time when everyone wanted changes to occur to improve quality of lives. </w:t>
      </w:r>
      <w:r w:rsidRPr="00294B51">
        <w:rPr>
          <w:rFonts w:cs="Arial"/>
          <w:color w:val="172B4D"/>
          <w:sz w:val="22"/>
          <w:szCs w:val="22"/>
          <w:shd w:val="clear" w:color="auto" w:fill="FFFFFF"/>
        </w:rPr>
        <w:br/>
        <w:t>In 1942, the Beveridge Report suggested a new welfare system to help eradicate five "giant evils" in society, including "Disease" (Fraser, 2010). After the Labours electoral victory in 1945, Health Minister Aneurin Bevan led the plan to join all the different health treatment services run by charities and private into one national system. Despite strong political and professional opposition, the NHS officially began on 5 July 1948. Even though numerous politicians and medical professions were against it, the NHS started on the 5th of July 1948.</w:t>
      </w:r>
    </w:p>
    <w:p w14:paraId="2DD2DBA9" w14:textId="77777777" w:rsidR="000324E9" w:rsidRPr="00294B51" w:rsidRDefault="000324E9" w:rsidP="00294B51">
      <w:pPr>
        <w:ind w:left="-567" w:right="-784"/>
        <w:rPr>
          <w:rFonts w:cs="Arial"/>
          <w:color w:val="172B4D"/>
          <w:sz w:val="22"/>
          <w:szCs w:val="22"/>
        </w:rPr>
      </w:pPr>
    </w:p>
    <w:p w14:paraId="0D41A3F6" w14:textId="6EE4AC10" w:rsidR="000324E9" w:rsidRPr="00294B51" w:rsidRDefault="000324E9" w:rsidP="00294B51">
      <w:pPr>
        <w:ind w:left="-567" w:right="-784"/>
        <w:rPr>
          <w:rFonts w:cs="Arial"/>
          <w:color w:val="172B4D"/>
          <w:sz w:val="22"/>
          <w:szCs w:val="22"/>
        </w:rPr>
      </w:pPr>
      <w:r w:rsidRPr="00294B51">
        <w:rPr>
          <w:rFonts w:cs="Arial"/>
          <w:color w:val="172B4D"/>
          <w:sz w:val="22"/>
          <w:szCs w:val="22"/>
        </w:rPr>
        <w:t>Bevan's vision was summarised in three simple principles that remain at the centre of the service's identity and its egalitarian, utilitarian roots (</w:t>
      </w:r>
      <w:r w:rsidR="00B54840">
        <w:rPr>
          <w:rFonts w:cs="Arial"/>
          <w:color w:val="172B4D"/>
          <w:sz w:val="22"/>
          <w:szCs w:val="22"/>
        </w:rPr>
        <w:t>Delamonthe</w:t>
      </w:r>
      <w:r w:rsidRPr="00294B51">
        <w:rPr>
          <w:rFonts w:cs="Arial"/>
          <w:color w:val="172B4D"/>
          <w:sz w:val="22"/>
          <w:szCs w:val="22"/>
        </w:rPr>
        <w:t>, 2008):</w:t>
      </w:r>
    </w:p>
    <w:p w14:paraId="2A3BC55F" w14:textId="77777777" w:rsidR="000324E9" w:rsidRPr="00294B51" w:rsidRDefault="000324E9" w:rsidP="00294B51">
      <w:pPr>
        <w:ind w:left="-567" w:right="-784"/>
        <w:rPr>
          <w:rFonts w:cs="Arial"/>
          <w:color w:val="172B4D"/>
          <w:sz w:val="22"/>
          <w:szCs w:val="22"/>
        </w:rPr>
      </w:pPr>
    </w:p>
    <w:p w14:paraId="520F9F68" w14:textId="07AB5448" w:rsidR="000324E9" w:rsidRPr="00294B51" w:rsidRDefault="000324E9" w:rsidP="00294B51">
      <w:pPr>
        <w:pStyle w:val="ListParagraph"/>
        <w:numPr>
          <w:ilvl w:val="0"/>
          <w:numId w:val="2"/>
        </w:numPr>
        <w:ind w:right="-784"/>
        <w:rPr>
          <w:rFonts w:cs="Arial"/>
          <w:color w:val="172B4D"/>
          <w:sz w:val="22"/>
          <w:szCs w:val="22"/>
        </w:rPr>
      </w:pPr>
      <w:r w:rsidRPr="00294B51">
        <w:rPr>
          <w:rFonts w:cs="Arial"/>
          <w:color w:val="172B4D"/>
          <w:sz w:val="22"/>
          <w:szCs w:val="22"/>
        </w:rPr>
        <w:t>Universality: The service would care for everyone, no matter their class or income, helping to end the stigma of receiving help for being poor (</w:t>
      </w:r>
      <w:r w:rsidR="00A47988">
        <w:rPr>
          <w:rFonts w:cs="Arial"/>
          <w:color w:val="172B4D"/>
          <w:sz w:val="22"/>
          <w:szCs w:val="22"/>
        </w:rPr>
        <w:t>Shapiro</w:t>
      </w:r>
      <w:r w:rsidRPr="00294B51">
        <w:rPr>
          <w:rFonts w:cs="Arial"/>
          <w:color w:val="172B4D"/>
          <w:sz w:val="22"/>
          <w:szCs w:val="22"/>
        </w:rPr>
        <w:t>, 2010).</w:t>
      </w:r>
    </w:p>
    <w:p w14:paraId="3C634714" w14:textId="77777777" w:rsidR="000324E9" w:rsidRPr="00294B51" w:rsidRDefault="000324E9" w:rsidP="00294B51">
      <w:pPr>
        <w:ind w:left="-567" w:right="-784"/>
        <w:rPr>
          <w:rFonts w:cs="Arial"/>
          <w:color w:val="172B4D"/>
          <w:sz w:val="22"/>
          <w:szCs w:val="22"/>
        </w:rPr>
      </w:pPr>
    </w:p>
    <w:p w14:paraId="47AA8C21" w14:textId="77777777" w:rsidR="000324E9" w:rsidRPr="00294B51" w:rsidRDefault="000324E9" w:rsidP="00294B51">
      <w:pPr>
        <w:pStyle w:val="ListParagraph"/>
        <w:numPr>
          <w:ilvl w:val="0"/>
          <w:numId w:val="2"/>
        </w:numPr>
        <w:ind w:right="-784"/>
        <w:rPr>
          <w:rFonts w:cs="Arial"/>
          <w:color w:val="172B4D"/>
          <w:sz w:val="22"/>
          <w:szCs w:val="22"/>
        </w:rPr>
      </w:pPr>
      <w:r w:rsidRPr="00294B51">
        <w:rPr>
          <w:rFonts w:cs="Arial"/>
          <w:color w:val="172B4D"/>
          <w:sz w:val="22"/>
          <w:szCs w:val="22"/>
        </w:rPr>
        <w:t xml:space="preserve">Free at the point of delivery: All medical health care would be given to patients without any invoice, so no one would have to be concerned to whether they could afford the health treatment needed. </w:t>
      </w:r>
    </w:p>
    <w:p w14:paraId="74CE9ADD" w14:textId="77777777" w:rsidR="000324E9" w:rsidRPr="00294B51" w:rsidRDefault="000324E9" w:rsidP="00294B51">
      <w:pPr>
        <w:ind w:left="-567" w:right="-784"/>
        <w:rPr>
          <w:rFonts w:cs="Arial"/>
          <w:color w:val="172B4D"/>
          <w:sz w:val="22"/>
          <w:szCs w:val="22"/>
        </w:rPr>
      </w:pPr>
    </w:p>
    <w:p w14:paraId="21BD2ADD" w14:textId="5B2EC551" w:rsidR="004E3B3D" w:rsidRPr="00294B51" w:rsidRDefault="000324E9" w:rsidP="00294B51">
      <w:pPr>
        <w:pStyle w:val="ListParagraph"/>
        <w:numPr>
          <w:ilvl w:val="0"/>
          <w:numId w:val="2"/>
        </w:numPr>
        <w:ind w:right="-784"/>
        <w:rPr>
          <w:rFonts w:cs="Arial"/>
          <w:sz w:val="22"/>
          <w:szCs w:val="22"/>
        </w:rPr>
      </w:pPr>
      <w:r w:rsidRPr="00294B51">
        <w:rPr>
          <w:rFonts w:cs="Arial"/>
          <w:color w:val="172B4D"/>
          <w:sz w:val="22"/>
          <w:szCs w:val="22"/>
        </w:rPr>
        <w:t>Comprehensiveness: The health service would include both physical and mental care for everyone, as patient may struggle in different ways and given to patients simply on their medical need for it (Smyth, 2008).</w:t>
      </w:r>
    </w:p>
    <w:p w14:paraId="2C549E3A" w14:textId="77777777" w:rsidR="00294B51" w:rsidRPr="00294B51" w:rsidRDefault="00294B51" w:rsidP="00294B51">
      <w:pPr>
        <w:ind w:right="-784"/>
        <w:rPr>
          <w:rFonts w:cs="Arial"/>
          <w:sz w:val="22"/>
          <w:szCs w:val="22"/>
        </w:rPr>
      </w:pPr>
    </w:p>
    <w:p w14:paraId="7B244CB2" w14:textId="4029B9F4" w:rsidR="004E3B3D" w:rsidRPr="00294B51" w:rsidRDefault="004E3B3D" w:rsidP="00294B51">
      <w:pPr>
        <w:ind w:left="-567" w:right="-784"/>
        <w:rPr>
          <w:rFonts w:cs="Arial"/>
          <w:sz w:val="22"/>
          <w:szCs w:val="22"/>
        </w:rPr>
      </w:pPr>
      <w:r w:rsidRPr="00294B51">
        <w:rPr>
          <w:rFonts w:cs="Arial"/>
          <w:sz w:val="22"/>
          <w:szCs w:val="22"/>
        </w:rPr>
        <w:t>These principles establish the NHS and helps everyone to rely on the service, which can be used by the whole on the United Kingdom and paid through general taxation.</w:t>
      </w:r>
    </w:p>
    <w:p w14:paraId="3A9F3037" w14:textId="77777777" w:rsidR="004E3B3D" w:rsidRPr="00294B51" w:rsidRDefault="004E3B3D" w:rsidP="00294B51">
      <w:pPr>
        <w:ind w:left="-567" w:right="-784"/>
        <w:rPr>
          <w:rFonts w:cs="Arial"/>
          <w:sz w:val="22"/>
          <w:szCs w:val="22"/>
        </w:rPr>
      </w:pPr>
    </w:p>
    <w:p w14:paraId="2888D320" w14:textId="08098906" w:rsidR="005A5F90" w:rsidRPr="00294B51" w:rsidRDefault="004E3B3D" w:rsidP="00294B51">
      <w:pPr>
        <w:ind w:left="-567" w:right="-784"/>
        <w:rPr>
          <w:rFonts w:cs="Arial"/>
          <w:b/>
          <w:bCs/>
          <w:sz w:val="22"/>
          <w:szCs w:val="22"/>
          <w:u w:val="single"/>
        </w:rPr>
      </w:pPr>
      <w:r w:rsidRPr="00294B51">
        <w:rPr>
          <w:rFonts w:cs="Arial"/>
          <w:b/>
          <w:bCs/>
          <w:sz w:val="22"/>
          <w:szCs w:val="22"/>
          <w:u w:val="single"/>
        </w:rPr>
        <w:t>Current Structure and Functioning</w:t>
      </w:r>
    </w:p>
    <w:p w14:paraId="3EF2F452" w14:textId="09C98547" w:rsidR="005A5F90" w:rsidRPr="00294B51" w:rsidRDefault="004E3B3D" w:rsidP="00294B51">
      <w:pPr>
        <w:ind w:right="-784"/>
        <w:rPr>
          <w:rFonts w:cs="Arial"/>
          <w:sz w:val="22"/>
          <w:szCs w:val="22"/>
        </w:rPr>
      </w:pPr>
      <w:r w:rsidRPr="00294B51">
        <w:rPr>
          <w:rFonts w:cs="Arial"/>
          <w:color w:val="172B4D"/>
          <w:sz w:val="22"/>
          <w:szCs w:val="22"/>
          <w:shd w:val="clear" w:color="auto" w:fill="FFFFFF"/>
        </w:rPr>
        <w:t xml:space="preserve">Opposed to the simple </w:t>
      </w:r>
      <w:r w:rsidR="00294B51" w:rsidRPr="00294B51">
        <w:rPr>
          <w:rFonts w:cs="Arial"/>
          <w:color w:val="172B4D"/>
          <w:sz w:val="22"/>
          <w:szCs w:val="22"/>
          <w:shd w:val="clear" w:color="auto" w:fill="FFFFFF"/>
        </w:rPr>
        <w:t>three-part</w:t>
      </w:r>
      <w:r w:rsidRPr="00294B51">
        <w:rPr>
          <w:rFonts w:cs="Arial"/>
          <w:color w:val="172B4D"/>
          <w:sz w:val="22"/>
          <w:szCs w:val="22"/>
          <w:shd w:val="clear" w:color="auto" w:fill="FFFFFF"/>
        </w:rPr>
        <w:t xml:space="preserve"> structure created in 1948, the NHS has now become a more complex organisation, continuously undergoing changes to the structure and how it presents itself to the public. Within the 1990s reforms started the 'internal market' to encourage the system to be more efficient by separating the buying of the services from how the care is delivered (</w:t>
      </w:r>
      <w:r w:rsidR="00B54840">
        <w:rPr>
          <w:rFonts w:cs="Arial"/>
          <w:color w:val="172B4D"/>
          <w:sz w:val="22"/>
          <w:szCs w:val="22"/>
          <w:shd w:val="clear" w:color="auto" w:fill="FFFFFF"/>
        </w:rPr>
        <w:t>Price</w:t>
      </w:r>
      <w:r w:rsidRPr="00294B51">
        <w:rPr>
          <w:rFonts w:cs="Arial"/>
          <w:color w:val="172B4D"/>
          <w:sz w:val="22"/>
          <w:szCs w:val="22"/>
          <w:shd w:val="clear" w:color="auto" w:fill="FFFFFF"/>
        </w:rPr>
        <w:t>, 2017).</w:t>
      </w:r>
    </w:p>
    <w:p w14:paraId="5DEFFB10" w14:textId="77777777" w:rsidR="00CC0DAB" w:rsidRPr="00294B51" w:rsidRDefault="00CC0DAB" w:rsidP="00294B51">
      <w:pPr>
        <w:ind w:left="-567" w:right="-784"/>
        <w:rPr>
          <w:rFonts w:cs="Arial"/>
          <w:sz w:val="22"/>
          <w:szCs w:val="22"/>
        </w:rPr>
      </w:pPr>
    </w:p>
    <w:p w14:paraId="0591FAD6" w14:textId="2A098D19" w:rsidR="005A5F90" w:rsidRPr="00294B51" w:rsidRDefault="00CC0DAB" w:rsidP="00294B51">
      <w:pPr>
        <w:ind w:left="-567" w:right="-784"/>
        <w:rPr>
          <w:rFonts w:cs="Arial"/>
          <w:sz w:val="22"/>
          <w:szCs w:val="22"/>
        </w:rPr>
      </w:pPr>
      <w:r w:rsidRPr="00294B51">
        <w:rPr>
          <w:rFonts w:cs="Arial"/>
          <w:sz w:val="22"/>
          <w:szCs w:val="22"/>
        </w:rPr>
        <w:t xml:space="preserve">The updated framework influenced by the Health and Care Act 2022 focuses more on working together than having any competition. The Integrated Care System (ICS) is the foundation unit. Within England there are 42 statutory ICS's which are made up of Integrated Care boards (ICB). They are responsible for planning and resources in the NHS and, also an Integrated Care Partnership (ICP) which groups the NHS with the local government, social </w:t>
      </w:r>
      <w:r w:rsidR="00294B51" w:rsidRPr="00294B51">
        <w:rPr>
          <w:rFonts w:cs="Arial"/>
          <w:sz w:val="22"/>
          <w:szCs w:val="22"/>
        </w:rPr>
        <w:t>care,</w:t>
      </w:r>
      <w:r w:rsidRPr="00294B51">
        <w:rPr>
          <w:rFonts w:cs="Arial"/>
          <w:sz w:val="22"/>
          <w:szCs w:val="22"/>
        </w:rPr>
        <w:t xml:space="preserve"> and other local </w:t>
      </w:r>
      <w:r w:rsidR="00A97E2A" w:rsidRPr="00294B51">
        <w:rPr>
          <w:rFonts w:cs="Arial"/>
          <w:sz w:val="22"/>
          <w:szCs w:val="22"/>
        </w:rPr>
        <w:t>partners</w:t>
      </w:r>
      <w:r w:rsidR="00A97E2A">
        <w:rPr>
          <w:rFonts w:cs="Arial"/>
          <w:sz w:val="22"/>
          <w:szCs w:val="22"/>
        </w:rPr>
        <w:t xml:space="preserve"> (NHS Confederation, 2024</w:t>
      </w:r>
      <w:r w:rsidRPr="00294B51">
        <w:rPr>
          <w:rFonts w:cs="Arial"/>
          <w:sz w:val="22"/>
          <w:szCs w:val="22"/>
        </w:rPr>
        <w:t>).</w:t>
      </w:r>
    </w:p>
    <w:p w14:paraId="4B168D65" w14:textId="77777777" w:rsidR="005A5F90" w:rsidRPr="00294B51" w:rsidRDefault="005A5F90" w:rsidP="00294B51">
      <w:pPr>
        <w:ind w:left="-567" w:right="-784"/>
        <w:rPr>
          <w:rFonts w:cs="Arial"/>
          <w:sz w:val="22"/>
          <w:szCs w:val="22"/>
        </w:rPr>
      </w:pPr>
    </w:p>
    <w:p w14:paraId="3E506972" w14:textId="45981E92" w:rsidR="00294B51" w:rsidRPr="00294B51" w:rsidRDefault="00294B51" w:rsidP="00294B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auto"/>
          <w:kern w:val="0"/>
          <w:sz w:val="22"/>
          <w:szCs w:val="22"/>
        </w:rPr>
      </w:pPr>
      <w:r w:rsidRPr="00294B51">
        <w:rPr>
          <w:rFonts w:cs="Arial"/>
          <w:color w:val="auto"/>
          <w:kern w:val="0"/>
          <w:sz w:val="22"/>
          <w:szCs w:val="22"/>
        </w:rPr>
        <w:t>This change in structure encourages teamwork and focuses more on the health of the patients and focus more on community-based prevention rather than expensive hospitals. Nevertheless, the NHS still faces obstacles and challenges. Individuals say that repeated changes have caused 'structural instability' removing focus on and resources away from frontline care (</w:t>
      </w:r>
      <w:r w:rsidR="00A97E2A">
        <w:rPr>
          <w:rFonts w:cs="Arial"/>
          <w:color w:val="auto"/>
          <w:kern w:val="0"/>
          <w:sz w:val="22"/>
          <w:szCs w:val="22"/>
        </w:rPr>
        <w:t>The Kings Fund,2019</w:t>
      </w:r>
      <w:r w:rsidRPr="00294B51">
        <w:rPr>
          <w:rFonts w:cs="Arial"/>
          <w:color w:val="auto"/>
          <w:kern w:val="0"/>
          <w:sz w:val="22"/>
          <w:szCs w:val="22"/>
        </w:rPr>
        <w:t>). As well as that, staff shortages have put pressure on NHS budgets, making it strenuous to deliver full and timely care to the patients (</w:t>
      </w:r>
      <w:r w:rsidR="00A97E2A">
        <w:rPr>
          <w:rFonts w:cs="Arial"/>
          <w:color w:val="auto"/>
          <w:kern w:val="0"/>
          <w:sz w:val="22"/>
          <w:szCs w:val="22"/>
        </w:rPr>
        <w:t>The Kings Fund,2019</w:t>
      </w:r>
      <w:r w:rsidRPr="00294B51">
        <w:rPr>
          <w:rFonts w:cs="Arial"/>
          <w:color w:val="auto"/>
          <w:kern w:val="0"/>
          <w:sz w:val="22"/>
          <w:szCs w:val="22"/>
        </w:rPr>
        <w:t xml:space="preserve">). Currently the NHS is a constantly changing organisation, managing the care needs of the patients and the financial constraints. </w:t>
      </w:r>
    </w:p>
    <w:p w14:paraId="371C2E59" w14:textId="77777777" w:rsidR="00F35A39" w:rsidRPr="00294B51" w:rsidRDefault="00F35A39" w:rsidP="00294B51">
      <w:pPr>
        <w:ind w:right="-784"/>
        <w:rPr>
          <w:rFonts w:cs="Arial"/>
          <w:sz w:val="22"/>
          <w:szCs w:val="22"/>
        </w:rPr>
        <w:sectPr w:rsidR="00F35A39" w:rsidRPr="00294B51" w:rsidSect="00F35A39">
          <w:pgSz w:w="16838" w:h="11906" w:orient="landscape"/>
          <w:pgMar w:top="1440" w:right="1440" w:bottom="1440" w:left="1440" w:header="708" w:footer="708" w:gutter="0"/>
          <w:cols w:space="708"/>
          <w:docGrid w:linePitch="360"/>
        </w:sectPr>
      </w:pPr>
    </w:p>
    <w:p w14:paraId="7DB2B3D5" w14:textId="619C5A43" w:rsidR="00294B51" w:rsidRPr="00294B51" w:rsidRDefault="00294B51" w:rsidP="00294B51">
      <w:pPr>
        <w:rPr>
          <w:rFonts w:cs="Arial"/>
          <w:sz w:val="22"/>
          <w:szCs w:val="22"/>
        </w:rPr>
      </w:pPr>
    </w:p>
    <w:p w14:paraId="2ECED97A" w14:textId="5079DECF" w:rsidR="00F91E97" w:rsidRPr="00294B51" w:rsidRDefault="00F91E97" w:rsidP="00294B51">
      <w:pPr>
        <w:rPr>
          <w:rFonts w:cs="Arial"/>
          <w:sz w:val="22"/>
          <w:szCs w:val="22"/>
        </w:rPr>
      </w:pPr>
    </w:p>
    <w:p w14:paraId="6CD2F15E" w14:textId="3D96C4A2" w:rsidR="00F91E97" w:rsidRPr="00A97E2A" w:rsidRDefault="00F91E97" w:rsidP="00A97E2A">
      <w:pPr>
        <w:rPr>
          <w:rFonts w:cs="Arial"/>
          <w:sz w:val="22"/>
          <w:szCs w:val="22"/>
          <w:u w:val="single"/>
        </w:rPr>
      </w:pPr>
      <w:r w:rsidRPr="00A97E2A">
        <w:rPr>
          <w:rFonts w:cs="Arial"/>
          <w:sz w:val="22"/>
          <w:szCs w:val="22"/>
          <w:u w:val="single"/>
        </w:rPr>
        <w:t>Reference List</w:t>
      </w:r>
    </w:p>
    <w:p w14:paraId="3FC0FEA6" w14:textId="77777777" w:rsidR="00F91E97" w:rsidRPr="00A97E2A" w:rsidRDefault="00F91E97" w:rsidP="00A97E2A">
      <w:pPr>
        <w:rPr>
          <w:rFonts w:cs="Arial"/>
          <w:color w:val="000000"/>
          <w:sz w:val="22"/>
          <w:szCs w:val="22"/>
        </w:rPr>
      </w:pPr>
    </w:p>
    <w:p w14:paraId="69F6047D" w14:textId="77777777" w:rsidR="00F91E97" w:rsidRPr="00A97E2A" w:rsidRDefault="00F91E97" w:rsidP="00A97E2A">
      <w:pPr>
        <w:rPr>
          <w:rFonts w:cs="Arial"/>
          <w:color w:val="222222"/>
          <w:sz w:val="22"/>
          <w:szCs w:val="22"/>
          <w:shd w:val="clear" w:color="auto" w:fill="FFFFFF"/>
        </w:rPr>
      </w:pPr>
      <w:r w:rsidRPr="00A97E2A">
        <w:rPr>
          <w:rFonts w:cs="Arial"/>
          <w:color w:val="222222"/>
          <w:sz w:val="22"/>
          <w:szCs w:val="22"/>
          <w:shd w:val="clear" w:color="auto" w:fill="FFFFFF"/>
        </w:rPr>
        <w:t xml:space="preserve">Collin, V., Toon, M., O'Selmo, E., Reynolds, L. and Whitehead, P., 2019. A survey of stress, </w:t>
      </w:r>
      <w:proofErr w:type="gramStart"/>
      <w:r w:rsidRPr="00A97E2A">
        <w:rPr>
          <w:rFonts w:cs="Arial"/>
          <w:color w:val="222222"/>
          <w:sz w:val="22"/>
          <w:szCs w:val="22"/>
          <w:shd w:val="clear" w:color="auto" w:fill="FFFFFF"/>
        </w:rPr>
        <w:t>burnout</w:t>
      </w:r>
      <w:proofErr w:type="gramEnd"/>
      <w:r w:rsidRPr="00A97E2A">
        <w:rPr>
          <w:rFonts w:cs="Arial"/>
          <w:color w:val="222222"/>
          <w:sz w:val="22"/>
          <w:szCs w:val="22"/>
          <w:shd w:val="clear" w:color="auto" w:fill="FFFFFF"/>
        </w:rPr>
        <w:t xml:space="preserve"> and well-being in UK dentists.</w:t>
      </w:r>
      <w:r w:rsidRPr="00A97E2A">
        <w:rPr>
          <w:rStyle w:val="apple-converted-space"/>
          <w:rFonts w:cs="Arial"/>
          <w:color w:val="222222"/>
          <w:sz w:val="22"/>
          <w:szCs w:val="22"/>
          <w:shd w:val="clear" w:color="auto" w:fill="FFFFFF"/>
        </w:rPr>
        <w:t> </w:t>
      </w:r>
      <w:r w:rsidRPr="00A97E2A">
        <w:rPr>
          <w:rFonts w:cs="Arial"/>
          <w:i/>
          <w:iCs/>
          <w:color w:val="222222"/>
          <w:sz w:val="22"/>
          <w:szCs w:val="22"/>
        </w:rPr>
        <w:t>British dental journal</w:t>
      </w:r>
      <w:r w:rsidRPr="00A97E2A">
        <w:rPr>
          <w:rFonts w:cs="Arial"/>
          <w:color w:val="222222"/>
          <w:sz w:val="22"/>
          <w:szCs w:val="22"/>
          <w:shd w:val="clear" w:color="auto" w:fill="FFFFFF"/>
        </w:rPr>
        <w:t>,</w:t>
      </w:r>
      <w:r w:rsidRPr="00A97E2A">
        <w:rPr>
          <w:rStyle w:val="apple-converted-space"/>
          <w:rFonts w:cs="Arial"/>
          <w:color w:val="222222"/>
          <w:sz w:val="22"/>
          <w:szCs w:val="22"/>
          <w:shd w:val="clear" w:color="auto" w:fill="FFFFFF"/>
        </w:rPr>
        <w:t> </w:t>
      </w:r>
      <w:r w:rsidRPr="00A97E2A">
        <w:rPr>
          <w:rFonts w:cs="Arial"/>
          <w:i/>
          <w:iCs/>
          <w:color w:val="222222"/>
          <w:sz w:val="22"/>
          <w:szCs w:val="22"/>
        </w:rPr>
        <w:t>226</w:t>
      </w:r>
      <w:r w:rsidRPr="00A97E2A">
        <w:rPr>
          <w:rFonts w:cs="Arial"/>
          <w:color w:val="222222"/>
          <w:sz w:val="22"/>
          <w:szCs w:val="22"/>
          <w:shd w:val="clear" w:color="auto" w:fill="FFFFFF"/>
        </w:rPr>
        <w:t>(1), pp.40-49.</w:t>
      </w:r>
    </w:p>
    <w:p w14:paraId="1E17159D" w14:textId="47CD7141" w:rsidR="00F91E97" w:rsidRPr="00A97E2A" w:rsidRDefault="00000000" w:rsidP="00A97E2A">
      <w:pPr>
        <w:rPr>
          <w:rFonts w:cs="Arial"/>
          <w:color w:val="000000"/>
          <w:sz w:val="22"/>
          <w:szCs w:val="22"/>
        </w:rPr>
      </w:pPr>
      <w:hyperlink r:id="rId8" w:history="1">
        <w:r w:rsidR="00F91E97" w:rsidRPr="00A97E2A">
          <w:rPr>
            <w:rStyle w:val="Hyperlink"/>
            <w:rFonts w:cs="Arial"/>
            <w:sz w:val="22"/>
            <w:szCs w:val="22"/>
          </w:rPr>
          <w:t>https://www.nature.com/articles/sj.bdj.2019.6</w:t>
        </w:r>
      </w:hyperlink>
    </w:p>
    <w:p w14:paraId="274CD544" w14:textId="77777777" w:rsidR="00A47988" w:rsidRPr="00A97E2A" w:rsidRDefault="00A47988" w:rsidP="00A97E2A">
      <w:pPr>
        <w:pStyle w:val="NormalWeb"/>
        <w:spacing w:line="360" w:lineRule="auto"/>
        <w:rPr>
          <w:rFonts w:ascii="Arial" w:hAnsi="Arial" w:cs="Arial"/>
          <w:color w:val="000000"/>
          <w:sz w:val="22"/>
          <w:szCs w:val="22"/>
        </w:rPr>
      </w:pPr>
      <w:r w:rsidRPr="00A97E2A">
        <w:rPr>
          <w:rFonts w:ascii="Arial" w:hAnsi="Arial" w:cs="Arial"/>
          <w:sz w:val="22"/>
          <w:szCs w:val="22"/>
        </w:rPr>
        <w:t xml:space="preserve">Delamonthe, T., 2008. </w:t>
      </w:r>
      <w:r w:rsidRPr="00A97E2A">
        <w:rPr>
          <w:rFonts w:ascii="Arial" w:hAnsi="Arial" w:cs="Arial"/>
          <w:color w:val="000000"/>
          <w:sz w:val="22"/>
          <w:szCs w:val="22"/>
        </w:rPr>
        <w:t>Founding principles.</w:t>
      </w:r>
      <w:r w:rsidRPr="00A97E2A">
        <w:rPr>
          <w:rStyle w:val="apple-converted-space"/>
          <w:rFonts w:ascii="Arial" w:eastAsiaTheme="majorEastAsia" w:hAnsi="Arial" w:cs="Arial"/>
          <w:color w:val="000000"/>
          <w:sz w:val="22"/>
          <w:szCs w:val="22"/>
        </w:rPr>
        <w:t> </w:t>
      </w:r>
      <w:r w:rsidRPr="00A97E2A">
        <w:rPr>
          <w:rStyle w:val="Emphasis"/>
          <w:rFonts w:ascii="Arial" w:eastAsiaTheme="majorEastAsia" w:hAnsi="Arial" w:cs="Arial"/>
          <w:color w:val="000000"/>
          <w:sz w:val="22"/>
          <w:szCs w:val="22"/>
        </w:rPr>
        <w:t>BMJ</w:t>
      </w:r>
      <w:r w:rsidRPr="00A97E2A">
        <w:rPr>
          <w:rFonts w:ascii="Arial" w:hAnsi="Arial" w:cs="Arial"/>
          <w:color w:val="000000"/>
          <w:sz w:val="22"/>
          <w:szCs w:val="22"/>
        </w:rPr>
        <w:t>, 337(7660).</w:t>
      </w:r>
    </w:p>
    <w:p w14:paraId="2F7E9CA9" w14:textId="02659545" w:rsidR="00A47988" w:rsidRPr="00A97E2A" w:rsidRDefault="00000000" w:rsidP="00A97E2A">
      <w:pPr>
        <w:rPr>
          <w:rFonts w:cs="Arial"/>
          <w:sz w:val="22"/>
          <w:szCs w:val="22"/>
        </w:rPr>
      </w:pPr>
      <w:hyperlink r:id="rId9" w:history="1">
        <w:r w:rsidR="00A47988" w:rsidRPr="00A97E2A">
          <w:rPr>
            <w:rStyle w:val="Hyperlink"/>
            <w:rFonts w:cs="Arial"/>
            <w:sz w:val="22"/>
            <w:szCs w:val="22"/>
          </w:rPr>
          <w:t>https://pmc.ncbi.nlm.nih.gov/articles/PMC2405823/</w:t>
        </w:r>
      </w:hyperlink>
    </w:p>
    <w:p w14:paraId="76A4F894" w14:textId="77777777" w:rsidR="00F91E97" w:rsidRPr="00A97E2A" w:rsidRDefault="00F91E97" w:rsidP="00A97E2A">
      <w:pPr>
        <w:rPr>
          <w:rFonts w:cs="Arial"/>
          <w:sz w:val="22"/>
          <w:szCs w:val="22"/>
        </w:rPr>
      </w:pPr>
    </w:p>
    <w:p w14:paraId="3C0AD2B5" w14:textId="77777777" w:rsidR="00F91E97" w:rsidRPr="00A97E2A" w:rsidRDefault="00F91E97" w:rsidP="00A97E2A">
      <w:pPr>
        <w:rPr>
          <w:rFonts w:cs="Arial"/>
          <w:color w:val="222222"/>
          <w:sz w:val="22"/>
          <w:szCs w:val="22"/>
          <w:shd w:val="clear" w:color="auto" w:fill="FFFFFF"/>
        </w:rPr>
      </w:pPr>
      <w:r w:rsidRPr="00A97E2A">
        <w:rPr>
          <w:rFonts w:cs="Arial"/>
          <w:color w:val="222222"/>
          <w:sz w:val="22"/>
          <w:szCs w:val="22"/>
          <w:shd w:val="clear" w:color="auto" w:fill="FFFFFF"/>
        </w:rPr>
        <w:t>Evans, D., Mills, I., Burns, L., Bryce, M. and Hanks, S., 2023. The dental workforce recruitment and retention crisis in the UK.</w:t>
      </w:r>
      <w:r w:rsidRPr="00A97E2A">
        <w:rPr>
          <w:rStyle w:val="apple-converted-space"/>
          <w:rFonts w:cs="Arial"/>
          <w:color w:val="222222"/>
          <w:sz w:val="22"/>
          <w:szCs w:val="22"/>
          <w:shd w:val="clear" w:color="auto" w:fill="FFFFFF"/>
        </w:rPr>
        <w:t> </w:t>
      </w:r>
      <w:r w:rsidRPr="00A97E2A">
        <w:rPr>
          <w:rFonts w:cs="Arial"/>
          <w:i/>
          <w:iCs/>
          <w:color w:val="222222"/>
          <w:sz w:val="22"/>
          <w:szCs w:val="22"/>
        </w:rPr>
        <w:t>British Dental Journal</w:t>
      </w:r>
      <w:r w:rsidRPr="00A97E2A">
        <w:rPr>
          <w:rFonts w:cs="Arial"/>
          <w:color w:val="222222"/>
          <w:sz w:val="22"/>
          <w:szCs w:val="22"/>
          <w:shd w:val="clear" w:color="auto" w:fill="FFFFFF"/>
        </w:rPr>
        <w:t>,</w:t>
      </w:r>
      <w:r w:rsidRPr="00A97E2A">
        <w:rPr>
          <w:rStyle w:val="apple-converted-space"/>
          <w:rFonts w:cs="Arial"/>
          <w:color w:val="222222"/>
          <w:sz w:val="22"/>
          <w:szCs w:val="22"/>
          <w:shd w:val="clear" w:color="auto" w:fill="FFFFFF"/>
        </w:rPr>
        <w:t> </w:t>
      </w:r>
      <w:r w:rsidRPr="00A97E2A">
        <w:rPr>
          <w:rFonts w:cs="Arial"/>
          <w:i/>
          <w:iCs/>
          <w:color w:val="222222"/>
          <w:sz w:val="22"/>
          <w:szCs w:val="22"/>
        </w:rPr>
        <w:t>234</w:t>
      </w:r>
      <w:r w:rsidRPr="00A97E2A">
        <w:rPr>
          <w:rFonts w:cs="Arial"/>
          <w:color w:val="222222"/>
          <w:sz w:val="22"/>
          <w:szCs w:val="22"/>
          <w:shd w:val="clear" w:color="auto" w:fill="FFFFFF"/>
        </w:rPr>
        <w:t>(8), pp.573-577.</w:t>
      </w:r>
    </w:p>
    <w:p w14:paraId="06423835" w14:textId="77777777" w:rsidR="00F91E97" w:rsidRPr="00A97E2A" w:rsidRDefault="00000000" w:rsidP="00A97E2A">
      <w:pPr>
        <w:rPr>
          <w:rFonts w:cs="Arial"/>
          <w:color w:val="000000"/>
          <w:sz w:val="22"/>
          <w:szCs w:val="22"/>
        </w:rPr>
      </w:pPr>
      <w:hyperlink r:id="rId10" w:history="1">
        <w:r w:rsidR="00F91E97" w:rsidRPr="00A97E2A">
          <w:rPr>
            <w:rStyle w:val="Hyperlink"/>
            <w:rFonts w:cs="Arial"/>
            <w:sz w:val="22"/>
            <w:szCs w:val="22"/>
          </w:rPr>
          <w:t>https://www.nature.com/articles/s41415-023-5737-5</w:t>
        </w:r>
      </w:hyperlink>
    </w:p>
    <w:p w14:paraId="13FBE988" w14:textId="77777777" w:rsidR="00F91E97" w:rsidRPr="00A97E2A" w:rsidRDefault="00F91E97" w:rsidP="00A97E2A">
      <w:pPr>
        <w:rPr>
          <w:rFonts w:cs="Arial"/>
          <w:sz w:val="22"/>
          <w:szCs w:val="22"/>
        </w:rPr>
      </w:pPr>
    </w:p>
    <w:p w14:paraId="423ACE0A" w14:textId="77777777" w:rsidR="00F91E97" w:rsidRPr="00A97E2A" w:rsidRDefault="00F91E97" w:rsidP="00A97E2A">
      <w:pPr>
        <w:rPr>
          <w:rFonts w:cs="Arial"/>
          <w:color w:val="222222"/>
          <w:sz w:val="22"/>
          <w:szCs w:val="22"/>
          <w:shd w:val="clear" w:color="auto" w:fill="FFFFFF"/>
        </w:rPr>
      </w:pPr>
      <w:r w:rsidRPr="00A97E2A">
        <w:rPr>
          <w:rFonts w:cs="Arial"/>
          <w:color w:val="222222"/>
          <w:sz w:val="22"/>
          <w:szCs w:val="22"/>
          <w:shd w:val="clear" w:color="auto" w:fill="FFFFFF"/>
        </w:rPr>
        <w:t>Hugo, F.N., Kassebaum, N.J., Marcenes, W. and Bernabé, E., 2021. Role of dentistry in global health: challenges and research priorities.</w:t>
      </w:r>
      <w:r w:rsidRPr="00A97E2A">
        <w:rPr>
          <w:rStyle w:val="apple-converted-space"/>
          <w:rFonts w:cs="Arial"/>
          <w:color w:val="222222"/>
          <w:sz w:val="22"/>
          <w:szCs w:val="22"/>
          <w:shd w:val="clear" w:color="auto" w:fill="FFFFFF"/>
        </w:rPr>
        <w:t> </w:t>
      </w:r>
      <w:r w:rsidRPr="00A97E2A">
        <w:rPr>
          <w:rFonts w:cs="Arial"/>
          <w:i/>
          <w:iCs/>
          <w:color w:val="222222"/>
          <w:sz w:val="22"/>
          <w:szCs w:val="22"/>
        </w:rPr>
        <w:t>Journal of Dental Research</w:t>
      </w:r>
      <w:r w:rsidRPr="00A97E2A">
        <w:rPr>
          <w:rFonts w:cs="Arial"/>
          <w:color w:val="222222"/>
          <w:sz w:val="22"/>
          <w:szCs w:val="22"/>
          <w:shd w:val="clear" w:color="auto" w:fill="FFFFFF"/>
        </w:rPr>
        <w:t>,</w:t>
      </w:r>
      <w:r w:rsidRPr="00A97E2A">
        <w:rPr>
          <w:rStyle w:val="apple-converted-space"/>
          <w:rFonts w:cs="Arial"/>
          <w:color w:val="222222"/>
          <w:sz w:val="22"/>
          <w:szCs w:val="22"/>
          <w:shd w:val="clear" w:color="auto" w:fill="FFFFFF"/>
        </w:rPr>
        <w:t> </w:t>
      </w:r>
      <w:r w:rsidRPr="00A97E2A">
        <w:rPr>
          <w:rFonts w:cs="Arial"/>
          <w:i/>
          <w:iCs/>
          <w:color w:val="222222"/>
          <w:sz w:val="22"/>
          <w:szCs w:val="22"/>
        </w:rPr>
        <w:t>100</w:t>
      </w:r>
      <w:r w:rsidRPr="00A97E2A">
        <w:rPr>
          <w:rFonts w:cs="Arial"/>
          <w:color w:val="222222"/>
          <w:sz w:val="22"/>
          <w:szCs w:val="22"/>
          <w:shd w:val="clear" w:color="auto" w:fill="FFFFFF"/>
        </w:rPr>
        <w:t>(7), pp.681-685.</w:t>
      </w:r>
    </w:p>
    <w:p w14:paraId="2AC79DE9" w14:textId="5CA6FA92" w:rsidR="00F91E97" w:rsidRPr="00A97E2A" w:rsidRDefault="00000000" w:rsidP="00A97E2A">
      <w:pPr>
        <w:rPr>
          <w:rFonts w:cs="Arial"/>
          <w:sz w:val="22"/>
          <w:szCs w:val="22"/>
        </w:rPr>
      </w:pPr>
      <w:hyperlink r:id="rId11" w:history="1">
        <w:r w:rsidR="00F91E97" w:rsidRPr="00A97E2A">
          <w:rPr>
            <w:rStyle w:val="Hyperlink"/>
            <w:rFonts w:cs="Arial"/>
            <w:sz w:val="22"/>
            <w:szCs w:val="22"/>
          </w:rPr>
          <w:t>https://journals.sagepub.com/doi/full/10.1177/0022034521992011</w:t>
        </w:r>
      </w:hyperlink>
    </w:p>
    <w:p w14:paraId="4E53A07B" w14:textId="77777777" w:rsidR="00A97E2A" w:rsidRPr="00A97E2A" w:rsidRDefault="00A97E2A" w:rsidP="00A97E2A">
      <w:pPr>
        <w:rPr>
          <w:rFonts w:cs="Arial"/>
          <w:color w:val="auto"/>
          <w:kern w:val="0"/>
          <w:sz w:val="22"/>
          <w:szCs w:val="22"/>
        </w:rPr>
      </w:pPr>
    </w:p>
    <w:p w14:paraId="554DC607" w14:textId="140CE902" w:rsidR="00A97E2A" w:rsidRPr="00A97E2A" w:rsidRDefault="00A97E2A" w:rsidP="00A97E2A">
      <w:pPr>
        <w:rPr>
          <w:rFonts w:cs="Arial"/>
          <w:sz w:val="22"/>
          <w:szCs w:val="22"/>
        </w:rPr>
      </w:pPr>
      <w:r w:rsidRPr="00A97E2A">
        <w:rPr>
          <w:rFonts w:cs="Arial"/>
          <w:color w:val="auto"/>
          <w:kern w:val="0"/>
          <w:sz w:val="22"/>
          <w:szCs w:val="22"/>
        </w:rPr>
        <w:t>NHS Confederation (2024). The state of integrated care systems 2023/24. Available at: https://www.nhsconfed.org/publications/state-integrated-care-systems-202324 (Accessed: 10 October 2025</w:t>
      </w:r>
      <w:proofErr w:type="gramStart"/>
      <w:r w:rsidRPr="00A97E2A">
        <w:rPr>
          <w:rFonts w:cs="Arial"/>
          <w:color w:val="auto"/>
          <w:kern w:val="0"/>
          <w:sz w:val="22"/>
          <w:szCs w:val="22"/>
        </w:rPr>
        <w:t>).Available</w:t>
      </w:r>
      <w:proofErr w:type="gramEnd"/>
      <w:r w:rsidRPr="00A97E2A">
        <w:rPr>
          <w:rFonts w:cs="Arial"/>
          <w:color w:val="auto"/>
          <w:kern w:val="0"/>
          <w:sz w:val="22"/>
          <w:szCs w:val="22"/>
        </w:rPr>
        <w:t xml:space="preserve"> at:</w:t>
      </w:r>
    </w:p>
    <w:p w14:paraId="1D991024" w14:textId="794075B5" w:rsidR="00A97E2A" w:rsidRPr="00A97E2A" w:rsidRDefault="00000000" w:rsidP="00A97E2A">
      <w:pPr>
        <w:rPr>
          <w:rFonts w:cs="Arial"/>
          <w:sz w:val="22"/>
          <w:szCs w:val="22"/>
        </w:rPr>
      </w:pPr>
      <w:hyperlink r:id="rId12" w:history="1">
        <w:r w:rsidR="00A97E2A" w:rsidRPr="00A97E2A">
          <w:rPr>
            <w:rStyle w:val="Hyperlink"/>
            <w:rFonts w:cs="Arial"/>
            <w:sz w:val="22"/>
            <w:szCs w:val="22"/>
          </w:rPr>
          <w:t>https://www.nhsconfed.org/publications/state-integrated-care-systems-202324</w:t>
        </w:r>
      </w:hyperlink>
    </w:p>
    <w:p w14:paraId="7A08B666" w14:textId="77777777" w:rsidR="00A47988" w:rsidRPr="00A97E2A" w:rsidRDefault="00A47988" w:rsidP="00A97E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auto"/>
          <w:kern w:val="0"/>
          <w:sz w:val="22"/>
          <w:szCs w:val="22"/>
        </w:rPr>
      </w:pPr>
    </w:p>
    <w:p w14:paraId="27AC3621" w14:textId="23B536EC" w:rsidR="00A47988" w:rsidRPr="00A97E2A" w:rsidRDefault="00A47988" w:rsidP="00A97E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auto"/>
          <w:kern w:val="0"/>
          <w:sz w:val="22"/>
          <w:szCs w:val="22"/>
        </w:rPr>
      </w:pPr>
      <w:r w:rsidRPr="00A97E2A">
        <w:rPr>
          <w:rFonts w:cs="Arial"/>
          <w:color w:val="auto"/>
          <w:kern w:val="0"/>
          <w:sz w:val="22"/>
          <w:szCs w:val="22"/>
        </w:rPr>
        <w:t xml:space="preserve">Price, C (2017). Structural instability: twenty-five years of national health IT: exploring strategy, structure, and systems in the English NHS. </w:t>
      </w:r>
      <w:r w:rsidRPr="00A97E2A">
        <w:rPr>
          <w:rFonts w:cs="Arial"/>
          <w:i/>
          <w:iCs/>
          <w:color w:val="auto"/>
          <w:kern w:val="0"/>
          <w:sz w:val="22"/>
          <w:szCs w:val="22"/>
        </w:rPr>
        <w:t>Health Informatics Journal</w:t>
      </w:r>
      <w:r w:rsidRPr="00A97E2A">
        <w:rPr>
          <w:rFonts w:cs="Arial"/>
          <w:color w:val="auto"/>
          <w:kern w:val="0"/>
          <w:sz w:val="22"/>
          <w:szCs w:val="22"/>
        </w:rPr>
        <w:t>, 23(4), pp.259-277.</w:t>
      </w:r>
    </w:p>
    <w:p w14:paraId="14A54783" w14:textId="77777777" w:rsidR="00A47988" w:rsidRPr="00A97E2A" w:rsidRDefault="00000000" w:rsidP="00A97E2A">
      <w:pPr>
        <w:rPr>
          <w:rFonts w:cs="Arial"/>
          <w:sz w:val="22"/>
          <w:szCs w:val="22"/>
        </w:rPr>
      </w:pPr>
      <w:hyperlink r:id="rId13" w:history="1">
        <w:r w:rsidR="00A47988" w:rsidRPr="00A97E2A">
          <w:rPr>
            <w:rStyle w:val="Hyperlink"/>
            <w:rFonts w:cs="Arial"/>
            <w:sz w:val="22"/>
            <w:szCs w:val="22"/>
          </w:rPr>
          <w:t>https://pmc.ncbi.nlm.nih.gov/articles/PMC6351974/</w:t>
        </w:r>
      </w:hyperlink>
    </w:p>
    <w:p w14:paraId="38FFD32C" w14:textId="77777777" w:rsidR="00F91E97" w:rsidRPr="00A97E2A" w:rsidRDefault="00F91E97" w:rsidP="00A97E2A">
      <w:pPr>
        <w:rPr>
          <w:rFonts w:cs="Arial"/>
          <w:color w:val="000000"/>
          <w:sz w:val="22"/>
          <w:szCs w:val="22"/>
        </w:rPr>
      </w:pPr>
    </w:p>
    <w:p w14:paraId="495523EA" w14:textId="77777777" w:rsidR="00F91E97" w:rsidRPr="00A97E2A" w:rsidRDefault="00F91E97" w:rsidP="00A97E2A">
      <w:pPr>
        <w:rPr>
          <w:rFonts w:cs="Arial"/>
          <w:color w:val="222222"/>
          <w:sz w:val="22"/>
          <w:szCs w:val="22"/>
          <w:shd w:val="clear" w:color="auto" w:fill="FFFFFF"/>
        </w:rPr>
      </w:pPr>
      <w:r w:rsidRPr="00A97E2A">
        <w:rPr>
          <w:rFonts w:cs="Arial"/>
          <w:color w:val="222222"/>
          <w:sz w:val="22"/>
          <w:szCs w:val="22"/>
          <w:shd w:val="clear" w:color="auto" w:fill="FFFFFF"/>
        </w:rPr>
        <w:t>Richards, N.D., 1968. Dentistry in England in the 1840s: the first indications of a movement towards professionalization.</w:t>
      </w:r>
      <w:r w:rsidRPr="00A97E2A">
        <w:rPr>
          <w:rStyle w:val="apple-converted-space"/>
          <w:rFonts w:cs="Arial"/>
          <w:color w:val="222222"/>
          <w:sz w:val="22"/>
          <w:szCs w:val="22"/>
          <w:shd w:val="clear" w:color="auto" w:fill="FFFFFF"/>
        </w:rPr>
        <w:t> </w:t>
      </w:r>
      <w:r w:rsidRPr="00A97E2A">
        <w:rPr>
          <w:rFonts w:cs="Arial"/>
          <w:i/>
          <w:iCs/>
          <w:color w:val="222222"/>
          <w:sz w:val="22"/>
          <w:szCs w:val="22"/>
        </w:rPr>
        <w:t>Medical History</w:t>
      </w:r>
      <w:r w:rsidRPr="00A97E2A">
        <w:rPr>
          <w:rFonts w:cs="Arial"/>
          <w:color w:val="222222"/>
          <w:sz w:val="22"/>
          <w:szCs w:val="22"/>
          <w:shd w:val="clear" w:color="auto" w:fill="FFFFFF"/>
        </w:rPr>
        <w:t>,</w:t>
      </w:r>
      <w:r w:rsidRPr="00A97E2A">
        <w:rPr>
          <w:rStyle w:val="apple-converted-space"/>
          <w:rFonts w:cs="Arial"/>
          <w:color w:val="222222"/>
          <w:sz w:val="22"/>
          <w:szCs w:val="22"/>
          <w:shd w:val="clear" w:color="auto" w:fill="FFFFFF"/>
        </w:rPr>
        <w:t> </w:t>
      </w:r>
      <w:r w:rsidRPr="00A97E2A">
        <w:rPr>
          <w:rFonts w:cs="Arial"/>
          <w:i/>
          <w:iCs/>
          <w:color w:val="222222"/>
          <w:sz w:val="22"/>
          <w:szCs w:val="22"/>
        </w:rPr>
        <w:t>12</w:t>
      </w:r>
      <w:r w:rsidRPr="00A97E2A">
        <w:rPr>
          <w:rFonts w:cs="Arial"/>
          <w:color w:val="222222"/>
          <w:sz w:val="22"/>
          <w:szCs w:val="22"/>
          <w:shd w:val="clear" w:color="auto" w:fill="FFFFFF"/>
        </w:rPr>
        <w:t>(2), pp.137-152.</w:t>
      </w:r>
    </w:p>
    <w:p w14:paraId="624F952F" w14:textId="77777777" w:rsidR="00F91E97" w:rsidRPr="00A97E2A" w:rsidRDefault="00000000" w:rsidP="00A97E2A">
      <w:pPr>
        <w:rPr>
          <w:rFonts w:cs="Arial"/>
          <w:color w:val="000000"/>
          <w:sz w:val="22"/>
          <w:szCs w:val="22"/>
        </w:rPr>
      </w:pPr>
      <w:hyperlink r:id="rId14" w:history="1">
        <w:r w:rsidR="00F91E97" w:rsidRPr="00A97E2A">
          <w:rPr>
            <w:rStyle w:val="Hyperlink"/>
            <w:rFonts w:cs="Arial"/>
            <w:sz w:val="22"/>
            <w:szCs w:val="22"/>
          </w:rPr>
          <w:t>https://www.cambridge.org/core/journals/medical-history/article/dentistry-in-england-in-the-1840s-the-first-indications-of-a-movement-towards-professionalization/B69E32D6695EAAD45814289847894777</w:t>
        </w:r>
      </w:hyperlink>
    </w:p>
    <w:p w14:paraId="691FC215" w14:textId="77777777" w:rsidR="00A47988" w:rsidRPr="00A97E2A" w:rsidRDefault="00A47988" w:rsidP="00A97E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auto"/>
          <w:kern w:val="0"/>
          <w:sz w:val="22"/>
          <w:szCs w:val="22"/>
        </w:rPr>
      </w:pPr>
    </w:p>
    <w:p w14:paraId="2F60AADD" w14:textId="31B7896C" w:rsidR="00A47988" w:rsidRPr="00A97E2A" w:rsidRDefault="00A47988" w:rsidP="00A97E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auto"/>
          <w:kern w:val="0"/>
          <w:sz w:val="22"/>
          <w:szCs w:val="22"/>
        </w:rPr>
      </w:pPr>
      <w:r w:rsidRPr="00A97E2A">
        <w:rPr>
          <w:rFonts w:cs="Arial"/>
          <w:color w:val="auto"/>
          <w:kern w:val="0"/>
          <w:sz w:val="22"/>
          <w:szCs w:val="22"/>
        </w:rPr>
        <w:t xml:space="preserve">Shapiro, J. (2010). The NHS: the story so far (1948–2010). </w:t>
      </w:r>
      <w:r w:rsidRPr="00A97E2A">
        <w:rPr>
          <w:rFonts w:cs="Arial"/>
          <w:i/>
          <w:iCs/>
          <w:color w:val="auto"/>
          <w:kern w:val="0"/>
          <w:sz w:val="22"/>
          <w:szCs w:val="22"/>
        </w:rPr>
        <w:t>Postgraduate Medical Journal</w:t>
      </w:r>
      <w:r w:rsidRPr="00A97E2A">
        <w:rPr>
          <w:rFonts w:cs="Arial"/>
          <w:color w:val="auto"/>
          <w:kern w:val="0"/>
          <w:sz w:val="22"/>
          <w:szCs w:val="22"/>
        </w:rPr>
        <w:t>, 86(1013), pp.165-171.</w:t>
      </w:r>
    </w:p>
    <w:p w14:paraId="2A87AAFE" w14:textId="77777777" w:rsidR="00A47988" w:rsidRPr="00A97E2A" w:rsidRDefault="00000000" w:rsidP="00A97E2A">
      <w:pPr>
        <w:rPr>
          <w:rFonts w:cs="Arial"/>
          <w:color w:val="auto"/>
          <w:kern w:val="0"/>
          <w:sz w:val="22"/>
          <w:szCs w:val="22"/>
        </w:rPr>
      </w:pPr>
      <w:hyperlink r:id="rId15" w:history="1">
        <w:r w:rsidR="00A47988" w:rsidRPr="00A97E2A">
          <w:rPr>
            <w:rStyle w:val="Hyperlink"/>
            <w:rFonts w:cs="Arial"/>
            <w:kern w:val="0"/>
            <w:sz w:val="22"/>
            <w:szCs w:val="22"/>
          </w:rPr>
          <w:t>https://pmc.ncbi.nlm.nih.gov/articles/PMC4952160/</w:t>
        </w:r>
      </w:hyperlink>
    </w:p>
    <w:p w14:paraId="7CE26A50" w14:textId="77777777" w:rsidR="00A47988" w:rsidRPr="00A97E2A" w:rsidRDefault="00A47988" w:rsidP="00A97E2A">
      <w:pPr>
        <w:rPr>
          <w:rFonts w:cs="Arial"/>
          <w:color w:val="222222"/>
          <w:sz w:val="22"/>
          <w:szCs w:val="22"/>
          <w:shd w:val="clear" w:color="auto" w:fill="FFFFFF"/>
        </w:rPr>
      </w:pPr>
    </w:p>
    <w:p w14:paraId="3249C595" w14:textId="74B91EE0" w:rsidR="00A47988" w:rsidRPr="00A97E2A" w:rsidRDefault="00A47988" w:rsidP="00A97E2A">
      <w:pPr>
        <w:rPr>
          <w:rFonts w:cs="Arial"/>
          <w:sz w:val="22"/>
          <w:szCs w:val="22"/>
        </w:rPr>
      </w:pPr>
      <w:r w:rsidRPr="00A97E2A">
        <w:rPr>
          <w:rFonts w:cs="Arial"/>
          <w:color w:val="222222"/>
          <w:sz w:val="22"/>
          <w:szCs w:val="22"/>
          <w:shd w:val="clear" w:color="auto" w:fill="FFFFFF"/>
        </w:rPr>
        <w:t>Timmins, N., 1998. The jewel in welfare's crown: The NHS will glisten still if it retains middle class support.</w:t>
      </w:r>
      <w:r w:rsidRPr="00A97E2A">
        <w:rPr>
          <w:rStyle w:val="apple-converted-space"/>
          <w:rFonts w:cs="Arial"/>
          <w:color w:val="222222"/>
          <w:sz w:val="22"/>
          <w:szCs w:val="22"/>
          <w:shd w:val="clear" w:color="auto" w:fill="FFFFFF"/>
        </w:rPr>
        <w:t> </w:t>
      </w:r>
      <w:r w:rsidRPr="00A97E2A">
        <w:rPr>
          <w:rFonts w:cs="Arial"/>
          <w:i/>
          <w:iCs/>
          <w:color w:val="222222"/>
          <w:sz w:val="22"/>
          <w:szCs w:val="22"/>
        </w:rPr>
        <w:t>BMJ</w:t>
      </w:r>
      <w:r w:rsidRPr="00A97E2A">
        <w:rPr>
          <w:rFonts w:cs="Arial"/>
          <w:color w:val="222222"/>
          <w:sz w:val="22"/>
          <w:szCs w:val="22"/>
          <w:shd w:val="clear" w:color="auto" w:fill="FFFFFF"/>
        </w:rPr>
        <w:t>,</w:t>
      </w:r>
      <w:r w:rsidRPr="00A97E2A">
        <w:rPr>
          <w:rStyle w:val="apple-converted-space"/>
          <w:rFonts w:cs="Arial"/>
          <w:color w:val="222222"/>
          <w:sz w:val="22"/>
          <w:szCs w:val="22"/>
          <w:shd w:val="clear" w:color="auto" w:fill="FFFFFF"/>
        </w:rPr>
        <w:t> </w:t>
      </w:r>
      <w:r w:rsidRPr="00A97E2A">
        <w:rPr>
          <w:rFonts w:cs="Arial"/>
          <w:i/>
          <w:iCs/>
          <w:color w:val="222222"/>
          <w:sz w:val="22"/>
          <w:szCs w:val="22"/>
        </w:rPr>
        <w:t>317</w:t>
      </w:r>
      <w:r w:rsidRPr="00A97E2A">
        <w:rPr>
          <w:rFonts w:cs="Arial"/>
          <w:color w:val="222222"/>
          <w:sz w:val="22"/>
          <w:szCs w:val="22"/>
          <w:shd w:val="clear" w:color="auto" w:fill="FFFFFF"/>
        </w:rPr>
        <w:t>(7150), pp.2-3.</w:t>
      </w:r>
    </w:p>
    <w:p w14:paraId="532DC64F" w14:textId="77777777" w:rsidR="00A47988" w:rsidRPr="00A97E2A" w:rsidRDefault="00000000" w:rsidP="00A97E2A">
      <w:pPr>
        <w:rPr>
          <w:rFonts w:cs="Arial"/>
          <w:sz w:val="22"/>
          <w:szCs w:val="22"/>
        </w:rPr>
      </w:pPr>
      <w:hyperlink r:id="rId16" w:history="1">
        <w:r w:rsidR="00A47988" w:rsidRPr="00A97E2A">
          <w:rPr>
            <w:rStyle w:val="Hyperlink"/>
            <w:rFonts w:cs="Arial"/>
            <w:sz w:val="22"/>
            <w:szCs w:val="22"/>
          </w:rPr>
          <w:t>https://www.bmj.com/content/317/7150/2.short</w:t>
        </w:r>
      </w:hyperlink>
    </w:p>
    <w:p w14:paraId="48B9CC76" w14:textId="77777777" w:rsidR="00A97E2A" w:rsidRPr="00A97E2A" w:rsidRDefault="00A97E2A" w:rsidP="00A97E2A">
      <w:pPr>
        <w:rPr>
          <w:rFonts w:cs="Arial"/>
          <w:sz w:val="22"/>
          <w:szCs w:val="22"/>
        </w:rPr>
      </w:pPr>
    </w:p>
    <w:p w14:paraId="1AE5B378" w14:textId="77777777" w:rsidR="00A97E2A" w:rsidRPr="00A97E2A" w:rsidRDefault="00A97E2A" w:rsidP="00A97E2A">
      <w:pPr>
        <w:rPr>
          <w:rFonts w:cs="Arial"/>
          <w:sz w:val="22"/>
          <w:szCs w:val="22"/>
        </w:rPr>
      </w:pPr>
      <w:r w:rsidRPr="00A97E2A">
        <w:rPr>
          <w:rFonts w:cs="Arial"/>
          <w:color w:val="auto"/>
          <w:kern w:val="0"/>
          <w:sz w:val="22"/>
          <w:szCs w:val="22"/>
        </w:rPr>
        <w:t xml:space="preserve">The King's Fund (2019). Public Satisfaction </w:t>
      </w:r>
      <w:proofErr w:type="gramStart"/>
      <w:r w:rsidRPr="00A97E2A">
        <w:rPr>
          <w:rFonts w:cs="Arial"/>
          <w:color w:val="auto"/>
          <w:kern w:val="0"/>
          <w:sz w:val="22"/>
          <w:szCs w:val="22"/>
        </w:rPr>
        <w:t>With</w:t>
      </w:r>
      <w:proofErr w:type="gramEnd"/>
      <w:r w:rsidRPr="00A97E2A">
        <w:rPr>
          <w:rFonts w:cs="Arial"/>
          <w:color w:val="auto"/>
          <w:kern w:val="0"/>
          <w:sz w:val="22"/>
          <w:szCs w:val="22"/>
        </w:rPr>
        <w:t xml:space="preserve"> The NHS And Social Care in 2019: British Social Attitudes Survey. (Accessed: 10 October 2025).</w:t>
      </w:r>
    </w:p>
    <w:p w14:paraId="7922CBF2" w14:textId="77777777" w:rsidR="00A97E2A" w:rsidRPr="00A97E2A" w:rsidRDefault="00A97E2A" w:rsidP="00A97E2A">
      <w:pPr>
        <w:rPr>
          <w:rFonts w:cs="Arial"/>
          <w:color w:val="auto"/>
          <w:kern w:val="0"/>
          <w:sz w:val="22"/>
          <w:szCs w:val="22"/>
        </w:rPr>
      </w:pPr>
      <w:r w:rsidRPr="00A97E2A">
        <w:rPr>
          <w:rFonts w:cs="Arial"/>
          <w:color w:val="auto"/>
          <w:kern w:val="0"/>
          <w:sz w:val="22"/>
          <w:szCs w:val="22"/>
        </w:rPr>
        <w:t xml:space="preserve">Available at: </w:t>
      </w:r>
      <w:hyperlink r:id="rId17" w:history="1">
        <w:r w:rsidRPr="00A97E2A">
          <w:rPr>
            <w:rStyle w:val="Hyperlink"/>
            <w:rFonts w:cs="Arial"/>
            <w:kern w:val="0"/>
            <w:sz w:val="22"/>
            <w:szCs w:val="22"/>
          </w:rPr>
          <w:t>https://www.kingsfund.org.uk/insight-and-analysis/reports/public-satisfaction-nhs-social-care-2019</w:t>
        </w:r>
      </w:hyperlink>
      <w:r w:rsidRPr="00A97E2A">
        <w:rPr>
          <w:rFonts w:cs="Arial"/>
          <w:color w:val="auto"/>
          <w:kern w:val="0"/>
          <w:sz w:val="22"/>
          <w:szCs w:val="22"/>
        </w:rPr>
        <w:t xml:space="preserve"> </w:t>
      </w:r>
    </w:p>
    <w:p w14:paraId="3598F3C1" w14:textId="77777777" w:rsidR="00F91E97" w:rsidRPr="00A97E2A" w:rsidRDefault="00F91E97" w:rsidP="00A97E2A">
      <w:pPr>
        <w:rPr>
          <w:rFonts w:cs="Arial"/>
          <w:sz w:val="22"/>
          <w:szCs w:val="22"/>
        </w:rPr>
      </w:pPr>
    </w:p>
    <w:p w14:paraId="6AC1F987" w14:textId="77777777" w:rsidR="00A47988" w:rsidRPr="00A97E2A" w:rsidRDefault="00F91E97" w:rsidP="00A97E2A">
      <w:pPr>
        <w:rPr>
          <w:rFonts w:cs="Arial"/>
          <w:color w:val="000000"/>
          <w:sz w:val="22"/>
          <w:szCs w:val="22"/>
        </w:rPr>
      </w:pPr>
      <w:r w:rsidRPr="00A97E2A">
        <w:rPr>
          <w:rFonts w:cs="Arial"/>
          <w:color w:val="000000"/>
          <w:sz w:val="22"/>
          <w:szCs w:val="22"/>
        </w:rPr>
        <w:t>Willcocks, S.G. and Willcocks, E.J. (2019) ‘The shift to integrated care in the NHS: implications of the new care models for dentistry’,</w:t>
      </w:r>
      <w:r w:rsidRPr="00A97E2A">
        <w:rPr>
          <w:rStyle w:val="apple-converted-space"/>
          <w:rFonts w:cs="Arial"/>
          <w:color w:val="000000"/>
          <w:sz w:val="22"/>
          <w:szCs w:val="22"/>
        </w:rPr>
        <w:t> </w:t>
      </w:r>
      <w:r w:rsidRPr="00A97E2A">
        <w:rPr>
          <w:rStyle w:val="Emphasis"/>
          <w:rFonts w:cs="Arial"/>
          <w:color w:val="000000"/>
          <w:sz w:val="22"/>
          <w:szCs w:val="22"/>
        </w:rPr>
        <w:t>British Dental Journal</w:t>
      </w:r>
      <w:r w:rsidRPr="00A97E2A">
        <w:rPr>
          <w:rFonts w:cs="Arial"/>
          <w:color w:val="000000"/>
          <w:sz w:val="22"/>
          <w:szCs w:val="22"/>
        </w:rPr>
        <w:t>, 226, pp. 319–322. doi: 10.1038/s41415-019-0031-2</w:t>
      </w:r>
    </w:p>
    <w:p w14:paraId="47CBF92C" w14:textId="604AA858" w:rsidR="00F91E97" w:rsidRPr="00A97E2A" w:rsidRDefault="00F91E97" w:rsidP="00A97E2A">
      <w:pPr>
        <w:rPr>
          <w:rFonts w:cs="Arial"/>
          <w:color w:val="000000"/>
          <w:sz w:val="22"/>
          <w:szCs w:val="22"/>
        </w:rPr>
      </w:pPr>
      <w:r w:rsidRPr="00A97E2A">
        <w:rPr>
          <w:rFonts w:cs="Arial"/>
          <w:color w:val="000000"/>
          <w:sz w:val="22"/>
          <w:szCs w:val="22"/>
        </w:rPr>
        <w:t>.</w:t>
      </w:r>
      <w:hyperlink r:id="rId18" w:history="1">
        <w:r w:rsidR="00A47988" w:rsidRPr="00A97E2A">
          <w:rPr>
            <w:rStyle w:val="Hyperlink"/>
            <w:rFonts w:cs="Arial"/>
            <w:sz w:val="22"/>
            <w:szCs w:val="22"/>
          </w:rPr>
          <w:t>https://www.nature.com/articles/s41415-019-0031-2</w:t>
        </w:r>
      </w:hyperlink>
    </w:p>
    <w:p w14:paraId="7722E074" w14:textId="77777777" w:rsidR="00F91E97" w:rsidRPr="00A47988" w:rsidRDefault="00F91E97" w:rsidP="00A47988">
      <w:pPr>
        <w:rPr>
          <w:rFonts w:cs="Arial"/>
          <w:color w:val="000000"/>
          <w:sz w:val="22"/>
          <w:szCs w:val="22"/>
        </w:rPr>
      </w:pPr>
    </w:p>
    <w:p w14:paraId="5FBACCD8" w14:textId="178F29EE" w:rsidR="00B54840" w:rsidRDefault="00B54840" w:rsidP="00A47988">
      <w:pPr>
        <w:rPr>
          <w:rFonts w:cs="Arial"/>
          <w:sz w:val="22"/>
          <w:szCs w:val="22"/>
        </w:rPr>
      </w:pPr>
    </w:p>
    <w:p w14:paraId="4264ADE6" w14:textId="77777777" w:rsidR="00A47988" w:rsidRPr="00A47988" w:rsidRDefault="00A47988" w:rsidP="00A47988">
      <w:pPr>
        <w:rPr>
          <w:rFonts w:cs="Arial"/>
          <w:sz w:val="22"/>
          <w:szCs w:val="22"/>
        </w:rPr>
      </w:pPr>
    </w:p>
    <w:p w14:paraId="74546A58" w14:textId="6580B790" w:rsidR="00F91E97" w:rsidRPr="00A47988" w:rsidRDefault="00F91E97" w:rsidP="00A47988">
      <w:pPr>
        <w:rPr>
          <w:rFonts w:cs="Arial"/>
          <w:sz w:val="22"/>
          <w:szCs w:val="22"/>
        </w:rPr>
      </w:pPr>
    </w:p>
    <w:p w14:paraId="160F0A6C" w14:textId="5A0F956B" w:rsidR="00F91E97" w:rsidRPr="00A47988" w:rsidRDefault="00F91E97" w:rsidP="00A47988">
      <w:pPr>
        <w:rPr>
          <w:rFonts w:cs="Arial"/>
          <w:sz w:val="22"/>
          <w:szCs w:val="22"/>
        </w:rPr>
      </w:pPr>
    </w:p>
    <w:p w14:paraId="6F8973F6" w14:textId="77777777" w:rsidR="00A97E2A" w:rsidRPr="00F91E97" w:rsidRDefault="00A97E2A" w:rsidP="00A47988">
      <w:pPr>
        <w:rPr>
          <w:rFonts w:cs="Arial"/>
          <w:sz w:val="22"/>
          <w:szCs w:val="22"/>
        </w:rPr>
      </w:pPr>
    </w:p>
    <w:p w14:paraId="4A262DE4" w14:textId="35BB64F0" w:rsidR="00F91E97" w:rsidRDefault="00F91E97" w:rsidP="00A47988"/>
    <w:p w14:paraId="711C0E3F" w14:textId="5C5B7687" w:rsidR="00F91E97" w:rsidRDefault="00F91E97"/>
    <w:p w14:paraId="3BDF0BC2" w14:textId="76D2EED6" w:rsidR="00F91E97" w:rsidRDefault="00F91E97"/>
    <w:p w14:paraId="15216E06" w14:textId="77777777" w:rsidR="00F91E97" w:rsidRDefault="00F91E97"/>
    <w:sectPr w:rsidR="00F91E97" w:rsidSect="00F35A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F4E97"/>
    <w:multiLevelType w:val="hybridMultilevel"/>
    <w:tmpl w:val="6DDE63FC"/>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2"/>
  </w:num>
  <w:num w:numId="2" w16cid:durableId="318582146">
    <w:abstractNumId w:val="0"/>
  </w:num>
  <w:num w:numId="3" w16cid:durableId="524640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39"/>
    <w:rsid w:val="000324E9"/>
    <w:rsid w:val="00081DB8"/>
    <w:rsid w:val="000E74F9"/>
    <w:rsid w:val="00104C1B"/>
    <w:rsid w:val="00123666"/>
    <w:rsid w:val="002528B5"/>
    <w:rsid w:val="00283952"/>
    <w:rsid w:val="00294B51"/>
    <w:rsid w:val="00417048"/>
    <w:rsid w:val="004D15D8"/>
    <w:rsid w:val="004E3B3D"/>
    <w:rsid w:val="005A5F90"/>
    <w:rsid w:val="006C55EF"/>
    <w:rsid w:val="007B583F"/>
    <w:rsid w:val="007D1865"/>
    <w:rsid w:val="007E584A"/>
    <w:rsid w:val="00806EDF"/>
    <w:rsid w:val="008A7CD2"/>
    <w:rsid w:val="009D1251"/>
    <w:rsid w:val="00A2645D"/>
    <w:rsid w:val="00A47988"/>
    <w:rsid w:val="00A97E2A"/>
    <w:rsid w:val="00B54840"/>
    <w:rsid w:val="00CC0DAB"/>
    <w:rsid w:val="00CC5CE9"/>
    <w:rsid w:val="00D43BA6"/>
    <w:rsid w:val="00DE3E6C"/>
    <w:rsid w:val="00E1439E"/>
    <w:rsid w:val="00E754CD"/>
    <w:rsid w:val="00F32475"/>
    <w:rsid w:val="00F35A39"/>
    <w:rsid w:val="00F91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8AA1"/>
  <w15:chartTrackingRefBased/>
  <w15:docId w15:val="{CE609D56-4284-7C48-9D8C-2CFA7BB0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A6"/>
    <w:pPr>
      <w:spacing w:line="360" w:lineRule="auto"/>
    </w:pPr>
  </w:style>
  <w:style w:type="paragraph" w:styleId="Heading1">
    <w:name w:val="heading 1"/>
    <w:basedOn w:val="Normal"/>
    <w:next w:val="Normal"/>
    <w:link w:val="Heading1Char"/>
    <w:uiPriority w:val="9"/>
    <w:qFormat/>
    <w:rsid w:val="00F3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Heading3">
    <w:name w:val="heading 3"/>
    <w:basedOn w:val="Normal"/>
    <w:next w:val="Normal"/>
    <w:link w:val="Heading3Char"/>
    <w:uiPriority w:val="9"/>
    <w:semiHidden/>
    <w:unhideWhenUsed/>
    <w:qFormat/>
    <w:rsid w:val="00F35A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A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5A3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5A3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A3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A3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A3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83F"/>
    <w:rPr>
      <w:rFonts w:ascii="Times New Roman" w:eastAsiaTheme="majorEastAsia" w:hAnsi="Times New Roman" w:cstheme="majorBidi"/>
      <w:b/>
      <w:color w:val="000000" w:themeColor="text1"/>
      <w:kern w:val="0"/>
      <w:szCs w:val="32"/>
      <w:lang w:eastAsia="en-GB"/>
      <w14:ligatures w14:val="none"/>
    </w:rPr>
  </w:style>
  <w:style w:type="paragraph" w:styleId="TOC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customStyle="1" w:styleId="Heading1Char">
    <w:name w:val="Heading 1 Char"/>
    <w:basedOn w:val="DefaultParagraphFont"/>
    <w:link w:val="Heading1"/>
    <w:uiPriority w:val="9"/>
    <w:rsid w:val="00F35A39"/>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35A3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A3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5A3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5A3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5A3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5A3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5A3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5A3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35A3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35A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A3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5A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A39"/>
    <w:rPr>
      <w:i/>
      <w:iCs/>
      <w:color w:val="404040" w:themeColor="text1" w:themeTint="BF"/>
    </w:rPr>
  </w:style>
  <w:style w:type="paragraph" w:styleId="ListParagraph">
    <w:name w:val="List Paragraph"/>
    <w:basedOn w:val="Normal"/>
    <w:link w:val="ListParagraphChar"/>
    <w:uiPriority w:val="34"/>
    <w:qFormat/>
    <w:rsid w:val="00F35A39"/>
    <w:pPr>
      <w:ind w:left="720"/>
      <w:contextualSpacing/>
    </w:pPr>
  </w:style>
  <w:style w:type="character" w:styleId="IntenseEmphasis">
    <w:name w:val="Intense Emphasis"/>
    <w:basedOn w:val="DefaultParagraphFont"/>
    <w:uiPriority w:val="21"/>
    <w:qFormat/>
    <w:rsid w:val="00F35A39"/>
    <w:rPr>
      <w:i/>
      <w:iCs/>
      <w:color w:val="0F4761" w:themeColor="accent1" w:themeShade="BF"/>
    </w:rPr>
  </w:style>
  <w:style w:type="paragraph" w:styleId="IntenseQuote">
    <w:name w:val="Intense Quote"/>
    <w:basedOn w:val="Normal"/>
    <w:next w:val="Normal"/>
    <w:link w:val="IntenseQuoteChar"/>
    <w:uiPriority w:val="30"/>
    <w:qFormat/>
    <w:rsid w:val="00F3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A39"/>
    <w:rPr>
      <w:i/>
      <w:iCs/>
      <w:color w:val="0F4761" w:themeColor="accent1" w:themeShade="BF"/>
    </w:rPr>
  </w:style>
  <w:style w:type="character" w:styleId="IntenseReference">
    <w:name w:val="Intense Reference"/>
    <w:basedOn w:val="DefaultParagraphFont"/>
    <w:uiPriority w:val="32"/>
    <w:qFormat/>
    <w:rsid w:val="00F35A39"/>
    <w:rPr>
      <w:b/>
      <w:bCs/>
      <w:smallCaps/>
      <w:color w:val="0F4761" w:themeColor="accent1" w:themeShade="BF"/>
      <w:spacing w:val="5"/>
    </w:rPr>
  </w:style>
  <w:style w:type="character" w:customStyle="1" w:styleId="apple-converted-space">
    <w:name w:val="apple-converted-space"/>
    <w:basedOn w:val="DefaultParagraphFont"/>
    <w:rsid w:val="00F91E97"/>
  </w:style>
  <w:style w:type="character" w:styleId="Hyperlink">
    <w:name w:val="Hyperlink"/>
    <w:basedOn w:val="DefaultParagraphFont"/>
    <w:uiPriority w:val="99"/>
    <w:unhideWhenUsed/>
    <w:rsid w:val="00F91E97"/>
    <w:rPr>
      <w:color w:val="467886" w:themeColor="hyperlink"/>
      <w:u w:val="single"/>
    </w:rPr>
  </w:style>
  <w:style w:type="character" w:styleId="Emphasis">
    <w:name w:val="Emphasis"/>
    <w:basedOn w:val="DefaultParagraphFont"/>
    <w:uiPriority w:val="20"/>
    <w:qFormat/>
    <w:rsid w:val="00F91E97"/>
    <w:rPr>
      <w:i/>
      <w:iCs/>
    </w:rPr>
  </w:style>
  <w:style w:type="character" w:styleId="FollowedHyperlink">
    <w:name w:val="FollowedHyperlink"/>
    <w:basedOn w:val="DefaultParagraphFont"/>
    <w:uiPriority w:val="99"/>
    <w:semiHidden/>
    <w:unhideWhenUsed/>
    <w:rsid w:val="00F91E97"/>
    <w:rPr>
      <w:color w:val="96607D" w:themeColor="followedHyperlink"/>
      <w:u w:val="single"/>
    </w:rPr>
  </w:style>
  <w:style w:type="character" w:styleId="UnresolvedMention">
    <w:name w:val="Unresolved Mention"/>
    <w:basedOn w:val="DefaultParagraphFont"/>
    <w:uiPriority w:val="99"/>
    <w:semiHidden/>
    <w:unhideWhenUsed/>
    <w:rsid w:val="00294B51"/>
    <w:rPr>
      <w:color w:val="605E5C"/>
      <w:shd w:val="clear" w:color="auto" w:fill="E1DFDD"/>
    </w:rPr>
  </w:style>
  <w:style w:type="character" w:customStyle="1" w:styleId="name">
    <w:name w:val="name"/>
    <w:basedOn w:val="DefaultParagraphFont"/>
    <w:rsid w:val="00B54840"/>
  </w:style>
  <w:style w:type="paragraph" w:styleId="NormalWeb">
    <w:name w:val="Normal (Web)"/>
    <w:basedOn w:val="Normal"/>
    <w:uiPriority w:val="99"/>
    <w:unhideWhenUsed/>
    <w:rsid w:val="00B54840"/>
    <w:pPr>
      <w:spacing w:before="100" w:beforeAutospacing="1" w:after="100" w:afterAutospacing="1" w:line="240" w:lineRule="auto"/>
    </w:pPr>
    <w:rPr>
      <w:rFonts w:ascii="Times New Roman" w:eastAsia="Times New Roman" w:hAnsi="Times New Roman" w:cs="Times New Roman"/>
      <w:color w:val="auto"/>
      <w:kern w:val="0"/>
      <w:lang w:eastAsia="en-GB"/>
      <w14:ligatures w14:val="none"/>
    </w:rPr>
  </w:style>
  <w:style w:type="paragraph" w:styleId="Header">
    <w:name w:val="header"/>
    <w:basedOn w:val="Normal"/>
    <w:link w:val="HeaderChar"/>
    <w:rsid w:val="00A97E2A"/>
    <w:pPr>
      <w:tabs>
        <w:tab w:val="center" w:pos="4153"/>
        <w:tab w:val="right" w:pos="8306"/>
      </w:tabs>
      <w:spacing w:line="240" w:lineRule="auto"/>
    </w:pPr>
    <w:rPr>
      <w:rFonts w:ascii="Times New Roman" w:eastAsia="Times New Roman" w:hAnsi="Times New Roman" w:cs="Times New Roman"/>
      <w:color w:val="auto"/>
      <w:kern w:val="0"/>
      <w:sz w:val="20"/>
      <w:szCs w:val="20"/>
      <w:lang w:eastAsia="en-GB"/>
      <w14:ligatures w14:val="none"/>
    </w:rPr>
  </w:style>
  <w:style w:type="character" w:customStyle="1" w:styleId="HeaderChar">
    <w:name w:val="Header Char"/>
    <w:basedOn w:val="DefaultParagraphFont"/>
    <w:link w:val="Header"/>
    <w:rsid w:val="00A97E2A"/>
    <w:rPr>
      <w:rFonts w:ascii="Times New Roman" w:eastAsia="Times New Roman" w:hAnsi="Times New Roman" w:cs="Times New Roman"/>
      <w:color w:val="auto"/>
      <w:kern w:val="0"/>
      <w:sz w:val="20"/>
      <w:szCs w:val="20"/>
      <w:lang w:eastAsia="en-GB"/>
      <w14:ligatures w14:val="none"/>
    </w:rPr>
  </w:style>
  <w:style w:type="character" w:customStyle="1" w:styleId="ListParagraphChar">
    <w:name w:val="List Paragraph Char"/>
    <w:link w:val="ListParagraph"/>
    <w:uiPriority w:val="34"/>
    <w:locked/>
    <w:rsid w:val="00A97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40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j.bdj.2019.6" TargetMode="External"/><Relationship Id="rId13" Type="http://schemas.openxmlformats.org/officeDocument/2006/relationships/hyperlink" Target="https://pmc.ncbi.nlm.nih.gov/articles/PMC6351974/" TargetMode="External"/><Relationship Id="rId18" Type="http://schemas.openxmlformats.org/officeDocument/2006/relationships/hyperlink" Target="https://www.nature.com/articles/s41415-019-0031-2" TargetMode="Externa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hyperlink" Target="https://www.nhsconfed.org/publications/state-integrated-care-systems-202324" TargetMode="External"/><Relationship Id="rId17" Type="http://schemas.openxmlformats.org/officeDocument/2006/relationships/hyperlink" Target="https://www.kingsfund.org.uk/insight-and-analysis/reports/public-satisfaction-nhs-social-care-2019" TargetMode="External"/><Relationship Id="rId2" Type="http://schemas.openxmlformats.org/officeDocument/2006/relationships/styles" Target="styles.xml"/><Relationship Id="rId16" Type="http://schemas.openxmlformats.org/officeDocument/2006/relationships/hyperlink" Target="https://www.bmj.com/content/317/7150/2.shor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journals.sagepub.com/doi/full/10.1177/0022034521992011" TargetMode="External"/><Relationship Id="rId5" Type="http://schemas.openxmlformats.org/officeDocument/2006/relationships/image" Target="media/image1.png"/><Relationship Id="rId15" Type="http://schemas.openxmlformats.org/officeDocument/2006/relationships/hyperlink" Target="https://pmc.ncbi.nlm.nih.gov/articles/PMC4952160/" TargetMode="External"/><Relationship Id="rId10" Type="http://schemas.openxmlformats.org/officeDocument/2006/relationships/hyperlink" Target="https://www.nature.com/articles/s41415-023-5737-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mc.ncbi.nlm.nih.gov/articles/PMC2405823/" TargetMode="External"/><Relationship Id="rId14" Type="http://schemas.openxmlformats.org/officeDocument/2006/relationships/hyperlink" Target="https://www.cambridge.org/core/journals/medical-history/article/dentistry-in-england-in-the-1840s-the-first-indications-of-a-movement-towards-professionalization/B69E32D6695EAAD458142898478947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Parsons</dc:creator>
  <cp:keywords/>
  <dc:description/>
  <cp:lastModifiedBy>Alisha Ali (2437713)</cp:lastModifiedBy>
  <cp:revision>2</cp:revision>
  <dcterms:created xsi:type="dcterms:W3CDTF">2025-10-20T01:30:00Z</dcterms:created>
  <dcterms:modified xsi:type="dcterms:W3CDTF">2025-10-20T01:30:00Z</dcterms:modified>
</cp:coreProperties>
</file>